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7662">
      <w:pPr>
        <w:pStyle w:val="2"/>
        <w:spacing w:line="244" w:lineRule="auto"/>
      </w:pPr>
    </w:p>
    <w:p w14:paraId="65A8A9BA">
      <w:pPr>
        <w:pStyle w:val="2"/>
        <w:spacing w:line="244" w:lineRule="auto"/>
      </w:pPr>
    </w:p>
    <w:p w14:paraId="652CD2E0">
      <w:pPr>
        <w:pStyle w:val="2"/>
        <w:spacing w:line="244" w:lineRule="auto"/>
      </w:pPr>
    </w:p>
    <w:p w14:paraId="5745A8BA">
      <w:pPr>
        <w:pStyle w:val="2"/>
        <w:spacing w:line="244" w:lineRule="auto"/>
      </w:pPr>
    </w:p>
    <w:p w14:paraId="20FF07ED">
      <w:pPr>
        <w:pStyle w:val="2"/>
        <w:spacing w:line="244" w:lineRule="auto"/>
      </w:pPr>
    </w:p>
    <w:p w14:paraId="79CF6F39">
      <w:pPr>
        <w:pStyle w:val="2"/>
        <w:spacing w:line="244" w:lineRule="auto"/>
      </w:pPr>
    </w:p>
    <w:p w14:paraId="4CF63D3D">
      <w:pPr>
        <w:spacing w:before="305" w:line="181" w:lineRule="auto"/>
        <w:ind w:left="229"/>
        <w:outlineLvl w:val="1"/>
        <w:rPr>
          <w:rFonts w:ascii="微软雅黑" w:hAnsi="微软雅黑" w:eastAsia="微软雅黑" w:cs="微软雅黑"/>
          <w:sz w:val="71"/>
          <w:szCs w:val="71"/>
        </w:rPr>
      </w:pPr>
      <w:r>
        <w:rPr>
          <w:rFonts w:ascii="微软雅黑" w:hAnsi="微软雅黑" w:eastAsia="微软雅黑" w:cs="微软雅黑"/>
          <w:spacing w:val="7"/>
          <w:sz w:val="71"/>
          <w:szCs w:val="71"/>
        </w:rPr>
        <w:t>建设项目环境影响报告表</w:t>
      </w:r>
    </w:p>
    <w:p w14:paraId="07EE0AD4">
      <w:pPr>
        <w:spacing w:before="332" w:line="227" w:lineRule="auto"/>
        <w:ind w:left="2541"/>
        <w:rPr>
          <w:rFonts w:ascii="楷体" w:hAnsi="楷体" w:eastAsia="楷体" w:cs="楷体"/>
          <w:sz w:val="47"/>
          <w:szCs w:val="47"/>
        </w:rPr>
      </w:pPr>
      <w:r>
        <w:rPr>
          <w:rFonts w:ascii="楷体" w:hAnsi="楷体" w:eastAsia="楷体" w:cs="楷体"/>
          <w:sz w:val="47"/>
          <w:szCs w:val="47"/>
        </w:rPr>
        <w:t>（污染影响类）</w:t>
      </w:r>
    </w:p>
    <w:p w14:paraId="340CE14B">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14:paraId="66350A21">
      <w:pPr>
        <w:pStyle w:val="2"/>
        <w:spacing w:line="245" w:lineRule="auto"/>
      </w:pPr>
    </w:p>
    <w:p w14:paraId="0C35650A">
      <w:pPr>
        <w:pStyle w:val="2"/>
        <w:spacing w:line="245" w:lineRule="auto"/>
      </w:pPr>
    </w:p>
    <w:p w14:paraId="02E99E8C">
      <w:pPr>
        <w:pStyle w:val="2"/>
        <w:spacing w:line="245" w:lineRule="auto"/>
      </w:pPr>
    </w:p>
    <w:p w14:paraId="5FD9A8D9">
      <w:pPr>
        <w:pStyle w:val="2"/>
        <w:spacing w:line="245" w:lineRule="auto"/>
      </w:pPr>
    </w:p>
    <w:p w14:paraId="784D06AC">
      <w:pPr>
        <w:pStyle w:val="2"/>
        <w:spacing w:line="245" w:lineRule="auto"/>
      </w:pPr>
    </w:p>
    <w:p w14:paraId="3F5D1326">
      <w:pPr>
        <w:pStyle w:val="2"/>
        <w:spacing w:line="245" w:lineRule="auto"/>
      </w:pPr>
    </w:p>
    <w:p w14:paraId="625B7791">
      <w:pPr>
        <w:pStyle w:val="2"/>
        <w:spacing w:line="245" w:lineRule="auto"/>
      </w:pPr>
    </w:p>
    <w:p w14:paraId="7F20E880">
      <w:pPr>
        <w:pStyle w:val="2"/>
        <w:spacing w:line="245" w:lineRule="auto"/>
      </w:pPr>
    </w:p>
    <w:p w14:paraId="06D1EB92">
      <w:pPr>
        <w:pStyle w:val="2"/>
        <w:spacing w:line="245" w:lineRule="auto"/>
      </w:pPr>
    </w:p>
    <w:p w14:paraId="381575DD">
      <w:pPr>
        <w:pStyle w:val="2"/>
        <w:spacing w:line="246" w:lineRule="auto"/>
      </w:pPr>
    </w:p>
    <w:p w14:paraId="73716FB4">
      <w:pPr>
        <w:pStyle w:val="2"/>
        <w:spacing w:line="246" w:lineRule="auto"/>
      </w:pPr>
    </w:p>
    <w:p w14:paraId="5B1310F0">
      <w:pPr>
        <w:pStyle w:val="2"/>
        <w:spacing w:line="246" w:lineRule="auto"/>
      </w:pPr>
    </w:p>
    <w:p w14:paraId="4A5A700A">
      <w:pPr>
        <w:pStyle w:val="2"/>
        <w:spacing w:line="246" w:lineRule="auto"/>
      </w:pPr>
    </w:p>
    <w:p w14:paraId="4549DD07">
      <w:pPr>
        <w:pStyle w:val="2"/>
        <w:spacing w:line="246" w:lineRule="auto"/>
      </w:pPr>
    </w:p>
    <w:p w14:paraId="66235D78">
      <w:pPr>
        <w:pStyle w:val="2"/>
        <w:spacing w:line="246" w:lineRule="auto"/>
      </w:pPr>
    </w:p>
    <w:p w14:paraId="7E6DA89A">
      <w:pPr>
        <w:pStyle w:val="2"/>
        <w:spacing w:line="246" w:lineRule="auto"/>
      </w:pPr>
    </w:p>
    <w:p w14:paraId="4231AD5E">
      <w:pPr>
        <w:spacing w:before="101" w:line="226" w:lineRule="auto"/>
        <w:ind w:left="706"/>
        <w:rPr>
          <w:rFonts w:ascii="仿宋" w:hAnsi="仿宋" w:eastAsia="仿宋" w:cs="仿宋"/>
          <w:sz w:val="31"/>
          <w:szCs w:val="31"/>
        </w:rPr>
      </w:pPr>
      <w:r>
        <w:rPr>
          <w:rFonts w:ascii="仿宋" w:hAnsi="仿宋" w:eastAsia="仿宋" w:cs="仿宋"/>
          <w:b/>
          <w:bCs/>
          <w:spacing w:val="-26"/>
          <w:sz w:val="31"/>
          <w:szCs w:val="31"/>
        </w:rPr>
        <w:t>项</w:t>
      </w:r>
      <w:r>
        <w:rPr>
          <w:rFonts w:ascii="仿宋" w:hAnsi="仿宋" w:eastAsia="仿宋" w:cs="仿宋"/>
          <w:spacing w:val="-26"/>
          <w:sz w:val="31"/>
          <w:szCs w:val="31"/>
        </w:rPr>
        <w:t xml:space="preserve"> </w:t>
      </w:r>
      <w:r>
        <w:rPr>
          <w:rFonts w:ascii="仿宋" w:hAnsi="仿宋" w:eastAsia="仿宋" w:cs="仿宋"/>
          <w:b/>
          <w:bCs/>
          <w:spacing w:val="-26"/>
          <w:sz w:val="31"/>
          <w:szCs w:val="31"/>
        </w:rPr>
        <w:t>目</w:t>
      </w:r>
      <w:r>
        <w:rPr>
          <w:rFonts w:ascii="仿宋" w:hAnsi="仿宋" w:eastAsia="仿宋" w:cs="仿宋"/>
          <w:spacing w:val="-62"/>
          <w:sz w:val="31"/>
          <w:szCs w:val="31"/>
        </w:rPr>
        <w:t xml:space="preserve"> </w:t>
      </w:r>
      <w:r>
        <w:rPr>
          <w:rFonts w:ascii="仿宋" w:hAnsi="仿宋" w:eastAsia="仿宋" w:cs="仿宋"/>
          <w:b/>
          <w:bCs/>
          <w:spacing w:val="-26"/>
          <w:sz w:val="31"/>
          <w:szCs w:val="31"/>
        </w:rPr>
        <w:t>名</w:t>
      </w:r>
      <w:r>
        <w:rPr>
          <w:rFonts w:ascii="仿宋" w:hAnsi="仿宋" w:eastAsia="仿宋" w:cs="仿宋"/>
          <w:spacing w:val="-72"/>
          <w:sz w:val="31"/>
          <w:szCs w:val="31"/>
        </w:rPr>
        <w:t xml:space="preserve"> </w:t>
      </w:r>
      <w:r>
        <w:rPr>
          <w:rFonts w:ascii="仿宋" w:hAnsi="仿宋" w:eastAsia="仿宋" w:cs="仿宋"/>
          <w:b/>
          <w:bCs/>
          <w:spacing w:val="-26"/>
          <w:sz w:val="31"/>
          <w:szCs w:val="31"/>
        </w:rPr>
        <w:t>称</w:t>
      </w:r>
      <w:r>
        <w:rPr>
          <w:rFonts w:ascii="仿宋" w:hAnsi="仿宋" w:eastAsia="仿宋" w:cs="仿宋"/>
          <w:spacing w:val="-47"/>
          <w:sz w:val="31"/>
          <w:szCs w:val="31"/>
        </w:rPr>
        <w:t xml:space="preserve"> </w:t>
      </w:r>
      <w:r>
        <w:rPr>
          <w:rFonts w:ascii="仿宋" w:hAnsi="仿宋" w:eastAsia="仿宋" w:cs="仿宋"/>
          <w:b/>
          <w:bCs/>
          <w:spacing w:val="-26"/>
          <w:sz w:val="31"/>
          <w:szCs w:val="31"/>
        </w:rPr>
        <w:t>：</w:t>
      </w:r>
      <w:r>
        <w:rPr>
          <w:rFonts w:ascii="仿宋" w:hAnsi="仿宋" w:eastAsia="仿宋" w:cs="仿宋"/>
          <w:spacing w:val="28"/>
          <w:sz w:val="31"/>
          <w:szCs w:val="31"/>
        </w:rPr>
        <w:t xml:space="preserve">  </w:t>
      </w:r>
      <w:r>
        <w:rPr>
          <w:rFonts w:ascii="仿宋" w:hAnsi="仿宋" w:eastAsia="仿宋" w:cs="仿宋"/>
          <w:spacing w:val="-26"/>
          <w:sz w:val="31"/>
          <w:szCs w:val="31"/>
          <w:u w:val="single" w:color="auto"/>
        </w:rPr>
        <w:t xml:space="preserve">     </w:t>
      </w:r>
      <w:r>
        <w:rPr>
          <w:rFonts w:ascii="仿宋" w:hAnsi="仿宋" w:eastAsia="仿宋" w:cs="仿宋"/>
          <w:b/>
          <w:bCs/>
          <w:spacing w:val="-26"/>
          <w:sz w:val="31"/>
          <w:szCs w:val="31"/>
          <w:u w:val="single" w:color="auto"/>
        </w:rPr>
        <w:t>绿色节能环保建材产业化项目</w:t>
      </w:r>
      <w:r>
        <w:rPr>
          <w:rFonts w:ascii="仿宋" w:hAnsi="仿宋" w:eastAsia="仿宋" w:cs="仿宋"/>
          <w:sz w:val="31"/>
          <w:szCs w:val="31"/>
          <w:u w:val="single" w:color="auto"/>
        </w:rPr>
        <w:t xml:space="preserve">   </w:t>
      </w:r>
    </w:p>
    <w:p w14:paraId="65FB1D3A">
      <w:pPr>
        <w:pStyle w:val="2"/>
        <w:spacing w:line="454" w:lineRule="auto"/>
      </w:pPr>
    </w:p>
    <w:p w14:paraId="317645DE">
      <w:pPr>
        <w:spacing w:before="100" w:line="218" w:lineRule="auto"/>
        <w:ind w:left="759"/>
        <w:rPr>
          <w:rFonts w:ascii="仿宋" w:hAnsi="仿宋" w:eastAsia="仿宋" w:cs="仿宋"/>
          <w:sz w:val="31"/>
          <w:szCs w:val="31"/>
        </w:rPr>
      </w:pPr>
      <w:r>
        <w:rPr>
          <w:rFonts w:ascii="仿宋" w:hAnsi="仿宋" w:eastAsia="仿宋" w:cs="仿宋"/>
          <w:b/>
          <w:bCs/>
          <w:spacing w:val="-25"/>
          <w:sz w:val="31"/>
          <w:szCs w:val="31"/>
        </w:rPr>
        <w:t>建设单位</w:t>
      </w:r>
      <w:r>
        <w:rPr>
          <w:rFonts w:ascii="Times New Roman" w:hAnsi="Times New Roman" w:eastAsia="Times New Roman" w:cs="Times New Roman"/>
          <w:b/>
          <w:bCs/>
          <w:spacing w:val="-25"/>
          <w:sz w:val="31"/>
          <w:szCs w:val="31"/>
        </w:rPr>
        <w:t>(</w:t>
      </w:r>
      <w:r>
        <w:rPr>
          <w:rFonts w:ascii="仿宋" w:hAnsi="仿宋" w:eastAsia="仿宋" w:cs="仿宋"/>
          <w:b/>
          <w:bCs/>
          <w:spacing w:val="-25"/>
          <w:sz w:val="31"/>
          <w:szCs w:val="31"/>
        </w:rPr>
        <w:t>盖章</w:t>
      </w:r>
      <w:r>
        <w:rPr>
          <w:rFonts w:ascii="Times New Roman" w:hAnsi="Times New Roman" w:eastAsia="Times New Roman" w:cs="Times New Roman"/>
          <w:b/>
          <w:bCs/>
          <w:spacing w:val="-25"/>
          <w:sz w:val="31"/>
          <w:szCs w:val="31"/>
        </w:rPr>
        <w:t xml:space="preserve">):    </w:t>
      </w:r>
      <w:r>
        <w:rPr>
          <w:rFonts w:ascii="仿宋" w:hAnsi="仿宋" w:eastAsia="仿宋" w:cs="仿宋"/>
          <w:b/>
          <w:bCs/>
          <w:spacing w:val="25"/>
          <w:sz w:val="31"/>
          <w:szCs w:val="31"/>
          <w:u w:val="single" w:color="auto"/>
        </w:rPr>
        <w:t xml:space="preserve">    </w:t>
      </w:r>
      <w:r>
        <w:rPr>
          <w:rFonts w:ascii="仿宋" w:hAnsi="仿宋" w:eastAsia="仿宋" w:cs="仿宋"/>
          <w:b/>
          <w:bCs/>
          <w:spacing w:val="-25"/>
          <w:sz w:val="31"/>
          <w:szCs w:val="31"/>
          <w:u w:val="single" w:color="auto"/>
        </w:rPr>
        <w:t>四川鸿丙节能建材有限公司</w:t>
      </w:r>
      <w:r>
        <w:rPr>
          <w:rFonts w:ascii="仿宋" w:hAnsi="仿宋" w:eastAsia="仿宋" w:cs="仿宋"/>
          <w:spacing w:val="-25"/>
          <w:sz w:val="31"/>
          <w:szCs w:val="31"/>
          <w:u w:val="single" w:color="auto"/>
        </w:rPr>
        <w:t xml:space="preserve">     </w:t>
      </w:r>
    </w:p>
    <w:p w14:paraId="511104AC">
      <w:pPr>
        <w:pStyle w:val="2"/>
        <w:spacing w:line="471" w:lineRule="auto"/>
      </w:pPr>
    </w:p>
    <w:p w14:paraId="3DC962BF">
      <w:pPr>
        <w:spacing w:before="101" w:line="227" w:lineRule="auto"/>
        <w:ind w:left="707"/>
        <w:rPr>
          <w:rFonts w:ascii="仿宋" w:hAnsi="仿宋" w:eastAsia="仿宋" w:cs="仿宋"/>
          <w:sz w:val="31"/>
          <w:szCs w:val="31"/>
        </w:rPr>
      </w:pPr>
      <w:r>
        <w:rPr>
          <w:rFonts w:ascii="仿宋" w:hAnsi="仿宋" w:eastAsia="仿宋" w:cs="仿宋"/>
          <w:b/>
          <w:bCs/>
          <w:spacing w:val="-13"/>
          <w:sz w:val="31"/>
          <w:szCs w:val="31"/>
        </w:rPr>
        <w:t>编</w:t>
      </w:r>
      <w:r>
        <w:rPr>
          <w:rFonts w:ascii="仿宋" w:hAnsi="仿宋" w:eastAsia="仿宋" w:cs="仿宋"/>
          <w:spacing w:val="-65"/>
          <w:sz w:val="31"/>
          <w:szCs w:val="31"/>
        </w:rPr>
        <w:t xml:space="preserve"> </w:t>
      </w:r>
      <w:r>
        <w:rPr>
          <w:rFonts w:ascii="仿宋" w:hAnsi="仿宋" w:eastAsia="仿宋" w:cs="仿宋"/>
          <w:b/>
          <w:bCs/>
          <w:spacing w:val="-13"/>
          <w:sz w:val="31"/>
          <w:szCs w:val="31"/>
        </w:rPr>
        <w:t>制</w:t>
      </w:r>
      <w:r>
        <w:rPr>
          <w:rFonts w:ascii="仿宋" w:hAnsi="仿宋" w:eastAsia="仿宋" w:cs="仿宋"/>
          <w:spacing w:val="-13"/>
          <w:sz w:val="31"/>
          <w:szCs w:val="31"/>
        </w:rPr>
        <w:t xml:space="preserve"> </w:t>
      </w:r>
      <w:r>
        <w:rPr>
          <w:rFonts w:ascii="仿宋" w:hAnsi="仿宋" w:eastAsia="仿宋" w:cs="仿宋"/>
          <w:b/>
          <w:bCs/>
          <w:spacing w:val="-13"/>
          <w:sz w:val="31"/>
          <w:szCs w:val="31"/>
        </w:rPr>
        <w:t>日</w:t>
      </w:r>
      <w:r>
        <w:rPr>
          <w:rFonts w:ascii="仿宋" w:hAnsi="仿宋" w:eastAsia="仿宋" w:cs="仿宋"/>
          <w:spacing w:val="-71"/>
          <w:sz w:val="31"/>
          <w:szCs w:val="31"/>
        </w:rPr>
        <w:t xml:space="preserve"> </w:t>
      </w:r>
      <w:r>
        <w:rPr>
          <w:rFonts w:ascii="仿宋" w:hAnsi="仿宋" w:eastAsia="仿宋" w:cs="仿宋"/>
          <w:b/>
          <w:bCs/>
          <w:spacing w:val="-13"/>
          <w:sz w:val="31"/>
          <w:szCs w:val="31"/>
        </w:rPr>
        <w:t>期</w:t>
      </w:r>
      <w:r>
        <w:rPr>
          <w:rFonts w:ascii="仿宋" w:hAnsi="仿宋" w:eastAsia="仿宋" w:cs="仿宋"/>
          <w:spacing w:val="-50"/>
          <w:sz w:val="31"/>
          <w:szCs w:val="31"/>
        </w:rPr>
        <w:t xml:space="preserve"> </w:t>
      </w:r>
      <w:r>
        <w:rPr>
          <w:rFonts w:ascii="仿宋" w:hAnsi="仿宋" w:eastAsia="仿宋" w:cs="仿宋"/>
          <w:b/>
          <w:bCs/>
          <w:spacing w:val="-13"/>
          <w:sz w:val="31"/>
          <w:szCs w:val="31"/>
        </w:rPr>
        <w:t>：</w:t>
      </w:r>
      <w:r>
        <w:rPr>
          <w:rFonts w:ascii="仿宋" w:hAnsi="仿宋" w:eastAsia="仿宋" w:cs="仿宋"/>
          <w:spacing w:val="29"/>
          <w:sz w:val="31"/>
          <w:szCs w:val="31"/>
        </w:rPr>
        <w:t xml:space="preserve">  </w:t>
      </w:r>
      <w:r>
        <w:rPr>
          <w:rFonts w:ascii="仿宋" w:hAnsi="仿宋" w:eastAsia="仿宋" w:cs="仿宋"/>
          <w:spacing w:val="9"/>
          <w:sz w:val="31"/>
          <w:szCs w:val="31"/>
          <w:u w:val="single" w:color="auto"/>
        </w:rPr>
        <w:t xml:space="preserve">       </w:t>
      </w:r>
      <w:r>
        <w:rPr>
          <w:rFonts w:ascii="仿宋" w:hAnsi="仿宋" w:eastAsia="仿宋" w:cs="仿宋"/>
          <w:b/>
          <w:bCs/>
          <w:spacing w:val="-13"/>
          <w:sz w:val="31"/>
          <w:szCs w:val="31"/>
          <w:u w:val="single" w:color="auto"/>
        </w:rPr>
        <w:t>二〇二四年七月</w:t>
      </w:r>
      <w:r>
        <w:rPr>
          <w:rFonts w:ascii="仿宋" w:hAnsi="仿宋" w:eastAsia="仿宋" w:cs="仿宋"/>
          <w:sz w:val="31"/>
          <w:szCs w:val="31"/>
          <w:u w:val="single" w:color="auto"/>
        </w:rPr>
        <w:t xml:space="preserve">          </w:t>
      </w:r>
    </w:p>
    <w:p w14:paraId="57E88529">
      <w:pPr>
        <w:pStyle w:val="2"/>
        <w:spacing w:line="246" w:lineRule="auto"/>
      </w:pPr>
    </w:p>
    <w:p w14:paraId="6ED07F1A">
      <w:pPr>
        <w:pStyle w:val="2"/>
        <w:spacing w:line="246" w:lineRule="auto"/>
      </w:pPr>
    </w:p>
    <w:p w14:paraId="303C713A">
      <w:pPr>
        <w:pStyle w:val="2"/>
        <w:spacing w:line="246" w:lineRule="auto"/>
      </w:pPr>
    </w:p>
    <w:p w14:paraId="0A250A3E">
      <w:pPr>
        <w:pStyle w:val="2"/>
        <w:spacing w:line="247" w:lineRule="auto"/>
      </w:pPr>
    </w:p>
    <w:p w14:paraId="390BAAD5">
      <w:pPr>
        <w:pStyle w:val="2"/>
        <w:spacing w:line="247" w:lineRule="auto"/>
      </w:pPr>
    </w:p>
    <w:p w14:paraId="08ED08DE">
      <w:pPr>
        <w:pStyle w:val="2"/>
        <w:spacing w:line="247" w:lineRule="auto"/>
      </w:pPr>
    </w:p>
    <w:p w14:paraId="1A04DB46">
      <w:pPr>
        <w:pStyle w:val="2"/>
        <w:spacing w:line="247" w:lineRule="auto"/>
      </w:pPr>
    </w:p>
    <w:p w14:paraId="450B7E81">
      <w:pPr>
        <w:pStyle w:val="2"/>
        <w:spacing w:line="247" w:lineRule="auto"/>
      </w:pPr>
    </w:p>
    <w:p w14:paraId="60190108">
      <w:pPr>
        <w:pStyle w:val="2"/>
        <w:spacing w:line="247" w:lineRule="auto"/>
      </w:pPr>
    </w:p>
    <w:p w14:paraId="35F46D65">
      <w:pPr>
        <w:spacing w:before="115"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14:paraId="13915EB7">
      <w:pPr>
        <w:spacing w:line="230" w:lineRule="auto"/>
        <w:rPr>
          <w:rFonts w:ascii="楷体" w:hAnsi="楷体" w:eastAsia="楷体" w:cs="楷体"/>
          <w:sz w:val="35"/>
          <w:szCs w:val="35"/>
        </w:rPr>
        <w:sectPr>
          <w:pgSz w:w="11906" w:h="16839"/>
          <w:pgMar w:top="1431" w:right="1785" w:bottom="0" w:left="1785" w:header="0" w:footer="0" w:gutter="0"/>
          <w:cols w:space="720" w:num="1"/>
        </w:sectPr>
      </w:pPr>
    </w:p>
    <w:p w14:paraId="1D7762CD">
      <w:pPr>
        <w:spacing w:before="315" w:line="222" w:lineRule="auto"/>
        <w:ind w:left="2960"/>
        <w:outlineLvl w:val="1"/>
        <w:rPr>
          <w:rFonts w:ascii="黑体" w:hAnsi="黑体" w:eastAsia="黑体" w:cs="黑体"/>
          <w:sz w:val="30"/>
          <w:szCs w:val="30"/>
        </w:rPr>
      </w:pPr>
      <w:r>
        <w:pict>
          <v:shape id="_x0000_s1026" o:spid="_x0000_s1026" style="position:absolute;left:0pt;margin-left:101.1pt;margin-top:38pt;height:640.75pt;width:0.5pt;z-index:251659264;mso-width-relative:page;mso-height-relative:page;" filled="f" stroked="t" coordsize="10,12815" path="m4,0l4,12814e">
            <v:fill on="f" focussize="0,0"/>
            <v:stroke weight="0.48pt" color="#000000" miterlimit="2" joinstyle="bevel"/>
            <v:imagedata o:title=""/>
            <o:lock v:ext="edit"/>
          </v:shape>
        </w:pict>
      </w:r>
      <w:r>
        <w:rPr>
          <w:rFonts w:ascii="黑体" w:hAnsi="黑体" w:eastAsia="黑体" w:cs="黑体"/>
          <w:spacing w:val="-2"/>
          <w:sz w:val="30"/>
          <w:szCs w:val="30"/>
        </w:rPr>
        <w:t>一、建设项目基本情况</w:t>
      </w:r>
    </w:p>
    <w:p w14:paraId="69273E0A">
      <w:pPr>
        <w:spacing w:line="60" w:lineRule="exact"/>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262"/>
        <w:gridCol w:w="2248"/>
        <w:gridCol w:w="1817"/>
        <w:gridCol w:w="2789"/>
      </w:tblGrid>
      <w:tr w14:paraId="2AAA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74" w:type="dxa"/>
            <w:gridSpan w:val="5"/>
            <w:tcBorders>
              <w:top w:val="single" w:color="000000" w:sz="6" w:space="0"/>
              <w:left w:val="single" w:color="000000" w:sz="6" w:space="0"/>
              <w:right w:val="single" w:color="000000" w:sz="6" w:space="0"/>
            </w:tcBorders>
            <w:vAlign w:val="top"/>
          </w:tcPr>
          <w:p w14:paraId="4B4395EE">
            <w:pPr>
              <w:pStyle w:val="6"/>
              <w:spacing w:before="158" w:line="219" w:lineRule="auto"/>
              <w:ind w:left="352"/>
            </w:pPr>
            <w:r>
              <w:rPr>
                <w:spacing w:val="1"/>
              </w:rPr>
              <w:t xml:space="preserve">建设项目名称               </w:t>
            </w:r>
            <w:r>
              <w:t xml:space="preserve">      绿色节能环保建材产业化项目</w:t>
            </w:r>
          </w:p>
        </w:tc>
      </w:tr>
      <w:tr w14:paraId="51D0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6ACC8AE2">
            <w:pPr>
              <w:pStyle w:val="6"/>
              <w:spacing w:before="154" w:line="220" w:lineRule="auto"/>
              <w:ind w:left="571"/>
            </w:pPr>
            <w:r>
              <w:rPr>
                <w:spacing w:val="2"/>
              </w:rPr>
              <w:t>项目代码</w:t>
            </w:r>
            <w:r>
              <w:t xml:space="preserve">                       </w:t>
            </w:r>
            <w:r>
              <w:rPr>
                <w:spacing w:val="2"/>
              </w:rPr>
              <w:t>“</w:t>
            </w:r>
            <w:r>
              <w:rPr>
                <w:rFonts w:ascii="Times New Roman" w:hAnsi="Times New Roman" w:eastAsia="Times New Roman" w:cs="Times New Roman"/>
                <w:spacing w:val="2"/>
              </w:rPr>
              <w:t>2019-511702-30-03-406558</w:t>
            </w:r>
            <w:r>
              <w:rPr>
                <w:rFonts w:ascii="Times New Roman" w:hAnsi="Times New Roman" w:eastAsia="Times New Roman" w:cs="Times New Roman"/>
                <w:spacing w:val="-26"/>
              </w:rPr>
              <w:t xml:space="preserve"> </w:t>
            </w:r>
            <w:r>
              <w:rPr>
                <w:spacing w:val="2"/>
              </w:rPr>
              <w:t>”</w:t>
            </w:r>
          </w:p>
        </w:tc>
      </w:tr>
      <w:tr w14:paraId="027CE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408B4EAC">
            <w:pPr>
              <w:pStyle w:val="6"/>
              <w:spacing w:before="154" w:line="221" w:lineRule="auto"/>
              <w:ind w:left="242"/>
            </w:pPr>
            <w:r>
              <w:rPr>
                <w:spacing w:val="-5"/>
              </w:rPr>
              <w:t>建设单位联系人</w:t>
            </w:r>
            <w:r>
              <w:rPr>
                <w:spacing w:val="7"/>
              </w:rPr>
              <w:t xml:space="preserve">          </w:t>
            </w:r>
            <w:r>
              <w:rPr>
                <w:spacing w:val="-5"/>
              </w:rPr>
              <w:t>田宏</w:t>
            </w:r>
          </w:p>
        </w:tc>
        <w:tc>
          <w:tcPr>
            <w:tcW w:w="1817" w:type="dxa"/>
            <w:vAlign w:val="top"/>
          </w:tcPr>
          <w:p w14:paraId="376E8430">
            <w:pPr>
              <w:pStyle w:val="6"/>
              <w:spacing w:before="153" w:line="222" w:lineRule="auto"/>
              <w:ind w:left="477"/>
            </w:pPr>
            <w:r>
              <w:rPr>
                <w:spacing w:val="-3"/>
              </w:rPr>
              <w:t>联系方式</w:t>
            </w:r>
          </w:p>
        </w:tc>
        <w:tc>
          <w:tcPr>
            <w:tcW w:w="2789" w:type="dxa"/>
            <w:tcBorders>
              <w:right w:val="single" w:color="000000" w:sz="6" w:space="0"/>
            </w:tcBorders>
            <w:vAlign w:val="top"/>
          </w:tcPr>
          <w:p w14:paraId="59980E4A">
            <w:pPr>
              <w:spacing w:before="192" w:line="189" w:lineRule="auto"/>
              <w:ind w:left="810"/>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13709663428</w:t>
            </w:r>
          </w:p>
        </w:tc>
      </w:tr>
      <w:tr w14:paraId="13339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7441735F">
            <w:pPr>
              <w:pStyle w:val="6"/>
              <w:spacing w:before="152" w:line="219" w:lineRule="auto"/>
              <w:ind w:left="571"/>
            </w:pPr>
            <w:r>
              <w:rPr>
                <w:spacing w:val="-3"/>
              </w:rPr>
              <w:t xml:space="preserve">建设地点                </w:t>
            </w:r>
            <w:r>
              <w:rPr>
                <w:spacing w:val="15"/>
                <w:u w:val="single" w:color="auto"/>
              </w:rPr>
              <w:t xml:space="preserve">  </w:t>
            </w:r>
            <w:r>
              <w:rPr>
                <w:spacing w:val="-3"/>
                <w:u w:val="single" w:color="auto"/>
              </w:rPr>
              <w:t xml:space="preserve">四川 </w:t>
            </w:r>
            <w:r>
              <w:rPr>
                <w:spacing w:val="-3"/>
              </w:rPr>
              <w:t>省</w:t>
            </w:r>
            <w:r>
              <w:rPr>
                <w:spacing w:val="-3"/>
                <w:u w:val="single" w:color="auto"/>
              </w:rPr>
              <w:t xml:space="preserve"> 达州</w:t>
            </w:r>
            <w:r>
              <w:rPr>
                <w:spacing w:val="-3"/>
              </w:rPr>
              <w:t>市</w:t>
            </w:r>
            <w:r>
              <w:rPr>
                <w:spacing w:val="-3"/>
                <w:u w:val="single" w:color="auto"/>
              </w:rPr>
              <w:t xml:space="preserve"> 通川</w:t>
            </w:r>
            <w:r>
              <w:rPr>
                <w:spacing w:val="24"/>
                <w:u w:val="single" w:color="auto"/>
              </w:rPr>
              <w:t xml:space="preserve"> </w:t>
            </w:r>
            <w:r>
              <w:rPr>
                <w:spacing w:val="-3"/>
              </w:rPr>
              <w:t>区</w:t>
            </w:r>
            <w:r>
              <w:t xml:space="preserve"> </w:t>
            </w:r>
            <w:r>
              <w:rPr>
                <w:spacing w:val="17"/>
                <w:u w:val="single" w:color="auto"/>
              </w:rPr>
              <w:t xml:space="preserve"> </w:t>
            </w:r>
            <w:r>
              <w:rPr>
                <w:spacing w:val="-3"/>
                <w:u w:val="single" w:color="auto"/>
              </w:rPr>
              <w:t>东岳</w:t>
            </w:r>
            <w:r>
              <w:rPr>
                <w:spacing w:val="6"/>
                <w:u w:val="single" w:color="auto"/>
              </w:rPr>
              <w:t xml:space="preserve"> </w:t>
            </w:r>
            <w:r>
              <w:rPr>
                <w:spacing w:val="-4"/>
              </w:rPr>
              <w:t>镇</w:t>
            </w:r>
            <w:r>
              <w:rPr>
                <w:spacing w:val="8"/>
              </w:rPr>
              <w:t xml:space="preserve"> </w:t>
            </w:r>
            <w:r>
              <w:rPr>
                <w:spacing w:val="-4"/>
                <w:u w:val="single" w:color="auto"/>
              </w:rPr>
              <w:t>有力</w:t>
            </w:r>
            <w:r>
              <w:rPr>
                <w:spacing w:val="9"/>
              </w:rPr>
              <w:t xml:space="preserve"> </w:t>
            </w:r>
            <w:r>
              <w:rPr>
                <w:spacing w:val="-4"/>
              </w:rPr>
              <w:t>村</w:t>
            </w:r>
          </w:p>
        </w:tc>
      </w:tr>
      <w:tr w14:paraId="0032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0F3CAC16">
            <w:pPr>
              <w:pStyle w:val="6"/>
              <w:spacing w:before="152" w:line="221" w:lineRule="auto"/>
              <w:ind w:left="568"/>
            </w:pPr>
            <w:r>
              <w:rPr>
                <w:spacing w:val="-3"/>
              </w:rPr>
              <w:t>地理坐标           （</w:t>
            </w:r>
            <w:r>
              <w:rPr>
                <w:spacing w:val="-79"/>
              </w:rPr>
              <w:t xml:space="preserve"> </w:t>
            </w:r>
            <w:r>
              <w:rPr>
                <w:rFonts w:ascii="Times New Roman" w:hAnsi="Times New Roman" w:eastAsia="Times New Roman" w:cs="Times New Roman"/>
                <w:spacing w:val="-3"/>
                <w:u w:val="single" w:color="auto"/>
              </w:rPr>
              <w:t xml:space="preserve">     1</w:t>
            </w:r>
            <w:r>
              <w:rPr>
                <w:rFonts w:ascii="Times New Roman" w:hAnsi="Times New Roman" w:eastAsia="Times New Roman" w:cs="Times New Roman"/>
                <w:spacing w:val="-4"/>
                <w:u w:val="single" w:color="auto"/>
              </w:rPr>
              <w:t xml:space="preserve">07  </w:t>
            </w:r>
            <w:r>
              <w:rPr>
                <w:spacing w:val="-4"/>
              </w:rPr>
              <w:t>度</w:t>
            </w:r>
            <w:r>
              <w:rPr>
                <w:rFonts w:ascii="Times New Roman" w:hAnsi="Times New Roman" w:eastAsia="Times New Roman" w:cs="Times New Roman"/>
                <w:spacing w:val="-4"/>
                <w:u w:val="single" w:color="auto"/>
              </w:rPr>
              <w:t xml:space="preserve">  28  </w:t>
            </w:r>
            <w:r>
              <w:rPr>
                <w:spacing w:val="-4"/>
              </w:rPr>
              <w:t>分</w:t>
            </w:r>
            <w:r>
              <w:rPr>
                <w:rFonts w:ascii="Times New Roman" w:hAnsi="Times New Roman" w:eastAsia="Times New Roman" w:cs="Times New Roman"/>
                <w:spacing w:val="-4"/>
                <w:u w:val="single" w:color="auto"/>
              </w:rPr>
              <w:t xml:space="preserve">  54.585</w:t>
            </w:r>
            <w:r>
              <w:rPr>
                <w:rFonts w:ascii="Times New Roman" w:hAnsi="Times New Roman" w:eastAsia="Times New Roman" w:cs="Times New Roman"/>
                <w:spacing w:val="3"/>
                <w:u w:val="single" w:color="auto"/>
              </w:rPr>
              <w:t xml:space="preserve">  </w:t>
            </w:r>
            <w:r>
              <w:rPr>
                <w:spacing w:val="-4"/>
              </w:rPr>
              <w:t>秒，</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4"/>
                <w:u w:val="single" w:color="auto"/>
              </w:rPr>
              <w:t>31</w:t>
            </w:r>
            <w:r>
              <w:rPr>
                <w:rFonts w:ascii="Times New Roman" w:hAnsi="Times New Roman" w:eastAsia="Times New Roman" w:cs="Times New Roman"/>
                <w:spacing w:val="4"/>
                <w:u w:val="single" w:color="auto"/>
              </w:rPr>
              <w:t xml:space="preserve">  </w:t>
            </w:r>
            <w:r>
              <w:rPr>
                <w:spacing w:val="-4"/>
              </w:rPr>
              <w:t>度</w:t>
            </w:r>
            <w:r>
              <w:rPr>
                <w:rFonts w:ascii="Times New Roman" w:hAnsi="Times New Roman" w:eastAsia="Times New Roman" w:cs="Times New Roman"/>
                <w:spacing w:val="-4"/>
                <w:u w:val="single" w:color="auto"/>
              </w:rPr>
              <w:t xml:space="preserve">   19  </w:t>
            </w:r>
            <w:r>
              <w:rPr>
                <w:spacing w:val="-4"/>
              </w:rPr>
              <w:t>分</w:t>
            </w:r>
            <w:r>
              <w:rPr>
                <w:rFonts w:ascii="Times New Roman" w:hAnsi="Times New Roman" w:eastAsia="Times New Roman" w:cs="Times New Roman"/>
                <w:spacing w:val="-4"/>
                <w:u w:val="single" w:color="auto"/>
              </w:rPr>
              <w:t xml:space="preserve">   17.036  </w:t>
            </w:r>
            <w:r>
              <w:rPr>
                <w:spacing w:val="-4"/>
              </w:rPr>
              <w:t>秒）</w:t>
            </w:r>
          </w:p>
        </w:tc>
      </w:tr>
      <w:tr w14:paraId="64B02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758" w:type="dxa"/>
            <w:tcBorders>
              <w:left w:val="single" w:color="000000" w:sz="6" w:space="0"/>
              <w:right w:val="nil"/>
            </w:tcBorders>
            <w:vAlign w:val="top"/>
          </w:tcPr>
          <w:p w14:paraId="307EF348">
            <w:pPr>
              <w:pStyle w:val="6"/>
              <w:spacing w:before="190" w:line="229" w:lineRule="auto"/>
              <w:ind w:left="571" w:right="309" w:firstLine="18"/>
            </w:pPr>
            <w:r>
              <w:rPr>
                <w:spacing w:val="-8"/>
              </w:rPr>
              <w:t>国民经济</w:t>
            </w:r>
            <w:r>
              <w:rPr>
                <w:spacing w:val="1"/>
              </w:rPr>
              <w:t xml:space="preserve"> </w:t>
            </w:r>
            <w:r>
              <w:rPr>
                <w:spacing w:val="-3"/>
              </w:rPr>
              <w:t>行业类别</w:t>
            </w:r>
          </w:p>
        </w:tc>
        <w:tc>
          <w:tcPr>
            <w:tcW w:w="2510" w:type="dxa"/>
            <w:gridSpan w:val="2"/>
            <w:tcBorders>
              <w:left w:val="nil"/>
            </w:tcBorders>
            <w:vAlign w:val="top"/>
          </w:tcPr>
          <w:p w14:paraId="40A7C6EA">
            <w:pPr>
              <w:pStyle w:val="6"/>
              <w:spacing w:before="49" w:line="220" w:lineRule="auto"/>
              <w:ind w:right="33"/>
              <w:jc w:val="right"/>
            </w:pPr>
            <w:r>
              <w:rPr>
                <w:rFonts w:ascii="Times New Roman" w:hAnsi="Times New Roman" w:eastAsia="Times New Roman" w:cs="Times New Roman"/>
                <w:spacing w:val="-1"/>
              </w:rPr>
              <w:t xml:space="preserve">C3031 </w:t>
            </w:r>
            <w:r>
              <w:rPr>
                <w:spacing w:val="-1"/>
              </w:rPr>
              <w:t>粘土砖瓦及建筑</w:t>
            </w:r>
          </w:p>
          <w:p w14:paraId="31F8B04E">
            <w:pPr>
              <w:pStyle w:val="6"/>
              <w:spacing w:before="20" w:line="221" w:lineRule="auto"/>
              <w:ind w:right="33"/>
              <w:jc w:val="right"/>
            </w:pPr>
            <w:r>
              <w:rPr>
                <w:spacing w:val="-1"/>
              </w:rPr>
              <w:t>砌块制造；</w:t>
            </w:r>
            <w:r>
              <w:rPr>
                <w:rFonts w:ascii="Times New Roman" w:hAnsi="Times New Roman" w:eastAsia="Times New Roman" w:cs="Times New Roman"/>
                <w:spacing w:val="-1"/>
              </w:rPr>
              <w:t xml:space="preserve">C3039 </w:t>
            </w:r>
            <w:r>
              <w:rPr>
                <w:spacing w:val="-1"/>
              </w:rPr>
              <w:t>其他</w:t>
            </w:r>
          </w:p>
          <w:p w14:paraId="5B1E13B4">
            <w:pPr>
              <w:pStyle w:val="6"/>
              <w:spacing w:before="22" w:line="208" w:lineRule="auto"/>
              <w:ind w:left="625"/>
            </w:pPr>
            <w:r>
              <w:rPr>
                <w:spacing w:val="-2"/>
              </w:rPr>
              <w:t>建筑材料制造业</w:t>
            </w:r>
          </w:p>
        </w:tc>
        <w:tc>
          <w:tcPr>
            <w:tcW w:w="1817" w:type="dxa"/>
            <w:vAlign w:val="top"/>
          </w:tcPr>
          <w:p w14:paraId="3E083CE7">
            <w:pPr>
              <w:pStyle w:val="6"/>
              <w:spacing w:before="190" w:line="229" w:lineRule="auto"/>
              <w:ind w:left="479" w:right="463"/>
            </w:pPr>
            <w:r>
              <w:rPr>
                <w:spacing w:val="-3"/>
              </w:rPr>
              <w:t>建设项目</w:t>
            </w:r>
            <w:r>
              <w:t xml:space="preserve"> </w:t>
            </w:r>
            <w:r>
              <w:rPr>
                <w:spacing w:val="-3"/>
              </w:rPr>
              <w:t>行业类别</w:t>
            </w:r>
          </w:p>
        </w:tc>
        <w:tc>
          <w:tcPr>
            <w:tcW w:w="2789" w:type="dxa"/>
            <w:tcBorders>
              <w:right w:val="single" w:color="000000" w:sz="6" w:space="0"/>
            </w:tcBorders>
            <w:vAlign w:val="top"/>
          </w:tcPr>
          <w:p w14:paraId="0EF30B60">
            <w:pPr>
              <w:pStyle w:val="6"/>
              <w:spacing w:before="50" w:line="228" w:lineRule="auto"/>
              <w:ind w:firstLine="4"/>
              <w:jc w:val="both"/>
            </w:pPr>
            <w:r>
              <w:rPr>
                <w:spacing w:val="11"/>
              </w:rPr>
              <w:t>二十七、非金属矿物制品业</w:t>
            </w:r>
            <w:r>
              <w:rPr>
                <w:spacing w:val="1"/>
              </w:rPr>
              <w:t xml:space="preserve"> </w:t>
            </w:r>
            <w:r>
              <w:rPr>
                <w:spacing w:val="2"/>
              </w:rPr>
              <w:t>56 砖瓦、石材等建筑材料制</w:t>
            </w:r>
            <w:r>
              <w:t xml:space="preserve"> </w:t>
            </w:r>
            <w:r>
              <w:rPr>
                <w:spacing w:val="-6"/>
              </w:rPr>
              <w:t>造</w:t>
            </w:r>
            <w:r>
              <w:rPr>
                <w:spacing w:val="-41"/>
              </w:rPr>
              <w:t xml:space="preserve"> </w:t>
            </w:r>
            <w:r>
              <w:rPr>
                <w:spacing w:val="-6"/>
              </w:rPr>
              <w:t>303</w:t>
            </w:r>
          </w:p>
        </w:tc>
      </w:tr>
      <w:tr w14:paraId="643EA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758" w:type="dxa"/>
            <w:tcBorders>
              <w:left w:val="single" w:color="000000" w:sz="6" w:space="0"/>
              <w:right w:val="nil"/>
            </w:tcBorders>
            <w:vAlign w:val="top"/>
          </w:tcPr>
          <w:p w14:paraId="52DFA0A2">
            <w:pPr>
              <w:spacing w:line="440" w:lineRule="auto"/>
              <w:rPr>
                <w:rFonts w:ascii="Arial"/>
                <w:sz w:val="21"/>
              </w:rPr>
            </w:pPr>
          </w:p>
          <w:p w14:paraId="59EC6F26">
            <w:pPr>
              <w:pStyle w:val="6"/>
              <w:spacing w:before="71" w:line="221" w:lineRule="auto"/>
              <w:ind w:left="571"/>
            </w:pPr>
            <w:r>
              <w:rPr>
                <w:spacing w:val="-3"/>
              </w:rPr>
              <w:t>建设性质</w:t>
            </w:r>
          </w:p>
        </w:tc>
        <w:tc>
          <w:tcPr>
            <w:tcW w:w="2510" w:type="dxa"/>
            <w:gridSpan w:val="2"/>
            <w:tcBorders>
              <w:left w:val="nil"/>
            </w:tcBorders>
            <w:vAlign w:val="top"/>
          </w:tcPr>
          <w:p w14:paraId="7393B54C">
            <w:pPr>
              <w:pStyle w:val="6"/>
              <w:spacing w:before="87" w:line="198" w:lineRule="auto"/>
              <w:ind w:left="273" w:right="761" w:hanging="10"/>
            </w:pPr>
            <w:r>
              <w:rPr>
                <w:rFonts w:ascii="微软雅黑" w:hAnsi="微软雅黑" w:eastAsia="微软雅黑" w:cs="微软雅黑"/>
                <w:spacing w:val="2"/>
              </w:rPr>
              <w:t>□</w:t>
            </w:r>
            <w:r>
              <w:rPr>
                <w:spacing w:val="2"/>
              </w:rPr>
              <w:t>新建（迁建）</w:t>
            </w:r>
            <w:r>
              <w:rPr>
                <w:spacing w:val="4"/>
              </w:rPr>
              <w:t xml:space="preserve"> </w:t>
            </w:r>
            <w:r>
              <w:rPr>
                <w:rFonts w:ascii="MS Gothic" w:hAnsi="MS Gothic" w:eastAsia="MS Gothic" w:cs="MS Gothic"/>
                <w:spacing w:val="-9"/>
              </w:rPr>
              <w:t>□</w:t>
            </w:r>
            <w:r>
              <w:rPr>
                <w:spacing w:val="-9"/>
              </w:rPr>
              <w:t>改建</w:t>
            </w:r>
          </w:p>
          <w:p w14:paraId="01647732">
            <w:pPr>
              <w:pStyle w:val="6"/>
              <w:spacing w:before="20" w:line="221" w:lineRule="auto"/>
              <w:ind w:left="273"/>
            </w:pPr>
            <w:r>
              <w:rPr>
                <w:rFonts w:ascii="MS Gothic" w:hAnsi="MS Gothic" w:eastAsia="MS Gothic" w:cs="MS Gothic"/>
                <w:spacing w:val="-9"/>
              </w:rPr>
              <w:t>□</w:t>
            </w:r>
            <w:r>
              <w:rPr>
                <w:spacing w:val="-9"/>
              </w:rPr>
              <w:t>扩建</w:t>
            </w:r>
          </w:p>
          <w:p w14:paraId="2DBA9C04">
            <w:pPr>
              <w:pStyle w:val="6"/>
              <w:spacing w:before="22" w:line="220" w:lineRule="auto"/>
              <w:ind w:left="273"/>
            </w:pPr>
            <w:r>
              <w:rPr>
                <w:rFonts w:ascii="MS Gothic" w:hAnsi="MS Gothic" w:eastAsia="MS Gothic" w:cs="MS Gothic"/>
                <w:spacing w:val="-6"/>
              </w:rPr>
              <w:t>□</w:t>
            </w:r>
            <w:r>
              <w:rPr>
                <w:spacing w:val="-6"/>
              </w:rPr>
              <w:t>技术改造</w:t>
            </w:r>
          </w:p>
        </w:tc>
        <w:tc>
          <w:tcPr>
            <w:tcW w:w="1817" w:type="dxa"/>
            <w:vAlign w:val="top"/>
          </w:tcPr>
          <w:p w14:paraId="42B029E3">
            <w:pPr>
              <w:spacing w:line="299" w:lineRule="auto"/>
              <w:rPr>
                <w:rFonts w:ascii="Arial"/>
                <w:sz w:val="21"/>
              </w:rPr>
            </w:pPr>
          </w:p>
          <w:p w14:paraId="2FB2039E">
            <w:pPr>
              <w:pStyle w:val="6"/>
              <w:spacing w:before="71" w:line="230" w:lineRule="auto"/>
              <w:ind w:left="504" w:right="463" w:hanging="25"/>
            </w:pPr>
            <w:r>
              <w:rPr>
                <w:spacing w:val="-3"/>
              </w:rPr>
              <w:t>建设项目</w:t>
            </w:r>
            <w:r>
              <w:t xml:space="preserve"> </w:t>
            </w:r>
            <w:r>
              <w:rPr>
                <w:spacing w:val="-10"/>
              </w:rPr>
              <w:t>申报情形</w:t>
            </w:r>
          </w:p>
        </w:tc>
        <w:tc>
          <w:tcPr>
            <w:tcW w:w="2789" w:type="dxa"/>
            <w:tcBorders>
              <w:right w:val="single" w:color="000000" w:sz="6" w:space="0"/>
            </w:tcBorders>
            <w:vAlign w:val="top"/>
          </w:tcPr>
          <w:p w14:paraId="13EEB9FD">
            <w:pPr>
              <w:pStyle w:val="6"/>
              <w:spacing w:before="86" w:line="182" w:lineRule="auto"/>
              <w:ind w:left="6"/>
            </w:pPr>
            <w:r>
              <w:rPr>
                <w:rFonts w:ascii="微软雅黑" w:hAnsi="微软雅黑" w:eastAsia="微软雅黑" w:cs="微软雅黑"/>
                <w:spacing w:val="5"/>
              </w:rPr>
              <w:t>□</w:t>
            </w:r>
            <w:r>
              <w:rPr>
                <w:spacing w:val="5"/>
              </w:rPr>
              <w:t>首次申报项目</w:t>
            </w:r>
          </w:p>
          <w:p w14:paraId="0A3072EF">
            <w:pPr>
              <w:pStyle w:val="6"/>
              <w:spacing w:line="220" w:lineRule="auto"/>
              <w:ind w:left="17"/>
            </w:pPr>
            <w:r>
              <w:rPr>
                <w:rFonts w:ascii="MS Gothic" w:hAnsi="MS Gothic" w:eastAsia="MS Gothic" w:cs="MS Gothic"/>
                <w:spacing w:val="-3"/>
              </w:rPr>
              <w:t>□</w:t>
            </w:r>
            <w:r>
              <w:rPr>
                <w:spacing w:val="-3"/>
              </w:rPr>
              <w:t>不予批准后再次申报项目</w:t>
            </w:r>
          </w:p>
          <w:p w14:paraId="2F8B4D63">
            <w:pPr>
              <w:pStyle w:val="6"/>
              <w:spacing w:before="21" w:line="220" w:lineRule="auto"/>
              <w:ind w:left="17"/>
            </w:pPr>
            <w:r>
              <w:rPr>
                <w:rFonts w:ascii="MS Gothic" w:hAnsi="MS Gothic" w:eastAsia="MS Gothic" w:cs="MS Gothic"/>
                <w:spacing w:val="-3"/>
              </w:rPr>
              <w:t>□</w:t>
            </w:r>
            <w:r>
              <w:rPr>
                <w:spacing w:val="-3"/>
              </w:rPr>
              <w:t>超五年重新审核项目</w:t>
            </w:r>
          </w:p>
          <w:p w14:paraId="2DB00A41">
            <w:pPr>
              <w:pStyle w:val="6"/>
              <w:spacing w:before="23" w:line="220" w:lineRule="auto"/>
              <w:ind w:left="17"/>
            </w:pPr>
            <w:r>
              <w:rPr>
                <w:rFonts w:ascii="MS Gothic" w:hAnsi="MS Gothic" w:eastAsia="MS Gothic" w:cs="MS Gothic"/>
                <w:spacing w:val="-3"/>
              </w:rPr>
              <w:t>□</w:t>
            </w:r>
            <w:r>
              <w:rPr>
                <w:spacing w:val="-3"/>
              </w:rPr>
              <w:t>重大变动重新报批项目</w:t>
            </w:r>
          </w:p>
        </w:tc>
      </w:tr>
      <w:tr w14:paraId="53CD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020" w:type="dxa"/>
            <w:gridSpan w:val="2"/>
            <w:tcBorders>
              <w:left w:val="single" w:color="000000" w:sz="6" w:space="0"/>
              <w:right w:val="nil"/>
            </w:tcBorders>
            <w:vAlign w:val="top"/>
          </w:tcPr>
          <w:p w14:paraId="01D0A0E5">
            <w:pPr>
              <w:pStyle w:val="6"/>
              <w:spacing w:before="191" w:line="230" w:lineRule="auto"/>
              <w:ind w:left="21" w:right="37" w:firstLine="166"/>
            </w:pPr>
            <w:r>
              <w:rPr>
                <w:spacing w:val="-2"/>
              </w:rPr>
              <w:t>项目审批（核准/</w:t>
            </w:r>
            <w:r>
              <w:rPr>
                <w:spacing w:val="2"/>
              </w:rPr>
              <w:t xml:space="preserve">  </w:t>
            </w:r>
            <w:r>
              <w:rPr>
                <w:spacing w:val="-3"/>
              </w:rPr>
              <w:t>备案）部门（选填）</w:t>
            </w:r>
          </w:p>
        </w:tc>
        <w:tc>
          <w:tcPr>
            <w:tcW w:w="2248" w:type="dxa"/>
            <w:tcBorders>
              <w:left w:val="nil"/>
            </w:tcBorders>
            <w:vAlign w:val="top"/>
          </w:tcPr>
          <w:p w14:paraId="40A27B90">
            <w:pPr>
              <w:spacing w:line="260" w:lineRule="auto"/>
              <w:rPr>
                <w:rFonts w:ascii="Arial"/>
                <w:sz w:val="21"/>
              </w:rPr>
            </w:pPr>
          </w:p>
          <w:p w14:paraId="4E597458">
            <w:pPr>
              <w:pStyle w:val="6"/>
              <w:spacing w:before="72" w:line="220" w:lineRule="auto"/>
              <w:ind w:left="139"/>
            </w:pPr>
            <w:r>
              <w:rPr>
                <w:spacing w:val="-1"/>
              </w:rPr>
              <w:t>通川区发展和改革局</w:t>
            </w:r>
          </w:p>
        </w:tc>
        <w:tc>
          <w:tcPr>
            <w:tcW w:w="1817" w:type="dxa"/>
            <w:vAlign w:val="top"/>
          </w:tcPr>
          <w:p w14:paraId="57A18BA6">
            <w:pPr>
              <w:pStyle w:val="6"/>
              <w:spacing w:before="192" w:line="230" w:lineRule="auto"/>
              <w:ind w:firstLine="113"/>
            </w:pPr>
            <w:r>
              <w:rPr>
                <w:spacing w:val="-14"/>
              </w:rPr>
              <w:t>项目审批（核准</w:t>
            </w:r>
            <w:r>
              <w:rPr>
                <w:rFonts w:ascii="Times New Roman" w:hAnsi="Times New Roman" w:eastAsia="Times New Roman" w:cs="Times New Roman"/>
                <w:spacing w:val="-14"/>
              </w:rPr>
              <w:t>/</w:t>
            </w:r>
            <w:r>
              <w:rPr>
                <w:rFonts w:ascii="Times New Roman" w:hAnsi="Times New Roman" w:eastAsia="Times New Roman" w:cs="Times New Roman"/>
                <w:spacing w:val="1"/>
              </w:rPr>
              <w:t xml:space="preserve">     </w:t>
            </w:r>
            <w:r>
              <w:rPr>
                <w:spacing w:val="-19"/>
              </w:rPr>
              <w:t>备案）文号（选填）</w:t>
            </w:r>
          </w:p>
        </w:tc>
        <w:tc>
          <w:tcPr>
            <w:tcW w:w="2789" w:type="dxa"/>
            <w:tcBorders>
              <w:right w:val="single" w:color="000000" w:sz="6" w:space="0"/>
            </w:tcBorders>
            <w:vAlign w:val="top"/>
          </w:tcPr>
          <w:p w14:paraId="3ECF5D29">
            <w:pPr>
              <w:pStyle w:val="6"/>
              <w:spacing w:before="50" w:line="220" w:lineRule="auto"/>
              <w:ind w:left="964"/>
            </w:pPr>
            <w:r>
              <w:rPr>
                <w:spacing w:val="-4"/>
              </w:rPr>
              <w:t>川投资备</w:t>
            </w:r>
          </w:p>
          <w:p w14:paraId="0C068C04">
            <w:pPr>
              <w:pStyle w:val="6"/>
              <w:spacing w:before="23" w:line="227" w:lineRule="auto"/>
              <w:ind w:left="36"/>
              <w:rPr>
                <w:rFonts w:ascii="Times New Roman" w:hAnsi="Times New Roman" w:eastAsia="Times New Roman" w:cs="Times New Roman"/>
              </w:rPr>
            </w:pPr>
            <w:r>
              <w:rPr>
                <w:spacing w:val="-1"/>
              </w:rPr>
              <w:t>【</w:t>
            </w:r>
            <w:r>
              <w:rPr>
                <w:rFonts w:ascii="Times New Roman" w:hAnsi="Times New Roman" w:eastAsia="Times New Roman" w:cs="Times New Roman"/>
                <w:spacing w:val="-1"/>
              </w:rPr>
              <w:t>2019-511702-30-03-406558</w:t>
            </w:r>
          </w:p>
          <w:p w14:paraId="73905F71">
            <w:pPr>
              <w:pStyle w:val="6"/>
              <w:spacing w:before="12" w:line="207" w:lineRule="auto"/>
              <w:ind w:left="622"/>
            </w:pPr>
            <w:r>
              <w:rPr>
                <w:spacing w:val="-3"/>
              </w:rPr>
              <w:t>】</w:t>
            </w:r>
            <w:r>
              <w:rPr>
                <w:rFonts w:ascii="Times New Roman" w:hAnsi="Times New Roman" w:eastAsia="Times New Roman" w:cs="Times New Roman"/>
                <w:spacing w:val="-3"/>
              </w:rPr>
              <w:t>FGQB-0126</w:t>
            </w:r>
            <w:r>
              <w:rPr>
                <w:rFonts w:ascii="Times New Roman" w:hAnsi="Times New Roman" w:eastAsia="Times New Roman" w:cs="Times New Roman"/>
                <w:spacing w:val="15"/>
                <w:w w:val="101"/>
              </w:rPr>
              <w:t xml:space="preserve"> </w:t>
            </w:r>
            <w:r>
              <w:rPr>
                <w:spacing w:val="-3"/>
              </w:rPr>
              <w:t>号</w:t>
            </w:r>
          </w:p>
        </w:tc>
      </w:tr>
      <w:tr w14:paraId="7AD6F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73209CEF">
            <w:pPr>
              <w:pStyle w:val="6"/>
              <w:spacing w:before="155" w:line="221" w:lineRule="auto"/>
              <w:ind w:left="245"/>
            </w:pPr>
            <w:r>
              <w:rPr>
                <w:spacing w:val="-2"/>
              </w:rPr>
              <w:t>总投资（万元）         8300.00</w:t>
            </w:r>
          </w:p>
        </w:tc>
        <w:tc>
          <w:tcPr>
            <w:tcW w:w="1817" w:type="dxa"/>
            <w:vAlign w:val="top"/>
          </w:tcPr>
          <w:p w14:paraId="661D7EA3">
            <w:pPr>
              <w:pStyle w:val="6"/>
              <w:spacing w:before="155" w:line="221" w:lineRule="auto"/>
              <w:ind w:left="35"/>
            </w:pPr>
            <w:r>
              <w:rPr>
                <w:spacing w:val="-1"/>
              </w:rPr>
              <w:t>环保投资（万元）</w:t>
            </w:r>
          </w:p>
        </w:tc>
        <w:tc>
          <w:tcPr>
            <w:tcW w:w="2789" w:type="dxa"/>
            <w:tcBorders>
              <w:right w:val="single" w:color="000000" w:sz="6" w:space="0"/>
            </w:tcBorders>
            <w:vAlign w:val="top"/>
          </w:tcPr>
          <w:p w14:paraId="4398673E">
            <w:pPr>
              <w:pStyle w:val="6"/>
              <w:spacing w:before="190" w:line="184" w:lineRule="auto"/>
              <w:ind w:left="1085"/>
            </w:pPr>
            <w:r>
              <w:rPr>
                <w:spacing w:val="-5"/>
              </w:rPr>
              <w:t>121.50</w:t>
            </w:r>
          </w:p>
        </w:tc>
      </w:tr>
      <w:tr w14:paraId="08AE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745FCB11">
            <w:pPr>
              <w:pStyle w:val="6"/>
              <w:spacing w:before="156" w:line="221" w:lineRule="auto"/>
              <w:ind w:left="74"/>
            </w:pPr>
            <w:r>
              <w:rPr>
                <w:spacing w:val="-1"/>
              </w:rPr>
              <w:t>环保投资占比（%）         1.46</w:t>
            </w:r>
          </w:p>
        </w:tc>
        <w:tc>
          <w:tcPr>
            <w:tcW w:w="1817" w:type="dxa"/>
            <w:vAlign w:val="top"/>
          </w:tcPr>
          <w:p w14:paraId="22E7D06F">
            <w:pPr>
              <w:pStyle w:val="6"/>
              <w:spacing w:before="156" w:line="221" w:lineRule="auto"/>
              <w:ind w:left="475"/>
            </w:pPr>
            <w:r>
              <w:rPr>
                <w:spacing w:val="-2"/>
              </w:rPr>
              <w:t>施工工期</w:t>
            </w:r>
          </w:p>
        </w:tc>
        <w:tc>
          <w:tcPr>
            <w:tcW w:w="2789" w:type="dxa"/>
            <w:tcBorders>
              <w:right w:val="single" w:color="000000" w:sz="6" w:space="0"/>
            </w:tcBorders>
            <w:vAlign w:val="top"/>
          </w:tcPr>
          <w:p w14:paraId="1AE740AE">
            <w:pPr>
              <w:pStyle w:val="6"/>
              <w:spacing w:before="156" w:line="220" w:lineRule="auto"/>
              <w:ind w:left="1043"/>
            </w:pPr>
            <w:r>
              <w:rPr>
                <w:spacing w:val="-5"/>
              </w:rPr>
              <w:t>24</w:t>
            </w:r>
            <w:r>
              <w:rPr>
                <w:spacing w:val="-45"/>
              </w:rPr>
              <w:t xml:space="preserve"> </w:t>
            </w:r>
            <w:r>
              <w:rPr>
                <w:spacing w:val="-5"/>
              </w:rPr>
              <w:t>个月</w:t>
            </w:r>
          </w:p>
        </w:tc>
      </w:tr>
      <w:tr w14:paraId="6C41C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58" w:type="dxa"/>
            <w:tcBorders>
              <w:left w:val="single" w:color="000000" w:sz="6" w:space="0"/>
              <w:right w:val="nil"/>
            </w:tcBorders>
            <w:vAlign w:val="top"/>
          </w:tcPr>
          <w:p w14:paraId="11834EF7">
            <w:pPr>
              <w:pStyle w:val="6"/>
              <w:spacing w:before="269" w:line="221" w:lineRule="auto"/>
              <w:ind w:left="353"/>
            </w:pPr>
            <w:r>
              <w:rPr>
                <w:spacing w:val="-2"/>
              </w:rPr>
              <w:t>是否开工建设</w:t>
            </w:r>
          </w:p>
        </w:tc>
        <w:tc>
          <w:tcPr>
            <w:tcW w:w="2510" w:type="dxa"/>
            <w:gridSpan w:val="2"/>
            <w:tcBorders>
              <w:left w:val="nil"/>
            </w:tcBorders>
            <w:vAlign w:val="top"/>
          </w:tcPr>
          <w:p w14:paraId="0858D7D4">
            <w:pPr>
              <w:pStyle w:val="6"/>
              <w:spacing w:before="123" w:line="192" w:lineRule="auto"/>
              <w:ind w:left="263" w:right="1565"/>
            </w:pPr>
            <w:r>
              <w:rPr>
                <w:rFonts w:ascii="微软雅黑" w:hAnsi="微软雅黑" w:eastAsia="微软雅黑" w:cs="微软雅黑"/>
                <w:spacing w:val="10"/>
              </w:rPr>
              <w:t>□</w:t>
            </w:r>
            <w:r>
              <w:rPr>
                <w:rFonts w:ascii="微软雅黑" w:hAnsi="微软雅黑" w:eastAsia="微软雅黑" w:cs="微软雅黑"/>
                <w:spacing w:val="60"/>
                <w:w w:val="101"/>
              </w:rPr>
              <w:t xml:space="preserve"> </w:t>
            </w:r>
            <w:r>
              <w:rPr>
                <w:spacing w:val="10"/>
              </w:rPr>
              <w:t>否</w:t>
            </w:r>
            <w:r>
              <w:t xml:space="preserve">  </w:t>
            </w:r>
            <w:r>
              <w:rPr>
                <w:rFonts w:ascii="微软雅黑" w:hAnsi="微软雅黑" w:eastAsia="微软雅黑" w:cs="微软雅黑"/>
                <w:spacing w:val="-9"/>
              </w:rPr>
              <w:t>□</w:t>
            </w:r>
            <w:r>
              <w:rPr>
                <w:rFonts w:ascii="微软雅黑" w:hAnsi="微软雅黑" w:eastAsia="微软雅黑" w:cs="微软雅黑"/>
                <w:spacing w:val="57"/>
              </w:rPr>
              <w:t xml:space="preserve"> </w:t>
            </w:r>
            <w:r>
              <w:rPr>
                <w:spacing w:val="-9"/>
              </w:rPr>
              <w:t>是：</w:t>
            </w:r>
          </w:p>
        </w:tc>
        <w:tc>
          <w:tcPr>
            <w:tcW w:w="1817" w:type="dxa"/>
            <w:vAlign w:val="top"/>
          </w:tcPr>
          <w:p w14:paraId="182E539C">
            <w:pPr>
              <w:pStyle w:val="6"/>
              <w:spacing w:before="125" w:line="230" w:lineRule="auto"/>
              <w:ind w:left="594" w:right="74" w:hanging="92"/>
            </w:pPr>
            <w:r>
              <w:rPr>
                <w:spacing w:val="-15"/>
              </w:rPr>
              <w:t>用地（用海）</w:t>
            </w:r>
            <w:r>
              <w:rPr>
                <w:spacing w:val="3"/>
              </w:rP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7"/>
                <w:sz w:val="14"/>
                <w:szCs w:val="14"/>
              </w:rPr>
              <w:t>2</w:t>
            </w:r>
            <w:r>
              <w:rPr>
                <w:spacing w:val="-9"/>
              </w:rPr>
              <w:t>）</w:t>
            </w:r>
          </w:p>
        </w:tc>
        <w:tc>
          <w:tcPr>
            <w:tcW w:w="2789" w:type="dxa"/>
            <w:tcBorders>
              <w:right w:val="single" w:color="000000" w:sz="6" w:space="0"/>
            </w:tcBorders>
            <w:vAlign w:val="top"/>
          </w:tcPr>
          <w:p w14:paraId="4DF91E87">
            <w:pPr>
              <w:spacing w:before="300" w:line="193" w:lineRule="auto"/>
              <w:ind w:left="136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14:paraId="1452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6" w:hRule="atLeast"/>
        </w:trPr>
        <w:tc>
          <w:tcPr>
            <w:tcW w:w="2020" w:type="dxa"/>
            <w:gridSpan w:val="2"/>
            <w:tcBorders>
              <w:left w:val="single" w:color="000000" w:sz="6" w:space="0"/>
              <w:right w:val="nil"/>
            </w:tcBorders>
            <w:vAlign w:val="top"/>
          </w:tcPr>
          <w:p w14:paraId="4557F267">
            <w:pPr>
              <w:spacing w:line="243" w:lineRule="auto"/>
              <w:rPr>
                <w:rFonts w:ascii="Arial"/>
                <w:sz w:val="21"/>
              </w:rPr>
            </w:pPr>
          </w:p>
          <w:p w14:paraId="52EE17A2">
            <w:pPr>
              <w:spacing w:line="243" w:lineRule="auto"/>
              <w:rPr>
                <w:rFonts w:ascii="Arial"/>
                <w:sz w:val="21"/>
              </w:rPr>
            </w:pPr>
          </w:p>
          <w:p w14:paraId="35F8E062">
            <w:pPr>
              <w:spacing w:line="243" w:lineRule="auto"/>
              <w:rPr>
                <w:rFonts w:ascii="Arial"/>
                <w:sz w:val="21"/>
              </w:rPr>
            </w:pPr>
          </w:p>
          <w:p w14:paraId="7C3AD42D">
            <w:pPr>
              <w:spacing w:line="243" w:lineRule="auto"/>
              <w:rPr>
                <w:rFonts w:ascii="Arial"/>
                <w:sz w:val="21"/>
              </w:rPr>
            </w:pPr>
          </w:p>
          <w:p w14:paraId="08016CE3">
            <w:pPr>
              <w:spacing w:line="243" w:lineRule="auto"/>
              <w:rPr>
                <w:rFonts w:ascii="Arial"/>
                <w:sz w:val="21"/>
              </w:rPr>
            </w:pPr>
          </w:p>
          <w:p w14:paraId="0F7B0630">
            <w:pPr>
              <w:spacing w:line="243" w:lineRule="auto"/>
              <w:rPr>
                <w:rFonts w:ascii="Arial"/>
                <w:sz w:val="21"/>
              </w:rPr>
            </w:pPr>
          </w:p>
          <w:p w14:paraId="64FF161E">
            <w:pPr>
              <w:spacing w:line="243" w:lineRule="auto"/>
              <w:rPr>
                <w:rFonts w:ascii="Arial"/>
                <w:sz w:val="21"/>
              </w:rPr>
            </w:pPr>
          </w:p>
          <w:p w14:paraId="7F9B746D">
            <w:pPr>
              <w:spacing w:line="244" w:lineRule="auto"/>
              <w:rPr>
                <w:rFonts w:ascii="Arial"/>
                <w:sz w:val="21"/>
              </w:rPr>
            </w:pPr>
          </w:p>
          <w:p w14:paraId="7C34DC51">
            <w:pPr>
              <w:spacing w:line="244" w:lineRule="auto"/>
              <w:rPr>
                <w:rFonts w:ascii="Arial"/>
                <w:sz w:val="21"/>
              </w:rPr>
            </w:pPr>
          </w:p>
          <w:p w14:paraId="2F38AC05">
            <w:pPr>
              <w:spacing w:line="244" w:lineRule="auto"/>
              <w:rPr>
                <w:rFonts w:ascii="Arial"/>
                <w:sz w:val="21"/>
              </w:rPr>
            </w:pPr>
          </w:p>
          <w:p w14:paraId="4978E24E">
            <w:pPr>
              <w:pStyle w:val="6"/>
              <w:spacing w:before="72" w:line="219" w:lineRule="auto"/>
              <w:ind w:left="130"/>
            </w:pPr>
            <w:r>
              <w:rPr>
                <w:spacing w:val="-1"/>
              </w:rPr>
              <w:t>专项评价设置情况</w:t>
            </w:r>
          </w:p>
        </w:tc>
        <w:tc>
          <w:tcPr>
            <w:tcW w:w="6854" w:type="dxa"/>
            <w:gridSpan w:val="3"/>
            <w:tcBorders>
              <w:left w:val="nil"/>
              <w:right w:val="single" w:color="000000" w:sz="6" w:space="0"/>
            </w:tcBorders>
            <w:vAlign w:val="top"/>
          </w:tcPr>
          <w:p w14:paraId="01D90861">
            <w:pPr>
              <w:pStyle w:val="6"/>
              <w:spacing w:before="134" w:line="219" w:lineRule="auto"/>
              <w:ind w:left="533"/>
            </w:pPr>
            <w:r>
              <w:rPr>
                <w:spacing w:val="1"/>
              </w:rPr>
              <w:t>根据建设项目环境影响报告表编制技术指南（污染影响</w:t>
            </w:r>
            <w:r>
              <w:t>类</w:t>
            </w:r>
            <w:r>
              <w:rPr>
                <w:spacing w:val="-17"/>
              </w:rPr>
              <w:t>）（</w:t>
            </w:r>
            <w:r>
              <w:t>试</w:t>
            </w:r>
          </w:p>
          <w:p w14:paraId="105FBA67">
            <w:pPr>
              <w:pStyle w:val="6"/>
              <w:spacing w:before="137" w:line="219" w:lineRule="auto"/>
              <w:ind w:left="97"/>
            </w:pPr>
            <w:r>
              <w:rPr>
                <w:spacing w:val="-2"/>
              </w:rPr>
              <w:t>行</w:t>
            </w:r>
            <w:r>
              <w:rPr>
                <w:spacing w:val="10"/>
              </w:rPr>
              <w:t>），</w:t>
            </w:r>
            <w:r>
              <w:rPr>
                <w:spacing w:val="-2"/>
              </w:rPr>
              <w:t>本项目专项评价对照情况见下表。</w:t>
            </w:r>
          </w:p>
          <w:p w14:paraId="6E0282B4">
            <w:pPr>
              <w:spacing w:before="174" w:line="222" w:lineRule="auto"/>
              <w:ind w:left="2368"/>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1-1  </w:t>
            </w:r>
            <w:r>
              <w:rPr>
                <w:rFonts w:ascii="黑体" w:hAnsi="黑体" w:eastAsia="黑体" w:cs="黑体"/>
                <w:spacing w:val="-1"/>
                <w:sz w:val="18"/>
                <w:szCs w:val="18"/>
              </w:rPr>
              <w:t>专项评价设置原则对照表</w:t>
            </w:r>
          </w:p>
          <w:p w14:paraId="3F829A02">
            <w:pPr>
              <w:spacing w:line="17" w:lineRule="exact"/>
            </w:pPr>
          </w:p>
          <w:tbl>
            <w:tblPr>
              <w:tblStyle w:val="5"/>
              <w:tblW w:w="6702"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2376"/>
              <w:gridCol w:w="2676"/>
              <w:gridCol w:w="759"/>
            </w:tblGrid>
            <w:tr w14:paraId="791E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91" w:type="dxa"/>
                  <w:vAlign w:val="top"/>
                </w:tcPr>
                <w:p w14:paraId="12B0C985">
                  <w:pPr>
                    <w:pStyle w:val="6"/>
                    <w:spacing w:before="58" w:line="236" w:lineRule="auto"/>
                    <w:ind w:left="179" w:right="171"/>
                    <w:rPr>
                      <w:sz w:val="18"/>
                      <w:szCs w:val="18"/>
                    </w:rPr>
                  </w:pPr>
                  <w:r>
                    <w:rPr>
                      <w:b/>
                      <w:bCs/>
                      <w:spacing w:val="-4"/>
                      <w:sz w:val="18"/>
                      <w:szCs w:val="18"/>
                    </w:rPr>
                    <w:t>专项评</w:t>
                  </w:r>
                  <w:r>
                    <w:rPr>
                      <w:sz w:val="18"/>
                      <w:szCs w:val="18"/>
                    </w:rPr>
                    <w:t xml:space="preserve"> </w:t>
                  </w:r>
                  <w:r>
                    <w:rPr>
                      <w:b/>
                      <w:bCs/>
                      <w:spacing w:val="-4"/>
                      <w:sz w:val="18"/>
                      <w:szCs w:val="18"/>
                    </w:rPr>
                    <w:t>价类别</w:t>
                  </w:r>
                </w:p>
              </w:tc>
              <w:tc>
                <w:tcPr>
                  <w:tcW w:w="2376" w:type="dxa"/>
                  <w:vAlign w:val="top"/>
                </w:tcPr>
                <w:p w14:paraId="1D3FB119">
                  <w:pPr>
                    <w:pStyle w:val="6"/>
                    <w:spacing w:before="188" w:line="220" w:lineRule="auto"/>
                    <w:ind w:left="1052"/>
                    <w:rPr>
                      <w:sz w:val="18"/>
                      <w:szCs w:val="18"/>
                    </w:rPr>
                  </w:pPr>
                  <w:r>
                    <w:rPr>
                      <w:b/>
                      <w:bCs/>
                      <w:spacing w:val="-4"/>
                      <w:sz w:val="18"/>
                      <w:szCs w:val="18"/>
                    </w:rPr>
                    <w:t>设置原则</w:t>
                  </w:r>
                </w:p>
              </w:tc>
              <w:tc>
                <w:tcPr>
                  <w:tcW w:w="2676" w:type="dxa"/>
                  <w:vAlign w:val="top"/>
                </w:tcPr>
                <w:p w14:paraId="1EB3FC13">
                  <w:pPr>
                    <w:pStyle w:val="6"/>
                    <w:spacing w:before="188" w:line="218" w:lineRule="auto"/>
                    <w:ind w:left="1112"/>
                    <w:rPr>
                      <w:sz w:val="18"/>
                      <w:szCs w:val="18"/>
                    </w:rPr>
                  </w:pPr>
                  <w:r>
                    <w:rPr>
                      <w:b/>
                      <w:bCs/>
                      <w:spacing w:val="-3"/>
                      <w:sz w:val="18"/>
                      <w:szCs w:val="18"/>
                    </w:rPr>
                    <w:t>本项目情况</w:t>
                  </w:r>
                </w:p>
              </w:tc>
              <w:tc>
                <w:tcPr>
                  <w:tcW w:w="759" w:type="dxa"/>
                  <w:vAlign w:val="top"/>
                </w:tcPr>
                <w:p w14:paraId="1ABDBF07">
                  <w:pPr>
                    <w:pStyle w:val="6"/>
                    <w:spacing w:before="58" w:line="236" w:lineRule="auto"/>
                    <w:ind w:left="203" w:right="198" w:firstLine="2"/>
                    <w:rPr>
                      <w:sz w:val="18"/>
                      <w:szCs w:val="18"/>
                    </w:rPr>
                  </w:pPr>
                  <w:r>
                    <w:rPr>
                      <w:b/>
                      <w:bCs/>
                      <w:spacing w:val="-7"/>
                      <w:sz w:val="18"/>
                      <w:szCs w:val="18"/>
                    </w:rPr>
                    <w:t>设置</w:t>
                  </w:r>
                  <w:r>
                    <w:rPr>
                      <w:sz w:val="18"/>
                      <w:szCs w:val="18"/>
                    </w:rPr>
                    <w:t xml:space="preserve"> </w:t>
                  </w:r>
                  <w:r>
                    <w:rPr>
                      <w:b/>
                      <w:bCs/>
                      <w:spacing w:val="-6"/>
                      <w:sz w:val="18"/>
                      <w:szCs w:val="18"/>
                    </w:rPr>
                    <w:t>情况</w:t>
                  </w:r>
                </w:p>
              </w:tc>
            </w:tr>
            <w:tr w14:paraId="79F50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91" w:type="dxa"/>
                  <w:vAlign w:val="top"/>
                </w:tcPr>
                <w:p w14:paraId="48B7A8B7">
                  <w:pPr>
                    <w:spacing w:line="256" w:lineRule="auto"/>
                    <w:rPr>
                      <w:rFonts w:ascii="Arial"/>
                      <w:sz w:val="21"/>
                    </w:rPr>
                  </w:pPr>
                </w:p>
                <w:p w14:paraId="059448FE">
                  <w:pPr>
                    <w:spacing w:line="256" w:lineRule="auto"/>
                    <w:rPr>
                      <w:rFonts w:ascii="Arial"/>
                      <w:sz w:val="21"/>
                    </w:rPr>
                  </w:pPr>
                </w:p>
                <w:p w14:paraId="0586A5F3">
                  <w:pPr>
                    <w:pStyle w:val="6"/>
                    <w:spacing w:before="59" w:line="220" w:lineRule="auto"/>
                    <w:ind w:left="272"/>
                    <w:rPr>
                      <w:sz w:val="18"/>
                      <w:szCs w:val="18"/>
                    </w:rPr>
                  </w:pPr>
                  <w:r>
                    <w:rPr>
                      <w:spacing w:val="-5"/>
                      <w:sz w:val="18"/>
                      <w:szCs w:val="18"/>
                    </w:rPr>
                    <w:t>大气</w:t>
                  </w:r>
                </w:p>
              </w:tc>
              <w:tc>
                <w:tcPr>
                  <w:tcW w:w="2376" w:type="dxa"/>
                  <w:vAlign w:val="top"/>
                </w:tcPr>
                <w:p w14:paraId="26679BD9">
                  <w:pPr>
                    <w:pStyle w:val="6"/>
                    <w:spacing w:before="54" w:line="254" w:lineRule="auto"/>
                    <w:ind w:left="89" w:right="80"/>
                    <w:rPr>
                      <w:sz w:val="18"/>
                      <w:szCs w:val="18"/>
                    </w:rPr>
                  </w:pPr>
                  <w:r>
                    <w:rPr>
                      <w:spacing w:val="-5"/>
                      <w:sz w:val="18"/>
                      <w:szCs w:val="18"/>
                    </w:rPr>
                    <w:t>排放废气含有毒有害污染物</w:t>
                  </w:r>
                  <w:r>
                    <w:rPr>
                      <w:spacing w:val="4"/>
                      <w:sz w:val="18"/>
                      <w:szCs w:val="18"/>
                    </w:rPr>
                    <w:t xml:space="preserve">  </w:t>
                  </w:r>
                  <w:r>
                    <w:rPr>
                      <w:rFonts w:ascii="Times New Roman" w:hAnsi="Times New Roman" w:eastAsia="Times New Roman" w:cs="Times New Roman"/>
                      <w:spacing w:val="-5"/>
                      <w:position w:val="5"/>
                      <w:sz w:val="11"/>
                      <w:szCs w:val="11"/>
                    </w:rPr>
                    <w:t>1</w:t>
                  </w:r>
                  <w:r>
                    <w:rPr>
                      <w:rFonts w:ascii="Times New Roman" w:hAnsi="Times New Roman" w:eastAsia="Times New Roman" w:cs="Times New Roman"/>
                      <w:spacing w:val="-7"/>
                      <w:position w:val="5"/>
                      <w:sz w:val="11"/>
                      <w:szCs w:val="11"/>
                    </w:rPr>
                    <w:t xml:space="preserve"> </w:t>
                  </w:r>
                  <w:r>
                    <w:rPr>
                      <w:spacing w:val="-5"/>
                      <w:sz w:val="18"/>
                      <w:szCs w:val="18"/>
                    </w:rPr>
                    <w:t>、二噁英、苯并</w:t>
                  </w:r>
                  <w:r>
                    <w:rPr>
                      <w:rFonts w:ascii="Times New Roman" w:hAnsi="Times New Roman" w:eastAsia="Times New Roman" w:cs="Times New Roman"/>
                      <w:spacing w:val="-5"/>
                      <w:sz w:val="18"/>
                      <w:szCs w:val="18"/>
                    </w:rPr>
                    <w:t>[a]</w:t>
                  </w:r>
                  <w:r>
                    <w:rPr>
                      <w:spacing w:val="-5"/>
                      <w:sz w:val="18"/>
                      <w:szCs w:val="18"/>
                    </w:rPr>
                    <w:t>芘、氰化</w:t>
                  </w:r>
                  <w:r>
                    <w:rPr>
                      <w:sz w:val="18"/>
                      <w:szCs w:val="18"/>
                    </w:rPr>
                    <w:t xml:space="preserve"> </w:t>
                  </w:r>
                  <w:r>
                    <w:rPr>
                      <w:spacing w:val="-10"/>
                      <w:sz w:val="18"/>
                      <w:szCs w:val="18"/>
                    </w:rPr>
                    <w:t>物、氯气且厂界外</w:t>
                  </w:r>
                  <w:r>
                    <w:rPr>
                      <w:spacing w:val="-36"/>
                      <w:sz w:val="18"/>
                      <w:szCs w:val="18"/>
                    </w:rPr>
                    <w:t xml:space="preserve"> </w:t>
                  </w:r>
                  <w:r>
                    <w:rPr>
                      <w:rFonts w:ascii="Times New Roman" w:hAnsi="Times New Roman" w:eastAsia="Times New Roman" w:cs="Times New Roman"/>
                      <w:spacing w:val="-10"/>
                      <w:sz w:val="18"/>
                      <w:szCs w:val="18"/>
                    </w:rPr>
                    <w:t xml:space="preserve">500 </w:t>
                  </w:r>
                  <w:r>
                    <w:rPr>
                      <w:spacing w:val="-10"/>
                      <w:sz w:val="18"/>
                      <w:szCs w:val="18"/>
                    </w:rPr>
                    <w:t>米范围</w:t>
                  </w:r>
                  <w:r>
                    <w:rPr>
                      <w:sz w:val="18"/>
                      <w:szCs w:val="18"/>
                    </w:rPr>
                    <w:t xml:space="preserve"> </w:t>
                  </w:r>
                  <w:r>
                    <w:rPr>
                      <w:spacing w:val="-4"/>
                      <w:sz w:val="18"/>
                      <w:szCs w:val="18"/>
                    </w:rPr>
                    <w:t>内有环境空气保护目标</w:t>
                  </w:r>
                  <w:r>
                    <w:rPr>
                      <w:rFonts w:ascii="Times New Roman" w:hAnsi="Times New Roman" w:eastAsia="Times New Roman" w:cs="Times New Roman"/>
                      <w:spacing w:val="-4"/>
                      <w:position w:val="6"/>
                      <w:sz w:val="11"/>
                      <w:szCs w:val="11"/>
                    </w:rPr>
                    <w:t>2</w:t>
                  </w:r>
                  <w:r>
                    <w:rPr>
                      <w:rFonts w:ascii="Times New Roman" w:hAnsi="Times New Roman" w:eastAsia="Times New Roman" w:cs="Times New Roman"/>
                      <w:spacing w:val="9"/>
                      <w:w w:val="101"/>
                      <w:position w:val="6"/>
                      <w:sz w:val="11"/>
                      <w:szCs w:val="11"/>
                    </w:rPr>
                    <w:t xml:space="preserve"> </w:t>
                  </w:r>
                  <w:r>
                    <w:rPr>
                      <w:spacing w:val="-4"/>
                      <w:sz w:val="18"/>
                      <w:szCs w:val="18"/>
                    </w:rPr>
                    <w:t>的建</w:t>
                  </w:r>
                  <w:r>
                    <w:rPr>
                      <w:sz w:val="18"/>
                      <w:szCs w:val="18"/>
                    </w:rPr>
                    <w:t xml:space="preserve"> </w:t>
                  </w:r>
                  <w:r>
                    <w:rPr>
                      <w:spacing w:val="-4"/>
                      <w:sz w:val="18"/>
                      <w:szCs w:val="18"/>
                    </w:rPr>
                    <w:t>设项目</w:t>
                  </w:r>
                </w:p>
              </w:tc>
              <w:tc>
                <w:tcPr>
                  <w:tcW w:w="2676" w:type="dxa"/>
                  <w:vAlign w:val="top"/>
                </w:tcPr>
                <w:p w14:paraId="4F25041D">
                  <w:pPr>
                    <w:pStyle w:val="6"/>
                    <w:spacing w:before="183" w:line="220" w:lineRule="auto"/>
                    <w:ind w:left="95"/>
                    <w:rPr>
                      <w:sz w:val="18"/>
                      <w:szCs w:val="18"/>
                    </w:rPr>
                  </w:pPr>
                  <w:r>
                    <w:rPr>
                      <w:spacing w:val="-1"/>
                      <w:sz w:val="18"/>
                      <w:szCs w:val="18"/>
                    </w:rPr>
                    <w:t>项目运营期废气污染物因子为</w:t>
                  </w:r>
                </w:p>
                <w:p w14:paraId="470DB3D3">
                  <w:pPr>
                    <w:pStyle w:val="6"/>
                    <w:spacing w:before="45" w:line="257" w:lineRule="auto"/>
                    <w:ind w:left="92" w:right="82" w:hanging="2"/>
                    <w:rPr>
                      <w:sz w:val="18"/>
                      <w:szCs w:val="18"/>
                    </w:rPr>
                  </w:pPr>
                  <w:r>
                    <w:rPr>
                      <w:rFonts w:ascii="Times New Roman" w:hAnsi="Times New Roman" w:eastAsia="Times New Roman" w:cs="Times New Roman"/>
                      <w:spacing w:val="-6"/>
                      <w:sz w:val="18"/>
                      <w:szCs w:val="18"/>
                    </w:rPr>
                    <w:t>TSP</w:t>
                  </w:r>
                  <w:r>
                    <w:rPr>
                      <w:spacing w:val="-6"/>
                      <w:sz w:val="18"/>
                      <w:szCs w:val="18"/>
                    </w:rPr>
                    <w:t>、</w:t>
                  </w:r>
                  <w:r>
                    <w:rPr>
                      <w:rFonts w:ascii="Times New Roman" w:hAnsi="Times New Roman" w:eastAsia="Times New Roman" w:cs="Times New Roman"/>
                      <w:spacing w:val="-6"/>
                      <w:sz w:val="18"/>
                      <w:szCs w:val="18"/>
                    </w:rPr>
                    <w:t>VOC</w:t>
                  </w:r>
                  <w:r>
                    <w:rPr>
                      <w:rFonts w:ascii="Times New Roman" w:hAnsi="Times New Roman" w:eastAsia="Times New Roman" w:cs="Times New Roman"/>
                      <w:spacing w:val="-6"/>
                      <w:position w:val="-1"/>
                      <w:sz w:val="11"/>
                      <w:szCs w:val="11"/>
                    </w:rPr>
                    <w:t>S</w:t>
                  </w:r>
                  <w:r>
                    <w:rPr>
                      <w:rFonts w:ascii="Times New Roman" w:hAnsi="Times New Roman" w:eastAsia="Times New Roman" w:cs="Times New Roman"/>
                      <w:spacing w:val="19"/>
                      <w:w w:val="103"/>
                      <w:position w:val="-1"/>
                      <w:sz w:val="11"/>
                      <w:szCs w:val="11"/>
                    </w:rPr>
                    <w:t xml:space="preserve"> </w:t>
                  </w:r>
                  <w:r>
                    <w:rPr>
                      <w:spacing w:val="-6"/>
                      <w:sz w:val="18"/>
                      <w:szCs w:val="18"/>
                    </w:rPr>
                    <w:t>等，不属于有毒有害</w:t>
                  </w:r>
                  <w:r>
                    <w:rPr>
                      <w:sz w:val="18"/>
                      <w:szCs w:val="18"/>
                    </w:rPr>
                    <w:t xml:space="preserve"> </w:t>
                  </w:r>
                  <w:r>
                    <w:rPr>
                      <w:spacing w:val="-2"/>
                      <w:sz w:val="18"/>
                      <w:szCs w:val="18"/>
                    </w:rPr>
                    <w:t>污染物等，不需设置大气专项评</w:t>
                  </w:r>
                  <w:r>
                    <w:rPr>
                      <w:spacing w:val="2"/>
                      <w:sz w:val="18"/>
                      <w:szCs w:val="18"/>
                    </w:rPr>
                    <w:t xml:space="preserve"> </w:t>
                  </w:r>
                  <w:r>
                    <w:rPr>
                      <w:sz w:val="18"/>
                      <w:szCs w:val="18"/>
                    </w:rPr>
                    <w:t>价</w:t>
                  </w:r>
                </w:p>
              </w:tc>
              <w:tc>
                <w:tcPr>
                  <w:tcW w:w="759" w:type="dxa"/>
                  <w:vAlign w:val="top"/>
                </w:tcPr>
                <w:p w14:paraId="304D83CE">
                  <w:pPr>
                    <w:spacing w:line="256" w:lineRule="auto"/>
                    <w:rPr>
                      <w:rFonts w:ascii="Arial"/>
                      <w:sz w:val="21"/>
                    </w:rPr>
                  </w:pPr>
                </w:p>
                <w:p w14:paraId="27B99667">
                  <w:pPr>
                    <w:spacing w:line="257" w:lineRule="auto"/>
                    <w:rPr>
                      <w:rFonts w:ascii="Arial"/>
                      <w:sz w:val="21"/>
                    </w:rPr>
                  </w:pPr>
                </w:p>
                <w:p w14:paraId="20AF7F4E">
                  <w:pPr>
                    <w:pStyle w:val="6"/>
                    <w:spacing w:before="59" w:line="220" w:lineRule="auto"/>
                    <w:ind w:left="116"/>
                    <w:rPr>
                      <w:sz w:val="18"/>
                      <w:szCs w:val="18"/>
                    </w:rPr>
                  </w:pPr>
                  <w:r>
                    <w:rPr>
                      <w:spacing w:val="-4"/>
                      <w:sz w:val="18"/>
                      <w:szCs w:val="18"/>
                    </w:rPr>
                    <w:t>不设置</w:t>
                  </w:r>
                </w:p>
              </w:tc>
            </w:tr>
            <w:tr w14:paraId="5418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891" w:type="dxa"/>
                  <w:vAlign w:val="top"/>
                </w:tcPr>
                <w:p w14:paraId="75CEAB4F">
                  <w:pPr>
                    <w:spacing w:line="256" w:lineRule="auto"/>
                    <w:rPr>
                      <w:rFonts w:ascii="Arial"/>
                      <w:sz w:val="21"/>
                    </w:rPr>
                  </w:pPr>
                </w:p>
                <w:p w14:paraId="6DDC7ED0">
                  <w:pPr>
                    <w:spacing w:line="257" w:lineRule="auto"/>
                    <w:rPr>
                      <w:rFonts w:ascii="Arial"/>
                      <w:sz w:val="21"/>
                    </w:rPr>
                  </w:pPr>
                </w:p>
                <w:p w14:paraId="09A9F6C4">
                  <w:pPr>
                    <w:spacing w:line="257" w:lineRule="auto"/>
                    <w:rPr>
                      <w:rFonts w:ascii="Arial"/>
                      <w:sz w:val="21"/>
                    </w:rPr>
                  </w:pPr>
                </w:p>
                <w:p w14:paraId="2DBB02EA">
                  <w:pPr>
                    <w:pStyle w:val="6"/>
                    <w:spacing w:before="59" w:line="219" w:lineRule="auto"/>
                    <w:ind w:left="179"/>
                    <w:rPr>
                      <w:sz w:val="18"/>
                      <w:szCs w:val="18"/>
                    </w:rPr>
                  </w:pPr>
                  <w:r>
                    <w:rPr>
                      <w:spacing w:val="-3"/>
                      <w:sz w:val="18"/>
                      <w:szCs w:val="18"/>
                    </w:rPr>
                    <w:t>地表水</w:t>
                  </w:r>
                </w:p>
              </w:tc>
              <w:tc>
                <w:tcPr>
                  <w:tcW w:w="2376" w:type="dxa"/>
                  <w:vAlign w:val="top"/>
                </w:tcPr>
                <w:p w14:paraId="257E13CB">
                  <w:pPr>
                    <w:spacing w:line="381" w:lineRule="auto"/>
                    <w:rPr>
                      <w:rFonts w:ascii="Arial"/>
                      <w:sz w:val="21"/>
                    </w:rPr>
                  </w:pPr>
                </w:p>
                <w:p w14:paraId="328BBF73">
                  <w:pPr>
                    <w:pStyle w:val="6"/>
                    <w:spacing w:before="58" w:line="260" w:lineRule="auto"/>
                    <w:ind w:left="89" w:right="85"/>
                    <w:jc w:val="both"/>
                    <w:rPr>
                      <w:sz w:val="18"/>
                      <w:szCs w:val="18"/>
                    </w:rPr>
                  </w:pPr>
                  <w:r>
                    <w:rPr>
                      <w:spacing w:val="-1"/>
                      <w:sz w:val="18"/>
                      <w:szCs w:val="18"/>
                    </w:rPr>
                    <w:t>新增工业废水直排建设项目</w:t>
                  </w:r>
                  <w:r>
                    <w:rPr>
                      <w:spacing w:val="3"/>
                      <w:sz w:val="18"/>
                      <w:szCs w:val="18"/>
                    </w:rPr>
                    <w:t xml:space="preserve"> </w:t>
                  </w:r>
                  <w:r>
                    <w:rPr>
                      <w:spacing w:val="-1"/>
                      <w:sz w:val="18"/>
                      <w:szCs w:val="18"/>
                    </w:rPr>
                    <w:t>（槽罐车外送污水处理厂的</w:t>
                  </w:r>
                  <w:r>
                    <w:rPr>
                      <w:spacing w:val="3"/>
                      <w:sz w:val="18"/>
                      <w:szCs w:val="18"/>
                    </w:rPr>
                    <w:t xml:space="preserve"> </w:t>
                  </w:r>
                  <w:r>
                    <w:rPr>
                      <w:spacing w:val="-2"/>
                      <w:sz w:val="18"/>
                      <w:szCs w:val="18"/>
                    </w:rPr>
                    <w:t>除外</w:t>
                  </w:r>
                  <w:r>
                    <w:rPr>
                      <w:spacing w:val="-43"/>
                      <w:w w:val="89"/>
                      <w:sz w:val="18"/>
                      <w:szCs w:val="18"/>
                    </w:rPr>
                    <w:t>）；</w:t>
                  </w:r>
                  <w:r>
                    <w:rPr>
                      <w:spacing w:val="-2"/>
                      <w:sz w:val="18"/>
                      <w:szCs w:val="18"/>
                    </w:rPr>
                    <w:t>新增废水直排的污水</w:t>
                  </w:r>
                  <w:r>
                    <w:rPr>
                      <w:spacing w:val="2"/>
                      <w:sz w:val="18"/>
                      <w:szCs w:val="18"/>
                    </w:rPr>
                    <w:t xml:space="preserve"> </w:t>
                  </w:r>
                  <w:r>
                    <w:rPr>
                      <w:spacing w:val="-2"/>
                      <w:sz w:val="18"/>
                      <w:szCs w:val="18"/>
                    </w:rPr>
                    <w:t>集中处理厂</w:t>
                  </w:r>
                </w:p>
              </w:tc>
              <w:tc>
                <w:tcPr>
                  <w:tcW w:w="2676" w:type="dxa"/>
                  <w:vAlign w:val="top"/>
                </w:tcPr>
                <w:p w14:paraId="518C0F58">
                  <w:pPr>
                    <w:pStyle w:val="6"/>
                    <w:spacing w:before="57" w:line="261" w:lineRule="auto"/>
                    <w:ind w:left="91" w:right="82" w:firstLine="3"/>
                    <w:rPr>
                      <w:sz w:val="18"/>
                      <w:szCs w:val="18"/>
                    </w:rPr>
                  </w:pPr>
                  <w:r>
                    <w:rPr>
                      <w:spacing w:val="-2"/>
                      <w:sz w:val="18"/>
                      <w:szCs w:val="18"/>
                    </w:rPr>
                    <w:t>项目为新建项目，营运期的切割</w:t>
                  </w:r>
                  <w:r>
                    <w:rPr>
                      <w:sz w:val="18"/>
                      <w:szCs w:val="18"/>
                    </w:rPr>
                    <w:t xml:space="preserve"> </w:t>
                  </w:r>
                  <w:r>
                    <w:rPr>
                      <w:spacing w:val="-2"/>
                      <w:sz w:val="18"/>
                      <w:szCs w:val="18"/>
                    </w:rPr>
                    <w:t>废料冲洗废水收集至废浆池，然</w:t>
                  </w:r>
                  <w:r>
                    <w:rPr>
                      <w:spacing w:val="3"/>
                      <w:sz w:val="18"/>
                      <w:szCs w:val="18"/>
                    </w:rPr>
                    <w:t xml:space="preserve"> </w:t>
                  </w:r>
                  <w:r>
                    <w:rPr>
                      <w:spacing w:val="-2"/>
                      <w:sz w:val="18"/>
                      <w:szCs w:val="18"/>
                    </w:rPr>
                    <w:t>后循环回用不外排。少量生活污</w:t>
                  </w:r>
                  <w:r>
                    <w:rPr>
                      <w:spacing w:val="3"/>
                      <w:sz w:val="18"/>
                      <w:szCs w:val="18"/>
                    </w:rPr>
                    <w:t xml:space="preserve"> </w:t>
                  </w:r>
                  <w:r>
                    <w:rPr>
                      <w:spacing w:val="-2"/>
                      <w:sz w:val="18"/>
                      <w:szCs w:val="18"/>
                    </w:rPr>
                    <w:t>水设化粪池预处理，定期拉运至</w:t>
                  </w:r>
                  <w:r>
                    <w:rPr>
                      <w:spacing w:val="3"/>
                      <w:sz w:val="18"/>
                      <w:szCs w:val="18"/>
                    </w:rPr>
                    <w:t xml:space="preserve"> </w:t>
                  </w:r>
                  <w:r>
                    <w:rPr>
                      <w:spacing w:val="-2"/>
                      <w:sz w:val="18"/>
                      <w:szCs w:val="18"/>
                    </w:rPr>
                    <w:t>东岳场镇生活污水处理厂处理。</w:t>
                  </w:r>
                  <w:r>
                    <w:rPr>
                      <w:spacing w:val="3"/>
                      <w:sz w:val="18"/>
                      <w:szCs w:val="18"/>
                    </w:rPr>
                    <w:t xml:space="preserve"> </w:t>
                  </w:r>
                  <w:r>
                    <w:rPr>
                      <w:spacing w:val="-1"/>
                      <w:sz w:val="18"/>
                      <w:szCs w:val="18"/>
                    </w:rPr>
                    <w:t>本项目不涉及新增工业废水直</w:t>
                  </w:r>
                </w:p>
                <w:p w14:paraId="1AC33054">
                  <w:pPr>
                    <w:pStyle w:val="6"/>
                    <w:spacing w:before="28" w:line="204" w:lineRule="auto"/>
                    <w:ind w:left="92"/>
                    <w:rPr>
                      <w:sz w:val="18"/>
                      <w:szCs w:val="18"/>
                    </w:rPr>
                  </w:pPr>
                  <w:r>
                    <w:rPr>
                      <w:spacing w:val="-1"/>
                      <w:sz w:val="18"/>
                      <w:szCs w:val="18"/>
                    </w:rPr>
                    <w:t>排，无需开展地表水专项评价</w:t>
                  </w:r>
                </w:p>
              </w:tc>
              <w:tc>
                <w:tcPr>
                  <w:tcW w:w="759" w:type="dxa"/>
                  <w:vAlign w:val="top"/>
                </w:tcPr>
                <w:p w14:paraId="5C183F4A">
                  <w:pPr>
                    <w:spacing w:line="257" w:lineRule="auto"/>
                    <w:rPr>
                      <w:rFonts w:ascii="Arial"/>
                      <w:sz w:val="21"/>
                    </w:rPr>
                  </w:pPr>
                </w:p>
                <w:p w14:paraId="61E1BCD4">
                  <w:pPr>
                    <w:spacing w:line="257" w:lineRule="auto"/>
                    <w:rPr>
                      <w:rFonts w:ascii="Arial"/>
                      <w:sz w:val="21"/>
                    </w:rPr>
                  </w:pPr>
                </w:p>
                <w:p w14:paraId="4ECC6DC6">
                  <w:pPr>
                    <w:spacing w:line="257" w:lineRule="auto"/>
                    <w:rPr>
                      <w:rFonts w:ascii="Arial"/>
                      <w:sz w:val="21"/>
                    </w:rPr>
                  </w:pPr>
                </w:p>
                <w:p w14:paraId="1920D056">
                  <w:pPr>
                    <w:pStyle w:val="6"/>
                    <w:spacing w:before="58" w:line="220" w:lineRule="auto"/>
                    <w:ind w:left="116"/>
                    <w:rPr>
                      <w:sz w:val="18"/>
                      <w:szCs w:val="18"/>
                    </w:rPr>
                  </w:pPr>
                  <w:r>
                    <w:rPr>
                      <w:spacing w:val="-4"/>
                      <w:sz w:val="18"/>
                      <w:szCs w:val="18"/>
                    </w:rPr>
                    <w:t>不设置</w:t>
                  </w:r>
                </w:p>
              </w:tc>
            </w:tr>
            <w:tr w14:paraId="395D2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91" w:type="dxa"/>
                  <w:tcBorders>
                    <w:bottom w:val="nil"/>
                  </w:tcBorders>
                  <w:vAlign w:val="top"/>
                </w:tcPr>
                <w:p w14:paraId="552BDB78">
                  <w:pPr>
                    <w:pStyle w:val="6"/>
                    <w:spacing w:before="54" w:line="232" w:lineRule="auto"/>
                    <w:ind w:left="270" w:right="262"/>
                    <w:rPr>
                      <w:sz w:val="18"/>
                      <w:szCs w:val="18"/>
                    </w:rPr>
                  </w:pPr>
                  <w:r>
                    <w:rPr>
                      <w:spacing w:val="-4"/>
                      <w:sz w:val="18"/>
                      <w:szCs w:val="18"/>
                    </w:rPr>
                    <w:t>环境</w:t>
                  </w:r>
                  <w:r>
                    <w:rPr>
                      <w:sz w:val="18"/>
                      <w:szCs w:val="18"/>
                    </w:rPr>
                    <w:t xml:space="preserve"> </w:t>
                  </w:r>
                  <w:r>
                    <w:rPr>
                      <w:spacing w:val="-4"/>
                      <w:sz w:val="18"/>
                      <w:szCs w:val="18"/>
                    </w:rPr>
                    <w:t>风险</w:t>
                  </w:r>
                </w:p>
              </w:tc>
              <w:tc>
                <w:tcPr>
                  <w:tcW w:w="2376" w:type="dxa"/>
                  <w:tcBorders>
                    <w:bottom w:val="nil"/>
                  </w:tcBorders>
                  <w:vAlign w:val="top"/>
                </w:tcPr>
                <w:p w14:paraId="68BB8981">
                  <w:pPr>
                    <w:pStyle w:val="6"/>
                    <w:spacing w:before="54" w:line="232" w:lineRule="auto"/>
                    <w:ind w:left="90" w:right="128"/>
                    <w:rPr>
                      <w:sz w:val="18"/>
                      <w:szCs w:val="18"/>
                    </w:rPr>
                  </w:pPr>
                  <w:r>
                    <w:rPr>
                      <w:spacing w:val="-1"/>
                      <w:sz w:val="18"/>
                      <w:szCs w:val="18"/>
                    </w:rPr>
                    <w:t>有毒有害和易燃易爆危险物</w:t>
                  </w:r>
                  <w:r>
                    <w:rPr>
                      <w:spacing w:val="3"/>
                      <w:sz w:val="18"/>
                      <w:szCs w:val="18"/>
                    </w:rPr>
                    <w:t xml:space="preserve"> </w:t>
                  </w:r>
                  <w:r>
                    <w:rPr>
                      <w:spacing w:val="-3"/>
                      <w:sz w:val="18"/>
                      <w:szCs w:val="18"/>
                    </w:rPr>
                    <w:t>质存储量超过临界量</w:t>
                  </w:r>
                  <w:r>
                    <w:rPr>
                      <w:spacing w:val="-37"/>
                      <w:sz w:val="18"/>
                      <w:szCs w:val="18"/>
                    </w:rPr>
                    <w:t xml:space="preserve"> </w:t>
                  </w:r>
                  <w:r>
                    <w:rPr>
                      <w:rFonts w:ascii="Times New Roman" w:hAnsi="Times New Roman" w:eastAsia="Times New Roman" w:cs="Times New Roman"/>
                      <w:spacing w:val="-3"/>
                      <w:position w:val="6"/>
                      <w:sz w:val="11"/>
                      <w:szCs w:val="11"/>
                    </w:rPr>
                    <w:t>3</w:t>
                  </w:r>
                  <w:r>
                    <w:rPr>
                      <w:rFonts w:ascii="Times New Roman" w:hAnsi="Times New Roman" w:eastAsia="Times New Roman" w:cs="Times New Roman"/>
                      <w:spacing w:val="23"/>
                      <w:w w:val="102"/>
                      <w:position w:val="6"/>
                      <w:sz w:val="11"/>
                      <w:szCs w:val="11"/>
                    </w:rPr>
                    <w:t xml:space="preserve"> </w:t>
                  </w:r>
                  <w:r>
                    <w:rPr>
                      <w:spacing w:val="-3"/>
                      <w:sz w:val="18"/>
                      <w:szCs w:val="18"/>
                    </w:rPr>
                    <w:t>的建</w:t>
                  </w:r>
                </w:p>
              </w:tc>
              <w:tc>
                <w:tcPr>
                  <w:tcW w:w="2676" w:type="dxa"/>
                  <w:tcBorders>
                    <w:bottom w:val="nil"/>
                  </w:tcBorders>
                  <w:vAlign w:val="top"/>
                </w:tcPr>
                <w:p w14:paraId="2CADD65E">
                  <w:pPr>
                    <w:pStyle w:val="6"/>
                    <w:spacing w:before="54" w:line="232" w:lineRule="auto"/>
                    <w:ind w:left="92" w:right="82" w:firstLine="2"/>
                    <w:rPr>
                      <w:sz w:val="18"/>
                      <w:szCs w:val="18"/>
                    </w:rPr>
                  </w:pPr>
                  <w:r>
                    <w:rPr>
                      <w:spacing w:val="-2"/>
                      <w:sz w:val="18"/>
                      <w:szCs w:val="18"/>
                    </w:rPr>
                    <w:t>项目涉及储存的废矿物油，属于</w:t>
                  </w:r>
                  <w:r>
                    <w:rPr>
                      <w:sz w:val="18"/>
                      <w:szCs w:val="18"/>
                    </w:rPr>
                    <w:t xml:space="preserve"> </w:t>
                  </w:r>
                  <w:r>
                    <w:rPr>
                      <w:spacing w:val="-4"/>
                      <w:sz w:val="18"/>
                      <w:szCs w:val="18"/>
                    </w:rPr>
                    <w:t>有毒有害和易燃易爆危险物质，</w:t>
                  </w:r>
                </w:p>
              </w:tc>
              <w:tc>
                <w:tcPr>
                  <w:tcW w:w="759" w:type="dxa"/>
                  <w:tcBorders>
                    <w:bottom w:val="nil"/>
                  </w:tcBorders>
                  <w:vAlign w:val="top"/>
                </w:tcPr>
                <w:p w14:paraId="15C49B1D">
                  <w:pPr>
                    <w:pStyle w:val="6"/>
                    <w:spacing w:before="183" w:line="220" w:lineRule="auto"/>
                    <w:ind w:left="116"/>
                    <w:rPr>
                      <w:sz w:val="18"/>
                      <w:szCs w:val="18"/>
                    </w:rPr>
                  </w:pPr>
                  <w:r>
                    <w:rPr>
                      <w:spacing w:val="-4"/>
                      <w:sz w:val="18"/>
                      <w:szCs w:val="18"/>
                    </w:rPr>
                    <w:t>不设置</w:t>
                  </w:r>
                </w:p>
              </w:tc>
            </w:tr>
          </w:tbl>
          <w:p w14:paraId="23AAB3DC">
            <w:pPr>
              <w:spacing w:line="14" w:lineRule="auto"/>
              <w:rPr>
                <w:rFonts w:ascii="Arial"/>
                <w:sz w:val="2"/>
              </w:rPr>
            </w:pPr>
          </w:p>
        </w:tc>
      </w:tr>
    </w:tbl>
    <w:p w14:paraId="6811A7FA">
      <w:pPr>
        <w:pStyle w:val="2"/>
      </w:pPr>
    </w:p>
    <w:p w14:paraId="19E988D3">
      <w:pPr>
        <w:sectPr>
          <w:footerReference r:id="rId5" w:type="default"/>
          <w:pgSz w:w="11906" w:h="16839"/>
          <w:pgMar w:top="1431" w:right="1508" w:bottom="1259" w:left="1508" w:header="0" w:footer="1080" w:gutter="0"/>
          <w:cols w:space="720" w:num="1"/>
        </w:sectPr>
      </w:pPr>
    </w:p>
    <w:p w14:paraId="5183B4E4">
      <w:pPr>
        <w:spacing w:before="28"/>
      </w:pPr>
      <w:r>
        <w:pict>
          <v:shape id="_x0000_s1027" o:spid="_x0000_s1027" style="position:absolute;left:0pt;margin-left:176.3pt;margin-top:85.05pt;height:663.75pt;width:0.5pt;mso-position-horizontal-relative:page;mso-position-vertical-relative:page;z-index:251660288;mso-width-relative:page;mso-height-relative:page;" filled="f" stroked="t" coordsize="10,13275" o:allowincell="f" path="m4,0l4,13275e">
            <v:fill on="f" focussize="0,0"/>
            <v:stroke weight="0.48pt" color="#000000" miterlimit="2" joinstyle="bevel"/>
            <v:imagedata o:title=""/>
            <o:lock v:ext="edit"/>
          </v:shape>
        </w:pict>
      </w: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219"/>
        <w:gridCol w:w="6870"/>
      </w:tblGrid>
      <w:tr w14:paraId="0F63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4" w:hRule="atLeast"/>
        </w:trPr>
        <w:tc>
          <w:tcPr>
            <w:tcW w:w="8874" w:type="dxa"/>
            <w:gridSpan w:val="3"/>
            <w:tcBorders>
              <w:left w:val="single" w:color="000000" w:sz="6" w:space="0"/>
              <w:right w:val="single" w:color="000000" w:sz="6" w:space="0"/>
            </w:tcBorders>
            <w:vAlign w:val="top"/>
          </w:tcPr>
          <w:p w14:paraId="4186E445">
            <w:pPr>
              <w:spacing w:line="52" w:lineRule="auto"/>
              <w:rPr>
                <w:rFonts w:ascii="Arial"/>
                <w:sz w:val="2"/>
              </w:rPr>
            </w:pPr>
          </w:p>
          <w:tbl>
            <w:tblPr>
              <w:tblStyle w:val="5"/>
              <w:tblW w:w="6702" w:type="dxa"/>
              <w:tblInd w:w="20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286"/>
              <w:gridCol w:w="1245"/>
              <w:gridCol w:w="1345"/>
              <w:gridCol w:w="1754"/>
              <w:gridCol w:w="493"/>
            </w:tblGrid>
            <w:tr w14:paraId="0C453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9" w:type="dxa"/>
                  <w:tcBorders>
                    <w:top w:val="nil"/>
                  </w:tcBorders>
                  <w:vAlign w:val="top"/>
                </w:tcPr>
                <w:p w14:paraId="5029723C">
                  <w:pPr>
                    <w:rPr>
                      <w:rFonts w:ascii="Arial"/>
                      <w:sz w:val="21"/>
                    </w:rPr>
                  </w:pPr>
                </w:p>
              </w:tc>
              <w:tc>
                <w:tcPr>
                  <w:tcW w:w="2531" w:type="dxa"/>
                  <w:gridSpan w:val="2"/>
                  <w:tcBorders>
                    <w:top w:val="nil"/>
                  </w:tcBorders>
                  <w:vAlign w:val="top"/>
                </w:tcPr>
                <w:p w14:paraId="2DF4C1EC">
                  <w:pPr>
                    <w:pStyle w:val="6"/>
                    <w:spacing w:before="65" w:line="220" w:lineRule="auto"/>
                    <w:ind w:left="404"/>
                    <w:rPr>
                      <w:sz w:val="18"/>
                      <w:szCs w:val="18"/>
                    </w:rPr>
                  </w:pPr>
                  <w:r>
                    <w:rPr>
                      <w:spacing w:val="-4"/>
                      <w:sz w:val="18"/>
                      <w:szCs w:val="18"/>
                    </w:rPr>
                    <w:t>设项目</w:t>
                  </w:r>
                </w:p>
              </w:tc>
              <w:tc>
                <w:tcPr>
                  <w:tcW w:w="1345" w:type="dxa"/>
                  <w:tcBorders>
                    <w:top w:val="nil"/>
                    <w:left w:val="nil"/>
                    <w:bottom w:val="nil"/>
                    <w:right w:val="nil"/>
                  </w:tcBorders>
                  <w:vAlign w:val="top"/>
                </w:tcPr>
                <w:p w14:paraId="4E5BBFF8">
                  <w:pPr>
                    <w:pStyle w:val="6"/>
                    <w:spacing w:before="64" w:line="470" w:lineRule="auto"/>
                    <w:ind w:left="253" w:hanging="6"/>
                    <w:rPr>
                      <w:sz w:val="9"/>
                      <w:szCs w:val="9"/>
                    </w:rPr>
                  </w:pPr>
                  <w:r>
                    <w:rPr>
                      <w:spacing w:val="9"/>
                      <w:sz w:val="9"/>
                      <w:szCs w:val="9"/>
                    </w:rPr>
                    <w:t>但其储量未超过物质临界</w:t>
                  </w:r>
                  <w:r>
                    <w:rPr>
                      <w:spacing w:val="4"/>
                      <w:sz w:val="9"/>
                      <w:szCs w:val="9"/>
                    </w:rPr>
                    <w:t xml:space="preserve"> </w:t>
                  </w:r>
                  <w:r>
                    <w:rPr>
                      <w:spacing w:val="8"/>
                      <w:sz w:val="9"/>
                      <w:szCs w:val="9"/>
                    </w:rPr>
                    <w:t>需开展环境风险专项评价</w:t>
                  </w:r>
                </w:p>
              </w:tc>
              <w:tc>
                <w:tcPr>
                  <w:tcW w:w="1754" w:type="dxa"/>
                  <w:tcBorders>
                    <w:top w:val="nil"/>
                    <w:left w:val="nil"/>
                  </w:tcBorders>
                  <w:vAlign w:val="top"/>
                </w:tcPr>
                <w:p w14:paraId="4F2A78C7">
                  <w:pPr>
                    <w:pStyle w:val="6"/>
                    <w:spacing w:before="65" w:line="220" w:lineRule="auto"/>
                    <w:ind w:left="886"/>
                    <w:rPr>
                      <w:sz w:val="18"/>
                      <w:szCs w:val="18"/>
                    </w:rPr>
                  </w:pPr>
                  <w:r>
                    <w:rPr>
                      <w:spacing w:val="-6"/>
                      <w:sz w:val="18"/>
                      <w:szCs w:val="18"/>
                    </w:rPr>
                    <w:t>量，无</w:t>
                  </w:r>
                </w:p>
                <w:p w14:paraId="61AD8AE1">
                  <w:pPr>
                    <w:pStyle w:val="6"/>
                    <w:spacing w:before="160" w:line="83" w:lineRule="exact"/>
                    <w:ind w:left="904"/>
                    <w:rPr>
                      <w:sz w:val="18"/>
                      <w:szCs w:val="18"/>
                    </w:rPr>
                  </w:pPr>
                  <w:r>
                    <w:rPr>
                      <w:position w:val="1"/>
                      <w:sz w:val="18"/>
                      <w:szCs w:val="18"/>
                    </w:rPr>
                    <w:t>。</w:t>
                  </w:r>
                </w:p>
              </w:tc>
              <w:tc>
                <w:tcPr>
                  <w:tcW w:w="493" w:type="dxa"/>
                  <w:tcBorders>
                    <w:top w:val="nil"/>
                  </w:tcBorders>
                  <w:vAlign w:val="top"/>
                </w:tcPr>
                <w:p w14:paraId="133808E1">
                  <w:pPr>
                    <w:rPr>
                      <w:rFonts w:ascii="Arial"/>
                      <w:sz w:val="21"/>
                    </w:rPr>
                  </w:pPr>
                </w:p>
              </w:tc>
            </w:tr>
            <w:tr w14:paraId="4258F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579" w:type="dxa"/>
                  <w:vAlign w:val="top"/>
                </w:tcPr>
                <w:p w14:paraId="15D50569">
                  <w:pPr>
                    <w:spacing w:line="257" w:lineRule="auto"/>
                    <w:rPr>
                      <w:rFonts w:ascii="Arial"/>
                      <w:sz w:val="21"/>
                    </w:rPr>
                  </w:pPr>
                </w:p>
                <w:p w14:paraId="52A27BDD">
                  <w:pPr>
                    <w:spacing w:line="257" w:lineRule="auto"/>
                    <w:rPr>
                      <w:rFonts w:ascii="Arial"/>
                      <w:sz w:val="21"/>
                    </w:rPr>
                  </w:pPr>
                </w:p>
                <w:p w14:paraId="06A48138">
                  <w:pPr>
                    <w:pStyle w:val="6"/>
                    <w:spacing w:before="58" w:line="224" w:lineRule="auto"/>
                    <w:jc w:val="right"/>
                    <w:rPr>
                      <w:sz w:val="18"/>
                      <w:szCs w:val="18"/>
                    </w:rPr>
                  </w:pPr>
                  <w:r>
                    <w:rPr>
                      <w:spacing w:val="-16"/>
                      <w:w w:val="91"/>
                      <w:sz w:val="18"/>
                      <w:szCs w:val="18"/>
                    </w:rPr>
                    <w:t>生</w:t>
                  </w:r>
                  <w:r>
                    <w:rPr>
                      <w:spacing w:val="-10"/>
                      <w:w w:val="91"/>
                      <w:sz w:val="18"/>
                      <w:szCs w:val="18"/>
                    </w:rPr>
                    <w:t>态</w:t>
                  </w:r>
                </w:p>
              </w:tc>
              <w:tc>
                <w:tcPr>
                  <w:tcW w:w="1286" w:type="dxa"/>
                  <w:tcBorders>
                    <w:top w:val="nil"/>
                    <w:left w:val="nil"/>
                    <w:bottom w:val="nil"/>
                    <w:right w:val="nil"/>
                  </w:tcBorders>
                  <w:vAlign w:val="top"/>
                </w:tcPr>
                <w:p w14:paraId="6391E91F">
                  <w:pPr>
                    <w:pStyle w:val="6"/>
                    <w:spacing w:before="57" w:line="180" w:lineRule="exact"/>
                    <w:jc w:val="right"/>
                    <w:rPr>
                      <w:sz w:val="8"/>
                      <w:szCs w:val="8"/>
                    </w:rPr>
                  </w:pPr>
                  <w:r>
                    <w:rPr>
                      <w:spacing w:val="6"/>
                      <w:position w:val="3"/>
                      <w:sz w:val="8"/>
                      <w:szCs w:val="8"/>
                    </w:rPr>
                    <w:t>取水口下游</w:t>
                  </w:r>
                  <w:r>
                    <w:rPr>
                      <w:spacing w:val="-14"/>
                      <w:position w:val="3"/>
                      <w:sz w:val="8"/>
                      <w:szCs w:val="8"/>
                    </w:rPr>
                    <w:t xml:space="preserve"> </w:t>
                  </w:r>
                  <w:r>
                    <w:rPr>
                      <w:rFonts w:ascii="Times New Roman" w:hAnsi="Times New Roman" w:eastAsia="Times New Roman" w:cs="Times New Roman"/>
                      <w:spacing w:val="6"/>
                      <w:position w:val="3"/>
                      <w:sz w:val="8"/>
                      <w:szCs w:val="8"/>
                    </w:rPr>
                    <w:t xml:space="preserve">500 </w:t>
                  </w:r>
                  <w:r>
                    <w:rPr>
                      <w:spacing w:val="6"/>
                      <w:position w:val="3"/>
                      <w:sz w:val="8"/>
                      <w:szCs w:val="8"/>
                    </w:rPr>
                    <w:t>米范围</w:t>
                  </w:r>
                </w:p>
                <w:p w14:paraId="4A47E165">
                  <w:pPr>
                    <w:pStyle w:val="6"/>
                    <w:spacing w:before="79" w:line="547" w:lineRule="auto"/>
                    <w:ind w:left="401"/>
                    <w:rPr>
                      <w:sz w:val="8"/>
                      <w:szCs w:val="8"/>
                    </w:rPr>
                  </w:pPr>
                  <w:r>
                    <w:rPr>
                      <w:sz w:val="8"/>
                      <w:szCs w:val="8"/>
                    </w:rPr>
                    <w:t>重要水生生物的自然产卵 场、索饵场、越冬场和</w:t>
                  </w:r>
                </w:p>
                <w:p w14:paraId="71869E73">
                  <w:pPr>
                    <w:pStyle w:val="6"/>
                    <w:spacing w:before="46" w:line="506" w:lineRule="auto"/>
                    <w:ind w:left="401"/>
                    <w:rPr>
                      <w:sz w:val="8"/>
                      <w:szCs w:val="8"/>
                    </w:rPr>
                  </w:pPr>
                  <w:r>
                    <w:rPr>
                      <w:spacing w:val="8"/>
                      <w:sz w:val="8"/>
                      <w:szCs w:val="8"/>
                    </w:rPr>
                    <w:t>通道的新增河道取水的</w:t>
                  </w:r>
                  <w:r>
                    <w:rPr>
                      <w:sz w:val="8"/>
                      <w:szCs w:val="8"/>
                    </w:rPr>
                    <w:t xml:space="preserve"> </w:t>
                  </w:r>
                  <w:r>
                    <w:rPr>
                      <w:spacing w:val="7"/>
                      <w:sz w:val="8"/>
                      <w:szCs w:val="8"/>
                    </w:rPr>
                    <w:t>类建设项目</w:t>
                  </w:r>
                </w:p>
              </w:tc>
              <w:tc>
                <w:tcPr>
                  <w:tcW w:w="1245" w:type="dxa"/>
                  <w:tcBorders>
                    <w:left w:val="nil"/>
                  </w:tcBorders>
                  <w:vAlign w:val="top"/>
                </w:tcPr>
                <w:p w14:paraId="06265DD6">
                  <w:pPr>
                    <w:pStyle w:val="6"/>
                    <w:spacing w:before="57" w:line="219" w:lineRule="auto"/>
                    <w:jc w:val="right"/>
                    <w:rPr>
                      <w:sz w:val="18"/>
                      <w:szCs w:val="18"/>
                    </w:rPr>
                  </w:pPr>
                  <w:r>
                    <w:rPr>
                      <w:spacing w:val="-48"/>
                      <w:sz w:val="18"/>
                      <w:szCs w:val="18"/>
                    </w:rPr>
                    <w:t>内</w:t>
                  </w:r>
                  <w:r>
                    <w:rPr>
                      <w:spacing w:val="-10"/>
                      <w:sz w:val="18"/>
                      <w:szCs w:val="18"/>
                    </w:rPr>
                    <w:t>有</w:t>
                  </w:r>
                </w:p>
                <w:p w14:paraId="6F2D3523">
                  <w:pPr>
                    <w:spacing w:line="245" w:lineRule="auto"/>
                    <w:rPr>
                      <w:rFonts w:ascii="Arial"/>
                      <w:sz w:val="21"/>
                    </w:rPr>
                  </w:pPr>
                </w:p>
                <w:p w14:paraId="040EFA53">
                  <w:pPr>
                    <w:pStyle w:val="6"/>
                    <w:spacing w:before="58" w:line="255" w:lineRule="auto"/>
                    <w:ind w:left="919" w:hanging="1"/>
                    <w:rPr>
                      <w:sz w:val="18"/>
                      <w:szCs w:val="18"/>
                    </w:rPr>
                  </w:pPr>
                  <w:r>
                    <w:rPr>
                      <w:spacing w:val="-16"/>
                      <w:w w:val="97"/>
                      <w:sz w:val="18"/>
                      <w:szCs w:val="18"/>
                    </w:rPr>
                    <w:t>洄</w:t>
                  </w:r>
                  <w:r>
                    <w:rPr>
                      <w:spacing w:val="-10"/>
                      <w:w w:val="97"/>
                      <w:sz w:val="18"/>
                      <w:szCs w:val="18"/>
                    </w:rPr>
                    <w:t>游</w:t>
                  </w:r>
                  <w:r>
                    <w:rPr>
                      <w:sz w:val="18"/>
                      <w:szCs w:val="18"/>
                    </w:rPr>
                    <w:t xml:space="preserve"> </w:t>
                  </w:r>
                  <w:r>
                    <w:rPr>
                      <w:spacing w:val="-22"/>
                      <w:w w:val="98"/>
                      <w:sz w:val="18"/>
                      <w:szCs w:val="18"/>
                    </w:rPr>
                    <w:t>污</w:t>
                  </w:r>
                  <w:r>
                    <w:rPr>
                      <w:spacing w:val="-8"/>
                      <w:w w:val="98"/>
                      <w:sz w:val="18"/>
                      <w:szCs w:val="18"/>
                    </w:rPr>
                    <w:t>染</w:t>
                  </w:r>
                </w:p>
              </w:tc>
              <w:tc>
                <w:tcPr>
                  <w:tcW w:w="1345" w:type="dxa"/>
                  <w:tcBorders>
                    <w:top w:val="nil"/>
                    <w:left w:val="nil"/>
                    <w:bottom w:val="nil"/>
                    <w:right w:val="nil"/>
                  </w:tcBorders>
                  <w:vAlign w:val="top"/>
                </w:tcPr>
                <w:p w14:paraId="4E8023CE">
                  <w:pPr>
                    <w:spacing w:line="286" w:lineRule="auto"/>
                    <w:rPr>
                      <w:rFonts w:ascii="Arial"/>
                      <w:sz w:val="21"/>
                    </w:rPr>
                  </w:pPr>
                </w:p>
                <w:p w14:paraId="7F122B2A">
                  <w:pPr>
                    <w:pStyle w:val="6"/>
                    <w:spacing w:before="29" w:line="504" w:lineRule="auto"/>
                    <w:ind w:left="249" w:firstLine="1"/>
                    <w:rPr>
                      <w:sz w:val="9"/>
                      <w:szCs w:val="9"/>
                    </w:rPr>
                  </w:pPr>
                  <w:r>
                    <w:rPr>
                      <w:spacing w:val="9"/>
                      <w:sz w:val="9"/>
                      <w:szCs w:val="9"/>
                    </w:rPr>
                    <w:t>项目生产用水来自城市自</w:t>
                  </w:r>
                  <w:r>
                    <w:rPr>
                      <w:spacing w:val="1"/>
                      <w:sz w:val="9"/>
                      <w:szCs w:val="9"/>
                    </w:rPr>
                    <w:t xml:space="preserve"> </w:t>
                  </w:r>
                  <w:r>
                    <w:rPr>
                      <w:spacing w:val="9"/>
                      <w:sz w:val="9"/>
                      <w:szCs w:val="9"/>
                    </w:rPr>
                    <w:t>管网，不涉及河道取水。</w:t>
                  </w:r>
                  <w:r>
                    <w:rPr>
                      <w:spacing w:val="1"/>
                      <w:sz w:val="9"/>
                      <w:szCs w:val="9"/>
                    </w:rPr>
                    <w:t xml:space="preserve"> </w:t>
                  </w:r>
                  <w:r>
                    <w:rPr>
                      <w:spacing w:val="8"/>
                      <w:sz w:val="9"/>
                      <w:szCs w:val="9"/>
                    </w:rPr>
                    <w:t>开展生态专项评价。</w:t>
                  </w:r>
                </w:p>
              </w:tc>
              <w:tc>
                <w:tcPr>
                  <w:tcW w:w="1754" w:type="dxa"/>
                  <w:tcBorders>
                    <w:left w:val="nil"/>
                  </w:tcBorders>
                  <w:vAlign w:val="top"/>
                </w:tcPr>
                <w:p w14:paraId="418A1930">
                  <w:pPr>
                    <w:spacing w:line="256" w:lineRule="auto"/>
                    <w:rPr>
                      <w:rFonts w:ascii="Arial"/>
                      <w:sz w:val="21"/>
                    </w:rPr>
                  </w:pPr>
                </w:p>
                <w:p w14:paraId="75B374B9">
                  <w:pPr>
                    <w:pStyle w:val="6"/>
                    <w:spacing w:before="59" w:line="219" w:lineRule="auto"/>
                    <w:ind w:left="887"/>
                    <w:rPr>
                      <w:sz w:val="18"/>
                      <w:szCs w:val="18"/>
                    </w:rPr>
                  </w:pPr>
                  <w:r>
                    <w:rPr>
                      <w:spacing w:val="-4"/>
                      <w:sz w:val="18"/>
                      <w:szCs w:val="18"/>
                    </w:rPr>
                    <w:t>来水</w:t>
                  </w:r>
                </w:p>
                <w:p w14:paraId="02599EA2">
                  <w:pPr>
                    <w:pStyle w:val="6"/>
                    <w:spacing w:before="45" w:line="220" w:lineRule="auto"/>
                    <w:ind w:left="872"/>
                    <w:rPr>
                      <w:sz w:val="18"/>
                      <w:szCs w:val="18"/>
                    </w:rPr>
                  </w:pPr>
                  <w:r>
                    <w:rPr>
                      <w:spacing w:val="-4"/>
                      <w:sz w:val="18"/>
                      <w:szCs w:val="18"/>
                    </w:rPr>
                    <w:t>故无需</w:t>
                  </w:r>
                </w:p>
              </w:tc>
              <w:tc>
                <w:tcPr>
                  <w:tcW w:w="493" w:type="dxa"/>
                  <w:vAlign w:val="top"/>
                </w:tcPr>
                <w:p w14:paraId="3CFBFCC1">
                  <w:pPr>
                    <w:spacing w:line="256" w:lineRule="auto"/>
                    <w:rPr>
                      <w:rFonts w:ascii="Arial"/>
                      <w:sz w:val="21"/>
                    </w:rPr>
                  </w:pPr>
                </w:p>
                <w:p w14:paraId="58DAA70E">
                  <w:pPr>
                    <w:spacing w:line="257" w:lineRule="auto"/>
                    <w:rPr>
                      <w:rFonts w:ascii="Arial"/>
                      <w:sz w:val="21"/>
                    </w:rPr>
                  </w:pPr>
                </w:p>
                <w:p w14:paraId="3D8EB77E">
                  <w:pPr>
                    <w:pStyle w:val="6"/>
                    <w:spacing w:before="59" w:line="221" w:lineRule="auto"/>
                    <w:rPr>
                      <w:sz w:val="18"/>
                      <w:szCs w:val="18"/>
                    </w:rPr>
                  </w:pPr>
                  <w:r>
                    <w:rPr>
                      <w:spacing w:val="-14"/>
                      <w:w w:val="87"/>
                      <w:sz w:val="18"/>
                      <w:szCs w:val="18"/>
                    </w:rPr>
                    <w:t>不设置</w:t>
                  </w:r>
                </w:p>
              </w:tc>
            </w:tr>
            <w:tr w14:paraId="46B0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79" w:type="dxa"/>
                  <w:vAlign w:val="top"/>
                </w:tcPr>
                <w:p w14:paraId="55DEC289">
                  <w:pPr>
                    <w:pStyle w:val="6"/>
                    <w:spacing w:before="206" w:line="220" w:lineRule="auto"/>
                    <w:jc w:val="right"/>
                    <w:rPr>
                      <w:sz w:val="18"/>
                      <w:szCs w:val="18"/>
                    </w:rPr>
                  </w:pPr>
                  <w:r>
                    <w:rPr>
                      <w:spacing w:val="-14"/>
                      <w:w w:val="91"/>
                      <w:sz w:val="18"/>
                      <w:szCs w:val="18"/>
                    </w:rPr>
                    <w:t>海</w:t>
                  </w:r>
                  <w:r>
                    <w:rPr>
                      <w:spacing w:val="-10"/>
                      <w:w w:val="91"/>
                      <w:sz w:val="18"/>
                      <w:szCs w:val="18"/>
                    </w:rPr>
                    <w:t>洋</w:t>
                  </w:r>
                </w:p>
              </w:tc>
              <w:tc>
                <w:tcPr>
                  <w:tcW w:w="1286" w:type="dxa"/>
                  <w:tcBorders>
                    <w:top w:val="nil"/>
                    <w:left w:val="nil"/>
                    <w:bottom w:val="nil"/>
                    <w:right w:val="nil"/>
                  </w:tcBorders>
                  <w:vAlign w:val="top"/>
                </w:tcPr>
                <w:p w14:paraId="65FB27A1">
                  <w:pPr>
                    <w:pStyle w:val="6"/>
                    <w:spacing w:before="74" w:line="511" w:lineRule="auto"/>
                    <w:ind w:left="403"/>
                    <w:rPr>
                      <w:sz w:val="8"/>
                      <w:szCs w:val="8"/>
                    </w:rPr>
                  </w:pPr>
                  <w:r>
                    <w:rPr>
                      <w:spacing w:val="8"/>
                      <w:sz w:val="8"/>
                      <w:szCs w:val="8"/>
                    </w:rPr>
                    <w:t>直接向海排放污染物的</w:t>
                  </w:r>
                  <w:r>
                    <w:rPr>
                      <w:sz w:val="8"/>
                      <w:szCs w:val="8"/>
                    </w:rPr>
                    <w:t xml:space="preserve"> </w:t>
                  </w:r>
                  <w:r>
                    <w:rPr>
                      <w:spacing w:val="7"/>
                      <w:sz w:val="8"/>
                      <w:szCs w:val="8"/>
                    </w:rPr>
                    <w:t>工程建设项目</w:t>
                  </w:r>
                </w:p>
              </w:tc>
              <w:tc>
                <w:tcPr>
                  <w:tcW w:w="1245" w:type="dxa"/>
                  <w:tcBorders>
                    <w:left w:val="nil"/>
                  </w:tcBorders>
                  <w:vAlign w:val="top"/>
                </w:tcPr>
                <w:p w14:paraId="429CDBDA">
                  <w:pPr>
                    <w:pStyle w:val="6"/>
                    <w:spacing w:before="74" w:line="220" w:lineRule="auto"/>
                    <w:jc w:val="right"/>
                    <w:rPr>
                      <w:sz w:val="18"/>
                      <w:szCs w:val="18"/>
                    </w:rPr>
                  </w:pPr>
                  <w:r>
                    <w:rPr>
                      <w:spacing w:val="-16"/>
                      <w:w w:val="97"/>
                      <w:sz w:val="18"/>
                      <w:szCs w:val="18"/>
                    </w:rPr>
                    <w:t>海</w:t>
                  </w:r>
                  <w:r>
                    <w:rPr>
                      <w:spacing w:val="-10"/>
                      <w:w w:val="97"/>
                      <w:sz w:val="18"/>
                      <w:szCs w:val="18"/>
                    </w:rPr>
                    <w:t>洋</w:t>
                  </w:r>
                </w:p>
              </w:tc>
              <w:tc>
                <w:tcPr>
                  <w:tcW w:w="1345" w:type="dxa"/>
                  <w:tcBorders>
                    <w:top w:val="nil"/>
                    <w:left w:val="nil"/>
                    <w:bottom w:val="nil"/>
                    <w:right w:val="nil"/>
                  </w:tcBorders>
                  <w:vAlign w:val="top"/>
                </w:tcPr>
                <w:p w14:paraId="2D1DF727">
                  <w:pPr>
                    <w:pStyle w:val="6"/>
                    <w:spacing w:before="74" w:line="454" w:lineRule="auto"/>
                    <w:ind w:left="252"/>
                    <w:rPr>
                      <w:sz w:val="9"/>
                      <w:szCs w:val="9"/>
                    </w:rPr>
                  </w:pPr>
                  <w:r>
                    <w:rPr>
                      <w:spacing w:val="9"/>
                      <w:sz w:val="9"/>
                      <w:szCs w:val="9"/>
                    </w:rPr>
                    <w:t>项目不属于海洋工程建设</w:t>
                  </w:r>
                  <w:r>
                    <w:rPr>
                      <w:sz w:val="9"/>
                      <w:szCs w:val="9"/>
                    </w:rPr>
                    <w:t xml:space="preserve"> </w:t>
                  </w:r>
                  <w:r>
                    <w:rPr>
                      <w:spacing w:val="9"/>
                      <w:sz w:val="9"/>
                      <w:szCs w:val="9"/>
                    </w:rPr>
                    <w:t>故无需开展海洋专项评价</w:t>
                  </w:r>
                </w:p>
              </w:tc>
              <w:tc>
                <w:tcPr>
                  <w:tcW w:w="1754" w:type="dxa"/>
                  <w:tcBorders>
                    <w:left w:val="nil"/>
                  </w:tcBorders>
                  <w:vAlign w:val="top"/>
                </w:tcPr>
                <w:p w14:paraId="034C55A1">
                  <w:pPr>
                    <w:pStyle w:val="6"/>
                    <w:spacing w:before="74" w:line="220" w:lineRule="auto"/>
                    <w:ind w:left="889"/>
                    <w:rPr>
                      <w:sz w:val="18"/>
                      <w:szCs w:val="18"/>
                    </w:rPr>
                  </w:pPr>
                  <w:r>
                    <w:rPr>
                      <w:spacing w:val="-4"/>
                      <w:sz w:val="18"/>
                      <w:szCs w:val="18"/>
                    </w:rPr>
                    <w:t>项目，</w:t>
                  </w:r>
                </w:p>
                <w:p w14:paraId="3FFD7E40">
                  <w:pPr>
                    <w:pStyle w:val="6"/>
                    <w:spacing w:before="163" w:line="65" w:lineRule="exact"/>
                    <w:ind w:left="904"/>
                    <w:rPr>
                      <w:sz w:val="18"/>
                      <w:szCs w:val="18"/>
                    </w:rPr>
                  </w:pPr>
                  <w:r>
                    <w:rPr>
                      <w:sz w:val="18"/>
                      <w:szCs w:val="18"/>
                    </w:rPr>
                    <w:t>。</w:t>
                  </w:r>
                </w:p>
              </w:tc>
              <w:tc>
                <w:tcPr>
                  <w:tcW w:w="493" w:type="dxa"/>
                  <w:vAlign w:val="top"/>
                </w:tcPr>
                <w:p w14:paraId="052D0DA7">
                  <w:pPr>
                    <w:pStyle w:val="6"/>
                    <w:spacing w:before="206" w:line="221" w:lineRule="auto"/>
                    <w:rPr>
                      <w:sz w:val="18"/>
                      <w:szCs w:val="18"/>
                    </w:rPr>
                  </w:pPr>
                  <w:r>
                    <w:rPr>
                      <w:spacing w:val="-14"/>
                      <w:w w:val="87"/>
                      <w:sz w:val="18"/>
                      <w:szCs w:val="18"/>
                    </w:rPr>
                    <w:t>不设置</w:t>
                  </w:r>
                </w:p>
              </w:tc>
            </w:tr>
            <w:tr w14:paraId="2ADC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79" w:type="dxa"/>
                  <w:vAlign w:val="top"/>
                </w:tcPr>
                <w:p w14:paraId="68CB0985">
                  <w:pPr>
                    <w:spacing w:line="403" w:lineRule="auto"/>
                    <w:rPr>
                      <w:rFonts w:ascii="Arial"/>
                      <w:sz w:val="21"/>
                    </w:rPr>
                  </w:pPr>
                </w:p>
                <w:p w14:paraId="38D1D427">
                  <w:pPr>
                    <w:pStyle w:val="6"/>
                    <w:spacing w:before="58" w:line="219" w:lineRule="auto"/>
                    <w:jc w:val="right"/>
                    <w:rPr>
                      <w:sz w:val="18"/>
                      <w:szCs w:val="18"/>
                    </w:rPr>
                  </w:pPr>
                  <w:r>
                    <w:rPr>
                      <w:spacing w:val="-17"/>
                      <w:w w:val="80"/>
                      <w:sz w:val="18"/>
                      <w:szCs w:val="18"/>
                    </w:rPr>
                    <w:t>地</w:t>
                  </w:r>
                  <w:r>
                    <w:rPr>
                      <w:spacing w:val="-16"/>
                      <w:w w:val="80"/>
                      <w:sz w:val="18"/>
                      <w:szCs w:val="18"/>
                    </w:rPr>
                    <w:t>下</w:t>
                  </w:r>
                  <w:r>
                    <w:rPr>
                      <w:spacing w:val="-9"/>
                      <w:w w:val="80"/>
                      <w:sz w:val="18"/>
                      <w:szCs w:val="18"/>
                    </w:rPr>
                    <w:t>水</w:t>
                  </w:r>
                </w:p>
              </w:tc>
              <w:tc>
                <w:tcPr>
                  <w:tcW w:w="1286" w:type="dxa"/>
                  <w:tcBorders>
                    <w:top w:val="nil"/>
                    <w:left w:val="nil"/>
                    <w:bottom w:val="nil"/>
                    <w:right w:val="nil"/>
                  </w:tcBorders>
                  <w:vAlign w:val="top"/>
                </w:tcPr>
                <w:p w14:paraId="38A5AFE7">
                  <w:pPr>
                    <w:pStyle w:val="6"/>
                    <w:spacing w:before="202" w:line="566" w:lineRule="auto"/>
                    <w:ind w:left="403"/>
                    <w:jc w:val="both"/>
                    <w:rPr>
                      <w:sz w:val="8"/>
                      <w:szCs w:val="8"/>
                    </w:rPr>
                  </w:pPr>
                  <w:r>
                    <w:rPr>
                      <w:spacing w:val="8"/>
                      <w:sz w:val="8"/>
                      <w:szCs w:val="8"/>
                    </w:rPr>
                    <w:t>涉及集中式饮用水水源</w:t>
                  </w:r>
                  <w:r>
                    <w:rPr>
                      <w:sz w:val="8"/>
                      <w:szCs w:val="8"/>
                    </w:rPr>
                    <w:t xml:space="preserve"> </w:t>
                  </w:r>
                  <w:r>
                    <w:rPr>
                      <w:spacing w:val="7"/>
                      <w:sz w:val="8"/>
                      <w:szCs w:val="8"/>
                    </w:rPr>
                    <w:t>水、矿泉水、温泉等特</w:t>
                  </w:r>
                  <w:r>
                    <w:rPr>
                      <w:spacing w:val="8"/>
                      <w:sz w:val="8"/>
                      <w:szCs w:val="8"/>
                    </w:rPr>
                    <w:t xml:space="preserve"> </w:t>
                  </w:r>
                  <w:r>
                    <w:rPr>
                      <w:spacing w:val="7"/>
                      <w:sz w:val="8"/>
                      <w:szCs w:val="8"/>
                    </w:rPr>
                    <w:t>下水资源保护区</w:t>
                  </w:r>
                </w:p>
              </w:tc>
              <w:tc>
                <w:tcPr>
                  <w:tcW w:w="1245" w:type="dxa"/>
                  <w:tcBorders>
                    <w:left w:val="nil"/>
                  </w:tcBorders>
                  <w:vAlign w:val="top"/>
                </w:tcPr>
                <w:p w14:paraId="334CEA31">
                  <w:pPr>
                    <w:pStyle w:val="6"/>
                    <w:spacing w:before="203" w:line="255" w:lineRule="auto"/>
                    <w:ind w:left="918"/>
                    <w:rPr>
                      <w:sz w:val="18"/>
                      <w:szCs w:val="18"/>
                    </w:rPr>
                  </w:pPr>
                  <w:r>
                    <w:rPr>
                      <w:spacing w:val="-27"/>
                      <w:sz w:val="18"/>
                      <w:szCs w:val="18"/>
                    </w:rPr>
                    <w:t>和</w:t>
                  </w:r>
                  <w:r>
                    <w:rPr>
                      <w:spacing w:val="-11"/>
                      <w:sz w:val="18"/>
                      <w:szCs w:val="18"/>
                    </w:rPr>
                    <w:t>热</w:t>
                  </w:r>
                  <w:r>
                    <w:rPr>
                      <w:sz w:val="18"/>
                      <w:szCs w:val="18"/>
                    </w:rPr>
                    <w:t xml:space="preserve"> </w:t>
                  </w:r>
                  <w:r>
                    <w:rPr>
                      <w:spacing w:val="-18"/>
                      <w:w w:val="97"/>
                      <w:sz w:val="18"/>
                      <w:szCs w:val="18"/>
                    </w:rPr>
                    <w:t>殊</w:t>
                  </w:r>
                  <w:r>
                    <w:rPr>
                      <w:spacing w:val="-8"/>
                      <w:w w:val="97"/>
                      <w:sz w:val="18"/>
                      <w:szCs w:val="18"/>
                    </w:rPr>
                    <w:t>地</w:t>
                  </w:r>
                </w:p>
              </w:tc>
              <w:tc>
                <w:tcPr>
                  <w:tcW w:w="1345" w:type="dxa"/>
                  <w:tcBorders>
                    <w:top w:val="nil"/>
                    <w:left w:val="nil"/>
                    <w:bottom w:val="nil"/>
                    <w:right w:val="nil"/>
                  </w:tcBorders>
                  <w:vAlign w:val="top"/>
                </w:tcPr>
                <w:p w14:paraId="48C5048E">
                  <w:pPr>
                    <w:pStyle w:val="6"/>
                    <w:spacing w:before="72" w:line="502" w:lineRule="auto"/>
                    <w:ind w:left="249" w:firstLine="1"/>
                    <w:jc w:val="both"/>
                    <w:rPr>
                      <w:sz w:val="9"/>
                      <w:szCs w:val="9"/>
                    </w:rPr>
                  </w:pPr>
                  <w:r>
                    <w:rPr>
                      <w:spacing w:val="9"/>
                      <w:sz w:val="9"/>
                      <w:szCs w:val="9"/>
                    </w:rPr>
                    <w:t>项目不涉及集中式饮用水</w:t>
                  </w:r>
                  <w:r>
                    <w:rPr>
                      <w:spacing w:val="1"/>
                      <w:sz w:val="9"/>
                      <w:szCs w:val="9"/>
                    </w:rPr>
                    <w:t xml:space="preserve"> </w:t>
                  </w:r>
                  <w:r>
                    <w:rPr>
                      <w:spacing w:val="8"/>
                      <w:sz w:val="9"/>
                      <w:szCs w:val="9"/>
                    </w:rPr>
                    <w:t>和热水、矿泉水、温泉等</w:t>
                  </w:r>
                  <w:r>
                    <w:rPr>
                      <w:spacing w:val="4"/>
                      <w:sz w:val="9"/>
                      <w:szCs w:val="9"/>
                    </w:rPr>
                    <w:t xml:space="preserve"> </w:t>
                  </w:r>
                  <w:r>
                    <w:rPr>
                      <w:spacing w:val="8"/>
                      <w:sz w:val="9"/>
                      <w:szCs w:val="9"/>
                    </w:rPr>
                    <w:t>下水资源保护区，故无需</w:t>
                  </w:r>
                  <w:r>
                    <w:rPr>
                      <w:spacing w:val="4"/>
                      <w:sz w:val="9"/>
                      <w:szCs w:val="9"/>
                    </w:rPr>
                    <w:t xml:space="preserve"> </w:t>
                  </w:r>
                  <w:r>
                    <w:rPr>
                      <w:spacing w:val="7"/>
                      <w:sz w:val="9"/>
                      <w:szCs w:val="9"/>
                    </w:rPr>
                    <w:t>下水专项评价。</w:t>
                  </w:r>
                </w:p>
              </w:tc>
              <w:tc>
                <w:tcPr>
                  <w:tcW w:w="1754" w:type="dxa"/>
                  <w:tcBorders>
                    <w:left w:val="nil"/>
                  </w:tcBorders>
                  <w:vAlign w:val="top"/>
                </w:tcPr>
                <w:p w14:paraId="021584BD">
                  <w:pPr>
                    <w:pStyle w:val="6"/>
                    <w:spacing w:before="73" w:line="219" w:lineRule="auto"/>
                    <w:ind w:left="888"/>
                    <w:rPr>
                      <w:sz w:val="18"/>
                      <w:szCs w:val="18"/>
                    </w:rPr>
                  </w:pPr>
                  <w:r>
                    <w:rPr>
                      <w:spacing w:val="-5"/>
                      <w:sz w:val="18"/>
                      <w:szCs w:val="18"/>
                    </w:rPr>
                    <w:t>水源</w:t>
                  </w:r>
                </w:p>
                <w:p w14:paraId="1E151195">
                  <w:pPr>
                    <w:pStyle w:val="6"/>
                    <w:spacing w:before="48" w:line="253" w:lineRule="auto"/>
                    <w:ind w:left="869" w:right="348"/>
                    <w:rPr>
                      <w:sz w:val="18"/>
                      <w:szCs w:val="18"/>
                    </w:rPr>
                  </w:pPr>
                  <w:r>
                    <w:rPr>
                      <w:spacing w:val="-3"/>
                      <w:sz w:val="18"/>
                      <w:szCs w:val="18"/>
                    </w:rPr>
                    <w:t>特殊地</w:t>
                  </w:r>
                  <w:r>
                    <w:rPr>
                      <w:sz w:val="18"/>
                      <w:szCs w:val="18"/>
                    </w:rPr>
                    <w:t xml:space="preserve"> </w:t>
                  </w:r>
                  <w:r>
                    <w:rPr>
                      <w:spacing w:val="-3"/>
                      <w:sz w:val="18"/>
                      <w:szCs w:val="18"/>
                    </w:rPr>
                    <w:t>开展地</w:t>
                  </w:r>
                </w:p>
              </w:tc>
              <w:tc>
                <w:tcPr>
                  <w:tcW w:w="493" w:type="dxa"/>
                  <w:vAlign w:val="top"/>
                </w:tcPr>
                <w:p w14:paraId="0835F510">
                  <w:pPr>
                    <w:spacing w:line="402" w:lineRule="auto"/>
                    <w:rPr>
                      <w:rFonts w:ascii="Arial"/>
                      <w:sz w:val="21"/>
                    </w:rPr>
                  </w:pPr>
                </w:p>
                <w:p w14:paraId="2DD88852">
                  <w:pPr>
                    <w:pStyle w:val="6"/>
                    <w:spacing w:before="59" w:line="221" w:lineRule="auto"/>
                    <w:rPr>
                      <w:sz w:val="18"/>
                      <w:szCs w:val="18"/>
                    </w:rPr>
                  </w:pPr>
                  <w:r>
                    <w:rPr>
                      <w:spacing w:val="-14"/>
                      <w:w w:val="87"/>
                      <w:sz w:val="18"/>
                      <w:szCs w:val="18"/>
                    </w:rPr>
                    <w:t>不设置</w:t>
                  </w:r>
                </w:p>
              </w:tc>
            </w:tr>
          </w:tbl>
          <w:p w14:paraId="3A0BFB09">
            <w:pPr>
              <w:spacing w:line="241" w:lineRule="exact"/>
              <w:rPr>
                <w:rFonts w:ascii="Arial"/>
                <w:sz w:val="20"/>
              </w:rPr>
            </w:pPr>
          </w:p>
        </w:tc>
      </w:tr>
      <w:tr w14:paraId="6AA5F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85" w:type="dxa"/>
            <w:tcBorders>
              <w:left w:val="single" w:color="000000" w:sz="6" w:space="0"/>
              <w:right w:val="nil"/>
            </w:tcBorders>
            <w:vAlign w:val="top"/>
          </w:tcPr>
          <w:p w14:paraId="26EC1268">
            <w:pPr>
              <w:spacing w:line="251" w:lineRule="auto"/>
              <w:rPr>
                <w:rFonts w:ascii="Arial"/>
                <w:sz w:val="21"/>
              </w:rPr>
            </w:pPr>
          </w:p>
          <w:p w14:paraId="652CA47B">
            <w:pPr>
              <w:spacing w:line="252" w:lineRule="auto"/>
              <w:rPr>
                <w:rFonts w:ascii="Arial"/>
                <w:sz w:val="21"/>
              </w:rPr>
            </w:pPr>
          </w:p>
          <w:p w14:paraId="005D4285">
            <w:pPr>
              <w:spacing w:line="252" w:lineRule="auto"/>
              <w:rPr>
                <w:rFonts w:ascii="Arial"/>
                <w:sz w:val="21"/>
              </w:rPr>
            </w:pPr>
          </w:p>
          <w:p w14:paraId="188FBCB0">
            <w:pPr>
              <w:spacing w:line="252" w:lineRule="auto"/>
              <w:rPr>
                <w:rFonts w:ascii="Arial"/>
                <w:sz w:val="21"/>
              </w:rPr>
            </w:pPr>
          </w:p>
          <w:p w14:paraId="23623B4B">
            <w:pPr>
              <w:pStyle w:val="6"/>
              <w:spacing w:before="72" w:line="221" w:lineRule="auto"/>
              <w:ind w:left="569"/>
            </w:pPr>
            <w:r>
              <w:rPr>
                <w:spacing w:val="-3"/>
              </w:rPr>
              <w:t>规划情况</w:t>
            </w:r>
          </w:p>
        </w:tc>
        <w:tc>
          <w:tcPr>
            <w:tcW w:w="7089" w:type="dxa"/>
            <w:gridSpan w:val="2"/>
            <w:tcBorders>
              <w:left w:val="nil"/>
              <w:right w:val="single" w:color="000000" w:sz="6" w:space="0"/>
            </w:tcBorders>
            <w:vAlign w:val="top"/>
          </w:tcPr>
          <w:p w14:paraId="1F3060A8">
            <w:pPr>
              <w:pStyle w:val="6"/>
              <w:spacing w:before="143" w:line="227" w:lineRule="auto"/>
              <w:ind w:left="329"/>
              <w:rPr>
                <w:sz w:val="20"/>
                <w:szCs w:val="20"/>
              </w:rPr>
            </w:pPr>
            <w:r>
              <w:rPr>
                <w:b/>
                <w:bCs/>
                <w:spacing w:val="9"/>
                <w:sz w:val="20"/>
                <w:szCs w:val="20"/>
              </w:rPr>
              <w:t>规划名称</w:t>
            </w:r>
            <w:r>
              <w:rPr>
                <w:spacing w:val="9"/>
                <w:sz w:val="20"/>
                <w:szCs w:val="20"/>
              </w:rPr>
              <w:t>：达州市通川区东岳新型工业集聚区规划</w:t>
            </w:r>
          </w:p>
          <w:p w14:paraId="38B6ABD9">
            <w:pPr>
              <w:pStyle w:val="6"/>
              <w:spacing w:before="153" w:line="355" w:lineRule="auto"/>
              <w:ind w:left="333" w:right="88" w:hanging="4"/>
              <w:rPr>
                <w:sz w:val="20"/>
                <w:szCs w:val="20"/>
              </w:rPr>
            </w:pPr>
            <w:r>
              <w:rPr>
                <w:b/>
                <w:bCs/>
                <w:spacing w:val="8"/>
                <w:sz w:val="20"/>
                <w:szCs w:val="20"/>
              </w:rPr>
              <w:t>规划区范围</w:t>
            </w:r>
            <w:r>
              <w:rPr>
                <w:spacing w:val="8"/>
                <w:sz w:val="20"/>
                <w:szCs w:val="20"/>
              </w:rPr>
              <w:t>：东以达州市环城高速为界，北至魏兴接壤处，西</w:t>
            </w:r>
            <w:r>
              <w:rPr>
                <w:spacing w:val="7"/>
                <w:sz w:val="20"/>
                <w:szCs w:val="20"/>
              </w:rPr>
              <w:t>至襄渝铁路</w:t>
            </w:r>
            <w:r>
              <w:rPr>
                <w:sz w:val="20"/>
                <w:szCs w:val="20"/>
              </w:rPr>
              <w:t xml:space="preserve"> </w:t>
            </w:r>
            <w:r>
              <w:rPr>
                <w:spacing w:val="8"/>
                <w:sz w:val="20"/>
                <w:szCs w:val="20"/>
              </w:rPr>
              <w:t>复线以东，南至双龙镇接壤处，规划面积</w:t>
            </w:r>
            <w:r>
              <w:rPr>
                <w:rFonts w:ascii="Times New Roman" w:hAnsi="Times New Roman" w:eastAsia="Times New Roman" w:cs="Times New Roman"/>
                <w:spacing w:val="8"/>
                <w:sz w:val="20"/>
                <w:szCs w:val="20"/>
              </w:rPr>
              <w:t>7.34</w:t>
            </w:r>
            <w:r>
              <w:rPr>
                <w:rFonts w:ascii="Times New Roman" w:hAnsi="Times New Roman" w:eastAsia="Times New Roman" w:cs="Times New Roman"/>
                <w:sz w:val="20"/>
                <w:szCs w:val="20"/>
              </w:rPr>
              <w:t>km</w:t>
            </w:r>
            <w:r>
              <w:rPr>
                <w:rFonts w:ascii="Times New Roman" w:hAnsi="Times New Roman" w:eastAsia="Times New Roman" w:cs="Times New Roman"/>
                <w:spacing w:val="8"/>
                <w:position w:val="6"/>
                <w:sz w:val="13"/>
                <w:szCs w:val="13"/>
              </w:rPr>
              <w:t>2</w:t>
            </w:r>
            <w:r>
              <w:rPr>
                <w:spacing w:val="8"/>
                <w:sz w:val="20"/>
                <w:szCs w:val="20"/>
              </w:rPr>
              <w:t>。</w:t>
            </w:r>
          </w:p>
          <w:p w14:paraId="35809AA2">
            <w:pPr>
              <w:pStyle w:val="6"/>
              <w:spacing w:before="32" w:line="323" w:lineRule="auto"/>
              <w:ind w:left="328" w:right="86" w:firstLine="3"/>
              <w:rPr>
                <w:sz w:val="20"/>
                <w:szCs w:val="20"/>
              </w:rPr>
            </w:pPr>
            <w:r>
              <w:rPr>
                <w:b/>
                <w:bCs/>
                <w:spacing w:val="8"/>
                <w:sz w:val="20"/>
                <w:szCs w:val="20"/>
              </w:rPr>
              <w:t>功能定位</w:t>
            </w:r>
            <w:r>
              <w:rPr>
                <w:spacing w:val="8"/>
                <w:sz w:val="20"/>
                <w:szCs w:val="20"/>
              </w:rPr>
              <w:t>：达州市通川区东岳新型工业集聚区定位发展成以轻工电</w:t>
            </w:r>
            <w:r>
              <w:rPr>
                <w:spacing w:val="7"/>
                <w:sz w:val="20"/>
                <w:szCs w:val="20"/>
              </w:rPr>
              <w:t>子、新</w:t>
            </w:r>
            <w:r>
              <w:rPr>
                <w:sz w:val="20"/>
                <w:szCs w:val="20"/>
              </w:rPr>
              <w:t xml:space="preserve"> </w:t>
            </w:r>
            <w:r>
              <w:rPr>
                <w:spacing w:val="8"/>
                <w:sz w:val="20"/>
                <w:szCs w:val="20"/>
              </w:rPr>
              <w:t>材料、节能环保、机械制造产业为主导，同时承接部分传统产业退城进郊</w:t>
            </w:r>
            <w:r>
              <w:rPr>
                <w:spacing w:val="6"/>
                <w:sz w:val="20"/>
                <w:szCs w:val="20"/>
              </w:rPr>
              <w:t xml:space="preserve"> </w:t>
            </w:r>
            <w:r>
              <w:rPr>
                <w:spacing w:val="7"/>
                <w:sz w:val="20"/>
                <w:szCs w:val="20"/>
              </w:rPr>
              <w:t>的新型工业集聚区。</w:t>
            </w:r>
          </w:p>
        </w:tc>
      </w:tr>
      <w:tr w14:paraId="2C8E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1785" w:type="dxa"/>
            <w:tcBorders>
              <w:left w:val="single" w:color="000000" w:sz="6" w:space="0"/>
              <w:right w:val="nil"/>
            </w:tcBorders>
            <w:vAlign w:val="top"/>
          </w:tcPr>
          <w:p w14:paraId="072F7617">
            <w:pPr>
              <w:spacing w:line="287" w:lineRule="auto"/>
              <w:rPr>
                <w:rFonts w:ascii="Arial"/>
                <w:sz w:val="21"/>
              </w:rPr>
            </w:pPr>
          </w:p>
          <w:p w14:paraId="54FAA851">
            <w:pPr>
              <w:spacing w:line="287" w:lineRule="auto"/>
              <w:rPr>
                <w:rFonts w:ascii="Arial"/>
                <w:sz w:val="21"/>
              </w:rPr>
            </w:pPr>
          </w:p>
          <w:p w14:paraId="3771DDE0">
            <w:pPr>
              <w:pStyle w:val="6"/>
              <w:spacing w:before="72" w:line="229" w:lineRule="auto"/>
              <w:ind w:left="566" w:right="115" w:hanging="216"/>
            </w:pPr>
            <w:r>
              <w:rPr>
                <w:spacing w:val="-2"/>
              </w:rPr>
              <w:t>规划环境影响</w:t>
            </w:r>
            <w:r>
              <w:rPr>
                <w:spacing w:val="1"/>
              </w:rPr>
              <w:t xml:space="preserve"> </w:t>
            </w:r>
            <w:r>
              <w:rPr>
                <w:spacing w:val="-2"/>
              </w:rPr>
              <w:t>评价情况</w:t>
            </w:r>
          </w:p>
        </w:tc>
        <w:tc>
          <w:tcPr>
            <w:tcW w:w="7089" w:type="dxa"/>
            <w:gridSpan w:val="2"/>
            <w:tcBorders>
              <w:left w:val="nil"/>
              <w:right w:val="single" w:color="000000" w:sz="6" w:space="0"/>
            </w:tcBorders>
            <w:vAlign w:val="top"/>
          </w:tcPr>
          <w:p w14:paraId="499779B3">
            <w:pPr>
              <w:pStyle w:val="6"/>
              <w:spacing w:before="242" w:line="226" w:lineRule="auto"/>
              <w:jc w:val="right"/>
              <w:rPr>
                <w:sz w:val="20"/>
                <w:szCs w:val="20"/>
              </w:rPr>
            </w:pPr>
            <w:r>
              <w:rPr>
                <w:b/>
                <w:bCs/>
                <w:spacing w:val="4"/>
                <w:sz w:val="20"/>
                <w:szCs w:val="20"/>
              </w:rPr>
              <w:t>规划环评名称</w:t>
            </w:r>
            <w:r>
              <w:rPr>
                <w:spacing w:val="4"/>
                <w:sz w:val="20"/>
                <w:szCs w:val="20"/>
              </w:rPr>
              <w:t>：《达州市通川区东岳新型工业集聚区规划环境影响报告书》</w:t>
            </w:r>
          </w:p>
          <w:p w14:paraId="7100CB2A">
            <w:pPr>
              <w:pStyle w:val="6"/>
              <w:spacing w:before="155" w:line="227" w:lineRule="auto"/>
              <w:ind w:left="337"/>
              <w:rPr>
                <w:sz w:val="20"/>
                <w:szCs w:val="20"/>
              </w:rPr>
            </w:pPr>
            <w:r>
              <w:rPr>
                <w:b/>
                <w:bCs/>
                <w:spacing w:val="9"/>
                <w:sz w:val="20"/>
                <w:szCs w:val="20"/>
              </w:rPr>
              <w:t>召集审查机关</w:t>
            </w:r>
            <w:r>
              <w:rPr>
                <w:spacing w:val="9"/>
                <w:sz w:val="20"/>
                <w:szCs w:val="20"/>
              </w:rPr>
              <w:t>：达州市通川生态环境局（原达州市通川</w:t>
            </w:r>
            <w:r>
              <w:rPr>
                <w:spacing w:val="8"/>
                <w:sz w:val="20"/>
                <w:szCs w:val="20"/>
              </w:rPr>
              <w:t>区环境保护局）</w:t>
            </w:r>
          </w:p>
          <w:p w14:paraId="5E380F37">
            <w:pPr>
              <w:pStyle w:val="6"/>
              <w:spacing w:before="154" w:line="347" w:lineRule="auto"/>
              <w:ind w:left="328" w:right="86" w:firstLine="10"/>
              <w:rPr>
                <w:sz w:val="20"/>
                <w:szCs w:val="20"/>
              </w:rPr>
            </w:pPr>
            <w:r>
              <w:rPr>
                <w:b/>
                <w:bCs/>
                <w:spacing w:val="7"/>
                <w:sz w:val="20"/>
                <w:szCs w:val="20"/>
              </w:rPr>
              <w:t>审查文件名称及文号</w:t>
            </w:r>
            <w:r>
              <w:rPr>
                <w:spacing w:val="7"/>
                <w:sz w:val="20"/>
                <w:szCs w:val="20"/>
              </w:rPr>
              <w:t>：关于《达州市通川区东岳新型工业集聚区规划环境</w:t>
            </w:r>
            <w:r>
              <w:rPr>
                <w:spacing w:val="11"/>
                <w:sz w:val="20"/>
                <w:szCs w:val="20"/>
              </w:rPr>
              <w:t xml:space="preserve"> </w:t>
            </w:r>
            <w:r>
              <w:rPr>
                <w:spacing w:val="8"/>
                <w:sz w:val="20"/>
                <w:szCs w:val="20"/>
              </w:rPr>
              <w:t>影响报告书》审查意见的函（通区环函〔</w:t>
            </w:r>
            <w:r>
              <w:rPr>
                <w:rFonts w:ascii="Times New Roman" w:hAnsi="Times New Roman" w:eastAsia="Times New Roman" w:cs="Times New Roman"/>
                <w:spacing w:val="8"/>
                <w:sz w:val="20"/>
                <w:szCs w:val="20"/>
              </w:rPr>
              <w:t>2015</w:t>
            </w:r>
            <w:r>
              <w:rPr>
                <w:spacing w:val="8"/>
                <w:sz w:val="20"/>
                <w:szCs w:val="20"/>
              </w:rPr>
              <w:t>〕</w:t>
            </w:r>
            <w:r>
              <w:rPr>
                <w:rFonts w:ascii="Times New Roman" w:hAnsi="Times New Roman" w:eastAsia="Times New Roman" w:cs="Times New Roman"/>
                <w:spacing w:val="8"/>
                <w:sz w:val="20"/>
                <w:szCs w:val="20"/>
              </w:rPr>
              <w:t>122</w:t>
            </w:r>
            <w:r>
              <w:rPr>
                <w:spacing w:val="8"/>
                <w:sz w:val="20"/>
                <w:szCs w:val="20"/>
              </w:rPr>
              <w:t>号）</w:t>
            </w:r>
          </w:p>
        </w:tc>
      </w:tr>
      <w:tr w14:paraId="0A7F7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6" w:hRule="atLeast"/>
        </w:trPr>
        <w:tc>
          <w:tcPr>
            <w:tcW w:w="2004" w:type="dxa"/>
            <w:gridSpan w:val="2"/>
            <w:tcBorders>
              <w:left w:val="single" w:color="000000" w:sz="6" w:space="0"/>
              <w:right w:val="nil"/>
            </w:tcBorders>
            <w:vAlign w:val="top"/>
          </w:tcPr>
          <w:p w14:paraId="425C233F">
            <w:pPr>
              <w:spacing w:line="244" w:lineRule="auto"/>
              <w:rPr>
                <w:rFonts w:ascii="Arial"/>
                <w:sz w:val="21"/>
              </w:rPr>
            </w:pPr>
          </w:p>
          <w:p w14:paraId="04FE499E">
            <w:pPr>
              <w:spacing w:line="244" w:lineRule="auto"/>
              <w:rPr>
                <w:rFonts w:ascii="Arial"/>
                <w:sz w:val="21"/>
              </w:rPr>
            </w:pPr>
          </w:p>
          <w:p w14:paraId="04D46C6A">
            <w:pPr>
              <w:spacing w:line="245" w:lineRule="auto"/>
              <w:rPr>
                <w:rFonts w:ascii="Arial"/>
                <w:sz w:val="21"/>
              </w:rPr>
            </w:pPr>
          </w:p>
          <w:p w14:paraId="54F16C8C">
            <w:pPr>
              <w:spacing w:line="245" w:lineRule="auto"/>
              <w:rPr>
                <w:rFonts w:ascii="Arial"/>
                <w:sz w:val="21"/>
              </w:rPr>
            </w:pPr>
          </w:p>
          <w:p w14:paraId="5EA46502">
            <w:pPr>
              <w:spacing w:line="245" w:lineRule="auto"/>
              <w:rPr>
                <w:rFonts w:ascii="Arial"/>
                <w:sz w:val="21"/>
              </w:rPr>
            </w:pPr>
          </w:p>
          <w:p w14:paraId="09100DA8">
            <w:pPr>
              <w:spacing w:line="245" w:lineRule="auto"/>
              <w:rPr>
                <w:rFonts w:ascii="Arial"/>
                <w:sz w:val="21"/>
              </w:rPr>
            </w:pPr>
          </w:p>
          <w:p w14:paraId="6F33B5A2">
            <w:pPr>
              <w:spacing w:line="245" w:lineRule="auto"/>
              <w:rPr>
                <w:rFonts w:ascii="Arial"/>
                <w:sz w:val="21"/>
              </w:rPr>
            </w:pPr>
          </w:p>
          <w:p w14:paraId="578D7044">
            <w:pPr>
              <w:spacing w:line="245" w:lineRule="auto"/>
              <w:rPr>
                <w:rFonts w:ascii="Arial"/>
                <w:sz w:val="21"/>
              </w:rPr>
            </w:pPr>
          </w:p>
          <w:p w14:paraId="33F4EE0E">
            <w:pPr>
              <w:spacing w:line="245" w:lineRule="auto"/>
              <w:rPr>
                <w:rFonts w:ascii="Arial"/>
                <w:sz w:val="21"/>
              </w:rPr>
            </w:pPr>
          </w:p>
          <w:p w14:paraId="22640167">
            <w:pPr>
              <w:pStyle w:val="6"/>
              <w:spacing w:before="71" w:line="221" w:lineRule="auto"/>
              <w:ind w:left="240"/>
            </w:pPr>
            <w:r>
              <w:rPr>
                <w:spacing w:val="-2"/>
              </w:rPr>
              <w:t>规划及规划环境</w:t>
            </w:r>
          </w:p>
          <w:p w14:paraId="66AFB4F2">
            <w:pPr>
              <w:pStyle w:val="6"/>
              <w:spacing w:before="22" w:line="219" w:lineRule="auto"/>
              <w:ind w:left="129"/>
            </w:pPr>
            <w:r>
              <w:rPr>
                <w:spacing w:val="-1"/>
              </w:rPr>
              <w:t>影响评价符合性分</w:t>
            </w:r>
          </w:p>
          <w:p w14:paraId="67E4D0DA">
            <w:pPr>
              <w:pStyle w:val="6"/>
              <w:spacing w:before="22" w:line="221" w:lineRule="auto"/>
              <w:ind w:left="901"/>
            </w:pPr>
            <w:r>
              <w:t>析</w:t>
            </w:r>
          </w:p>
        </w:tc>
        <w:tc>
          <w:tcPr>
            <w:tcW w:w="6870" w:type="dxa"/>
            <w:tcBorders>
              <w:left w:val="nil"/>
              <w:right w:val="single" w:color="000000" w:sz="6" w:space="0"/>
            </w:tcBorders>
            <w:vAlign w:val="top"/>
          </w:tcPr>
          <w:p w14:paraId="1D2D5595">
            <w:pPr>
              <w:spacing w:before="143" w:line="230" w:lineRule="auto"/>
              <w:ind w:left="126"/>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5"/>
                <w:sz w:val="20"/>
                <w:szCs w:val="20"/>
              </w:rPr>
              <w:t>、与园区产业定位的符合性</w:t>
            </w:r>
          </w:p>
          <w:p w14:paraId="7DDAACE3">
            <w:pPr>
              <w:pStyle w:val="6"/>
              <w:spacing w:before="151" w:line="359" w:lineRule="auto"/>
              <w:ind w:left="109" w:right="86" w:firstLine="420"/>
              <w:jc w:val="both"/>
              <w:rPr>
                <w:sz w:val="20"/>
                <w:szCs w:val="20"/>
              </w:rPr>
            </w:pPr>
            <w:r>
              <w:rPr>
                <w:spacing w:val="8"/>
                <w:sz w:val="20"/>
                <w:szCs w:val="20"/>
              </w:rPr>
              <w:t>根据园区规划环评资料，达州市通川区东岳新型工业集聚区定位为以</w:t>
            </w:r>
            <w:r>
              <w:rPr>
                <w:spacing w:val="5"/>
                <w:sz w:val="20"/>
                <w:szCs w:val="20"/>
              </w:rPr>
              <w:t xml:space="preserve"> </w:t>
            </w:r>
            <w:r>
              <w:rPr>
                <w:spacing w:val="8"/>
                <w:sz w:val="20"/>
                <w:szCs w:val="20"/>
              </w:rPr>
              <w:t>轻工电子、新材料节能环保、机械制造产业为主导，同时承接部分传统产</w:t>
            </w:r>
            <w:r>
              <w:rPr>
                <w:spacing w:val="10"/>
                <w:sz w:val="20"/>
                <w:szCs w:val="20"/>
              </w:rPr>
              <w:t xml:space="preserve"> </w:t>
            </w:r>
            <w:r>
              <w:rPr>
                <w:spacing w:val="8"/>
                <w:sz w:val="20"/>
                <w:szCs w:val="20"/>
              </w:rPr>
              <w:t>业退城进郊的新型工业集聚区。</w:t>
            </w:r>
          </w:p>
          <w:p w14:paraId="170D88CB">
            <w:pPr>
              <w:pStyle w:val="6"/>
              <w:spacing w:before="32" w:line="359" w:lineRule="auto"/>
              <w:ind w:left="110" w:right="86" w:firstLine="420"/>
              <w:jc w:val="both"/>
              <w:rPr>
                <w:sz w:val="20"/>
                <w:szCs w:val="20"/>
              </w:rPr>
            </w:pPr>
            <w:r>
              <w:rPr>
                <w:spacing w:val="8"/>
                <w:sz w:val="20"/>
                <w:szCs w:val="20"/>
              </w:rPr>
              <w:t>本项目为非金属矿物制品制造业，属于传统行业。但项目所用原料主</w:t>
            </w:r>
            <w:r>
              <w:rPr>
                <w:spacing w:val="2"/>
                <w:sz w:val="20"/>
                <w:szCs w:val="20"/>
              </w:rPr>
              <w:t xml:space="preserve"> </w:t>
            </w:r>
            <w:r>
              <w:rPr>
                <w:spacing w:val="8"/>
                <w:sz w:val="20"/>
                <w:szCs w:val="20"/>
              </w:rPr>
              <w:t xml:space="preserve">要为工业固废、建筑固废，能实现固废资源化利用，有利于生态环境保护 </w:t>
            </w:r>
            <w:r>
              <w:rPr>
                <w:spacing w:val="9"/>
                <w:sz w:val="20"/>
                <w:szCs w:val="20"/>
              </w:rPr>
              <w:t>属于园区接纳的产业类型。因此，本项目与园区产业定位是相符的。</w:t>
            </w:r>
          </w:p>
          <w:p w14:paraId="37F8B75F">
            <w:pPr>
              <w:spacing w:before="33" w:line="230" w:lineRule="auto"/>
              <w:ind w:left="106"/>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7"/>
                <w:sz w:val="20"/>
                <w:szCs w:val="20"/>
              </w:rPr>
              <w:t>、与园区环境准入要求的符合性</w:t>
            </w:r>
          </w:p>
          <w:p w14:paraId="41AB4204">
            <w:pPr>
              <w:pStyle w:val="6"/>
              <w:spacing w:before="152" w:line="353" w:lineRule="auto"/>
              <w:ind w:left="113" w:right="86" w:firstLine="416"/>
              <w:rPr>
                <w:sz w:val="20"/>
                <w:szCs w:val="20"/>
              </w:rPr>
            </w:pPr>
            <w:r>
              <w:rPr>
                <w:spacing w:val="8"/>
                <w:sz w:val="20"/>
                <w:szCs w:val="20"/>
              </w:rPr>
              <w:t>根据园区规划环评资料，东岳新型工业集聚区鼓励、禁止及限制入驻</w:t>
            </w:r>
            <w:r>
              <w:rPr>
                <w:spacing w:val="5"/>
                <w:sz w:val="20"/>
                <w:szCs w:val="20"/>
              </w:rPr>
              <w:t xml:space="preserve"> </w:t>
            </w:r>
            <w:r>
              <w:rPr>
                <w:spacing w:val="7"/>
                <w:sz w:val="20"/>
                <w:szCs w:val="20"/>
              </w:rPr>
              <w:t>企业类型见下表。</w:t>
            </w:r>
          </w:p>
        </w:tc>
      </w:tr>
    </w:tbl>
    <w:p w14:paraId="024E471F">
      <w:pPr>
        <w:pStyle w:val="2"/>
      </w:pPr>
    </w:p>
    <w:p w14:paraId="240894E1">
      <w:pPr>
        <w:sectPr>
          <w:footerReference r:id="rId6" w:type="default"/>
          <w:pgSz w:w="11906" w:h="16839"/>
          <w:pgMar w:top="1431" w:right="1508" w:bottom="1260" w:left="1508" w:header="0" w:footer="1080" w:gutter="0"/>
          <w:cols w:space="720" w:num="1"/>
        </w:sectPr>
      </w:pPr>
    </w:p>
    <w:p w14:paraId="7AB72833">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855"/>
      </w:tblGrid>
      <w:tr w14:paraId="5B0A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4" w:hRule="atLeast"/>
        </w:trPr>
        <w:tc>
          <w:tcPr>
            <w:tcW w:w="2019" w:type="dxa"/>
            <w:tcBorders>
              <w:left w:val="single" w:color="000000" w:sz="6" w:space="0"/>
            </w:tcBorders>
            <w:vAlign w:val="top"/>
          </w:tcPr>
          <w:p w14:paraId="48D33666">
            <w:pPr>
              <w:rPr>
                <w:rFonts w:ascii="Arial"/>
                <w:sz w:val="21"/>
              </w:rPr>
            </w:pPr>
          </w:p>
        </w:tc>
        <w:tc>
          <w:tcPr>
            <w:tcW w:w="6855" w:type="dxa"/>
            <w:tcBorders>
              <w:right w:val="single" w:color="000000" w:sz="6" w:space="0"/>
            </w:tcBorders>
            <w:vAlign w:val="top"/>
          </w:tcPr>
          <w:p w14:paraId="0092217C">
            <w:pPr>
              <w:spacing w:before="123" w:line="222" w:lineRule="auto"/>
              <w:ind w:left="196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pacing w:val="-1"/>
                <w:sz w:val="18"/>
                <w:szCs w:val="18"/>
              </w:rPr>
              <w:t>园区功能划分及入园企业要求</w:t>
            </w:r>
          </w:p>
          <w:p w14:paraId="10710704">
            <w:pPr>
              <w:spacing w:line="57" w:lineRule="auto"/>
              <w:rPr>
                <w:rFonts w:ascii="Arial"/>
                <w:sz w:val="2"/>
              </w:rPr>
            </w:pPr>
          </w:p>
          <w:tbl>
            <w:tblPr>
              <w:tblStyle w:val="5"/>
              <w:tblW w:w="6643"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5539"/>
            </w:tblGrid>
            <w:tr w14:paraId="28426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104" w:type="dxa"/>
                  <w:vAlign w:val="top"/>
                </w:tcPr>
                <w:p w14:paraId="3FCBA8C1">
                  <w:pPr>
                    <w:pStyle w:val="6"/>
                    <w:spacing w:before="46" w:line="219" w:lineRule="auto"/>
                    <w:ind w:left="331"/>
                    <w:rPr>
                      <w:sz w:val="18"/>
                      <w:szCs w:val="18"/>
                    </w:rPr>
                  </w:pPr>
                  <w:r>
                    <w:rPr>
                      <w:b/>
                      <w:bCs/>
                      <w:spacing w:val="-6"/>
                      <w:sz w:val="18"/>
                      <w:szCs w:val="18"/>
                    </w:rPr>
                    <w:t>类</w:t>
                  </w:r>
                  <w:r>
                    <w:rPr>
                      <w:spacing w:val="8"/>
                      <w:sz w:val="18"/>
                      <w:szCs w:val="18"/>
                    </w:rPr>
                    <w:t xml:space="preserve"> </w:t>
                  </w:r>
                  <w:r>
                    <w:rPr>
                      <w:b/>
                      <w:bCs/>
                      <w:spacing w:val="-6"/>
                      <w:sz w:val="18"/>
                      <w:szCs w:val="18"/>
                    </w:rPr>
                    <w:t>别</w:t>
                  </w:r>
                </w:p>
              </w:tc>
              <w:tc>
                <w:tcPr>
                  <w:tcW w:w="5539" w:type="dxa"/>
                  <w:vAlign w:val="top"/>
                </w:tcPr>
                <w:p w14:paraId="5225CDE9">
                  <w:pPr>
                    <w:pStyle w:val="6"/>
                    <w:spacing w:before="46" w:line="219" w:lineRule="auto"/>
                    <w:ind w:left="2047"/>
                    <w:rPr>
                      <w:sz w:val="18"/>
                      <w:szCs w:val="18"/>
                    </w:rPr>
                  </w:pPr>
                  <w:r>
                    <w:rPr>
                      <w:b/>
                      <w:bCs/>
                      <w:spacing w:val="-3"/>
                      <w:sz w:val="18"/>
                      <w:szCs w:val="18"/>
                    </w:rPr>
                    <w:t>禁止入驻企业类型</w:t>
                  </w:r>
                </w:p>
              </w:tc>
            </w:tr>
            <w:tr w14:paraId="20864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104" w:type="dxa"/>
                  <w:vAlign w:val="top"/>
                </w:tcPr>
                <w:p w14:paraId="7B224495">
                  <w:pPr>
                    <w:spacing w:line="444" w:lineRule="auto"/>
                    <w:rPr>
                      <w:rFonts w:ascii="Arial"/>
                      <w:sz w:val="21"/>
                    </w:rPr>
                  </w:pPr>
                </w:p>
                <w:p w14:paraId="3F51CCB1">
                  <w:pPr>
                    <w:pStyle w:val="6"/>
                    <w:spacing w:before="59" w:line="219" w:lineRule="auto"/>
                    <w:ind w:left="107"/>
                    <w:rPr>
                      <w:sz w:val="18"/>
                      <w:szCs w:val="18"/>
                    </w:rPr>
                  </w:pPr>
                  <w:r>
                    <w:rPr>
                      <w:spacing w:val="-2"/>
                      <w:sz w:val="18"/>
                      <w:szCs w:val="18"/>
                    </w:rPr>
                    <w:t>鼓励类企业</w:t>
                  </w:r>
                </w:p>
              </w:tc>
              <w:tc>
                <w:tcPr>
                  <w:tcW w:w="5539" w:type="dxa"/>
                  <w:vAlign w:val="top"/>
                </w:tcPr>
                <w:p w14:paraId="630005A8">
                  <w:pPr>
                    <w:pStyle w:val="6"/>
                    <w:spacing w:before="40" w:line="229" w:lineRule="auto"/>
                    <w:ind w:left="94" w:right="90" w:firstLine="9"/>
                    <w:rPr>
                      <w:sz w:val="18"/>
                      <w:szCs w:val="18"/>
                    </w:rPr>
                  </w:pPr>
                  <w:r>
                    <w:rPr>
                      <w:spacing w:val="1"/>
                      <w:sz w:val="18"/>
                      <w:szCs w:val="18"/>
                    </w:rPr>
                    <w:t>（</w:t>
                  </w:r>
                  <w:r>
                    <w:rPr>
                      <w:rFonts w:ascii="Times New Roman" w:hAnsi="Times New Roman" w:eastAsia="Times New Roman" w:cs="Times New Roman"/>
                      <w:spacing w:val="1"/>
                      <w:sz w:val="18"/>
                      <w:szCs w:val="18"/>
                    </w:rPr>
                    <w:t>1</w:t>
                  </w:r>
                  <w:r>
                    <w:rPr>
                      <w:spacing w:val="1"/>
                      <w:sz w:val="18"/>
                      <w:szCs w:val="18"/>
                    </w:rPr>
                    <w:t>）在用水、节水、排水设计等方面达到国内先进水平；清洁</w:t>
                  </w:r>
                  <w:r>
                    <w:rPr>
                      <w:sz w:val="18"/>
                      <w:szCs w:val="18"/>
                    </w:rPr>
                    <w:t xml:space="preserve">生产 </w:t>
                  </w:r>
                  <w:r>
                    <w:rPr>
                      <w:spacing w:val="-1"/>
                      <w:sz w:val="18"/>
                      <w:szCs w:val="18"/>
                    </w:rPr>
                    <w:t>标准达到过优于国家先进水平的项目；</w:t>
                  </w:r>
                </w:p>
                <w:p w14:paraId="25800DDB">
                  <w:pPr>
                    <w:pStyle w:val="6"/>
                    <w:spacing w:before="18" w:line="232" w:lineRule="auto"/>
                    <w:ind w:left="94" w:right="90" w:firstLine="9"/>
                    <w:rPr>
                      <w:sz w:val="18"/>
                      <w:szCs w:val="18"/>
                    </w:rPr>
                  </w:pPr>
                  <w:r>
                    <w:rPr>
                      <w:spacing w:val="1"/>
                      <w:sz w:val="18"/>
                      <w:szCs w:val="18"/>
                    </w:rPr>
                    <w:t>（</w:t>
                  </w:r>
                  <w:r>
                    <w:rPr>
                      <w:rFonts w:ascii="Times New Roman" w:hAnsi="Times New Roman" w:eastAsia="Times New Roman" w:cs="Times New Roman"/>
                      <w:spacing w:val="1"/>
                      <w:sz w:val="18"/>
                      <w:szCs w:val="18"/>
                    </w:rPr>
                    <w:t>2</w:t>
                  </w:r>
                  <w:r>
                    <w:rPr>
                      <w:spacing w:val="1"/>
                      <w:sz w:val="18"/>
                      <w:szCs w:val="18"/>
                    </w:rPr>
                    <w:t>）轻工电子、新材料、节能环保、机械制造等产业符合现行</w:t>
                  </w:r>
                  <w:r>
                    <w:rPr>
                      <w:sz w:val="18"/>
                      <w:szCs w:val="18"/>
                    </w:rPr>
                    <w:t xml:space="preserve">国家 </w:t>
                  </w:r>
                  <w:r>
                    <w:rPr>
                      <w:spacing w:val="-2"/>
                      <w:sz w:val="18"/>
                      <w:szCs w:val="18"/>
                    </w:rPr>
                    <w:t>产业政策行业，符合规划区规划产业，企业效益明显，对区域不造成</w:t>
                  </w:r>
                  <w:r>
                    <w:rPr>
                      <w:spacing w:val="8"/>
                      <w:sz w:val="18"/>
                      <w:szCs w:val="18"/>
                    </w:rPr>
                    <w:t xml:space="preserve"> </w:t>
                  </w:r>
                  <w:r>
                    <w:rPr>
                      <w:spacing w:val="-1"/>
                      <w:sz w:val="18"/>
                      <w:szCs w:val="18"/>
                    </w:rPr>
                    <w:t>明显污染，遵循清洁生产及循环经济的项目</w:t>
                  </w:r>
                </w:p>
              </w:tc>
            </w:tr>
            <w:tr w14:paraId="3C36E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1104" w:type="dxa"/>
                  <w:vAlign w:val="top"/>
                </w:tcPr>
                <w:p w14:paraId="26E6D3B0">
                  <w:pPr>
                    <w:spacing w:line="338" w:lineRule="auto"/>
                    <w:rPr>
                      <w:rFonts w:ascii="Arial"/>
                      <w:sz w:val="21"/>
                    </w:rPr>
                  </w:pPr>
                </w:p>
                <w:p w14:paraId="5457B77D">
                  <w:pPr>
                    <w:spacing w:line="339" w:lineRule="auto"/>
                    <w:rPr>
                      <w:rFonts w:ascii="Arial"/>
                      <w:sz w:val="21"/>
                    </w:rPr>
                  </w:pPr>
                </w:p>
                <w:p w14:paraId="5A813045">
                  <w:pPr>
                    <w:pStyle w:val="6"/>
                    <w:spacing w:before="58" w:line="229" w:lineRule="auto"/>
                    <w:ind w:left="286" w:right="100" w:hanging="180"/>
                    <w:rPr>
                      <w:sz w:val="18"/>
                      <w:szCs w:val="18"/>
                    </w:rPr>
                  </w:pPr>
                  <w:r>
                    <w:rPr>
                      <w:spacing w:val="-2"/>
                      <w:sz w:val="18"/>
                      <w:szCs w:val="18"/>
                    </w:rPr>
                    <w:t>禁止及限制</w:t>
                  </w:r>
                  <w:r>
                    <w:rPr>
                      <w:spacing w:val="1"/>
                      <w:sz w:val="18"/>
                      <w:szCs w:val="18"/>
                    </w:rPr>
                    <w:t xml:space="preserve"> </w:t>
                  </w:r>
                  <w:r>
                    <w:rPr>
                      <w:spacing w:val="-3"/>
                      <w:sz w:val="18"/>
                      <w:szCs w:val="18"/>
                    </w:rPr>
                    <w:t>类企业</w:t>
                  </w:r>
                </w:p>
              </w:tc>
              <w:tc>
                <w:tcPr>
                  <w:tcW w:w="5539" w:type="dxa"/>
                  <w:vAlign w:val="top"/>
                </w:tcPr>
                <w:p w14:paraId="48C20C04">
                  <w:pPr>
                    <w:pStyle w:val="6"/>
                    <w:spacing w:before="39" w:line="219" w:lineRule="auto"/>
                    <w:ind w:left="103"/>
                    <w:rPr>
                      <w:sz w:val="18"/>
                      <w:szCs w:val="18"/>
                    </w:rPr>
                  </w:pPr>
                  <w:r>
                    <w:rPr>
                      <w:spacing w:val="-1"/>
                      <w:sz w:val="18"/>
                      <w:szCs w:val="18"/>
                    </w:rPr>
                    <w:t>（</w:t>
                  </w:r>
                  <w:r>
                    <w:rPr>
                      <w:rFonts w:ascii="Times New Roman" w:hAnsi="Times New Roman" w:eastAsia="Times New Roman" w:cs="Times New Roman"/>
                      <w:spacing w:val="-1"/>
                      <w:sz w:val="18"/>
                      <w:szCs w:val="18"/>
                    </w:rPr>
                    <w:t>1</w:t>
                  </w:r>
                  <w:r>
                    <w:rPr>
                      <w:spacing w:val="-1"/>
                      <w:sz w:val="18"/>
                      <w:szCs w:val="18"/>
                    </w:rPr>
                    <w:t>）不符合国家产业政策、不满足行业准入条件的项目。</w:t>
                  </w:r>
                </w:p>
                <w:p w14:paraId="683B0D64">
                  <w:pPr>
                    <w:pStyle w:val="6"/>
                    <w:spacing w:before="17" w:line="235" w:lineRule="auto"/>
                    <w:ind w:left="94" w:right="90" w:firstLine="9"/>
                    <w:rPr>
                      <w:sz w:val="18"/>
                      <w:szCs w:val="18"/>
                    </w:rPr>
                  </w:pPr>
                  <w:r>
                    <w:rPr>
                      <w:spacing w:val="1"/>
                      <w:sz w:val="18"/>
                      <w:szCs w:val="18"/>
                    </w:rPr>
                    <w:t>（</w:t>
                  </w:r>
                  <w:r>
                    <w:rPr>
                      <w:rFonts w:ascii="Times New Roman" w:hAnsi="Times New Roman" w:eastAsia="Times New Roman" w:cs="Times New Roman"/>
                      <w:spacing w:val="1"/>
                      <w:sz w:val="18"/>
                      <w:szCs w:val="18"/>
                    </w:rPr>
                    <w:t>2</w:t>
                  </w:r>
                  <w:r>
                    <w:rPr>
                      <w:spacing w:val="1"/>
                      <w:sz w:val="18"/>
                      <w:szCs w:val="18"/>
                    </w:rPr>
                    <w:t>）禁止引进对水环境影响严重的工业企业，如：屠宰、电镀</w:t>
                  </w:r>
                  <w:r>
                    <w:rPr>
                      <w:sz w:val="18"/>
                      <w:szCs w:val="18"/>
                    </w:rPr>
                    <w:t xml:space="preserve">、制 </w:t>
                  </w:r>
                  <w:r>
                    <w:rPr>
                      <w:spacing w:val="-2"/>
                      <w:sz w:val="18"/>
                      <w:szCs w:val="18"/>
                    </w:rPr>
                    <w:t>革、洗选、印染、含发酵工艺的生物制药等对水环境污染重的企业；</w:t>
                  </w:r>
                  <w:r>
                    <w:rPr>
                      <w:spacing w:val="8"/>
                      <w:sz w:val="18"/>
                      <w:szCs w:val="18"/>
                    </w:rPr>
                    <w:t xml:space="preserve"> </w:t>
                  </w:r>
                  <w:r>
                    <w:rPr>
                      <w:spacing w:val="-2"/>
                      <w:sz w:val="18"/>
                      <w:szCs w:val="18"/>
                    </w:rPr>
                    <w:t>禁止引进对大气环境影响严重的工业企业：电石、冶炼、焦化、煤化</w:t>
                  </w:r>
                  <w:r>
                    <w:rPr>
                      <w:spacing w:val="8"/>
                      <w:sz w:val="18"/>
                      <w:szCs w:val="18"/>
                    </w:rPr>
                    <w:t xml:space="preserve"> </w:t>
                  </w:r>
                  <w:r>
                    <w:rPr>
                      <w:sz w:val="18"/>
                      <w:szCs w:val="18"/>
                    </w:rPr>
                    <w:t>工、黄磷等对大气环境污染重的企业；以及其</w:t>
                  </w:r>
                  <w:r>
                    <w:rPr>
                      <w:spacing w:val="-1"/>
                      <w:sz w:val="18"/>
                      <w:szCs w:val="18"/>
                    </w:rPr>
                    <w:t>他重污染工业企业。</w:t>
                  </w:r>
                </w:p>
                <w:p w14:paraId="169EEDA3">
                  <w:pPr>
                    <w:pStyle w:val="6"/>
                    <w:spacing w:before="19" w:line="229" w:lineRule="auto"/>
                    <w:ind w:left="94" w:right="90" w:firstLine="9"/>
                    <w:rPr>
                      <w:sz w:val="18"/>
                      <w:szCs w:val="18"/>
                    </w:rPr>
                  </w:pPr>
                  <w:r>
                    <w:rPr>
                      <w:spacing w:val="1"/>
                      <w:sz w:val="18"/>
                      <w:szCs w:val="18"/>
                    </w:rPr>
                    <w:t>（</w:t>
                  </w:r>
                  <w:r>
                    <w:rPr>
                      <w:rFonts w:ascii="Times New Roman" w:hAnsi="Times New Roman" w:eastAsia="Times New Roman" w:cs="Times New Roman"/>
                      <w:spacing w:val="1"/>
                      <w:sz w:val="18"/>
                      <w:szCs w:val="18"/>
                    </w:rPr>
                    <w:t>3</w:t>
                  </w:r>
                  <w:r>
                    <w:rPr>
                      <w:spacing w:val="1"/>
                      <w:sz w:val="18"/>
                      <w:szCs w:val="18"/>
                    </w:rPr>
                    <w:t>）禁止引进技术落后，项目清洁生产水平不能达到行业清洁</w:t>
                  </w:r>
                  <w:r>
                    <w:rPr>
                      <w:sz w:val="18"/>
                      <w:szCs w:val="18"/>
                    </w:rPr>
                    <w:t>生产 标准二级标准要求或低于全国同类企业平均污</w:t>
                  </w:r>
                  <w:r>
                    <w:rPr>
                      <w:spacing w:val="-1"/>
                      <w:sz w:val="18"/>
                      <w:szCs w:val="18"/>
                    </w:rPr>
                    <w:t>渍生产水平的项目。</w:t>
                  </w:r>
                </w:p>
                <w:p w14:paraId="7B87FB21">
                  <w:pPr>
                    <w:pStyle w:val="6"/>
                    <w:spacing w:before="21" w:line="212" w:lineRule="auto"/>
                    <w:ind w:left="103"/>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）禁止引进与园区主导产业不相容的项目。</w:t>
                  </w:r>
                </w:p>
              </w:tc>
            </w:tr>
            <w:tr w14:paraId="154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4" w:type="dxa"/>
                  <w:vAlign w:val="top"/>
                </w:tcPr>
                <w:p w14:paraId="05DF7E37">
                  <w:pPr>
                    <w:pStyle w:val="6"/>
                    <w:spacing w:before="160" w:line="219" w:lineRule="auto"/>
                    <w:ind w:left="112"/>
                    <w:rPr>
                      <w:sz w:val="18"/>
                      <w:szCs w:val="18"/>
                    </w:rPr>
                  </w:pPr>
                  <w:r>
                    <w:rPr>
                      <w:spacing w:val="-3"/>
                      <w:sz w:val="18"/>
                      <w:szCs w:val="18"/>
                    </w:rPr>
                    <w:t>允许类企业</w:t>
                  </w:r>
                </w:p>
              </w:tc>
              <w:tc>
                <w:tcPr>
                  <w:tcW w:w="5539" w:type="dxa"/>
                  <w:vAlign w:val="top"/>
                </w:tcPr>
                <w:p w14:paraId="185FD7C3">
                  <w:pPr>
                    <w:pStyle w:val="6"/>
                    <w:spacing w:before="44" w:line="227" w:lineRule="auto"/>
                    <w:ind w:left="93" w:right="90" w:firstLine="3"/>
                    <w:rPr>
                      <w:sz w:val="18"/>
                      <w:szCs w:val="18"/>
                    </w:rPr>
                  </w:pPr>
                  <w:r>
                    <w:rPr>
                      <w:spacing w:val="4"/>
                      <w:sz w:val="18"/>
                      <w:szCs w:val="18"/>
                    </w:rPr>
                    <w:t>不排斥与区域或各产业片区主业不相禁忌和不形成交叉影响的企业</w:t>
                  </w:r>
                  <w:r>
                    <w:rPr>
                      <w:spacing w:val="9"/>
                      <w:sz w:val="18"/>
                      <w:szCs w:val="18"/>
                    </w:rPr>
                    <w:t xml:space="preserve"> </w:t>
                  </w:r>
                  <w:r>
                    <w:rPr>
                      <w:spacing w:val="-3"/>
                      <w:sz w:val="18"/>
                      <w:szCs w:val="18"/>
                    </w:rPr>
                    <w:t>入驻。</w:t>
                  </w:r>
                </w:p>
              </w:tc>
            </w:tr>
            <w:tr w14:paraId="769C2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04" w:type="dxa"/>
                  <w:vAlign w:val="top"/>
                </w:tcPr>
                <w:p w14:paraId="4010EA40">
                  <w:pPr>
                    <w:pStyle w:val="6"/>
                    <w:spacing w:before="162" w:line="230" w:lineRule="auto"/>
                    <w:ind w:left="465" w:right="100" w:hanging="359"/>
                    <w:rPr>
                      <w:sz w:val="18"/>
                      <w:szCs w:val="18"/>
                    </w:rPr>
                  </w:pPr>
                  <w:r>
                    <w:rPr>
                      <w:spacing w:val="-2"/>
                      <w:sz w:val="18"/>
                      <w:szCs w:val="18"/>
                    </w:rPr>
                    <w:t>清洁生产门</w:t>
                  </w:r>
                  <w:r>
                    <w:rPr>
                      <w:spacing w:val="1"/>
                      <w:sz w:val="18"/>
                      <w:szCs w:val="18"/>
                    </w:rPr>
                    <w:t xml:space="preserve"> </w:t>
                  </w:r>
                  <w:r>
                    <w:rPr>
                      <w:sz w:val="18"/>
                      <w:szCs w:val="18"/>
                    </w:rPr>
                    <w:t>槛</w:t>
                  </w:r>
                </w:p>
              </w:tc>
              <w:tc>
                <w:tcPr>
                  <w:tcW w:w="5539" w:type="dxa"/>
                  <w:vAlign w:val="top"/>
                </w:tcPr>
                <w:p w14:paraId="6265BB05">
                  <w:pPr>
                    <w:pStyle w:val="6"/>
                    <w:spacing w:before="45" w:line="232" w:lineRule="auto"/>
                    <w:ind w:left="94" w:right="90" w:hanging="1"/>
                    <w:jc w:val="both"/>
                    <w:rPr>
                      <w:sz w:val="18"/>
                      <w:szCs w:val="18"/>
                    </w:rPr>
                  </w:pPr>
                  <w:r>
                    <w:rPr>
                      <w:spacing w:val="-2"/>
                      <w:sz w:val="18"/>
                      <w:szCs w:val="18"/>
                    </w:rPr>
                    <w:t>入园企业必须采用国际、国内先进水平的生产工艺、设备及污染治理</w:t>
                  </w:r>
                  <w:r>
                    <w:rPr>
                      <w:spacing w:val="9"/>
                      <w:sz w:val="18"/>
                      <w:szCs w:val="18"/>
                    </w:rPr>
                    <w:t xml:space="preserve"> </w:t>
                  </w:r>
                  <w:r>
                    <w:rPr>
                      <w:spacing w:val="-2"/>
                      <w:sz w:val="18"/>
                      <w:szCs w:val="18"/>
                    </w:rPr>
                    <w:t>技术，物耗、能耗、水耗等至少应达到相应行业的清洁生产水平二级</w:t>
                  </w:r>
                  <w:r>
                    <w:rPr>
                      <w:spacing w:val="8"/>
                      <w:sz w:val="18"/>
                      <w:szCs w:val="18"/>
                    </w:rPr>
                    <w:t xml:space="preserve"> </w:t>
                  </w:r>
                  <w:r>
                    <w:rPr>
                      <w:spacing w:val="-1"/>
                      <w:sz w:val="18"/>
                      <w:szCs w:val="18"/>
                    </w:rPr>
                    <w:t>或国内先进水平。</w:t>
                  </w:r>
                </w:p>
              </w:tc>
            </w:tr>
          </w:tbl>
          <w:p w14:paraId="614C979C">
            <w:pPr>
              <w:pStyle w:val="6"/>
              <w:spacing w:before="141" w:line="359" w:lineRule="auto"/>
              <w:ind w:left="92" w:right="86" w:firstLine="420"/>
              <w:jc w:val="both"/>
              <w:rPr>
                <w:sz w:val="20"/>
                <w:szCs w:val="20"/>
              </w:rPr>
            </w:pPr>
            <w:r>
              <w:rPr>
                <w:spacing w:val="8"/>
                <w:sz w:val="20"/>
                <w:szCs w:val="20"/>
              </w:rPr>
              <w:t>本项目为非金属矿物制品制造业，属于与区域或各产业片区主业不相</w:t>
            </w:r>
            <w:r>
              <w:rPr>
                <w:spacing w:val="4"/>
                <w:sz w:val="20"/>
                <w:szCs w:val="20"/>
              </w:rPr>
              <w:t xml:space="preserve"> </w:t>
            </w:r>
            <w:r>
              <w:rPr>
                <w:spacing w:val="8"/>
                <w:sz w:val="20"/>
                <w:szCs w:val="20"/>
              </w:rPr>
              <w:t>禁忌和不形成交叉影响的产业类别，为园区规划的允许类企业，与规划园</w:t>
            </w:r>
            <w:r>
              <w:rPr>
                <w:spacing w:val="7"/>
                <w:sz w:val="20"/>
                <w:szCs w:val="20"/>
              </w:rPr>
              <w:t xml:space="preserve"> </w:t>
            </w:r>
            <w:r>
              <w:rPr>
                <w:spacing w:val="8"/>
                <w:sz w:val="20"/>
                <w:szCs w:val="20"/>
              </w:rPr>
              <w:t>区的环境准入要求是相符的。</w:t>
            </w:r>
          </w:p>
          <w:p w14:paraId="247FB4E5">
            <w:pPr>
              <w:spacing w:before="32" w:line="230" w:lineRule="auto"/>
              <w:ind w:left="92"/>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7"/>
                <w:sz w:val="20"/>
                <w:szCs w:val="20"/>
              </w:rPr>
              <w:t xml:space="preserve"> </w:t>
            </w:r>
            <w:r>
              <w:rPr>
                <w:rFonts w:ascii="黑体" w:hAnsi="黑体" w:eastAsia="黑体" w:cs="黑体"/>
                <w:spacing w:val="6"/>
                <w:sz w:val="20"/>
                <w:szCs w:val="20"/>
              </w:rPr>
              <w:t>、与园区功能分区的符合性分析</w:t>
            </w:r>
          </w:p>
          <w:p w14:paraId="58F574C8">
            <w:pPr>
              <w:pStyle w:val="6"/>
              <w:spacing w:before="151" w:line="363" w:lineRule="auto"/>
              <w:ind w:left="92" w:right="15" w:firstLine="420"/>
              <w:jc w:val="both"/>
              <w:rPr>
                <w:sz w:val="20"/>
                <w:szCs w:val="20"/>
              </w:rPr>
            </w:pPr>
            <w:r>
              <w:rPr>
                <w:spacing w:val="8"/>
                <w:sz w:val="20"/>
                <w:szCs w:val="20"/>
              </w:rPr>
              <w:t>根据园区规划环评资料，东岳新型工业集聚区的功能分区布局：规划</w:t>
            </w:r>
            <w:r>
              <w:rPr>
                <w:spacing w:val="3"/>
                <w:sz w:val="20"/>
                <w:szCs w:val="20"/>
              </w:rPr>
              <w:t xml:space="preserve"> </w:t>
            </w:r>
            <w:r>
              <w:rPr>
                <w:spacing w:val="6"/>
                <w:sz w:val="20"/>
                <w:szCs w:val="20"/>
              </w:rPr>
              <w:t>形成“一轴、一心、两片区</w:t>
            </w:r>
            <w:r>
              <w:rPr>
                <w:spacing w:val="-70"/>
                <w:sz w:val="20"/>
                <w:szCs w:val="20"/>
              </w:rPr>
              <w:t xml:space="preserve"> </w:t>
            </w:r>
            <w:r>
              <w:rPr>
                <w:spacing w:val="6"/>
                <w:sz w:val="20"/>
                <w:szCs w:val="20"/>
              </w:rPr>
              <w:t>”的总体布局结构。一轴：沿</w:t>
            </w:r>
            <w:r>
              <w:rPr>
                <w:spacing w:val="-40"/>
                <w:sz w:val="20"/>
                <w:szCs w:val="20"/>
              </w:rPr>
              <w:t xml:space="preserve"> </w:t>
            </w:r>
            <w:r>
              <w:rPr>
                <w:rFonts w:ascii="Times New Roman" w:hAnsi="Times New Roman" w:eastAsia="Times New Roman" w:cs="Times New Roman"/>
                <w:spacing w:val="6"/>
                <w:sz w:val="20"/>
                <w:szCs w:val="20"/>
              </w:rPr>
              <w:t>210</w:t>
            </w:r>
            <w:r>
              <w:rPr>
                <w:rFonts w:ascii="Times New Roman" w:hAnsi="Times New Roman" w:eastAsia="Times New Roman" w:cs="Times New Roman"/>
                <w:spacing w:val="30"/>
                <w:sz w:val="20"/>
                <w:szCs w:val="20"/>
              </w:rPr>
              <w:t xml:space="preserve"> </w:t>
            </w:r>
            <w:r>
              <w:rPr>
                <w:spacing w:val="6"/>
                <w:sz w:val="20"/>
                <w:szCs w:val="20"/>
              </w:rPr>
              <w:t>国道</w:t>
            </w:r>
            <w:r>
              <w:rPr>
                <w:spacing w:val="5"/>
                <w:sz w:val="20"/>
                <w:szCs w:val="20"/>
              </w:rPr>
              <w:t>的城镇</w:t>
            </w:r>
            <w:r>
              <w:rPr>
                <w:sz w:val="20"/>
                <w:szCs w:val="20"/>
              </w:rPr>
              <w:t xml:space="preserve"> </w:t>
            </w:r>
            <w:r>
              <w:rPr>
                <w:spacing w:val="10"/>
                <w:sz w:val="20"/>
                <w:szCs w:val="20"/>
              </w:rPr>
              <w:t>产业发展轴；一心：东岳场镇生活服务中心；两片区：北部综合工业区、</w:t>
            </w:r>
            <w:r>
              <w:rPr>
                <w:spacing w:val="4"/>
                <w:sz w:val="20"/>
                <w:szCs w:val="20"/>
              </w:rPr>
              <w:t xml:space="preserve"> </w:t>
            </w:r>
            <w:r>
              <w:rPr>
                <w:spacing w:val="8"/>
                <w:sz w:val="20"/>
                <w:szCs w:val="20"/>
              </w:rPr>
              <w:t>南部新型工业区。北部加工贸易区：主要包括机械制造产业区和轻工电子</w:t>
            </w:r>
            <w:r>
              <w:rPr>
                <w:spacing w:val="6"/>
                <w:sz w:val="20"/>
                <w:szCs w:val="20"/>
              </w:rPr>
              <w:t xml:space="preserve"> </w:t>
            </w:r>
            <w:r>
              <w:rPr>
                <w:spacing w:val="4"/>
                <w:sz w:val="20"/>
                <w:szCs w:val="20"/>
              </w:rPr>
              <w:t>产业区；南部新型工业集中区：主要包括新材料产业区和节能环保产业区。</w:t>
            </w:r>
          </w:p>
          <w:p w14:paraId="4E42F352">
            <w:pPr>
              <w:pStyle w:val="6"/>
              <w:spacing w:before="32" w:line="333" w:lineRule="auto"/>
              <w:ind w:left="91" w:right="86" w:firstLine="421"/>
              <w:jc w:val="both"/>
              <w:rPr>
                <w:sz w:val="20"/>
                <w:szCs w:val="20"/>
              </w:rPr>
            </w:pPr>
            <w:r>
              <w:rPr>
                <w:spacing w:val="15"/>
                <w:sz w:val="20"/>
                <w:szCs w:val="20"/>
              </w:rPr>
              <w:t>本项目位于北部综合工业区，主要发展轻工电子产业和机械制造产</w:t>
            </w:r>
            <w:r>
              <w:rPr>
                <w:spacing w:val="9"/>
                <w:sz w:val="20"/>
                <w:szCs w:val="20"/>
              </w:rPr>
              <w:t xml:space="preserve"> </w:t>
            </w:r>
            <w:r>
              <w:rPr>
                <w:spacing w:val="8"/>
                <w:sz w:val="20"/>
                <w:szCs w:val="20"/>
              </w:rPr>
              <w:t>业。本项目为非金属矿物制品制造业，属于与区域或各产业片区主业不相</w:t>
            </w:r>
            <w:r>
              <w:rPr>
                <w:spacing w:val="10"/>
                <w:sz w:val="20"/>
                <w:szCs w:val="20"/>
              </w:rPr>
              <w:t xml:space="preserve"> </w:t>
            </w:r>
            <w:r>
              <w:rPr>
                <w:spacing w:val="8"/>
                <w:sz w:val="20"/>
                <w:szCs w:val="20"/>
              </w:rPr>
              <w:t>禁忌和不形成交叉影响的产业类别，为园区规划的允许类企业，与园区功</w:t>
            </w:r>
            <w:r>
              <w:rPr>
                <w:spacing w:val="7"/>
                <w:sz w:val="20"/>
                <w:szCs w:val="20"/>
              </w:rPr>
              <w:t xml:space="preserve"> 能分区是相符的。</w:t>
            </w:r>
          </w:p>
        </w:tc>
      </w:tr>
      <w:tr w14:paraId="3739D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4" w:hRule="atLeast"/>
        </w:trPr>
        <w:tc>
          <w:tcPr>
            <w:tcW w:w="2019" w:type="dxa"/>
            <w:tcBorders>
              <w:left w:val="single" w:color="000000" w:sz="6" w:space="0"/>
              <w:bottom w:val="single" w:color="000000" w:sz="6" w:space="0"/>
            </w:tcBorders>
            <w:vAlign w:val="top"/>
          </w:tcPr>
          <w:p w14:paraId="7D850E12">
            <w:pPr>
              <w:spacing w:line="284" w:lineRule="auto"/>
              <w:rPr>
                <w:rFonts w:ascii="Arial"/>
                <w:sz w:val="21"/>
              </w:rPr>
            </w:pPr>
          </w:p>
          <w:p w14:paraId="608599C1">
            <w:pPr>
              <w:spacing w:line="284" w:lineRule="auto"/>
              <w:rPr>
                <w:rFonts w:ascii="Arial"/>
                <w:sz w:val="21"/>
              </w:rPr>
            </w:pPr>
          </w:p>
          <w:p w14:paraId="138D1CB1">
            <w:pPr>
              <w:spacing w:line="284" w:lineRule="auto"/>
              <w:rPr>
                <w:rFonts w:ascii="Arial"/>
                <w:sz w:val="21"/>
              </w:rPr>
            </w:pPr>
          </w:p>
          <w:p w14:paraId="735DFD24">
            <w:pPr>
              <w:spacing w:line="284" w:lineRule="auto"/>
              <w:rPr>
                <w:rFonts w:ascii="Arial"/>
                <w:sz w:val="21"/>
              </w:rPr>
            </w:pPr>
          </w:p>
          <w:p w14:paraId="006C2B08">
            <w:pPr>
              <w:spacing w:line="285" w:lineRule="auto"/>
              <w:rPr>
                <w:rFonts w:ascii="Arial"/>
                <w:sz w:val="21"/>
              </w:rPr>
            </w:pPr>
          </w:p>
          <w:p w14:paraId="323FADAA">
            <w:pPr>
              <w:pStyle w:val="6"/>
              <w:spacing w:before="71" w:line="220" w:lineRule="auto"/>
              <w:ind w:left="240"/>
            </w:pPr>
            <w:r>
              <w:rPr>
                <w:spacing w:val="-2"/>
              </w:rPr>
              <w:t>其他符合性分析</w:t>
            </w:r>
          </w:p>
        </w:tc>
        <w:tc>
          <w:tcPr>
            <w:tcW w:w="6855" w:type="dxa"/>
            <w:tcBorders>
              <w:bottom w:val="single" w:color="000000" w:sz="6" w:space="0"/>
              <w:right w:val="single" w:color="000000" w:sz="6" w:space="0"/>
            </w:tcBorders>
            <w:vAlign w:val="top"/>
          </w:tcPr>
          <w:p w14:paraId="586DC61F">
            <w:pPr>
              <w:spacing w:before="143" w:line="222" w:lineRule="auto"/>
              <w:ind w:left="110"/>
              <w:rPr>
                <w:rFonts w:ascii="黑体" w:hAnsi="黑体" w:eastAsia="黑体" w:cs="黑体"/>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5"/>
                <w:sz w:val="22"/>
                <w:szCs w:val="22"/>
              </w:rPr>
              <w:t>、产业政策符合性分析</w:t>
            </w:r>
          </w:p>
          <w:p w14:paraId="14B0297A">
            <w:pPr>
              <w:pStyle w:val="6"/>
              <w:spacing w:before="136" w:line="331" w:lineRule="auto"/>
              <w:ind w:left="92" w:firstLine="438"/>
              <w:jc w:val="both"/>
            </w:pPr>
            <w:r>
              <w:rPr>
                <w:spacing w:val="5"/>
              </w:rPr>
              <w:t>本项目为非金属矿物制品制造项目，根据《国民经济行业分类》</w:t>
            </w:r>
            <w:r>
              <w:rPr>
                <w:spacing w:val="12"/>
              </w:rPr>
              <w:t xml:space="preserve"> </w:t>
            </w:r>
            <w:r>
              <w:rPr>
                <w:spacing w:val="-1"/>
              </w:rPr>
              <w:t>（</w:t>
            </w:r>
            <w:r>
              <w:rPr>
                <w:rFonts w:ascii="Times New Roman" w:hAnsi="Times New Roman" w:eastAsia="Times New Roman" w:cs="Times New Roman"/>
                <w:spacing w:val="-1"/>
              </w:rPr>
              <w:t>GB/T4754-2017</w:t>
            </w:r>
            <w:r>
              <w:rPr>
                <w:spacing w:val="-55"/>
                <w:w w:val="90"/>
              </w:rPr>
              <w:t>）（</w:t>
            </w:r>
            <w:r>
              <w:rPr>
                <w:rFonts w:ascii="Times New Roman" w:hAnsi="Times New Roman" w:eastAsia="Times New Roman" w:cs="Times New Roman"/>
                <w:spacing w:val="-1"/>
              </w:rPr>
              <w:t xml:space="preserve">2019  </w:t>
            </w:r>
            <w:r>
              <w:rPr>
                <w:spacing w:val="-1"/>
              </w:rPr>
              <w:t>修改版</w:t>
            </w:r>
            <w:r>
              <w:rPr>
                <w:spacing w:val="-55"/>
                <w:w w:val="90"/>
              </w:rPr>
              <w:t>），</w:t>
            </w:r>
            <w:r>
              <w:rPr>
                <w:spacing w:val="-1"/>
              </w:rPr>
              <w:t>项目属于“</w:t>
            </w:r>
            <w:r>
              <w:rPr>
                <w:rFonts w:ascii="Times New Roman" w:hAnsi="Times New Roman" w:eastAsia="Times New Roman" w:cs="Times New Roman"/>
                <w:spacing w:val="-1"/>
              </w:rPr>
              <w:t>C3031</w:t>
            </w:r>
            <w:r>
              <w:rPr>
                <w:spacing w:val="-1"/>
              </w:rPr>
              <w:t>粘土砖瓦及建筑</w:t>
            </w:r>
            <w:r>
              <w:rPr>
                <w:spacing w:val="3"/>
              </w:rPr>
              <w:t xml:space="preserve">  </w:t>
            </w:r>
            <w:r>
              <w:rPr>
                <w:spacing w:val="-5"/>
              </w:rPr>
              <w:t>砌块制造</w:t>
            </w:r>
            <w:r>
              <w:rPr>
                <w:spacing w:val="-74"/>
              </w:rPr>
              <w:t xml:space="preserve"> </w:t>
            </w:r>
            <w:r>
              <w:rPr>
                <w:spacing w:val="-5"/>
              </w:rPr>
              <w:t>”和“</w:t>
            </w:r>
            <w:r>
              <w:rPr>
                <w:rFonts w:ascii="Times New Roman" w:hAnsi="Times New Roman" w:eastAsia="Times New Roman" w:cs="Times New Roman"/>
                <w:spacing w:val="-5"/>
              </w:rPr>
              <w:t>C3039</w:t>
            </w:r>
            <w:r>
              <w:rPr>
                <w:spacing w:val="-5"/>
              </w:rPr>
              <w:t>其他建筑材料制造业</w:t>
            </w:r>
            <w:r>
              <w:rPr>
                <w:spacing w:val="-81"/>
              </w:rPr>
              <w:t xml:space="preserve"> </w:t>
            </w:r>
            <w:r>
              <w:rPr>
                <w:spacing w:val="-5"/>
              </w:rPr>
              <w:t>”。根据《产业结构调整指</w:t>
            </w:r>
            <w:r>
              <w:t xml:space="preserve">  </w:t>
            </w:r>
            <w:r>
              <w:rPr>
                <w:spacing w:val="-5"/>
              </w:rPr>
              <w:t>导目录（</w:t>
            </w:r>
            <w:r>
              <w:rPr>
                <w:rFonts w:ascii="Times New Roman" w:hAnsi="Times New Roman" w:eastAsia="Times New Roman" w:cs="Times New Roman"/>
                <w:spacing w:val="-5"/>
              </w:rPr>
              <w:t>2024</w:t>
            </w:r>
            <w:r>
              <w:rPr>
                <w:spacing w:val="-5"/>
              </w:rPr>
              <w:t>年本）》，本项目不属于鼓励类、限制类或</w:t>
            </w:r>
            <w:r>
              <w:rPr>
                <w:spacing w:val="-6"/>
              </w:rPr>
              <w:t>禁止类。根据</w:t>
            </w:r>
            <w:r>
              <w:t xml:space="preserve">  </w:t>
            </w:r>
            <w:r>
              <w:rPr>
                <w:spacing w:val="-5"/>
              </w:rPr>
              <w:t>《促进产业结构调整暂行规定》（国发［</w:t>
            </w:r>
            <w:r>
              <w:rPr>
                <w:rFonts w:ascii="Times New Roman" w:hAnsi="Times New Roman" w:eastAsia="Times New Roman" w:cs="Times New Roman"/>
                <w:spacing w:val="-5"/>
              </w:rPr>
              <w:t>2005</w:t>
            </w:r>
            <w:r>
              <w:rPr>
                <w:spacing w:val="-5"/>
              </w:rPr>
              <w:t>］</w:t>
            </w:r>
            <w:r>
              <w:rPr>
                <w:rFonts w:ascii="Times New Roman" w:hAnsi="Times New Roman" w:eastAsia="Times New Roman" w:cs="Times New Roman"/>
                <w:spacing w:val="-5"/>
              </w:rPr>
              <w:t>40</w:t>
            </w:r>
            <w:r>
              <w:rPr>
                <w:spacing w:val="-5"/>
              </w:rPr>
              <w:t>号，本项目应属于允</w:t>
            </w:r>
            <w:r>
              <w:t xml:space="preserve">  </w:t>
            </w:r>
            <w:r>
              <w:rPr>
                <w:spacing w:val="-2"/>
              </w:rPr>
              <w:t>许类项目。</w:t>
            </w:r>
          </w:p>
          <w:p w14:paraId="0C528CB5">
            <w:pPr>
              <w:pStyle w:val="6"/>
              <w:spacing w:before="33" w:line="219" w:lineRule="auto"/>
              <w:ind w:left="535"/>
            </w:pPr>
            <w:r>
              <w:rPr>
                <w:spacing w:val="2"/>
              </w:rPr>
              <w:t>项目生产过程中不使用国家明令禁止的淘汰类和限制类的设备和</w:t>
            </w:r>
          </w:p>
        </w:tc>
      </w:tr>
    </w:tbl>
    <w:p w14:paraId="76E2A863">
      <w:pPr>
        <w:pStyle w:val="2"/>
      </w:pPr>
    </w:p>
    <w:p w14:paraId="7CB93164">
      <w:pPr>
        <w:sectPr>
          <w:footerReference r:id="rId7" w:type="default"/>
          <w:pgSz w:w="11906" w:h="16839"/>
          <w:pgMar w:top="1431" w:right="1508" w:bottom="1260" w:left="1508" w:header="0" w:footer="1080" w:gutter="0"/>
          <w:cols w:space="720" w:num="1"/>
        </w:sectPr>
      </w:pPr>
    </w:p>
    <w:p w14:paraId="4B857515">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0146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5" w:hRule="atLeast"/>
        </w:trPr>
        <w:tc>
          <w:tcPr>
            <w:tcW w:w="2019" w:type="dxa"/>
            <w:vMerge w:val="restart"/>
            <w:tcBorders>
              <w:top w:val="single" w:color="000000" w:sz="2" w:space="0"/>
              <w:bottom w:val="nil"/>
              <w:right w:val="single" w:color="000000" w:sz="2" w:space="0"/>
            </w:tcBorders>
            <w:vAlign w:val="top"/>
          </w:tcPr>
          <w:p w14:paraId="0B3E9119">
            <w:pPr>
              <w:rPr>
                <w:rFonts w:ascii="Arial"/>
                <w:sz w:val="21"/>
              </w:rPr>
            </w:pPr>
          </w:p>
        </w:tc>
        <w:tc>
          <w:tcPr>
            <w:tcW w:w="6855" w:type="dxa"/>
            <w:tcBorders>
              <w:top w:val="single" w:color="000000" w:sz="2" w:space="0"/>
              <w:left w:val="single" w:color="000000" w:sz="2" w:space="0"/>
              <w:bottom w:val="nil"/>
            </w:tcBorders>
            <w:vAlign w:val="top"/>
          </w:tcPr>
          <w:p w14:paraId="4BB623C6">
            <w:pPr>
              <w:pStyle w:val="6"/>
              <w:spacing w:before="136" w:line="325" w:lineRule="auto"/>
              <w:ind w:left="82" w:right="83" w:firstLine="12"/>
              <w:jc w:val="both"/>
            </w:pPr>
            <w:r>
              <w:rPr>
                <w:spacing w:val="2"/>
              </w:rPr>
              <w:t xml:space="preserve">工艺。建设单位已在全国投资项目在线审批监管平台填报了《四川省 </w:t>
            </w:r>
            <w:r>
              <w:rPr>
                <w:spacing w:val="5"/>
              </w:rPr>
              <w:t>固</w:t>
            </w:r>
            <w:r>
              <w:rPr>
                <w:spacing w:val="-65"/>
              </w:rPr>
              <w:t xml:space="preserve"> </w:t>
            </w:r>
            <w:r>
              <w:rPr>
                <w:spacing w:val="5"/>
              </w:rPr>
              <w:t>定</w:t>
            </w:r>
            <w:r>
              <w:rPr>
                <w:spacing w:val="-61"/>
              </w:rPr>
              <w:t xml:space="preserve"> </w:t>
            </w:r>
            <w:r>
              <w:rPr>
                <w:spacing w:val="5"/>
              </w:rPr>
              <w:t>资产投</w:t>
            </w:r>
            <w:r>
              <w:rPr>
                <w:spacing w:val="-61"/>
              </w:rPr>
              <w:t xml:space="preserve"> </w:t>
            </w:r>
            <w:r>
              <w:rPr>
                <w:spacing w:val="5"/>
              </w:rPr>
              <w:t>资项</w:t>
            </w:r>
            <w:r>
              <w:rPr>
                <w:spacing w:val="-28"/>
              </w:rPr>
              <w:t xml:space="preserve"> </w:t>
            </w:r>
            <w:r>
              <w:rPr>
                <w:spacing w:val="5"/>
              </w:rPr>
              <w:t>目</w:t>
            </w:r>
            <w:r>
              <w:rPr>
                <w:spacing w:val="-65"/>
              </w:rPr>
              <w:t xml:space="preserve"> </w:t>
            </w:r>
            <w:r>
              <w:rPr>
                <w:spacing w:val="5"/>
              </w:rPr>
              <w:t>备案表》，完成</w:t>
            </w:r>
            <w:r>
              <w:rPr>
                <w:spacing w:val="-48"/>
              </w:rPr>
              <w:t xml:space="preserve"> </w:t>
            </w:r>
            <w:r>
              <w:rPr>
                <w:spacing w:val="5"/>
              </w:rPr>
              <w:t>了备案</w:t>
            </w:r>
            <w:r>
              <w:rPr>
                <w:spacing w:val="-53"/>
              </w:rPr>
              <w:t xml:space="preserve"> </w:t>
            </w:r>
            <w:r>
              <w:rPr>
                <w:spacing w:val="5"/>
              </w:rPr>
              <w:t>，备案</w:t>
            </w:r>
            <w:r>
              <w:rPr>
                <w:spacing w:val="-65"/>
              </w:rPr>
              <w:t xml:space="preserve"> </w:t>
            </w:r>
            <w:r>
              <w:rPr>
                <w:spacing w:val="5"/>
              </w:rPr>
              <w:t>号：</w:t>
            </w:r>
            <w:r>
              <w:rPr>
                <w:spacing w:val="-32"/>
              </w:rPr>
              <w:t xml:space="preserve"> </w:t>
            </w:r>
            <w:r>
              <w:rPr>
                <w:spacing w:val="4"/>
              </w:rPr>
              <w:t>川投</w:t>
            </w:r>
            <w:r>
              <w:rPr>
                <w:spacing w:val="-61"/>
              </w:rPr>
              <w:t xml:space="preserve"> </w:t>
            </w:r>
            <w:r>
              <w:rPr>
                <w:spacing w:val="4"/>
              </w:rPr>
              <w:t>资</w:t>
            </w:r>
            <w:r>
              <w:rPr>
                <w:spacing w:val="-65"/>
              </w:rPr>
              <w:t xml:space="preserve"> </w:t>
            </w:r>
            <w:r>
              <w:rPr>
                <w:spacing w:val="4"/>
              </w:rPr>
              <w:t>备</w:t>
            </w:r>
            <w:r>
              <w:t xml:space="preserve"> 【</w:t>
            </w:r>
            <w:r>
              <w:rPr>
                <w:rFonts w:ascii="Times New Roman" w:hAnsi="Times New Roman" w:eastAsia="Times New Roman" w:cs="Times New Roman"/>
              </w:rPr>
              <w:t>2019-511702-30-03-406558</w:t>
            </w:r>
            <w:r>
              <w:t>】</w:t>
            </w:r>
            <w:r>
              <w:rPr>
                <w:rFonts w:ascii="Times New Roman" w:hAnsi="Times New Roman" w:eastAsia="Times New Roman" w:cs="Times New Roman"/>
              </w:rPr>
              <w:t>FGQ</w:t>
            </w:r>
            <w:r>
              <w:rPr>
                <w:rFonts w:ascii="Times New Roman" w:hAnsi="Times New Roman" w:eastAsia="Times New Roman" w:cs="Times New Roman"/>
                <w:spacing w:val="-1"/>
              </w:rPr>
              <w:t>B-0126</w:t>
            </w:r>
            <w:r>
              <w:rPr>
                <w:spacing w:val="-1"/>
              </w:rPr>
              <w:t>号。</w:t>
            </w:r>
          </w:p>
          <w:p w14:paraId="6AAD9577">
            <w:pPr>
              <w:pStyle w:val="6"/>
              <w:spacing w:before="37" w:line="219" w:lineRule="auto"/>
              <w:ind w:left="549"/>
            </w:pPr>
            <w:r>
              <w:rPr>
                <w:spacing w:val="-2"/>
              </w:rPr>
              <w:t>因此，本项目符合现行相关产业政策。</w:t>
            </w:r>
          </w:p>
          <w:p w14:paraId="5F0F18E8">
            <w:pPr>
              <w:spacing w:before="141" w:line="220" w:lineRule="auto"/>
              <w:ind w:left="88"/>
              <w:rPr>
                <w:rFonts w:ascii="黑体" w:hAnsi="黑体" w:eastAsia="黑体" w:cs="黑体"/>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19"/>
                <w:sz w:val="22"/>
                <w:szCs w:val="22"/>
              </w:rPr>
              <w:t xml:space="preserve"> </w:t>
            </w:r>
            <w:r>
              <w:rPr>
                <w:rFonts w:ascii="黑体" w:hAnsi="黑体" w:eastAsia="黑体" w:cs="黑体"/>
                <w:spacing w:val="-3"/>
                <w:sz w:val="22"/>
                <w:szCs w:val="22"/>
              </w:rPr>
              <w:t>、“三线一单”符合性分析</w:t>
            </w:r>
          </w:p>
          <w:p w14:paraId="3F0988CF">
            <w:pPr>
              <w:pStyle w:val="6"/>
              <w:spacing w:before="148" w:line="227" w:lineRule="auto"/>
              <w:ind w:left="486"/>
              <w:rPr>
                <w:sz w:val="20"/>
                <w:szCs w:val="20"/>
              </w:rPr>
            </w:pPr>
            <w:r>
              <w:rPr>
                <w:b/>
                <w:bCs/>
                <w:spacing w:val="5"/>
                <w:sz w:val="20"/>
                <w:szCs w:val="20"/>
              </w:rPr>
              <w:t>（</w:t>
            </w:r>
            <w:r>
              <w:rPr>
                <w:rFonts w:ascii="Times New Roman" w:hAnsi="Times New Roman" w:eastAsia="Times New Roman" w:cs="Times New Roman"/>
                <w:b/>
                <w:bCs/>
                <w:spacing w:val="5"/>
                <w:sz w:val="20"/>
                <w:szCs w:val="20"/>
              </w:rPr>
              <w:t>1</w:t>
            </w:r>
            <w:r>
              <w:rPr>
                <w:b/>
                <w:bCs/>
                <w:spacing w:val="5"/>
                <w:sz w:val="20"/>
                <w:szCs w:val="20"/>
              </w:rPr>
              <w:t>）达州市“三线一单</w:t>
            </w:r>
            <w:r>
              <w:rPr>
                <w:spacing w:val="-65"/>
                <w:sz w:val="20"/>
                <w:szCs w:val="20"/>
              </w:rPr>
              <w:t xml:space="preserve"> </w:t>
            </w:r>
            <w:r>
              <w:rPr>
                <w:b/>
                <w:bCs/>
                <w:spacing w:val="5"/>
                <w:sz w:val="20"/>
                <w:szCs w:val="20"/>
              </w:rPr>
              <w:t>”的符合性</w:t>
            </w:r>
          </w:p>
          <w:p w14:paraId="73CFE35B">
            <w:pPr>
              <w:pStyle w:val="6"/>
              <w:tabs>
                <w:tab w:val="left" w:pos="6809"/>
              </w:tabs>
              <w:spacing w:before="155" w:line="363" w:lineRule="auto"/>
              <w:ind w:left="92" w:right="34" w:firstLine="420"/>
              <w:jc w:val="both"/>
              <w:rPr>
                <w:sz w:val="20"/>
                <w:szCs w:val="20"/>
              </w:rPr>
            </w:pPr>
            <w:r>
              <w:rPr>
                <w:spacing w:val="8"/>
                <w:sz w:val="20"/>
                <w:szCs w:val="20"/>
              </w:rPr>
              <w:t>根据《达州市2023年生态环境分区管控成果</w:t>
            </w:r>
            <w:r>
              <w:rPr>
                <w:spacing w:val="7"/>
                <w:sz w:val="20"/>
                <w:szCs w:val="20"/>
              </w:rPr>
              <w:t>动态更新情况说明》，达</w:t>
            </w:r>
            <w:r>
              <w:rPr>
                <w:sz w:val="20"/>
                <w:szCs w:val="20"/>
              </w:rPr>
              <w:t xml:space="preserve"> </w:t>
            </w:r>
            <w:r>
              <w:rPr>
                <w:spacing w:val="8"/>
                <w:sz w:val="20"/>
                <w:szCs w:val="20"/>
              </w:rPr>
              <w:t>州市生态空间管控区分区数量共计</w:t>
            </w:r>
            <w:r>
              <w:rPr>
                <w:rFonts w:ascii="Times New Roman" w:hAnsi="Times New Roman" w:eastAsia="Times New Roman" w:cs="Times New Roman"/>
                <w:spacing w:val="8"/>
                <w:sz w:val="20"/>
                <w:szCs w:val="20"/>
              </w:rPr>
              <w:t>85</w:t>
            </w:r>
            <w:r>
              <w:rPr>
                <w:spacing w:val="8"/>
                <w:sz w:val="20"/>
                <w:szCs w:val="20"/>
              </w:rPr>
              <w:t>个。其中生态保护红线管控区分</w:t>
            </w:r>
            <w:r>
              <w:rPr>
                <w:spacing w:val="7"/>
                <w:sz w:val="20"/>
                <w:szCs w:val="20"/>
              </w:rPr>
              <w:t>区数</w:t>
            </w:r>
            <w:r>
              <w:rPr>
                <w:sz w:val="20"/>
                <w:szCs w:val="20"/>
              </w:rPr>
              <w:t xml:space="preserve"> </w:t>
            </w:r>
            <w:r>
              <w:rPr>
                <w:spacing w:val="5"/>
                <w:sz w:val="20"/>
                <w:szCs w:val="20"/>
              </w:rPr>
              <w:t>量</w:t>
            </w:r>
            <w:r>
              <w:rPr>
                <w:rFonts w:ascii="Times New Roman" w:hAnsi="Times New Roman" w:eastAsia="Times New Roman" w:cs="Times New Roman"/>
                <w:spacing w:val="5"/>
                <w:sz w:val="20"/>
                <w:szCs w:val="20"/>
              </w:rPr>
              <w:t>34</w:t>
            </w:r>
            <w:r>
              <w:rPr>
                <w:spacing w:val="5"/>
                <w:sz w:val="20"/>
                <w:szCs w:val="20"/>
              </w:rPr>
              <w:t>个，生态保护红线面积</w:t>
            </w:r>
            <w:r>
              <w:rPr>
                <w:rFonts w:ascii="Times New Roman" w:hAnsi="Times New Roman" w:eastAsia="Times New Roman" w:cs="Times New Roman"/>
                <w:spacing w:val="5"/>
                <w:sz w:val="20"/>
                <w:szCs w:val="20"/>
              </w:rPr>
              <w:t>1202.83</w:t>
            </w:r>
            <w:r>
              <w:rPr>
                <w:rFonts w:ascii="Times New Roman" w:hAnsi="Times New Roman" w:eastAsia="Times New Roman" w:cs="Times New Roman"/>
                <w:sz w:val="20"/>
                <w:szCs w:val="20"/>
              </w:rPr>
              <w:t>km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2"/>
                <w:position w:val="6"/>
                <w:sz w:val="13"/>
                <w:szCs w:val="13"/>
              </w:rPr>
              <w:t xml:space="preserve"> </w:t>
            </w:r>
            <w:r>
              <w:rPr>
                <w:spacing w:val="5"/>
                <w:sz w:val="20"/>
                <w:szCs w:val="20"/>
              </w:rPr>
              <w:t>，占达州市国土面积比例的</w:t>
            </w:r>
            <w:r>
              <w:rPr>
                <w:rFonts w:ascii="Times New Roman" w:hAnsi="Times New Roman" w:eastAsia="Times New Roman" w:cs="Times New Roman"/>
                <w:spacing w:val="5"/>
                <w:sz w:val="20"/>
                <w:szCs w:val="20"/>
              </w:rPr>
              <w:t>7.26%</w:t>
            </w:r>
            <w:r>
              <w:rPr>
                <w:spacing w:val="5"/>
                <w:sz w:val="20"/>
                <w:szCs w:val="20"/>
              </w:rPr>
              <w:t>；</w:t>
            </w:r>
            <w:r>
              <w:rPr>
                <w:sz w:val="20"/>
                <w:szCs w:val="20"/>
              </w:rPr>
              <w:t xml:space="preserve"> </w:t>
            </w:r>
            <w:r>
              <w:rPr>
                <w:spacing w:val="6"/>
                <w:sz w:val="20"/>
                <w:szCs w:val="20"/>
              </w:rPr>
              <w:t>一般生态空间管控区分区数量</w:t>
            </w:r>
            <w:r>
              <w:rPr>
                <w:rFonts w:ascii="Times New Roman" w:hAnsi="Times New Roman" w:eastAsia="Times New Roman" w:cs="Times New Roman"/>
                <w:spacing w:val="6"/>
                <w:sz w:val="20"/>
                <w:szCs w:val="20"/>
              </w:rPr>
              <w:t>51</w:t>
            </w:r>
            <w:r>
              <w:rPr>
                <w:spacing w:val="6"/>
                <w:sz w:val="20"/>
                <w:szCs w:val="20"/>
              </w:rPr>
              <w:t>个，一般生态空间面积</w:t>
            </w:r>
            <w:r>
              <w:rPr>
                <w:rFonts w:ascii="Times New Roman" w:hAnsi="Times New Roman" w:eastAsia="Times New Roman" w:cs="Times New Roman"/>
                <w:spacing w:val="6"/>
                <w:sz w:val="20"/>
                <w:szCs w:val="20"/>
              </w:rPr>
              <w:t>3125.7</w:t>
            </w:r>
            <w:r>
              <w:rPr>
                <w:rFonts w:ascii="Times New Roman" w:hAnsi="Times New Roman" w:eastAsia="Times New Roman" w:cs="Times New Roman"/>
                <w:sz w:val="20"/>
                <w:szCs w:val="20"/>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12"/>
                <w:w w:val="101"/>
                <w:position w:val="6"/>
                <w:sz w:val="13"/>
                <w:szCs w:val="13"/>
              </w:rPr>
              <w:t xml:space="preserve"> </w:t>
            </w:r>
            <w:r>
              <w:rPr>
                <w:spacing w:val="6"/>
                <w:sz w:val="20"/>
                <w:szCs w:val="20"/>
              </w:rPr>
              <w:t>，</w:t>
            </w:r>
            <w:r>
              <w:rPr>
                <w:spacing w:val="-52"/>
                <w:sz w:val="20"/>
                <w:szCs w:val="20"/>
              </w:rPr>
              <w:t xml:space="preserve"> </w:t>
            </w:r>
            <w:r>
              <w:rPr>
                <w:spacing w:val="6"/>
                <w:sz w:val="20"/>
                <w:szCs w:val="20"/>
              </w:rPr>
              <w:t>占达</w:t>
            </w:r>
            <w:r>
              <w:rPr>
                <w:sz w:val="20"/>
                <w:szCs w:val="20"/>
              </w:rPr>
              <w:tab/>
            </w:r>
            <w:r>
              <w:rPr>
                <w:sz w:val="20"/>
                <w:szCs w:val="20"/>
              </w:rPr>
              <w:t xml:space="preserve"> </w:t>
            </w:r>
            <w:r>
              <w:rPr>
                <w:spacing w:val="7"/>
                <w:sz w:val="20"/>
                <w:szCs w:val="20"/>
              </w:rPr>
              <w:t>州市国土面积比例的</w:t>
            </w:r>
            <w:r>
              <w:rPr>
                <w:rFonts w:ascii="Times New Roman" w:hAnsi="Times New Roman" w:eastAsia="Times New Roman" w:cs="Times New Roman"/>
                <w:spacing w:val="7"/>
                <w:sz w:val="20"/>
                <w:szCs w:val="20"/>
              </w:rPr>
              <w:t>18.87%</w:t>
            </w:r>
            <w:r>
              <w:rPr>
                <w:spacing w:val="7"/>
                <w:sz w:val="20"/>
                <w:szCs w:val="20"/>
              </w:rPr>
              <w:t>。</w:t>
            </w:r>
          </w:p>
          <w:p w14:paraId="330409E1">
            <w:pPr>
              <w:pStyle w:val="6"/>
              <w:spacing w:before="33" w:line="226" w:lineRule="auto"/>
              <w:ind w:left="511"/>
              <w:rPr>
                <w:sz w:val="20"/>
                <w:szCs w:val="20"/>
              </w:rPr>
            </w:pPr>
            <w:r>
              <w:rPr>
                <w:spacing w:val="8"/>
                <w:sz w:val="20"/>
                <w:szCs w:val="20"/>
              </w:rPr>
              <w:t>达州市生态保护红线分布情况如下。</w:t>
            </w:r>
          </w:p>
        </w:tc>
      </w:tr>
      <w:tr w14:paraId="6D89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0" w:hRule="atLeast"/>
        </w:trPr>
        <w:tc>
          <w:tcPr>
            <w:tcW w:w="2019" w:type="dxa"/>
            <w:vMerge w:val="continue"/>
            <w:tcBorders>
              <w:top w:val="nil"/>
              <w:bottom w:val="nil"/>
              <w:right w:val="single" w:color="000000" w:sz="2" w:space="0"/>
            </w:tcBorders>
            <w:vAlign w:val="top"/>
          </w:tcPr>
          <w:p w14:paraId="5A073402">
            <w:pPr>
              <w:rPr>
                <w:rFonts w:ascii="Arial"/>
                <w:sz w:val="21"/>
              </w:rPr>
            </w:pPr>
          </w:p>
        </w:tc>
        <w:tc>
          <w:tcPr>
            <w:tcW w:w="6855" w:type="dxa"/>
            <w:tcBorders>
              <w:top w:val="nil"/>
              <w:left w:val="single" w:color="000000" w:sz="2" w:space="0"/>
              <w:bottom w:val="nil"/>
            </w:tcBorders>
            <w:vAlign w:val="top"/>
          </w:tcPr>
          <w:p w14:paraId="7B1B50D8">
            <w:pPr>
              <w:spacing w:line="246" w:lineRule="auto"/>
              <w:rPr>
                <w:rFonts w:ascii="Arial"/>
                <w:sz w:val="21"/>
              </w:rPr>
            </w:pPr>
          </w:p>
          <w:p w14:paraId="4E7DC070">
            <w:pPr>
              <w:spacing w:line="246" w:lineRule="auto"/>
              <w:rPr>
                <w:rFonts w:ascii="Arial"/>
                <w:sz w:val="21"/>
              </w:rPr>
            </w:pPr>
          </w:p>
          <w:p w14:paraId="6FA716B1">
            <w:pPr>
              <w:spacing w:line="246" w:lineRule="auto"/>
              <w:rPr>
                <w:rFonts w:ascii="Arial"/>
                <w:sz w:val="21"/>
              </w:rPr>
            </w:pPr>
          </w:p>
          <w:p w14:paraId="6B7CFF43">
            <w:pPr>
              <w:spacing w:line="246" w:lineRule="auto"/>
              <w:rPr>
                <w:rFonts w:ascii="Arial"/>
                <w:sz w:val="21"/>
              </w:rPr>
            </w:pPr>
          </w:p>
          <w:p w14:paraId="7E167CA1">
            <w:pPr>
              <w:spacing w:line="246" w:lineRule="auto"/>
              <w:rPr>
                <w:rFonts w:ascii="Arial"/>
                <w:sz w:val="21"/>
              </w:rPr>
            </w:pPr>
          </w:p>
          <w:p w14:paraId="0D2EAF66">
            <w:pPr>
              <w:spacing w:line="246" w:lineRule="auto"/>
              <w:rPr>
                <w:rFonts w:ascii="Arial"/>
                <w:sz w:val="21"/>
              </w:rPr>
            </w:pPr>
          </w:p>
          <w:p w14:paraId="17DE7ABB">
            <w:pPr>
              <w:spacing w:line="246" w:lineRule="auto"/>
              <w:rPr>
                <w:rFonts w:ascii="Arial"/>
                <w:sz w:val="21"/>
              </w:rPr>
            </w:pPr>
          </w:p>
          <w:p w14:paraId="5455DB00">
            <w:pPr>
              <w:spacing w:line="246" w:lineRule="auto"/>
              <w:rPr>
                <w:rFonts w:ascii="Arial"/>
                <w:sz w:val="21"/>
              </w:rPr>
            </w:pPr>
          </w:p>
          <w:p w14:paraId="4E6E1D3A">
            <w:pPr>
              <w:spacing w:line="246" w:lineRule="auto"/>
              <w:rPr>
                <w:rFonts w:ascii="Arial"/>
                <w:sz w:val="21"/>
              </w:rPr>
            </w:pPr>
          </w:p>
          <w:p w14:paraId="0468F084">
            <w:pPr>
              <w:spacing w:line="246" w:lineRule="auto"/>
              <w:rPr>
                <w:rFonts w:ascii="Arial"/>
                <w:sz w:val="21"/>
              </w:rPr>
            </w:pPr>
          </w:p>
          <w:p w14:paraId="34D6CADF">
            <w:pPr>
              <w:spacing w:line="97" w:lineRule="exact"/>
              <w:ind w:firstLine="2577"/>
            </w:pPr>
            <w:r>
              <w:rPr>
                <w:position w:val="-1"/>
              </w:rPr>
              <w:drawing>
                <wp:inline distT="0" distB="0" distL="0" distR="0">
                  <wp:extent cx="60960" cy="609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6"/>
                          <a:stretch>
                            <a:fillRect/>
                          </a:stretch>
                        </pic:blipFill>
                        <pic:spPr>
                          <a:xfrm>
                            <a:off x="0" y="0"/>
                            <a:ext cx="61569" cy="61569"/>
                          </a:xfrm>
                          <a:prstGeom prst="rect">
                            <a:avLst/>
                          </a:prstGeom>
                        </pic:spPr>
                      </pic:pic>
                    </a:graphicData>
                  </a:graphic>
                </wp:inline>
              </w:drawing>
            </w:r>
          </w:p>
          <w:p w14:paraId="28E26E0F">
            <w:pPr>
              <w:spacing w:line="271" w:lineRule="auto"/>
              <w:rPr>
                <w:rFonts w:ascii="Arial"/>
                <w:sz w:val="21"/>
              </w:rPr>
            </w:pPr>
          </w:p>
          <w:p w14:paraId="6990F9D7">
            <w:pPr>
              <w:pStyle w:val="6"/>
              <w:spacing w:before="65" w:line="228" w:lineRule="auto"/>
              <w:ind w:left="3676"/>
              <w:rPr>
                <w:sz w:val="20"/>
                <w:szCs w:val="20"/>
              </w:rPr>
            </w:pPr>
            <w:r>
              <w:drawing>
                <wp:anchor distT="0" distB="0" distL="0" distR="0" simplePos="0" relativeHeight="251662336" behindDoc="1" locked="0" layoutInCell="1" allowOverlap="1">
                  <wp:simplePos x="0" y="0"/>
                  <wp:positionH relativeFrom="column">
                    <wp:posOffset>1663700</wp:posOffset>
                  </wp:positionH>
                  <wp:positionV relativeFrom="paragraph">
                    <wp:posOffset>-193040</wp:posOffset>
                  </wp:positionV>
                  <wp:extent cx="1461135" cy="4514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7"/>
                          <a:stretch>
                            <a:fillRect/>
                          </a:stretch>
                        </pic:blipFill>
                        <pic:spPr>
                          <a:xfrm>
                            <a:off x="0" y="0"/>
                            <a:ext cx="1461096" cy="451472"/>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53340</wp:posOffset>
                  </wp:positionH>
                  <wp:positionV relativeFrom="paragraph">
                    <wp:posOffset>-1803400</wp:posOffset>
                  </wp:positionV>
                  <wp:extent cx="4260850" cy="300101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8"/>
                          <a:stretch>
                            <a:fillRect/>
                          </a:stretch>
                        </pic:blipFill>
                        <pic:spPr>
                          <a:xfrm>
                            <a:off x="0" y="0"/>
                            <a:ext cx="4261103" cy="3000755"/>
                          </a:xfrm>
                          <a:prstGeom prst="rect">
                            <a:avLst/>
                          </a:prstGeom>
                        </pic:spPr>
                      </pic:pic>
                    </a:graphicData>
                  </a:graphic>
                </wp:anchor>
              </w:drawing>
            </w:r>
            <w:r>
              <w:rPr>
                <w:spacing w:val="7"/>
                <w:sz w:val="20"/>
                <w:szCs w:val="20"/>
              </w:rPr>
              <w:t>项目区位置</w:t>
            </w:r>
          </w:p>
        </w:tc>
      </w:tr>
      <w:tr w14:paraId="2F71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8" w:hRule="atLeast"/>
        </w:trPr>
        <w:tc>
          <w:tcPr>
            <w:tcW w:w="2019" w:type="dxa"/>
            <w:vMerge w:val="continue"/>
            <w:tcBorders>
              <w:top w:val="nil"/>
              <w:right w:val="single" w:color="000000" w:sz="2" w:space="0"/>
            </w:tcBorders>
            <w:vAlign w:val="top"/>
          </w:tcPr>
          <w:p w14:paraId="7765263B">
            <w:pPr>
              <w:rPr>
                <w:rFonts w:ascii="Arial"/>
                <w:sz w:val="21"/>
              </w:rPr>
            </w:pPr>
          </w:p>
        </w:tc>
        <w:tc>
          <w:tcPr>
            <w:tcW w:w="6855" w:type="dxa"/>
            <w:tcBorders>
              <w:top w:val="nil"/>
              <w:left w:val="single" w:color="000000" w:sz="2" w:space="0"/>
            </w:tcBorders>
            <w:vAlign w:val="top"/>
          </w:tcPr>
          <w:p w14:paraId="47BE2A4E">
            <w:pPr>
              <w:spacing w:before="92" w:line="219" w:lineRule="auto"/>
              <w:ind w:left="2120"/>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3"/>
                <w:sz w:val="18"/>
                <w:szCs w:val="18"/>
              </w:rPr>
              <w:t>1-1</w:t>
            </w:r>
            <w:r>
              <w:rPr>
                <w:rFonts w:ascii="黑体" w:hAnsi="黑体" w:eastAsia="黑体" w:cs="黑体"/>
                <w:spacing w:val="-3"/>
                <w:sz w:val="18"/>
                <w:szCs w:val="18"/>
              </w:rPr>
              <w:t>：达州市生态保护红线图</w:t>
            </w:r>
          </w:p>
          <w:p w14:paraId="50E87123">
            <w:pPr>
              <w:pStyle w:val="6"/>
              <w:spacing w:before="184" w:line="355" w:lineRule="auto"/>
              <w:ind w:left="95" w:right="131" w:firstLine="416"/>
              <w:rPr>
                <w:sz w:val="20"/>
                <w:szCs w:val="20"/>
              </w:rPr>
            </w:pPr>
            <w:r>
              <w:rPr>
                <w:spacing w:val="4"/>
                <w:sz w:val="20"/>
                <w:szCs w:val="20"/>
              </w:rPr>
              <w:t>根据上图分析，本项目位于</w:t>
            </w:r>
            <w:r>
              <w:rPr>
                <w:spacing w:val="4"/>
              </w:rPr>
              <w:t>达州市通川区东岳镇有力村</w:t>
            </w:r>
            <w:r>
              <w:rPr>
                <w:spacing w:val="3"/>
                <w:sz w:val="20"/>
                <w:szCs w:val="20"/>
              </w:rPr>
              <w:t>，</w:t>
            </w:r>
            <w:r>
              <w:rPr>
                <w:spacing w:val="-52"/>
                <w:sz w:val="20"/>
                <w:szCs w:val="20"/>
              </w:rPr>
              <w:t xml:space="preserve"> </w:t>
            </w:r>
            <w:r>
              <w:rPr>
                <w:spacing w:val="3"/>
                <w:sz w:val="20"/>
                <w:szCs w:val="20"/>
              </w:rPr>
              <w:t>占地不属</w:t>
            </w:r>
            <w:r>
              <w:rPr>
                <w:sz w:val="20"/>
                <w:szCs w:val="20"/>
              </w:rPr>
              <w:t xml:space="preserve"> </w:t>
            </w:r>
            <w:r>
              <w:rPr>
                <w:spacing w:val="8"/>
                <w:sz w:val="20"/>
                <w:szCs w:val="20"/>
              </w:rPr>
              <w:t>于达州市生态保护红线范围。</w:t>
            </w:r>
          </w:p>
          <w:p w14:paraId="56BE9ABB">
            <w:pPr>
              <w:pStyle w:val="6"/>
              <w:spacing w:before="43" w:line="228" w:lineRule="auto"/>
              <w:ind w:left="522"/>
              <w:rPr>
                <w:sz w:val="20"/>
                <w:szCs w:val="20"/>
              </w:rPr>
            </w:pPr>
            <w:r>
              <w:rPr>
                <w:b/>
                <w:bCs/>
                <w:spacing w:val="6"/>
                <w:sz w:val="20"/>
                <w:szCs w:val="20"/>
              </w:rPr>
              <w:t>（2）项目所属环境管控单元</w:t>
            </w:r>
          </w:p>
          <w:p w14:paraId="698DE6C1">
            <w:pPr>
              <w:pStyle w:val="6"/>
              <w:spacing w:before="174" w:line="361" w:lineRule="auto"/>
              <w:ind w:left="93" w:right="86" w:firstLine="419"/>
              <w:jc w:val="both"/>
              <w:rPr>
                <w:sz w:val="20"/>
                <w:szCs w:val="20"/>
              </w:rPr>
            </w:pPr>
            <w:r>
              <w:rPr>
                <w:spacing w:val="8"/>
                <w:sz w:val="20"/>
                <w:szCs w:val="20"/>
              </w:rPr>
              <w:t>根据达州市人民政府《关于加强生态环境分区管控的通知》（达市府</w:t>
            </w:r>
            <w:r>
              <w:rPr>
                <w:spacing w:val="5"/>
                <w:sz w:val="20"/>
                <w:szCs w:val="20"/>
              </w:rPr>
              <w:t xml:space="preserve"> </w:t>
            </w:r>
            <w:r>
              <w:rPr>
                <w:spacing w:val="7"/>
                <w:sz w:val="20"/>
                <w:szCs w:val="20"/>
              </w:rPr>
              <w:t>办函〔2024〕31号</w:t>
            </w:r>
            <w:r>
              <w:rPr>
                <w:spacing w:val="13"/>
                <w:sz w:val="20"/>
                <w:szCs w:val="20"/>
              </w:rPr>
              <w:t>），</w:t>
            </w:r>
            <w:r>
              <w:rPr>
                <w:spacing w:val="7"/>
                <w:sz w:val="20"/>
                <w:szCs w:val="20"/>
              </w:rPr>
              <w:t>达州市共划定47个综合环境管控单元，其中优先保</w:t>
            </w:r>
            <w:r>
              <w:rPr>
                <w:sz w:val="20"/>
                <w:szCs w:val="20"/>
              </w:rPr>
              <w:t xml:space="preserve"> </w:t>
            </w:r>
            <w:r>
              <w:rPr>
                <w:spacing w:val="6"/>
                <w:sz w:val="20"/>
                <w:szCs w:val="20"/>
              </w:rPr>
              <w:t>护单元18个，单元面积4334.97</w:t>
            </w:r>
            <w:r>
              <w:rPr>
                <w:sz w:val="20"/>
                <w:szCs w:val="20"/>
              </w:rPr>
              <w:t>km</w:t>
            </w:r>
            <w:r>
              <w:rPr>
                <w:spacing w:val="6"/>
                <w:position w:val="10"/>
                <w:sz w:val="10"/>
                <w:szCs w:val="10"/>
              </w:rPr>
              <w:t>2</w:t>
            </w:r>
            <w:r>
              <w:rPr>
                <w:spacing w:val="-25"/>
                <w:position w:val="10"/>
                <w:sz w:val="10"/>
                <w:szCs w:val="10"/>
              </w:rPr>
              <w:t xml:space="preserve"> </w:t>
            </w:r>
            <w:r>
              <w:rPr>
                <w:spacing w:val="6"/>
                <w:sz w:val="20"/>
                <w:szCs w:val="20"/>
              </w:rPr>
              <w:t>，</w:t>
            </w:r>
            <w:r>
              <w:rPr>
                <w:spacing w:val="-52"/>
                <w:sz w:val="20"/>
                <w:szCs w:val="20"/>
              </w:rPr>
              <w:t xml:space="preserve"> </w:t>
            </w:r>
            <w:r>
              <w:rPr>
                <w:spacing w:val="6"/>
                <w:sz w:val="20"/>
                <w:szCs w:val="20"/>
              </w:rPr>
              <w:t>占国土面积的26.15%；城镇重点管控</w:t>
            </w:r>
            <w:r>
              <w:rPr>
                <w:sz w:val="20"/>
                <w:szCs w:val="20"/>
              </w:rPr>
              <w:t xml:space="preserve"> </w:t>
            </w:r>
            <w:r>
              <w:rPr>
                <w:spacing w:val="8"/>
                <w:sz w:val="20"/>
                <w:szCs w:val="20"/>
              </w:rPr>
              <w:t>单元7个(包括达川区中心城区、通川区中心城区宣汉县中心城区、大竹县</w:t>
            </w:r>
            <w:r>
              <w:rPr>
                <w:sz w:val="20"/>
                <w:szCs w:val="20"/>
              </w:rPr>
              <w:t xml:space="preserve"> </w:t>
            </w:r>
            <w:r>
              <w:rPr>
                <w:spacing w:val="9"/>
                <w:sz w:val="20"/>
                <w:szCs w:val="20"/>
              </w:rPr>
              <w:t>中心城区、开江县中心城区、渠县中心城区、万源市中心城区)，单元面</w:t>
            </w:r>
          </w:p>
        </w:tc>
      </w:tr>
    </w:tbl>
    <w:p w14:paraId="6D761C2F">
      <w:pPr>
        <w:pStyle w:val="2"/>
      </w:pPr>
    </w:p>
    <w:p w14:paraId="0A4A9C8D">
      <w:pPr>
        <w:sectPr>
          <w:footerReference r:id="rId8" w:type="default"/>
          <w:pgSz w:w="11906" w:h="16839"/>
          <w:pgMar w:top="1431" w:right="1508" w:bottom="1259" w:left="1508" w:header="0" w:footer="1080" w:gutter="0"/>
          <w:cols w:space="720" w:num="1"/>
        </w:sectPr>
      </w:pPr>
    </w:p>
    <w:p w14:paraId="46C41A7B">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2B45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55" w:hRule="atLeast"/>
        </w:trPr>
        <w:tc>
          <w:tcPr>
            <w:tcW w:w="2019" w:type="dxa"/>
            <w:vMerge w:val="restart"/>
            <w:tcBorders>
              <w:top w:val="single" w:color="000000" w:sz="2" w:space="0"/>
              <w:bottom w:val="nil"/>
              <w:right w:val="single" w:color="000000" w:sz="2" w:space="0"/>
            </w:tcBorders>
            <w:vAlign w:val="top"/>
          </w:tcPr>
          <w:p w14:paraId="297CE90A">
            <w:pPr>
              <w:rPr>
                <w:rFonts w:ascii="Arial"/>
                <w:sz w:val="21"/>
              </w:rPr>
            </w:pPr>
          </w:p>
        </w:tc>
        <w:tc>
          <w:tcPr>
            <w:tcW w:w="6855" w:type="dxa"/>
            <w:tcBorders>
              <w:top w:val="single" w:color="000000" w:sz="2" w:space="0"/>
              <w:left w:val="single" w:color="000000" w:sz="2" w:space="0"/>
              <w:bottom w:val="nil"/>
            </w:tcBorders>
            <w:vAlign w:val="top"/>
          </w:tcPr>
          <w:p w14:paraId="3AE1AA3E">
            <w:pPr>
              <w:pStyle w:val="6"/>
              <w:spacing w:before="160" w:line="373" w:lineRule="auto"/>
              <w:ind w:left="107" w:right="304" w:hanging="15"/>
              <w:rPr>
                <w:sz w:val="20"/>
                <w:szCs w:val="20"/>
              </w:rPr>
            </w:pPr>
            <w:r>
              <w:rPr>
                <w:spacing w:val="6"/>
                <w:sz w:val="20"/>
                <w:szCs w:val="20"/>
              </w:rPr>
              <w:t>积429.53</w:t>
            </w:r>
            <w:r>
              <w:rPr>
                <w:sz w:val="20"/>
                <w:szCs w:val="20"/>
              </w:rPr>
              <w:t>km</w:t>
            </w:r>
            <w:r>
              <w:rPr>
                <w:spacing w:val="6"/>
                <w:position w:val="10"/>
                <w:sz w:val="10"/>
                <w:szCs w:val="10"/>
              </w:rPr>
              <w:t>2</w:t>
            </w:r>
            <w:r>
              <w:rPr>
                <w:spacing w:val="-24"/>
                <w:position w:val="10"/>
                <w:sz w:val="10"/>
                <w:szCs w:val="10"/>
              </w:rPr>
              <w:t xml:space="preserve"> </w:t>
            </w:r>
            <w:r>
              <w:rPr>
                <w:spacing w:val="6"/>
                <w:sz w:val="20"/>
                <w:szCs w:val="20"/>
              </w:rPr>
              <w:t>，</w:t>
            </w:r>
            <w:r>
              <w:rPr>
                <w:spacing w:val="-51"/>
                <w:sz w:val="20"/>
                <w:szCs w:val="20"/>
              </w:rPr>
              <w:t xml:space="preserve"> </w:t>
            </w:r>
            <w:r>
              <w:rPr>
                <w:spacing w:val="6"/>
                <w:sz w:val="20"/>
                <w:szCs w:val="20"/>
              </w:rPr>
              <w:t>占国土面积的2.58%；工业重点管控单元12个，单元面积</w:t>
            </w:r>
            <w:r>
              <w:rPr>
                <w:sz w:val="20"/>
                <w:szCs w:val="20"/>
              </w:rPr>
              <w:t xml:space="preserve"> </w:t>
            </w:r>
            <w:r>
              <w:rPr>
                <w:spacing w:val="5"/>
                <w:sz w:val="20"/>
                <w:szCs w:val="20"/>
              </w:rPr>
              <w:t>116.92</w:t>
            </w:r>
            <w:r>
              <w:rPr>
                <w:sz w:val="20"/>
                <w:szCs w:val="20"/>
              </w:rPr>
              <w:t>km</w:t>
            </w:r>
            <w:r>
              <w:rPr>
                <w:spacing w:val="5"/>
                <w:position w:val="10"/>
                <w:sz w:val="10"/>
                <w:szCs w:val="10"/>
              </w:rPr>
              <w:t>2</w:t>
            </w:r>
            <w:r>
              <w:rPr>
                <w:spacing w:val="-10"/>
                <w:position w:val="10"/>
                <w:sz w:val="10"/>
                <w:szCs w:val="10"/>
              </w:rPr>
              <w:t xml:space="preserve"> </w:t>
            </w:r>
            <w:r>
              <w:rPr>
                <w:spacing w:val="5"/>
                <w:sz w:val="20"/>
                <w:szCs w:val="20"/>
              </w:rPr>
              <w:t>，</w:t>
            </w:r>
            <w:r>
              <w:rPr>
                <w:spacing w:val="-51"/>
                <w:sz w:val="20"/>
                <w:szCs w:val="20"/>
              </w:rPr>
              <w:t xml:space="preserve"> </w:t>
            </w:r>
            <w:r>
              <w:rPr>
                <w:spacing w:val="5"/>
                <w:sz w:val="20"/>
                <w:szCs w:val="20"/>
              </w:rPr>
              <w:t>占国土面积的0.71%；要素重点管控单元3个，单元面积</w:t>
            </w:r>
          </w:p>
          <w:p w14:paraId="50167C53">
            <w:pPr>
              <w:pStyle w:val="6"/>
              <w:spacing w:before="32" w:line="373" w:lineRule="auto"/>
              <w:ind w:left="125" w:right="31" w:hanging="31"/>
              <w:rPr>
                <w:sz w:val="20"/>
                <w:szCs w:val="20"/>
              </w:rPr>
            </w:pPr>
            <w:r>
              <w:rPr>
                <w:sz w:val="20"/>
                <w:szCs w:val="20"/>
              </w:rPr>
              <w:t>2829.45km</w:t>
            </w:r>
            <w:r>
              <w:rPr>
                <w:position w:val="10"/>
                <w:sz w:val="10"/>
                <w:szCs w:val="10"/>
              </w:rPr>
              <w:t>2</w:t>
            </w:r>
            <w:r>
              <w:rPr>
                <w:sz w:val="20"/>
                <w:szCs w:val="20"/>
              </w:rPr>
              <w:t>，占国土面积的17.06%；一般管控单元7个，单元面积8867.6km</w:t>
            </w:r>
            <w:r>
              <w:rPr>
                <w:position w:val="10"/>
                <w:sz w:val="10"/>
                <w:szCs w:val="10"/>
              </w:rPr>
              <w:t>2</w:t>
            </w:r>
            <w:r>
              <w:rPr>
                <w:sz w:val="20"/>
                <w:szCs w:val="20"/>
              </w:rPr>
              <w:t>，</w:t>
            </w:r>
            <w:r>
              <w:rPr>
                <w:spacing w:val="17"/>
                <w:sz w:val="20"/>
                <w:szCs w:val="20"/>
              </w:rPr>
              <w:t xml:space="preserve"> </w:t>
            </w:r>
            <w:r>
              <w:rPr>
                <w:spacing w:val="3"/>
                <w:sz w:val="20"/>
                <w:szCs w:val="20"/>
              </w:rPr>
              <w:t>占国土面积的53.49%。</w:t>
            </w:r>
          </w:p>
          <w:p w14:paraId="265DC5E3">
            <w:pPr>
              <w:pStyle w:val="6"/>
              <w:spacing w:before="16" w:line="353" w:lineRule="auto"/>
              <w:ind w:left="107" w:right="88" w:firstLine="403"/>
              <w:rPr>
                <w:sz w:val="20"/>
                <w:szCs w:val="20"/>
              </w:rPr>
            </w:pPr>
            <w:r>
              <w:rPr>
                <w:spacing w:val="8"/>
                <w:sz w:val="20"/>
                <w:szCs w:val="20"/>
              </w:rPr>
              <w:t>优先保护单元。以生态环境保护为主的区域，全市划分优先保护单元</w:t>
            </w:r>
            <w:r>
              <w:rPr>
                <w:spacing w:val="3"/>
                <w:sz w:val="20"/>
                <w:szCs w:val="20"/>
              </w:rPr>
              <w:t xml:space="preserve"> </w:t>
            </w:r>
            <w:r>
              <w:rPr>
                <w:spacing w:val="7"/>
                <w:sz w:val="20"/>
                <w:szCs w:val="20"/>
              </w:rPr>
              <w:t>18个，主要包括生态保护红线、</w:t>
            </w:r>
            <w:r>
              <w:rPr>
                <w:spacing w:val="-52"/>
                <w:sz w:val="20"/>
                <w:szCs w:val="20"/>
              </w:rPr>
              <w:t xml:space="preserve"> </w:t>
            </w:r>
            <w:r>
              <w:rPr>
                <w:spacing w:val="7"/>
                <w:sz w:val="20"/>
                <w:szCs w:val="20"/>
              </w:rPr>
              <w:t>自然保护地、饮用水水源保护区等。</w:t>
            </w:r>
          </w:p>
          <w:p w14:paraId="71DD8DFE">
            <w:pPr>
              <w:pStyle w:val="6"/>
              <w:spacing w:before="34" w:line="359" w:lineRule="auto"/>
              <w:ind w:left="97" w:right="86" w:firstLine="415"/>
              <w:rPr>
                <w:sz w:val="20"/>
                <w:szCs w:val="20"/>
              </w:rPr>
            </w:pPr>
            <w:r>
              <w:rPr>
                <w:spacing w:val="8"/>
                <w:sz w:val="20"/>
                <w:szCs w:val="20"/>
              </w:rPr>
              <w:t>重点管控单元。涉及水、大气、土壤、自然资源等资源环境要素重点</w:t>
            </w:r>
            <w:r>
              <w:rPr>
                <w:spacing w:val="4"/>
                <w:sz w:val="20"/>
                <w:szCs w:val="20"/>
              </w:rPr>
              <w:t xml:space="preserve"> </w:t>
            </w:r>
            <w:r>
              <w:rPr>
                <w:spacing w:val="8"/>
                <w:sz w:val="20"/>
                <w:szCs w:val="20"/>
              </w:rPr>
              <w:t>管控的区域，全市划分重点管控单元22个，主要包括人口密集的</w:t>
            </w:r>
            <w:r>
              <w:rPr>
                <w:spacing w:val="7"/>
                <w:sz w:val="20"/>
                <w:szCs w:val="20"/>
              </w:rPr>
              <w:t>城镇规划</w:t>
            </w:r>
            <w:r>
              <w:rPr>
                <w:sz w:val="20"/>
                <w:szCs w:val="20"/>
              </w:rPr>
              <w:t xml:space="preserve"> </w:t>
            </w:r>
            <w:r>
              <w:rPr>
                <w:spacing w:val="8"/>
                <w:sz w:val="20"/>
                <w:szCs w:val="20"/>
              </w:rPr>
              <w:t>区和产业集聚的工业园区（工业集聚区）等。</w:t>
            </w:r>
          </w:p>
          <w:p w14:paraId="543E667D">
            <w:pPr>
              <w:pStyle w:val="6"/>
              <w:spacing w:before="33" w:line="286" w:lineRule="auto"/>
              <w:ind w:left="97" w:right="86" w:firstLine="417"/>
              <w:rPr>
                <w:sz w:val="20"/>
                <w:szCs w:val="20"/>
              </w:rPr>
            </w:pPr>
            <w:r>
              <w:rPr>
                <w:spacing w:val="8"/>
                <w:sz w:val="20"/>
                <w:szCs w:val="20"/>
              </w:rPr>
              <w:t>一般管控单元。除优先保护单元和重点管控单元之外的其他区域，全</w:t>
            </w:r>
            <w:r>
              <w:rPr>
                <w:spacing w:val="2"/>
                <w:sz w:val="20"/>
                <w:szCs w:val="20"/>
              </w:rPr>
              <w:t xml:space="preserve"> </w:t>
            </w:r>
            <w:r>
              <w:rPr>
                <w:spacing w:val="7"/>
                <w:sz w:val="20"/>
                <w:szCs w:val="20"/>
              </w:rPr>
              <w:t>市共划分一般管控单元7个。</w:t>
            </w:r>
          </w:p>
        </w:tc>
      </w:tr>
      <w:tr w14:paraId="594D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3" w:hRule="atLeast"/>
        </w:trPr>
        <w:tc>
          <w:tcPr>
            <w:tcW w:w="2019" w:type="dxa"/>
            <w:vMerge w:val="continue"/>
            <w:tcBorders>
              <w:top w:val="nil"/>
              <w:bottom w:val="nil"/>
              <w:right w:val="single" w:color="000000" w:sz="2" w:space="0"/>
            </w:tcBorders>
            <w:vAlign w:val="top"/>
          </w:tcPr>
          <w:p w14:paraId="37503F3F">
            <w:pPr>
              <w:rPr>
                <w:rFonts w:ascii="Arial"/>
                <w:sz w:val="21"/>
              </w:rPr>
            </w:pPr>
          </w:p>
        </w:tc>
        <w:tc>
          <w:tcPr>
            <w:tcW w:w="6855" w:type="dxa"/>
            <w:tcBorders>
              <w:top w:val="nil"/>
              <w:left w:val="single" w:color="000000" w:sz="2" w:space="0"/>
              <w:bottom w:val="nil"/>
            </w:tcBorders>
            <w:vAlign w:val="top"/>
          </w:tcPr>
          <w:p w14:paraId="7969F844">
            <w:pPr>
              <w:spacing w:line="259" w:lineRule="auto"/>
              <w:rPr>
                <w:rFonts w:ascii="Arial"/>
                <w:sz w:val="21"/>
              </w:rPr>
            </w:pPr>
            <w:r>
              <w:pict>
                <v:rect id="_x0000_s1028" o:spid="_x0000_s1028" o:spt="1" style="position:absolute;left:0pt;margin-left:132.55pt;margin-top:125.15pt;height:4.85pt;width:4.85pt;mso-position-horizontal-relative:page;mso-position-vertical-relative:page;z-index:251665408;mso-width-relative:page;mso-height-relative:page;" fillcolor="#FF0000" filled="t" stroked="f" coordsize="21600,21600">
                  <v:path/>
                  <v:fill on="t" focussize="0,0"/>
                  <v:stroke on="f"/>
                  <v:imagedata o:title=""/>
                  <o:lock v:ext="edit"/>
                </v:rect>
              </w:pict>
            </w:r>
          </w:p>
          <w:p w14:paraId="03684342">
            <w:pPr>
              <w:spacing w:line="259" w:lineRule="auto"/>
              <w:rPr>
                <w:rFonts w:ascii="Arial"/>
                <w:sz w:val="21"/>
              </w:rPr>
            </w:pPr>
          </w:p>
          <w:p w14:paraId="64CA6CEC">
            <w:pPr>
              <w:spacing w:line="259" w:lineRule="auto"/>
              <w:rPr>
                <w:rFonts w:ascii="Arial"/>
                <w:sz w:val="21"/>
              </w:rPr>
            </w:pPr>
          </w:p>
          <w:p w14:paraId="32CDC88B">
            <w:pPr>
              <w:spacing w:line="259" w:lineRule="auto"/>
              <w:rPr>
                <w:rFonts w:ascii="Arial"/>
                <w:sz w:val="21"/>
              </w:rPr>
            </w:pPr>
          </w:p>
          <w:p w14:paraId="5AA07183">
            <w:pPr>
              <w:spacing w:line="259" w:lineRule="auto"/>
              <w:rPr>
                <w:rFonts w:ascii="Arial"/>
                <w:sz w:val="21"/>
              </w:rPr>
            </w:pPr>
          </w:p>
          <w:p w14:paraId="473A3FCB">
            <w:pPr>
              <w:spacing w:line="259" w:lineRule="auto"/>
              <w:rPr>
                <w:rFonts w:ascii="Arial"/>
                <w:sz w:val="21"/>
              </w:rPr>
            </w:pPr>
          </w:p>
          <w:p w14:paraId="6317F764">
            <w:pPr>
              <w:spacing w:line="260" w:lineRule="auto"/>
              <w:rPr>
                <w:rFonts w:ascii="Arial"/>
                <w:sz w:val="21"/>
              </w:rPr>
            </w:pPr>
          </w:p>
          <w:p w14:paraId="29DF1916">
            <w:pPr>
              <w:spacing w:line="260" w:lineRule="auto"/>
              <w:rPr>
                <w:rFonts w:ascii="Arial"/>
                <w:sz w:val="21"/>
              </w:rPr>
            </w:pPr>
          </w:p>
          <w:p w14:paraId="3074A320">
            <w:pPr>
              <w:spacing w:line="260" w:lineRule="auto"/>
              <w:rPr>
                <w:rFonts w:ascii="Arial"/>
                <w:sz w:val="21"/>
              </w:rPr>
            </w:pPr>
          </w:p>
          <w:p w14:paraId="7DB6B4A3">
            <w:pPr>
              <w:spacing w:line="260" w:lineRule="auto"/>
              <w:rPr>
                <w:rFonts w:ascii="Arial"/>
                <w:sz w:val="21"/>
              </w:rPr>
            </w:pPr>
          </w:p>
          <w:p w14:paraId="23E8CED4">
            <w:pPr>
              <w:spacing w:line="260" w:lineRule="auto"/>
              <w:rPr>
                <w:rFonts w:ascii="Arial"/>
                <w:sz w:val="21"/>
              </w:rPr>
            </w:pPr>
          </w:p>
          <w:p w14:paraId="181621F3">
            <w:pPr>
              <w:pStyle w:val="6"/>
              <w:spacing w:before="65" w:line="228" w:lineRule="auto"/>
              <w:ind w:left="3746"/>
              <w:rPr>
                <w:sz w:val="20"/>
                <w:szCs w:val="20"/>
              </w:rPr>
            </w:pPr>
            <w:r>
              <w:drawing>
                <wp:anchor distT="0" distB="0" distL="0" distR="0" simplePos="0" relativeHeight="251664384" behindDoc="1" locked="0" layoutInCell="1" allowOverlap="1">
                  <wp:simplePos x="0" y="0"/>
                  <wp:positionH relativeFrom="column">
                    <wp:posOffset>1708150</wp:posOffset>
                  </wp:positionH>
                  <wp:positionV relativeFrom="paragraph">
                    <wp:posOffset>-192405</wp:posOffset>
                  </wp:positionV>
                  <wp:extent cx="1461135" cy="4514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9"/>
                          <a:stretch>
                            <a:fillRect/>
                          </a:stretch>
                        </pic:blipFill>
                        <pic:spPr>
                          <a:xfrm>
                            <a:off x="0" y="0"/>
                            <a:ext cx="1461096" cy="451472"/>
                          </a:xfrm>
                          <a:prstGeom prst="rect">
                            <a:avLst/>
                          </a:prstGeom>
                        </pic:spPr>
                      </pic:pic>
                    </a:graphicData>
                  </a:graphic>
                </wp:anchor>
              </w:drawing>
            </w:r>
            <w:r>
              <w:drawing>
                <wp:anchor distT="0" distB="0" distL="0" distR="0" simplePos="0" relativeHeight="251663360" behindDoc="1" locked="0" layoutInCell="1" allowOverlap="1">
                  <wp:simplePos x="0" y="0"/>
                  <wp:positionH relativeFrom="column">
                    <wp:posOffset>77470</wp:posOffset>
                  </wp:positionH>
                  <wp:positionV relativeFrom="paragraph">
                    <wp:posOffset>-1803400</wp:posOffset>
                  </wp:positionV>
                  <wp:extent cx="4175760" cy="29730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0"/>
                          <a:stretch>
                            <a:fillRect/>
                          </a:stretch>
                        </pic:blipFill>
                        <pic:spPr>
                          <a:xfrm>
                            <a:off x="0" y="0"/>
                            <a:ext cx="4175759" cy="2973323"/>
                          </a:xfrm>
                          <a:prstGeom prst="rect">
                            <a:avLst/>
                          </a:prstGeom>
                        </pic:spPr>
                      </pic:pic>
                    </a:graphicData>
                  </a:graphic>
                </wp:anchor>
              </w:drawing>
            </w:r>
            <w:r>
              <w:rPr>
                <w:spacing w:val="7"/>
                <w:sz w:val="20"/>
                <w:szCs w:val="20"/>
              </w:rPr>
              <w:t>项目区位置</w:t>
            </w:r>
          </w:p>
        </w:tc>
      </w:tr>
      <w:tr w14:paraId="4D1C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9" w:hRule="atLeast"/>
        </w:trPr>
        <w:tc>
          <w:tcPr>
            <w:tcW w:w="2019" w:type="dxa"/>
            <w:vMerge w:val="continue"/>
            <w:tcBorders>
              <w:top w:val="nil"/>
              <w:right w:val="single" w:color="000000" w:sz="2" w:space="0"/>
            </w:tcBorders>
            <w:vAlign w:val="top"/>
          </w:tcPr>
          <w:p w14:paraId="00F097EC">
            <w:pPr>
              <w:rPr>
                <w:rFonts w:ascii="Arial"/>
                <w:sz w:val="21"/>
              </w:rPr>
            </w:pPr>
          </w:p>
        </w:tc>
        <w:tc>
          <w:tcPr>
            <w:tcW w:w="6855" w:type="dxa"/>
            <w:tcBorders>
              <w:top w:val="nil"/>
              <w:left w:val="single" w:color="000000" w:sz="2" w:space="0"/>
            </w:tcBorders>
            <w:vAlign w:val="top"/>
          </w:tcPr>
          <w:p w14:paraId="3038D9A9">
            <w:pPr>
              <w:spacing w:before="30" w:line="222" w:lineRule="auto"/>
              <w:ind w:left="1844"/>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9"/>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：达州市生态环境管控单元分布图</w:t>
            </w:r>
          </w:p>
          <w:p w14:paraId="6ABF8F49">
            <w:pPr>
              <w:pStyle w:val="6"/>
              <w:spacing w:before="302" w:line="326" w:lineRule="auto"/>
              <w:ind w:left="93" w:right="160" w:firstLine="419"/>
              <w:jc w:val="both"/>
            </w:pPr>
            <w:r>
              <w:rPr>
                <w:sz w:val="20"/>
                <w:szCs w:val="20"/>
              </w:rPr>
              <w:t>本</w:t>
            </w:r>
            <w:r>
              <w:t>项目位于达州市通川区东岳镇有力村，查询四川政务服务网—</w:t>
            </w:r>
            <w:r>
              <w:rPr>
                <w:spacing w:val="1"/>
              </w:rPr>
              <w:t xml:space="preserve"> </w:t>
            </w:r>
            <w:r>
              <w:rPr>
                <w:spacing w:val="-1"/>
              </w:rPr>
              <w:t>四川省生态环境厅“三线一单</w:t>
            </w:r>
            <w:r>
              <w:rPr>
                <w:spacing w:val="-81"/>
              </w:rPr>
              <w:t xml:space="preserve"> </w:t>
            </w:r>
            <w:r>
              <w:rPr>
                <w:spacing w:val="-1"/>
              </w:rPr>
              <w:t>”应用平台，“</w:t>
            </w:r>
            <w:r>
              <w:rPr>
                <w:spacing w:val="-2"/>
              </w:rPr>
              <w:t>绿色节能环保建材产业</w:t>
            </w:r>
            <w:r>
              <w:t xml:space="preserve"> </w:t>
            </w:r>
            <w:r>
              <w:rPr>
                <w:spacing w:val="-3"/>
              </w:rPr>
              <w:t>化项目</w:t>
            </w:r>
            <w:r>
              <w:rPr>
                <w:spacing w:val="-65"/>
              </w:rPr>
              <w:t xml:space="preserve"> </w:t>
            </w:r>
            <w:r>
              <w:rPr>
                <w:spacing w:val="-3"/>
              </w:rPr>
              <w:t>”位于通川区工业重点管控单元。</w:t>
            </w:r>
          </w:p>
        </w:tc>
      </w:tr>
    </w:tbl>
    <w:p w14:paraId="68C384A6">
      <w:pPr>
        <w:pStyle w:val="2"/>
      </w:pPr>
    </w:p>
    <w:p w14:paraId="7639BB61">
      <w:pPr>
        <w:sectPr>
          <w:footerReference r:id="rId9" w:type="default"/>
          <w:pgSz w:w="11906" w:h="16839"/>
          <w:pgMar w:top="1431" w:right="1508" w:bottom="1258" w:left="1508" w:header="0" w:footer="1080" w:gutter="0"/>
          <w:cols w:space="720" w:num="1"/>
        </w:sectPr>
      </w:pPr>
    </w:p>
    <w:p w14:paraId="1AD2F9B7">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7999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3" w:hRule="atLeast"/>
        </w:trPr>
        <w:tc>
          <w:tcPr>
            <w:tcW w:w="2019" w:type="dxa"/>
            <w:vMerge w:val="restart"/>
            <w:tcBorders>
              <w:top w:val="single" w:color="000000" w:sz="2" w:space="0"/>
              <w:bottom w:val="nil"/>
              <w:right w:val="single" w:color="000000" w:sz="2" w:space="0"/>
            </w:tcBorders>
            <w:vAlign w:val="top"/>
          </w:tcPr>
          <w:p w14:paraId="4A128467">
            <w:pPr>
              <w:rPr>
                <w:rFonts w:ascii="Arial"/>
                <w:sz w:val="21"/>
              </w:rPr>
            </w:pPr>
          </w:p>
        </w:tc>
        <w:tc>
          <w:tcPr>
            <w:tcW w:w="6855" w:type="dxa"/>
            <w:tcBorders>
              <w:top w:val="single" w:color="000000" w:sz="2" w:space="0"/>
              <w:left w:val="single" w:color="000000" w:sz="2" w:space="0"/>
              <w:bottom w:val="nil"/>
            </w:tcBorders>
            <w:vAlign w:val="top"/>
          </w:tcPr>
          <w:p w14:paraId="608C1E3E">
            <w:pPr>
              <w:spacing w:before="5" w:line="5323" w:lineRule="exact"/>
              <w:ind w:firstLine="115"/>
            </w:pPr>
            <w:r>
              <w:rPr>
                <w:position w:val="-106"/>
              </w:rPr>
              <w:drawing>
                <wp:inline distT="0" distB="0" distL="0" distR="0">
                  <wp:extent cx="4210685" cy="33801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1"/>
                          <a:stretch>
                            <a:fillRect/>
                          </a:stretch>
                        </pic:blipFill>
                        <pic:spPr>
                          <a:xfrm>
                            <a:off x="0" y="0"/>
                            <a:ext cx="4210811" cy="3380232"/>
                          </a:xfrm>
                          <a:prstGeom prst="rect">
                            <a:avLst/>
                          </a:prstGeom>
                        </pic:spPr>
                      </pic:pic>
                    </a:graphicData>
                  </a:graphic>
                </wp:inline>
              </w:drawing>
            </w:r>
          </w:p>
          <w:p w14:paraId="2A489ABA">
            <w:pPr>
              <w:spacing w:before="17" w:line="219" w:lineRule="auto"/>
              <w:ind w:left="1762"/>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：项目“三线一单”应用平台分析截图</w:t>
            </w:r>
          </w:p>
        </w:tc>
      </w:tr>
      <w:tr w14:paraId="68666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3" w:hRule="atLeast"/>
        </w:trPr>
        <w:tc>
          <w:tcPr>
            <w:tcW w:w="2019" w:type="dxa"/>
            <w:vMerge w:val="continue"/>
            <w:tcBorders>
              <w:top w:val="nil"/>
              <w:bottom w:val="nil"/>
              <w:right w:val="single" w:color="000000" w:sz="2" w:space="0"/>
            </w:tcBorders>
            <w:vAlign w:val="top"/>
          </w:tcPr>
          <w:p w14:paraId="2A8F522B">
            <w:pPr>
              <w:rPr>
                <w:rFonts w:ascii="Arial"/>
                <w:sz w:val="21"/>
              </w:rPr>
            </w:pPr>
          </w:p>
        </w:tc>
        <w:tc>
          <w:tcPr>
            <w:tcW w:w="6855" w:type="dxa"/>
            <w:tcBorders>
              <w:top w:val="nil"/>
              <w:left w:val="single" w:color="000000" w:sz="2" w:space="0"/>
              <w:bottom w:val="nil"/>
            </w:tcBorders>
            <w:vAlign w:val="top"/>
          </w:tcPr>
          <w:p w14:paraId="7B2F329F">
            <w:pPr>
              <w:spacing w:before="168" w:line="221" w:lineRule="auto"/>
              <w:ind w:left="182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1-3      </w:t>
            </w:r>
            <w:r>
              <w:rPr>
                <w:rFonts w:ascii="黑体" w:hAnsi="黑体" w:eastAsia="黑体" w:cs="黑体"/>
                <w:spacing w:val="-1"/>
                <w:sz w:val="18"/>
                <w:szCs w:val="18"/>
              </w:rPr>
              <w:t>项目涉及的环境管控单元一览表</w:t>
            </w:r>
          </w:p>
          <w:p w14:paraId="29F0D1B7">
            <w:pPr>
              <w:spacing w:line="115" w:lineRule="auto"/>
              <w:rPr>
                <w:rFonts w:ascii="Arial"/>
                <w:sz w:val="2"/>
              </w:rPr>
            </w:pPr>
          </w:p>
          <w:tbl>
            <w:tblPr>
              <w:tblStyle w:val="5"/>
              <w:tblW w:w="6588"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66"/>
              <w:gridCol w:w="655"/>
              <w:gridCol w:w="1033"/>
              <w:gridCol w:w="1427"/>
            </w:tblGrid>
            <w:tr w14:paraId="72A48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14:paraId="4B758C12">
                  <w:pPr>
                    <w:pStyle w:val="6"/>
                    <w:spacing w:before="215" w:line="219" w:lineRule="auto"/>
                    <w:ind w:left="144"/>
                    <w:rPr>
                      <w:sz w:val="18"/>
                      <w:szCs w:val="18"/>
                    </w:rPr>
                  </w:pPr>
                  <w:r>
                    <w:rPr>
                      <w:b/>
                      <w:bCs/>
                      <w:spacing w:val="-4"/>
                      <w:sz w:val="18"/>
                      <w:szCs w:val="18"/>
                    </w:rPr>
                    <w:t>环境管控单元编码</w:t>
                  </w:r>
                </w:p>
              </w:tc>
              <w:tc>
                <w:tcPr>
                  <w:tcW w:w="1766" w:type="dxa"/>
                  <w:vAlign w:val="top"/>
                </w:tcPr>
                <w:p w14:paraId="228E6E15">
                  <w:pPr>
                    <w:pStyle w:val="6"/>
                    <w:spacing w:before="215" w:line="219" w:lineRule="auto"/>
                    <w:ind w:left="172"/>
                    <w:rPr>
                      <w:sz w:val="18"/>
                      <w:szCs w:val="18"/>
                    </w:rPr>
                  </w:pPr>
                  <w:r>
                    <w:rPr>
                      <w:b/>
                      <w:bCs/>
                      <w:spacing w:val="-4"/>
                      <w:sz w:val="18"/>
                      <w:szCs w:val="18"/>
                    </w:rPr>
                    <w:t>环境管控单元名称</w:t>
                  </w:r>
                </w:p>
              </w:tc>
              <w:tc>
                <w:tcPr>
                  <w:tcW w:w="655" w:type="dxa"/>
                  <w:vAlign w:val="top"/>
                </w:tcPr>
                <w:p w14:paraId="2F1F0EE8">
                  <w:pPr>
                    <w:pStyle w:val="6"/>
                    <w:spacing w:before="72" w:line="249" w:lineRule="auto"/>
                    <w:ind w:left="166" w:right="145" w:hanging="13"/>
                    <w:rPr>
                      <w:sz w:val="18"/>
                      <w:szCs w:val="18"/>
                    </w:rPr>
                  </w:pPr>
                  <w:r>
                    <w:rPr>
                      <w:b/>
                      <w:bCs/>
                      <w:spacing w:val="-7"/>
                      <w:sz w:val="18"/>
                      <w:szCs w:val="18"/>
                    </w:rPr>
                    <w:t>所属</w:t>
                  </w:r>
                  <w:r>
                    <w:rPr>
                      <w:sz w:val="18"/>
                      <w:szCs w:val="18"/>
                    </w:rPr>
                    <w:t xml:space="preserve"> </w:t>
                  </w:r>
                  <w:r>
                    <w:rPr>
                      <w:b/>
                      <w:bCs/>
                      <w:spacing w:val="-14"/>
                      <w:sz w:val="18"/>
                      <w:szCs w:val="18"/>
                    </w:rPr>
                    <w:t>区县</w:t>
                  </w:r>
                </w:p>
              </w:tc>
              <w:tc>
                <w:tcPr>
                  <w:tcW w:w="1033" w:type="dxa"/>
                  <w:vAlign w:val="top"/>
                </w:tcPr>
                <w:p w14:paraId="59FC7658">
                  <w:pPr>
                    <w:pStyle w:val="6"/>
                    <w:spacing w:before="72" w:line="249" w:lineRule="auto"/>
                    <w:ind w:left="437" w:right="64" w:hanging="361"/>
                    <w:rPr>
                      <w:sz w:val="18"/>
                      <w:szCs w:val="18"/>
                    </w:rPr>
                  </w:pPr>
                  <w:r>
                    <w:rPr>
                      <w:b/>
                      <w:bCs/>
                      <w:spacing w:val="-5"/>
                      <w:sz w:val="18"/>
                      <w:szCs w:val="18"/>
                    </w:rPr>
                    <w:t>准入清单类</w:t>
                  </w:r>
                  <w:r>
                    <w:rPr>
                      <w:spacing w:val="1"/>
                      <w:sz w:val="18"/>
                      <w:szCs w:val="18"/>
                    </w:rPr>
                    <w:t xml:space="preserve"> </w:t>
                  </w:r>
                  <w:r>
                    <w:rPr>
                      <w:b/>
                      <w:bCs/>
                      <w:spacing w:val="-2"/>
                      <w:sz w:val="18"/>
                      <w:szCs w:val="18"/>
                    </w:rPr>
                    <w:t>型</w:t>
                  </w:r>
                </w:p>
              </w:tc>
              <w:tc>
                <w:tcPr>
                  <w:tcW w:w="1427" w:type="dxa"/>
                  <w:vAlign w:val="top"/>
                </w:tcPr>
                <w:p w14:paraId="7272DE36">
                  <w:pPr>
                    <w:pStyle w:val="6"/>
                    <w:spacing w:before="215" w:line="219" w:lineRule="auto"/>
                    <w:ind w:left="361"/>
                    <w:rPr>
                      <w:sz w:val="18"/>
                      <w:szCs w:val="18"/>
                    </w:rPr>
                  </w:pPr>
                  <w:r>
                    <w:rPr>
                      <w:b/>
                      <w:bCs/>
                      <w:spacing w:val="-6"/>
                      <w:sz w:val="18"/>
                      <w:szCs w:val="18"/>
                    </w:rPr>
                    <w:t>管控类型</w:t>
                  </w:r>
                </w:p>
              </w:tc>
            </w:tr>
            <w:tr w14:paraId="1CC3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14:paraId="6A7CD1A3">
                  <w:pPr>
                    <w:spacing w:before="174"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YS5117022210002</w:t>
                  </w:r>
                </w:p>
              </w:tc>
              <w:tc>
                <w:tcPr>
                  <w:tcW w:w="1766" w:type="dxa"/>
                  <w:vAlign w:val="top"/>
                </w:tcPr>
                <w:p w14:paraId="0B49C25A">
                  <w:pPr>
                    <w:pStyle w:val="6"/>
                    <w:spacing w:before="28" w:line="222" w:lineRule="auto"/>
                    <w:ind w:left="524" w:right="71" w:hanging="447"/>
                    <w:rPr>
                      <w:sz w:val="18"/>
                      <w:szCs w:val="18"/>
                    </w:rPr>
                  </w:pPr>
                  <w:r>
                    <w:rPr>
                      <w:spacing w:val="-1"/>
                      <w:sz w:val="18"/>
                      <w:szCs w:val="18"/>
                    </w:rPr>
                    <w:t>州河</w:t>
                  </w:r>
                  <w:r>
                    <w:rPr>
                      <w:rFonts w:ascii="Times New Roman" w:hAnsi="Times New Roman" w:eastAsia="Times New Roman" w:cs="Times New Roman"/>
                      <w:spacing w:val="-1"/>
                      <w:sz w:val="18"/>
                      <w:szCs w:val="18"/>
                    </w:rPr>
                    <w:t>-</w:t>
                  </w:r>
                  <w:r>
                    <w:rPr>
                      <w:spacing w:val="-1"/>
                      <w:sz w:val="18"/>
                      <w:szCs w:val="18"/>
                    </w:rPr>
                    <w:t>通川区</w:t>
                  </w:r>
                  <w:r>
                    <w:rPr>
                      <w:rFonts w:ascii="Times New Roman" w:hAnsi="Times New Roman" w:eastAsia="Times New Roman" w:cs="Times New Roman"/>
                      <w:spacing w:val="-1"/>
                      <w:sz w:val="18"/>
                      <w:szCs w:val="18"/>
                    </w:rPr>
                    <w:t>-</w:t>
                  </w:r>
                  <w:r>
                    <w:rPr>
                      <w:spacing w:val="-1"/>
                      <w:sz w:val="18"/>
                      <w:szCs w:val="18"/>
                    </w:rPr>
                    <w:t>车家河</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 xml:space="preserve"> </w:t>
                  </w:r>
                  <w:r>
                    <w:rPr>
                      <w:spacing w:val="-2"/>
                      <w:sz w:val="18"/>
                      <w:szCs w:val="18"/>
                    </w:rPr>
                    <w:t>控制单元</w:t>
                  </w:r>
                </w:p>
              </w:tc>
              <w:tc>
                <w:tcPr>
                  <w:tcW w:w="655" w:type="dxa"/>
                  <w:vAlign w:val="top"/>
                </w:tcPr>
                <w:p w14:paraId="63931CAC">
                  <w:pPr>
                    <w:pStyle w:val="6"/>
                    <w:spacing w:before="143" w:line="219" w:lineRule="auto"/>
                    <w:ind w:left="62"/>
                    <w:rPr>
                      <w:sz w:val="18"/>
                      <w:szCs w:val="18"/>
                    </w:rPr>
                  </w:pPr>
                  <w:r>
                    <w:rPr>
                      <w:spacing w:val="-3"/>
                      <w:sz w:val="18"/>
                      <w:szCs w:val="18"/>
                    </w:rPr>
                    <w:t>通川区</w:t>
                  </w:r>
                </w:p>
              </w:tc>
              <w:tc>
                <w:tcPr>
                  <w:tcW w:w="1033" w:type="dxa"/>
                  <w:vAlign w:val="top"/>
                </w:tcPr>
                <w:p w14:paraId="5B7D3FCE">
                  <w:pPr>
                    <w:pStyle w:val="6"/>
                    <w:spacing w:before="28" w:line="222" w:lineRule="auto"/>
                    <w:ind w:left="345" w:right="62" w:hanging="271"/>
                    <w:rPr>
                      <w:sz w:val="18"/>
                      <w:szCs w:val="18"/>
                    </w:rPr>
                  </w:pPr>
                  <w:r>
                    <w:rPr>
                      <w:spacing w:val="-2"/>
                      <w:sz w:val="18"/>
                      <w:szCs w:val="18"/>
                    </w:rPr>
                    <w:t>水环境管控</w:t>
                  </w:r>
                  <w:r>
                    <w:rPr>
                      <w:sz w:val="18"/>
                      <w:szCs w:val="18"/>
                    </w:rPr>
                    <w:t xml:space="preserve"> </w:t>
                  </w:r>
                  <w:r>
                    <w:rPr>
                      <w:spacing w:val="-5"/>
                      <w:sz w:val="18"/>
                      <w:szCs w:val="18"/>
                    </w:rPr>
                    <w:t>分区</w:t>
                  </w:r>
                </w:p>
              </w:tc>
              <w:tc>
                <w:tcPr>
                  <w:tcW w:w="1427" w:type="dxa"/>
                  <w:vAlign w:val="top"/>
                </w:tcPr>
                <w:p w14:paraId="33BADAAE">
                  <w:pPr>
                    <w:pStyle w:val="6"/>
                    <w:spacing w:before="28" w:line="222" w:lineRule="auto"/>
                    <w:ind w:left="364" w:hanging="364"/>
                    <w:rPr>
                      <w:sz w:val="18"/>
                      <w:szCs w:val="18"/>
                    </w:rPr>
                  </w:pPr>
                  <w:r>
                    <w:rPr>
                      <w:spacing w:val="-3"/>
                      <w:sz w:val="18"/>
                      <w:szCs w:val="18"/>
                    </w:rPr>
                    <w:t>水环境工业污染重</w:t>
                  </w:r>
                  <w:r>
                    <w:rPr>
                      <w:spacing w:val="5"/>
                      <w:sz w:val="18"/>
                      <w:szCs w:val="18"/>
                    </w:rPr>
                    <w:t xml:space="preserve"> </w:t>
                  </w:r>
                  <w:r>
                    <w:rPr>
                      <w:spacing w:val="-5"/>
                      <w:sz w:val="18"/>
                      <w:szCs w:val="18"/>
                    </w:rPr>
                    <w:t>点管控区</w:t>
                  </w:r>
                </w:p>
              </w:tc>
            </w:tr>
            <w:tr w14:paraId="4B8B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14:paraId="25F86A42">
                  <w:pPr>
                    <w:spacing w:before="176"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YS5117022310002</w:t>
                  </w:r>
                </w:p>
              </w:tc>
              <w:tc>
                <w:tcPr>
                  <w:tcW w:w="1766" w:type="dxa"/>
                  <w:vAlign w:val="top"/>
                </w:tcPr>
                <w:p w14:paraId="34C49FED">
                  <w:pPr>
                    <w:pStyle w:val="6"/>
                    <w:spacing w:before="145" w:line="219" w:lineRule="auto"/>
                    <w:ind w:left="83"/>
                    <w:rPr>
                      <w:sz w:val="18"/>
                      <w:szCs w:val="18"/>
                    </w:rPr>
                  </w:pPr>
                  <w:r>
                    <w:rPr>
                      <w:spacing w:val="-2"/>
                      <w:sz w:val="18"/>
                      <w:szCs w:val="18"/>
                    </w:rPr>
                    <w:t>东岳新型工业集聚区</w:t>
                  </w:r>
                </w:p>
              </w:tc>
              <w:tc>
                <w:tcPr>
                  <w:tcW w:w="655" w:type="dxa"/>
                  <w:vAlign w:val="top"/>
                </w:tcPr>
                <w:p w14:paraId="1B675529">
                  <w:pPr>
                    <w:pStyle w:val="6"/>
                    <w:spacing w:before="145" w:line="219" w:lineRule="auto"/>
                    <w:ind w:left="62"/>
                    <w:rPr>
                      <w:sz w:val="18"/>
                      <w:szCs w:val="18"/>
                    </w:rPr>
                  </w:pPr>
                  <w:r>
                    <w:rPr>
                      <w:spacing w:val="-3"/>
                      <w:sz w:val="18"/>
                      <w:szCs w:val="18"/>
                    </w:rPr>
                    <w:t>通川区</w:t>
                  </w:r>
                </w:p>
              </w:tc>
              <w:tc>
                <w:tcPr>
                  <w:tcW w:w="1033" w:type="dxa"/>
                  <w:vAlign w:val="top"/>
                </w:tcPr>
                <w:p w14:paraId="099E891B">
                  <w:pPr>
                    <w:pStyle w:val="6"/>
                    <w:spacing w:before="30" w:line="221" w:lineRule="auto"/>
                    <w:ind w:left="251" w:right="62" w:hanging="177"/>
                    <w:rPr>
                      <w:sz w:val="18"/>
                      <w:szCs w:val="18"/>
                    </w:rPr>
                  </w:pPr>
                  <w:r>
                    <w:rPr>
                      <w:spacing w:val="-2"/>
                      <w:sz w:val="18"/>
                      <w:szCs w:val="18"/>
                    </w:rPr>
                    <w:t>大气环境管</w:t>
                  </w:r>
                  <w:r>
                    <w:rPr>
                      <w:sz w:val="18"/>
                      <w:szCs w:val="18"/>
                    </w:rPr>
                    <w:t xml:space="preserve"> </w:t>
                  </w:r>
                  <w:r>
                    <w:rPr>
                      <w:spacing w:val="-3"/>
                      <w:sz w:val="18"/>
                      <w:szCs w:val="18"/>
                    </w:rPr>
                    <w:t>控分区</w:t>
                  </w:r>
                </w:p>
              </w:tc>
              <w:tc>
                <w:tcPr>
                  <w:tcW w:w="1427" w:type="dxa"/>
                  <w:vAlign w:val="top"/>
                </w:tcPr>
                <w:p w14:paraId="5EEFB4EA">
                  <w:pPr>
                    <w:pStyle w:val="6"/>
                    <w:spacing w:before="30" w:line="221" w:lineRule="auto"/>
                    <w:ind w:left="364" w:hanging="364"/>
                    <w:rPr>
                      <w:sz w:val="18"/>
                      <w:szCs w:val="18"/>
                    </w:rPr>
                  </w:pPr>
                  <w:r>
                    <w:rPr>
                      <w:spacing w:val="-3"/>
                      <w:sz w:val="18"/>
                      <w:szCs w:val="18"/>
                    </w:rPr>
                    <w:t>大气环境高排放重</w:t>
                  </w:r>
                  <w:r>
                    <w:rPr>
                      <w:spacing w:val="5"/>
                      <w:sz w:val="18"/>
                      <w:szCs w:val="18"/>
                    </w:rPr>
                    <w:t xml:space="preserve"> </w:t>
                  </w:r>
                  <w:r>
                    <w:rPr>
                      <w:spacing w:val="-5"/>
                      <w:sz w:val="18"/>
                      <w:szCs w:val="18"/>
                    </w:rPr>
                    <w:t>点管控区</w:t>
                  </w:r>
                </w:p>
              </w:tc>
            </w:tr>
            <w:tr w14:paraId="46EE0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07" w:type="dxa"/>
                  <w:vAlign w:val="top"/>
                </w:tcPr>
                <w:p w14:paraId="1B7ACC6C">
                  <w:pPr>
                    <w:spacing w:before="271"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ZH51170220003</w:t>
                  </w:r>
                </w:p>
              </w:tc>
              <w:tc>
                <w:tcPr>
                  <w:tcW w:w="1766" w:type="dxa"/>
                  <w:vAlign w:val="top"/>
                </w:tcPr>
                <w:p w14:paraId="6FD8713F">
                  <w:pPr>
                    <w:pStyle w:val="6"/>
                    <w:spacing w:before="122" w:line="229" w:lineRule="auto"/>
                    <w:ind w:left="351" w:right="71" w:hanging="275"/>
                    <w:rPr>
                      <w:sz w:val="18"/>
                      <w:szCs w:val="18"/>
                    </w:rPr>
                  </w:pPr>
                  <w:r>
                    <w:rPr>
                      <w:spacing w:val="-1"/>
                      <w:sz w:val="18"/>
                      <w:szCs w:val="18"/>
                    </w:rPr>
                    <w:t>达州市通川区东岳新</w:t>
                  </w:r>
                  <w:r>
                    <w:rPr>
                      <w:spacing w:val="1"/>
                      <w:sz w:val="18"/>
                      <w:szCs w:val="18"/>
                    </w:rPr>
                    <w:t xml:space="preserve"> </w:t>
                  </w:r>
                  <w:r>
                    <w:rPr>
                      <w:spacing w:val="-3"/>
                      <w:sz w:val="18"/>
                      <w:szCs w:val="18"/>
                    </w:rPr>
                    <w:t>型工业集聚区</w:t>
                  </w:r>
                </w:p>
              </w:tc>
              <w:tc>
                <w:tcPr>
                  <w:tcW w:w="655" w:type="dxa"/>
                  <w:vAlign w:val="top"/>
                </w:tcPr>
                <w:p w14:paraId="11846219">
                  <w:pPr>
                    <w:pStyle w:val="6"/>
                    <w:spacing w:before="240" w:line="219" w:lineRule="auto"/>
                    <w:ind w:left="62"/>
                    <w:rPr>
                      <w:sz w:val="18"/>
                      <w:szCs w:val="18"/>
                    </w:rPr>
                  </w:pPr>
                  <w:r>
                    <w:rPr>
                      <w:spacing w:val="-3"/>
                      <w:sz w:val="18"/>
                      <w:szCs w:val="18"/>
                    </w:rPr>
                    <w:t>通川区</w:t>
                  </w:r>
                </w:p>
              </w:tc>
              <w:tc>
                <w:tcPr>
                  <w:tcW w:w="1033" w:type="dxa"/>
                  <w:vAlign w:val="top"/>
                </w:tcPr>
                <w:p w14:paraId="10FA40B7">
                  <w:pPr>
                    <w:pStyle w:val="6"/>
                    <w:spacing w:before="123" w:line="229" w:lineRule="auto"/>
                    <w:ind w:left="251" w:right="62" w:hanging="179"/>
                    <w:rPr>
                      <w:sz w:val="18"/>
                      <w:szCs w:val="18"/>
                    </w:rPr>
                  </w:pPr>
                  <w:r>
                    <w:rPr>
                      <w:spacing w:val="-2"/>
                      <w:sz w:val="18"/>
                      <w:szCs w:val="18"/>
                    </w:rPr>
                    <w:t>环境综合管</w:t>
                  </w:r>
                  <w:r>
                    <w:rPr>
                      <w:spacing w:val="1"/>
                      <w:sz w:val="18"/>
                      <w:szCs w:val="18"/>
                    </w:rPr>
                    <w:t xml:space="preserve"> </w:t>
                  </w:r>
                  <w:r>
                    <w:rPr>
                      <w:spacing w:val="-3"/>
                      <w:sz w:val="18"/>
                      <w:szCs w:val="18"/>
                    </w:rPr>
                    <w:t>控单元</w:t>
                  </w:r>
                </w:p>
              </w:tc>
              <w:tc>
                <w:tcPr>
                  <w:tcW w:w="1427" w:type="dxa"/>
                  <w:vAlign w:val="top"/>
                </w:tcPr>
                <w:p w14:paraId="01C2F79D">
                  <w:pPr>
                    <w:pStyle w:val="6"/>
                    <w:spacing w:before="122" w:line="229" w:lineRule="auto"/>
                    <w:ind w:left="2" w:hanging="2"/>
                    <w:rPr>
                      <w:sz w:val="18"/>
                      <w:szCs w:val="18"/>
                    </w:rPr>
                  </w:pPr>
                  <w:r>
                    <w:rPr>
                      <w:spacing w:val="-3"/>
                      <w:sz w:val="18"/>
                      <w:szCs w:val="18"/>
                    </w:rPr>
                    <w:t>环境综合管控单元</w:t>
                  </w:r>
                  <w:r>
                    <w:rPr>
                      <w:spacing w:val="5"/>
                      <w:sz w:val="18"/>
                      <w:szCs w:val="18"/>
                    </w:rPr>
                    <w:t xml:space="preserve"> </w:t>
                  </w:r>
                  <w:r>
                    <w:rPr>
                      <w:spacing w:val="-3"/>
                      <w:sz w:val="18"/>
                      <w:szCs w:val="18"/>
                    </w:rPr>
                    <w:t>工业重点管控单元</w:t>
                  </w:r>
                </w:p>
              </w:tc>
            </w:tr>
          </w:tbl>
          <w:p w14:paraId="78322868">
            <w:pPr>
              <w:pStyle w:val="6"/>
              <w:spacing w:before="32" w:line="220" w:lineRule="auto"/>
              <w:ind w:left="535"/>
            </w:pPr>
            <w:r>
              <w:rPr>
                <w:spacing w:val="-1"/>
              </w:rPr>
              <w:t>项目与管控单元相对位置如下图所示。</w:t>
            </w:r>
          </w:p>
        </w:tc>
      </w:tr>
      <w:tr w14:paraId="64B8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0" w:hRule="atLeast"/>
        </w:trPr>
        <w:tc>
          <w:tcPr>
            <w:tcW w:w="2019" w:type="dxa"/>
            <w:vMerge w:val="continue"/>
            <w:tcBorders>
              <w:top w:val="nil"/>
              <w:bottom w:val="nil"/>
              <w:right w:val="single" w:color="000000" w:sz="2" w:space="0"/>
            </w:tcBorders>
            <w:vAlign w:val="top"/>
          </w:tcPr>
          <w:p w14:paraId="7CD1B275">
            <w:pPr>
              <w:rPr>
                <w:rFonts w:ascii="Arial"/>
                <w:sz w:val="21"/>
              </w:rPr>
            </w:pPr>
          </w:p>
        </w:tc>
        <w:tc>
          <w:tcPr>
            <w:tcW w:w="6855" w:type="dxa"/>
            <w:tcBorders>
              <w:top w:val="nil"/>
              <w:left w:val="single" w:color="000000" w:sz="2" w:space="0"/>
              <w:bottom w:val="nil"/>
            </w:tcBorders>
            <w:vAlign w:val="top"/>
          </w:tcPr>
          <w:p w14:paraId="6E8E9968">
            <w:pPr>
              <w:rPr>
                <w:rFonts w:ascii="Arial"/>
                <w:sz w:val="21"/>
              </w:rPr>
            </w:pPr>
          </w:p>
          <w:p w14:paraId="40AD91B4">
            <w:pPr>
              <w:rPr>
                <w:rFonts w:ascii="Arial"/>
                <w:sz w:val="21"/>
              </w:rPr>
            </w:pPr>
          </w:p>
          <w:p w14:paraId="1F52935D">
            <w:pPr>
              <w:rPr>
                <w:rFonts w:ascii="Arial"/>
                <w:sz w:val="21"/>
              </w:rPr>
            </w:pPr>
          </w:p>
          <w:p w14:paraId="261F4D6A">
            <w:pPr>
              <w:rPr>
                <w:rFonts w:ascii="Arial"/>
                <w:sz w:val="21"/>
              </w:rPr>
            </w:pPr>
          </w:p>
          <w:p w14:paraId="26FDFBC1">
            <w:pPr>
              <w:rPr>
                <w:rFonts w:ascii="Arial"/>
                <w:sz w:val="21"/>
              </w:rPr>
            </w:pPr>
          </w:p>
          <w:p w14:paraId="0A03FF36">
            <w:pPr>
              <w:rPr>
                <w:rFonts w:ascii="Arial"/>
                <w:sz w:val="21"/>
              </w:rPr>
            </w:pPr>
          </w:p>
          <w:p w14:paraId="7141788C">
            <w:pPr>
              <w:rPr>
                <w:rFonts w:ascii="Arial"/>
                <w:sz w:val="21"/>
              </w:rPr>
            </w:pPr>
          </w:p>
          <w:p w14:paraId="7000EA62">
            <w:pPr>
              <w:rPr>
                <w:rFonts w:ascii="Arial"/>
                <w:sz w:val="21"/>
              </w:rPr>
            </w:pPr>
          </w:p>
          <w:p w14:paraId="327C6653">
            <w:pPr>
              <w:spacing w:line="162" w:lineRule="exact"/>
              <w:ind w:firstLine="2861"/>
            </w:pPr>
            <w:r>
              <w:rPr>
                <w:position w:val="-3"/>
              </w:rPr>
              <w:drawing>
                <wp:inline distT="0" distB="0" distL="0" distR="0">
                  <wp:extent cx="107950" cy="1022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2"/>
                          <a:stretch>
                            <a:fillRect/>
                          </a:stretch>
                        </pic:blipFill>
                        <pic:spPr>
                          <a:xfrm>
                            <a:off x="0" y="0"/>
                            <a:ext cx="108508" cy="102869"/>
                          </a:xfrm>
                          <a:prstGeom prst="rect">
                            <a:avLst/>
                          </a:prstGeom>
                        </pic:spPr>
                      </pic:pic>
                    </a:graphicData>
                  </a:graphic>
                </wp:inline>
              </w:drawing>
            </w:r>
          </w:p>
          <w:p w14:paraId="29EE27FB">
            <w:pPr>
              <w:spacing w:line="251" w:lineRule="auto"/>
              <w:rPr>
                <w:rFonts w:ascii="Arial"/>
                <w:sz w:val="21"/>
              </w:rPr>
            </w:pPr>
          </w:p>
          <w:p w14:paraId="45DE5397">
            <w:pPr>
              <w:spacing w:line="252" w:lineRule="auto"/>
              <w:rPr>
                <w:rFonts w:ascii="Arial"/>
                <w:sz w:val="21"/>
              </w:rPr>
            </w:pPr>
          </w:p>
          <w:p w14:paraId="2634132F">
            <w:pPr>
              <w:spacing w:line="252" w:lineRule="auto"/>
              <w:rPr>
                <w:rFonts w:ascii="Arial"/>
                <w:sz w:val="21"/>
              </w:rPr>
            </w:pPr>
          </w:p>
          <w:p w14:paraId="7CDD3C8E">
            <w:pPr>
              <w:spacing w:line="252" w:lineRule="auto"/>
              <w:rPr>
                <w:rFonts w:ascii="Arial"/>
                <w:sz w:val="21"/>
              </w:rPr>
            </w:pPr>
          </w:p>
          <w:p w14:paraId="09336516">
            <w:pPr>
              <w:pStyle w:val="6"/>
              <w:spacing w:before="65" w:line="228" w:lineRule="auto"/>
              <w:ind w:left="3532"/>
              <w:rPr>
                <w:sz w:val="20"/>
                <w:szCs w:val="20"/>
              </w:rPr>
            </w:pPr>
            <w:r>
              <w:drawing>
                <wp:anchor distT="0" distB="0" distL="0" distR="0" simplePos="0" relativeHeight="251667456" behindDoc="1" locked="0" layoutInCell="1" allowOverlap="1">
                  <wp:simplePos x="0" y="0"/>
                  <wp:positionH relativeFrom="column">
                    <wp:posOffset>1885950</wp:posOffset>
                  </wp:positionH>
                  <wp:positionV relativeFrom="paragraph">
                    <wp:posOffset>-668020</wp:posOffset>
                  </wp:positionV>
                  <wp:extent cx="1149350" cy="9277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3"/>
                          <a:stretch>
                            <a:fillRect/>
                          </a:stretch>
                        </pic:blipFill>
                        <pic:spPr>
                          <a:xfrm>
                            <a:off x="0" y="0"/>
                            <a:ext cx="1149134" cy="927582"/>
                          </a:xfrm>
                          <a:prstGeom prst="rect">
                            <a:avLst/>
                          </a:prstGeom>
                        </pic:spPr>
                      </pic:pic>
                    </a:graphicData>
                  </a:graphic>
                </wp:anchor>
              </w:drawing>
            </w:r>
            <w:r>
              <w:drawing>
                <wp:anchor distT="0" distB="0" distL="0" distR="0" simplePos="0" relativeHeight="251666432" behindDoc="1" locked="0" layoutInCell="1" allowOverlap="1">
                  <wp:simplePos x="0" y="0"/>
                  <wp:positionH relativeFrom="column">
                    <wp:posOffset>66675</wp:posOffset>
                  </wp:positionH>
                  <wp:positionV relativeFrom="paragraph">
                    <wp:posOffset>-1911350</wp:posOffset>
                  </wp:positionV>
                  <wp:extent cx="4207510" cy="262763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4"/>
                          <a:stretch>
                            <a:fillRect/>
                          </a:stretch>
                        </pic:blipFill>
                        <pic:spPr>
                          <a:xfrm>
                            <a:off x="0" y="0"/>
                            <a:ext cx="4207763" cy="2627376"/>
                          </a:xfrm>
                          <a:prstGeom prst="rect">
                            <a:avLst/>
                          </a:prstGeom>
                        </pic:spPr>
                      </pic:pic>
                    </a:graphicData>
                  </a:graphic>
                </wp:anchor>
              </w:drawing>
            </w:r>
            <w:r>
              <w:rPr>
                <w:b/>
                <w:bCs/>
                <w:spacing w:val="5"/>
                <w:sz w:val="20"/>
                <w:szCs w:val="20"/>
              </w:rPr>
              <w:t>项目区位置</w:t>
            </w:r>
          </w:p>
        </w:tc>
      </w:tr>
      <w:tr w14:paraId="2294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019" w:type="dxa"/>
            <w:vMerge w:val="continue"/>
            <w:tcBorders>
              <w:top w:val="nil"/>
              <w:right w:val="single" w:color="000000" w:sz="2" w:space="0"/>
            </w:tcBorders>
            <w:vAlign w:val="top"/>
          </w:tcPr>
          <w:p w14:paraId="3CA9C4B1">
            <w:pPr>
              <w:rPr>
                <w:rFonts w:ascii="Arial"/>
                <w:sz w:val="21"/>
              </w:rPr>
            </w:pPr>
          </w:p>
        </w:tc>
        <w:tc>
          <w:tcPr>
            <w:tcW w:w="6855" w:type="dxa"/>
            <w:tcBorders>
              <w:top w:val="nil"/>
              <w:left w:val="single" w:color="000000" w:sz="2" w:space="0"/>
            </w:tcBorders>
            <w:vAlign w:val="top"/>
          </w:tcPr>
          <w:p w14:paraId="2563C92B">
            <w:pPr>
              <w:spacing w:before="64" w:line="222" w:lineRule="auto"/>
              <w:ind w:left="1753"/>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9"/>
                <w:sz w:val="18"/>
                <w:szCs w:val="18"/>
              </w:rPr>
              <w:t xml:space="preserve"> </w:t>
            </w:r>
            <w:r>
              <w:rPr>
                <w:rFonts w:ascii="Times New Roman" w:hAnsi="Times New Roman" w:eastAsia="Times New Roman" w:cs="Times New Roman"/>
                <w:spacing w:val="-2"/>
                <w:sz w:val="18"/>
                <w:szCs w:val="18"/>
              </w:rPr>
              <w:t>1-4</w:t>
            </w:r>
            <w:r>
              <w:rPr>
                <w:rFonts w:ascii="黑体" w:hAnsi="黑体" w:eastAsia="黑体" w:cs="黑体"/>
                <w:spacing w:val="-2"/>
                <w:sz w:val="18"/>
                <w:szCs w:val="18"/>
              </w:rPr>
              <w:t>：项目与环境综合管控单元的位置关系图</w:t>
            </w:r>
          </w:p>
        </w:tc>
      </w:tr>
    </w:tbl>
    <w:p w14:paraId="1A4AAD1C">
      <w:pPr>
        <w:pStyle w:val="2"/>
      </w:pPr>
    </w:p>
    <w:p w14:paraId="0F89CE64">
      <w:pPr>
        <w:sectPr>
          <w:footerReference r:id="rId10" w:type="default"/>
          <w:pgSz w:w="11906" w:h="16839"/>
          <w:pgMar w:top="1431" w:right="1508" w:bottom="1260" w:left="1508" w:header="0" w:footer="1080" w:gutter="0"/>
          <w:cols w:space="720" w:num="1"/>
        </w:sectPr>
      </w:pPr>
    </w:p>
    <w:p w14:paraId="1DF76EFE">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0551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9" w:hRule="atLeast"/>
        </w:trPr>
        <w:tc>
          <w:tcPr>
            <w:tcW w:w="2019" w:type="dxa"/>
            <w:tcBorders>
              <w:top w:val="single" w:color="000000" w:sz="2" w:space="0"/>
              <w:right w:val="single" w:color="000000" w:sz="2" w:space="0"/>
            </w:tcBorders>
            <w:vAlign w:val="top"/>
          </w:tcPr>
          <w:p w14:paraId="1AF9886D">
            <w:pPr>
              <w:rPr>
                <w:rFonts w:ascii="Arial"/>
                <w:sz w:val="21"/>
              </w:rPr>
            </w:pPr>
          </w:p>
        </w:tc>
        <w:tc>
          <w:tcPr>
            <w:tcW w:w="6855" w:type="dxa"/>
            <w:tcBorders>
              <w:top w:val="single" w:color="000000" w:sz="2" w:space="0"/>
              <w:left w:val="single" w:color="000000" w:sz="2" w:space="0"/>
            </w:tcBorders>
            <w:vAlign w:val="top"/>
          </w:tcPr>
          <w:p w14:paraId="3A7B34DD">
            <w:pPr>
              <w:pStyle w:val="6"/>
              <w:spacing w:before="134" w:line="323" w:lineRule="auto"/>
              <w:ind w:left="91" w:right="160" w:firstLine="440"/>
            </w:pPr>
            <w:r>
              <w:t>根据上图分析，本项目位于通川区东岳镇有</w:t>
            </w:r>
            <w:r>
              <w:rPr>
                <w:spacing w:val="-1"/>
              </w:rPr>
              <w:t>力社区（东岳新型工</w:t>
            </w:r>
            <w:r>
              <w:t xml:space="preserve"> </w:t>
            </w:r>
            <w:r>
              <w:rPr>
                <w:spacing w:val="-1"/>
              </w:rPr>
              <w:t>业集聚区</w:t>
            </w:r>
            <w:r>
              <w:rPr>
                <w:spacing w:val="8"/>
              </w:rPr>
              <w:t>），</w:t>
            </w:r>
            <w:r>
              <w:rPr>
                <w:spacing w:val="-1"/>
              </w:rPr>
              <w:t>属于达州市环境管控单元中的工业重点管控单元。</w:t>
            </w:r>
          </w:p>
          <w:p w14:paraId="12841B23">
            <w:pPr>
              <w:pStyle w:val="6"/>
              <w:spacing w:before="33" w:line="220" w:lineRule="auto"/>
              <w:ind w:left="538"/>
            </w:pPr>
            <w:r>
              <w:rPr>
                <w:b/>
                <w:bCs/>
                <w:spacing w:val="-2"/>
              </w:rPr>
              <w:t>（3）与《川环办函</w:t>
            </w:r>
            <w:r>
              <w:rPr>
                <w:rFonts w:hint="eastAsia"/>
                <w:b/>
                <w:bCs/>
                <w:spacing w:val="-2"/>
              </w:rPr>
              <w:t>〔2021〕</w:t>
            </w:r>
            <w:r>
              <w:rPr>
                <w:b/>
                <w:bCs/>
                <w:spacing w:val="-2"/>
              </w:rPr>
              <w:t>469号》的符合</w:t>
            </w:r>
            <w:r>
              <w:rPr>
                <w:b/>
                <w:bCs/>
                <w:spacing w:val="-3"/>
              </w:rPr>
              <w:t>性分析</w:t>
            </w:r>
          </w:p>
          <w:p w14:paraId="5D3FDDCB">
            <w:pPr>
              <w:pStyle w:val="6"/>
              <w:spacing w:before="139" w:line="331" w:lineRule="auto"/>
              <w:ind w:left="95" w:right="83" w:firstLine="436"/>
            </w:pPr>
            <w:r>
              <w:rPr>
                <w:spacing w:val="-2"/>
              </w:rPr>
              <w:t>根据四川省生态环境厅办公室《关于印发&lt;产业园区规划环评“三</w:t>
            </w:r>
            <w:r>
              <w:rPr>
                <w:spacing w:val="16"/>
              </w:rPr>
              <w:t xml:space="preserve"> </w:t>
            </w:r>
            <w:r>
              <w:rPr>
                <w:spacing w:val="-2"/>
              </w:rPr>
              <w:t>线一单</w:t>
            </w:r>
            <w:r>
              <w:rPr>
                <w:spacing w:val="-80"/>
              </w:rPr>
              <w:t xml:space="preserve"> </w:t>
            </w:r>
            <w:r>
              <w:rPr>
                <w:spacing w:val="-2"/>
              </w:rPr>
              <w:t>”符合性分析技术要点(试行)&gt;和&lt;项目环评“三线</w:t>
            </w:r>
            <w:r>
              <w:rPr>
                <w:spacing w:val="-3"/>
              </w:rPr>
              <w:t>一单</w:t>
            </w:r>
            <w:r>
              <w:rPr>
                <w:spacing w:val="-81"/>
              </w:rPr>
              <w:t xml:space="preserve"> </w:t>
            </w:r>
            <w:r>
              <w:rPr>
                <w:spacing w:val="-3"/>
              </w:rPr>
              <w:t>”符合</w:t>
            </w:r>
            <w:r>
              <w:t xml:space="preserve"> </w:t>
            </w:r>
            <w:r>
              <w:rPr>
                <w:spacing w:val="-1"/>
              </w:rPr>
              <w:t>性分析技术要点(试行)&gt;的通知》（川环办函〔2021〕469号</w:t>
            </w:r>
            <w:r>
              <w:rPr>
                <w:spacing w:val="11"/>
              </w:rPr>
              <w:t>），</w:t>
            </w:r>
            <w:r>
              <w:rPr>
                <w:spacing w:val="-1"/>
              </w:rPr>
              <w:t>本项</w:t>
            </w:r>
            <w:r>
              <w:rPr>
                <w:spacing w:val="1"/>
              </w:rPr>
              <w:t xml:space="preserve"> </w:t>
            </w:r>
            <w:r>
              <w:rPr>
                <w:spacing w:val="-5"/>
              </w:rPr>
              <w:t>目属于位于园区内的污染影响类建设项目，但园区规划环评未开展“三</w:t>
            </w:r>
            <w:r>
              <w:t xml:space="preserve"> </w:t>
            </w:r>
            <w:r>
              <w:rPr>
                <w:spacing w:val="-1"/>
              </w:rPr>
              <w:t>线一单</w:t>
            </w:r>
            <w:r>
              <w:rPr>
                <w:spacing w:val="-81"/>
              </w:rPr>
              <w:t xml:space="preserve"> </w:t>
            </w:r>
            <w:r>
              <w:rPr>
                <w:spacing w:val="-1"/>
              </w:rPr>
              <w:t>”符合性分析。因此，本次评价从空间布</w:t>
            </w:r>
            <w:r>
              <w:rPr>
                <w:spacing w:val="-2"/>
              </w:rPr>
              <w:t>局约束、污染物排放</w:t>
            </w:r>
            <w:r>
              <w:t xml:space="preserve"> 管控、环境风险防控、资源开发效率等四个</w:t>
            </w:r>
            <w:r>
              <w:rPr>
                <w:spacing w:val="-1"/>
              </w:rPr>
              <w:t>维度对空间符合性分析、</w:t>
            </w:r>
          </w:p>
          <w:p w14:paraId="3C0E02E0">
            <w:pPr>
              <w:pStyle w:val="6"/>
              <w:spacing w:before="30" w:line="220" w:lineRule="auto"/>
              <w:ind w:left="94"/>
            </w:pPr>
            <w:r>
              <w:rPr>
                <w:spacing w:val="-1"/>
              </w:rPr>
              <w:t>生态环境准入清单进行符合性分析，具体如下表：</w:t>
            </w:r>
          </w:p>
        </w:tc>
      </w:tr>
    </w:tbl>
    <w:p w14:paraId="1735749A">
      <w:pPr>
        <w:pStyle w:val="2"/>
      </w:pPr>
    </w:p>
    <w:p w14:paraId="53C0BDB6">
      <w:pPr>
        <w:sectPr>
          <w:footerReference r:id="rId11" w:type="default"/>
          <w:pgSz w:w="11906" w:h="16839"/>
          <w:pgMar w:top="1431" w:right="1508" w:bottom="1258" w:left="1508" w:header="0" w:footer="1080" w:gutter="0"/>
          <w:cols w:space="720" w:num="1"/>
        </w:sectPr>
      </w:pPr>
    </w:p>
    <w:p w14:paraId="0D41A2EF">
      <w:pPr>
        <w:spacing w:before="18"/>
      </w:pPr>
    </w:p>
    <w:p w14:paraId="554BFBAA">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766"/>
      </w:tblGrid>
      <w:tr w14:paraId="05EE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8" w:hRule="atLeast"/>
        </w:trPr>
        <w:tc>
          <w:tcPr>
            <w:tcW w:w="1705" w:type="dxa"/>
            <w:vAlign w:val="top"/>
          </w:tcPr>
          <w:p w14:paraId="0E1DE949">
            <w:pPr>
              <w:spacing w:line="246" w:lineRule="auto"/>
              <w:rPr>
                <w:rFonts w:ascii="Arial"/>
                <w:sz w:val="21"/>
              </w:rPr>
            </w:pPr>
          </w:p>
          <w:p w14:paraId="08E3739D">
            <w:pPr>
              <w:spacing w:line="246" w:lineRule="auto"/>
              <w:rPr>
                <w:rFonts w:ascii="Arial"/>
                <w:sz w:val="21"/>
              </w:rPr>
            </w:pPr>
          </w:p>
          <w:p w14:paraId="610D7423">
            <w:pPr>
              <w:spacing w:line="246" w:lineRule="auto"/>
              <w:rPr>
                <w:rFonts w:ascii="Arial"/>
                <w:sz w:val="21"/>
              </w:rPr>
            </w:pPr>
          </w:p>
          <w:p w14:paraId="55BBE470">
            <w:pPr>
              <w:spacing w:line="246" w:lineRule="auto"/>
              <w:rPr>
                <w:rFonts w:ascii="Arial"/>
                <w:sz w:val="21"/>
              </w:rPr>
            </w:pPr>
          </w:p>
          <w:p w14:paraId="5166CEF4">
            <w:pPr>
              <w:spacing w:line="246" w:lineRule="auto"/>
              <w:rPr>
                <w:rFonts w:ascii="Arial"/>
                <w:sz w:val="21"/>
              </w:rPr>
            </w:pPr>
          </w:p>
          <w:p w14:paraId="13C58650">
            <w:pPr>
              <w:spacing w:line="246" w:lineRule="auto"/>
              <w:rPr>
                <w:rFonts w:ascii="Arial"/>
                <w:sz w:val="21"/>
              </w:rPr>
            </w:pPr>
          </w:p>
          <w:p w14:paraId="23DE4D45">
            <w:pPr>
              <w:spacing w:line="246" w:lineRule="auto"/>
              <w:rPr>
                <w:rFonts w:ascii="Arial"/>
                <w:sz w:val="21"/>
              </w:rPr>
            </w:pPr>
          </w:p>
          <w:p w14:paraId="26F52F13">
            <w:pPr>
              <w:spacing w:line="246" w:lineRule="auto"/>
              <w:rPr>
                <w:rFonts w:ascii="Arial"/>
                <w:sz w:val="21"/>
              </w:rPr>
            </w:pPr>
          </w:p>
          <w:p w14:paraId="49AB9235">
            <w:pPr>
              <w:spacing w:line="246" w:lineRule="auto"/>
              <w:rPr>
                <w:rFonts w:ascii="Arial"/>
                <w:sz w:val="21"/>
              </w:rPr>
            </w:pPr>
          </w:p>
          <w:p w14:paraId="00193E29">
            <w:pPr>
              <w:spacing w:line="246" w:lineRule="auto"/>
              <w:rPr>
                <w:rFonts w:ascii="Arial"/>
                <w:sz w:val="21"/>
              </w:rPr>
            </w:pPr>
          </w:p>
          <w:p w14:paraId="086C7147">
            <w:pPr>
              <w:spacing w:line="246" w:lineRule="auto"/>
              <w:rPr>
                <w:rFonts w:ascii="Arial"/>
                <w:sz w:val="21"/>
              </w:rPr>
            </w:pPr>
          </w:p>
          <w:p w14:paraId="67807235">
            <w:pPr>
              <w:spacing w:line="246" w:lineRule="auto"/>
              <w:rPr>
                <w:rFonts w:ascii="Arial"/>
                <w:sz w:val="21"/>
              </w:rPr>
            </w:pPr>
          </w:p>
          <w:p w14:paraId="4374E235">
            <w:pPr>
              <w:spacing w:line="246" w:lineRule="auto"/>
              <w:rPr>
                <w:rFonts w:ascii="Arial"/>
                <w:sz w:val="21"/>
              </w:rPr>
            </w:pPr>
          </w:p>
          <w:p w14:paraId="16F98559">
            <w:pPr>
              <w:spacing w:line="246" w:lineRule="auto"/>
              <w:rPr>
                <w:rFonts w:ascii="Arial"/>
                <w:sz w:val="21"/>
              </w:rPr>
            </w:pPr>
          </w:p>
          <w:p w14:paraId="59AFFE3E">
            <w:pPr>
              <w:spacing w:line="246" w:lineRule="auto"/>
              <w:rPr>
                <w:rFonts w:ascii="Arial"/>
                <w:sz w:val="21"/>
              </w:rPr>
            </w:pPr>
          </w:p>
          <w:p w14:paraId="09CDE688">
            <w:pPr>
              <w:spacing w:line="246" w:lineRule="auto"/>
              <w:rPr>
                <w:rFonts w:ascii="Arial"/>
                <w:sz w:val="21"/>
              </w:rPr>
            </w:pPr>
          </w:p>
          <w:p w14:paraId="762BD2DB">
            <w:pPr>
              <w:pStyle w:val="6"/>
              <w:spacing w:before="65" w:line="228" w:lineRule="auto"/>
              <w:ind w:left="116"/>
              <w:rPr>
                <w:sz w:val="20"/>
                <w:szCs w:val="20"/>
              </w:rPr>
            </w:pPr>
            <w:r>
              <w:rPr>
                <w:spacing w:val="8"/>
                <w:sz w:val="20"/>
                <w:szCs w:val="20"/>
              </w:rPr>
              <w:t>其他符合性分析</w:t>
            </w:r>
          </w:p>
        </w:tc>
        <w:tc>
          <w:tcPr>
            <w:tcW w:w="11766" w:type="dxa"/>
            <w:vAlign w:val="top"/>
          </w:tcPr>
          <w:p w14:paraId="24051CA9">
            <w:pPr>
              <w:spacing w:before="170" w:line="219" w:lineRule="auto"/>
              <w:ind w:left="374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0"/>
                <w:sz w:val="18"/>
                <w:szCs w:val="18"/>
              </w:rPr>
              <w:t xml:space="preserve"> </w:t>
            </w:r>
            <w:r>
              <w:rPr>
                <w:rFonts w:ascii="黑体" w:hAnsi="黑体" w:eastAsia="黑体" w:cs="黑体"/>
                <w:spacing w:val="-1"/>
                <w:sz w:val="18"/>
                <w:szCs w:val="18"/>
              </w:rPr>
              <w:t>1-4 项目与“三线一单”生态环境准入清单的符合性分析</w:t>
            </w:r>
          </w:p>
          <w:p w14:paraId="5E9234CC">
            <w:pPr>
              <w:spacing w:line="20" w:lineRule="exact"/>
            </w:pPr>
          </w:p>
          <w:tbl>
            <w:tblPr>
              <w:tblStyle w:val="5"/>
              <w:tblW w:w="1148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886"/>
              <w:gridCol w:w="879"/>
              <w:gridCol w:w="6443"/>
              <w:gridCol w:w="1695"/>
              <w:gridCol w:w="565"/>
            </w:tblGrid>
            <w:tr w14:paraId="1CEC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223" w:type="dxa"/>
                  <w:gridSpan w:val="4"/>
                  <w:vAlign w:val="top"/>
                </w:tcPr>
                <w:p w14:paraId="44D53B25">
                  <w:pPr>
                    <w:pStyle w:val="6"/>
                    <w:spacing w:before="82" w:line="220" w:lineRule="auto"/>
                    <w:ind w:left="3619"/>
                    <w:rPr>
                      <w:sz w:val="18"/>
                      <w:szCs w:val="18"/>
                    </w:rPr>
                  </w:pPr>
                  <w:r>
                    <w:rPr>
                      <w:spacing w:val="-3"/>
                      <w:sz w:val="18"/>
                      <w:szCs w:val="18"/>
                    </w:rPr>
                    <w:t>“三线一单</w:t>
                  </w:r>
                  <w:r>
                    <w:rPr>
                      <w:spacing w:val="-58"/>
                      <w:sz w:val="18"/>
                      <w:szCs w:val="18"/>
                    </w:rPr>
                    <w:t xml:space="preserve"> </w:t>
                  </w:r>
                  <w:r>
                    <w:rPr>
                      <w:spacing w:val="-3"/>
                      <w:sz w:val="18"/>
                      <w:szCs w:val="18"/>
                    </w:rPr>
                    <w:t>”的具体要求</w:t>
                  </w:r>
                </w:p>
              </w:tc>
              <w:tc>
                <w:tcPr>
                  <w:tcW w:w="1695" w:type="dxa"/>
                  <w:vMerge w:val="restart"/>
                  <w:tcBorders>
                    <w:bottom w:val="nil"/>
                  </w:tcBorders>
                  <w:vAlign w:val="top"/>
                </w:tcPr>
                <w:p w14:paraId="37A8DB52">
                  <w:pPr>
                    <w:pStyle w:val="6"/>
                    <w:spacing w:before="206" w:line="219" w:lineRule="auto"/>
                    <w:ind w:left="405"/>
                    <w:rPr>
                      <w:sz w:val="18"/>
                      <w:szCs w:val="18"/>
                    </w:rPr>
                  </w:pPr>
                  <w:r>
                    <w:rPr>
                      <w:spacing w:val="-2"/>
                      <w:sz w:val="18"/>
                      <w:szCs w:val="18"/>
                    </w:rPr>
                    <w:t>本项目情况</w:t>
                  </w:r>
                </w:p>
              </w:tc>
              <w:tc>
                <w:tcPr>
                  <w:tcW w:w="565" w:type="dxa"/>
                  <w:vMerge w:val="restart"/>
                  <w:tcBorders>
                    <w:bottom w:val="nil"/>
                  </w:tcBorders>
                  <w:vAlign w:val="top"/>
                </w:tcPr>
                <w:p w14:paraId="39AA499F">
                  <w:pPr>
                    <w:pStyle w:val="6"/>
                    <w:spacing w:before="91" w:line="230" w:lineRule="auto"/>
                    <w:ind w:left="198" w:right="100" w:hanging="91"/>
                    <w:rPr>
                      <w:sz w:val="18"/>
                      <w:szCs w:val="18"/>
                    </w:rPr>
                  </w:pPr>
                  <w:r>
                    <w:rPr>
                      <w:spacing w:val="-5"/>
                      <w:sz w:val="18"/>
                      <w:szCs w:val="18"/>
                    </w:rPr>
                    <w:t>符合</w:t>
                  </w:r>
                  <w:r>
                    <w:rPr>
                      <w:sz w:val="18"/>
                      <w:szCs w:val="18"/>
                    </w:rPr>
                    <w:t xml:space="preserve"> 性</w:t>
                  </w:r>
                </w:p>
              </w:tc>
            </w:tr>
            <w:tr w14:paraId="3C455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780" w:type="dxa"/>
                  <w:gridSpan w:val="3"/>
                  <w:vAlign w:val="top"/>
                </w:tcPr>
                <w:p w14:paraId="3718FE44">
                  <w:pPr>
                    <w:pStyle w:val="6"/>
                    <w:spacing w:before="31" w:line="210" w:lineRule="auto"/>
                    <w:ind w:left="1215"/>
                    <w:rPr>
                      <w:sz w:val="18"/>
                      <w:szCs w:val="18"/>
                    </w:rPr>
                  </w:pPr>
                  <w:r>
                    <w:rPr>
                      <w:spacing w:val="-4"/>
                      <w:sz w:val="18"/>
                      <w:szCs w:val="18"/>
                    </w:rPr>
                    <w:t>类别</w:t>
                  </w:r>
                </w:p>
              </w:tc>
              <w:tc>
                <w:tcPr>
                  <w:tcW w:w="6443" w:type="dxa"/>
                  <w:vAlign w:val="top"/>
                </w:tcPr>
                <w:p w14:paraId="712C4965">
                  <w:pPr>
                    <w:pStyle w:val="6"/>
                    <w:spacing w:before="31" w:line="210" w:lineRule="auto"/>
                    <w:ind w:left="2685"/>
                    <w:rPr>
                      <w:sz w:val="18"/>
                      <w:szCs w:val="18"/>
                    </w:rPr>
                  </w:pPr>
                  <w:r>
                    <w:rPr>
                      <w:spacing w:val="-2"/>
                      <w:sz w:val="18"/>
                      <w:szCs w:val="18"/>
                    </w:rPr>
                    <w:t>对应管控要求</w:t>
                  </w:r>
                </w:p>
              </w:tc>
              <w:tc>
                <w:tcPr>
                  <w:tcW w:w="1695" w:type="dxa"/>
                  <w:vMerge w:val="continue"/>
                  <w:tcBorders>
                    <w:top w:val="nil"/>
                  </w:tcBorders>
                  <w:vAlign w:val="top"/>
                </w:tcPr>
                <w:p w14:paraId="6FA05D70">
                  <w:pPr>
                    <w:rPr>
                      <w:rFonts w:ascii="Arial"/>
                      <w:sz w:val="21"/>
                    </w:rPr>
                  </w:pPr>
                </w:p>
              </w:tc>
              <w:tc>
                <w:tcPr>
                  <w:tcW w:w="565" w:type="dxa"/>
                  <w:vMerge w:val="continue"/>
                  <w:tcBorders>
                    <w:top w:val="nil"/>
                  </w:tcBorders>
                  <w:vAlign w:val="top"/>
                </w:tcPr>
                <w:p w14:paraId="2EFA1EFB">
                  <w:pPr>
                    <w:rPr>
                      <w:rFonts w:ascii="Arial"/>
                      <w:sz w:val="21"/>
                    </w:rPr>
                  </w:pPr>
                </w:p>
              </w:tc>
            </w:tr>
            <w:tr w14:paraId="2DCB7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6" w:hRule="atLeast"/>
              </w:trPr>
              <w:tc>
                <w:tcPr>
                  <w:tcW w:w="1015" w:type="dxa"/>
                  <w:vAlign w:val="top"/>
                </w:tcPr>
                <w:p w14:paraId="4F2D4BB7">
                  <w:pPr>
                    <w:spacing w:line="243" w:lineRule="auto"/>
                    <w:rPr>
                      <w:rFonts w:ascii="Arial"/>
                      <w:sz w:val="21"/>
                    </w:rPr>
                  </w:pPr>
                </w:p>
                <w:p w14:paraId="141E04F4">
                  <w:pPr>
                    <w:spacing w:line="243" w:lineRule="auto"/>
                    <w:rPr>
                      <w:rFonts w:ascii="Arial"/>
                      <w:sz w:val="21"/>
                    </w:rPr>
                  </w:pPr>
                </w:p>
                <w:p w14:paraId="5535F5E4">
                  <w:pPr>
                    <w:spacing w:line="243" w:lineRule="auto"/>
                    <w:rPr>
                      <w:rFonts w:ascii="Arial"/>
                      <w:sz w:val="21"/>
                    </w:rPr>
                  </w:pPr>
                </w:p>
                <w:p w14:paraId="038FB397">
                  <w:pPr>
                    <w:spacing w:line="243" w:lineRule="auto"/>
                    <w:rPr>
                      <w:rFonts w:ascii="Arial"/>
                      <w:sz w:val="21"/>
                    </w:rPr>
                  </w:pPr>
                </w:p>
                <w:p w14:paraId="6DBBD0B4">
                  <w:pPr>
                    <w:spacing w:line="243" w:lineRule="auto"/>
                    <w:rPr>
                      <w:rFonts w:ascii="Arial"/>
                      <w:sz w:val="21"/>
                    </w:rPr>
                  </w:pPr>
                </w:p>
                <w:p w14:paraId="1FF127A7">
                  <w:pPr>
                    <w:spacing w:line="243" w:lineRule="auto"/>
                    <w:rPr>
                      <w:rFonts w:ascii="Arial"/>
                      <w:sz w:val="21"/>
                    </w:rPr>
                  </w:pPr>
                </w:p>
                <w:p w14:paraId="4835EB55">
                  <w:pPr>
                    <w:spacing w:line="243" w:lineRule="auto"/>
                    <w:rPr>
                      <w:rFonts w:ascii="Arial"/>
                      <w:sz w:val="21"/>
                    </w:rPr>
                  </w:pPr>
                </w:p>
                <w:p w14:paraId="0FA8156B">
                  <w:pPr>
                    <w:spacing w:line="243" w:lineRule="auto"/>
                    <w:rPr>
                      <w:rFonts w:ascii="Arial"/>
                      <w:sz w:val="21"/>
                    </w:rPr>
                  </w:pPr>
                </w:p>
                <w:p w14:paraId="18B1DB7B">
                  <w:pPr>
                    <w:spacing w:line="243" w:lineRule="auto"/>
                    <w:rPr>
                      <w:rFonts w:ascii="Arial"/>
                      <w:sz w:val="21"/>
                    </w:rPr>
                  </w:pPr>
                </w:p>
                <w:p w14:paraId="31A1B4D7">
                  <w:pPr>
                    <w:pStyle w:val="6"/>
                    <w:spacing w:before="58" w:line="237" w:lineRule="auto"/>
                    <w:ind w:left="49" w:right="46" w:firstLine="4"/>
                    <w:rPr>
                      <w:sz w:val="18"/>
                      <w:szCs w:val="18"/>
                    </w:rPr>
                  </w:pPr>
                  <w:r>
                    <w:rPr>
                      <w:spacing w:val="1"/>
                      <w:sz w:val="18"/>
                      <w:szCs w:val="18"/>
                    </w:rPr>
                    <w:t>环境综合管</w:t>
                  </w:r>
                  <w:r>
                    <w:rPr>
                      <w:spacing w:val="3"/>
                      <w:sz w:val="18"/>
                      <w:szCs w:val="18"/>
                    </w:rPr>
                    <w:t xml:space="preserve"> </w:t>
                  </w:r>
                  <w:r>
                    <w:rPr>
                      <w:spacing w:val="2"/>
                      <w:sz w:val="18"/>
                      <w:szCs w:val="18"/>
                    </w:rPr>
                    <w:t>控单元工业</w:t>
                  </w:r>
                  <w:r>
                    <w:rPr>
                      <w:spacing w:val="3"/>
                      <w:sz w:val="18"/>
                      <w:szCs w:val="18"/>
                    </w:rPr>
                    <w:t xml:space="preserve"> </w:t>
                  </w:r>
                  <w:r>
                    <w:rPr>
                      <w:spacing w:val="2"/>
                      <w:sz w:val="18"/>
                      <w:szCs w:val="18"/>
                    </w:rPr>
                    <w:t>重点管控单</w:t>
                  </w:r>
                  <w:r>
                    <w:rPr>
                      <w:spacing w:val="3"/>
                      <w:sz w:val="18"/>
                      <w:szCs w:val="18"/>
                    </w:rPr>
                    <w:t xml:space="preserve"> </w:t>
                  </w:r>
                  <w:r>
                    <w:rPr>
                      <w:spacing w:val="-11"/>
                      <w:sz w:val="18"/>
                      <w:szCs w:val="18"/>
                    </w:rPr>
                    <w:t>元</w:t>
                  </w:r>
                  <w:r>
                    <w:rPr>
                      <w:spacing w:val="6"/>
                      <w:sz w:val="18"/>
                      <w:szCs w:val="18"/>
                    </w:rPr>
                    <w:t xml:space="preserve">      </w:t>
                  </w:r>
                  <w:r>
                    <w:rPr>
                      <w:spacing w:val="-11"/>
                      <w:sz w:val="18"/>
                      <w:szCs w:val="18"/>
                    </w:rPr>
                    <w:t>、</w:t>
                  </w:r>
                  <w:r>
                    <w:rPr>
                      <w:sz w:val="18"/>
                      <w:szCs w:val="18"/>
                    </w:rPr>
                    <w:t xml:space="preserve"> </w:t>
                  </w:r>
                  <w:r>
                    <w:rPr>
                      <w:rFonts w:ascii="Times New Roman" w:hAnsi="Times New Roman" w:eastAsia="Times New Roman" w:cs="Times New Roman"/>
                      <w:spacing w:val="-1"/>
                      <w:sz w:val="18"/>
                      <w:szCs w:val="18"/>
                    </w:rPr>
                    <w:t>ZH5117022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0003</w:t>
                  </w:r>
                  <w:r>
                    <w:rPr>
                      <w:rFonts w:ascii="Times New Roman" w:hAnsi="Times New Roman" w:eastAsia="Times New Roman" w:cs="Times New Roman"/>
                      <w:spacing w:val="-18"/>
                      <w:sz w:val="18"/>
                      <w:szCs w:val="18"/>
                    </w:rPr>
                    <w:t xml:space="preserve"> </w:t>
                  </w:r>
                  <w:r>
                    <w:rPr>
                      <w:spacing w:val="-2"/>
                      <w:sz w:val="18"/>
                      <w:szCs w:val="18"/>
                    </w:rPr>
                    <w:t>、东岳</w:t>
                  </w:r>
                  <w:r>
                    <w:rPr>
                      <w:sz w:val="18"/>
                      <w:szCs w:val="18"/>
                    </w:rPr>
                    <w:t xml:space="preserve"> </w:t>
                  </w:r>
                  <w:r>
                    <w:rPr>
                      <w:spacing w:val="2"/>
                      <w:sz w:val="18"/>
                      <w:szCs w:val="18"/>
                    </w:rPr>
                    <w:t>新型工业集</w:t>
                  </w:r>
                  <w:r>
                    <w:rPr>
                      <w:spacing w:val="3"/>
                      <w:sz w:val="18"/>
                      <w:szCs w:val="18"/>
                    </w:rPr>
                    <w:t xml:space="preserve"> </w:t>
                  </w:r>
                  <w:r>
                    <w:rPr>
                      <w:spacing w:val="-2"/>
                      <w:sz w:val="18"/>
                      <w:szCs w:val="18"/>
                    </w:rPr>
                    <w:t>聚区</w:t>
                  </w:r>
                </w:p>
              </w:tc>
              <w:tc>
                <w:tcPr>
                  <w:tcW w:w="886" w:type="dxa"/>
                  <w:vAlign w:val="top"/>
                </w:tcPr>
                <w:p w14:paraId="2AE9690B">
                  <w:pPr>
                    <w:spacing w:line="250" w:lineRule="auto"/>
                    <w:rPr>
                      <w:rFonts w:ascii="Arial"/>
                      <w:sz w:val="21"/>
                    </w:rPr>
                  </w:pPr>
                </w:p>
                <w:p w14:paraId="3F1B11C6">
                  <w:pPr>
                    <w:spacing w:line="250" w:lineRule="auto"/>
                    <w:rPr>
                      <w:rFonts w:ascii="Arial"/>
                      <w:sz w:val="21"/>
                    </w:rPr>
                  </w:pPr>
                </w:p>
                <w:p w14:paraId="28F74C05">
                  <w:pPr>
                    <w:spacing w:line="250" w:lineRule="auto"/>
                    <w:rPr>
                      <w:rFonts w:ascii="Arial"/>
                      <w:sz w:val="21"/>
                    </w:rPr>
                  </w:pPr>
                </w:p>
                <w:p w14:paraId="383AA996">
                  <w:pPr>
                    <w:spacing w:line="250" w:lineRule="auto"/>
                    <w:rPr>
                      <w:rFonts w:ascii="Arial"/>
                      <w:sz w:val="21"/>
                    </w:rPr>
                  </w:pPr>
                </w:p>
                <w:p w14:paraId="7F1E5B7B">
                  <w:pPr>
                    <w:spacing w:line="250" w:lineRule="auto"/>
                    <w:rPr>
                      <w:rFonts w:ascii="Arial"/>
                      <w:sz w:val="21"/>
                    </w:rPr>
                  </w:pPr>
                </w:p>
                <w:p w14:paraId="010179BF">
                  <w:pPr>
                    <w:spacing w:line="250" w:lineRule="auto"/>
                    <w:rPr>
                      <w:rFonts w:ascii="Arial"/>
                      <w:sz w:val="21"/>
                    </w:rPr>
                  </w:pPr>
                </w:p>
                <w:p w14:paraId="0E28DE66">
                  <w:pPr>
                    <w:spacing w:line="250" w:lineRule="auto"/>
                    <w:rPr>
                      <w:rFonts w:ascii="Arial"/>
                      <w:sz w:val="21"/>
                    </w:rPr>
                  </w:pPr>
                </w:p>
                <w:p w14:paraId="61207837">
                  <w:pPr>
                    <w:spacing w:line="250" w:lineRule="auto"/>
                    <w:rPr>
                      <w:rFonts w:ascii="Arial"/>
                      <w:sz w:val="21"/>
                    </w:rPr>
                  </w:pPr>
                </w:p>
                <w:p w14:paraId="479B8F0F">
                  <w:pPr>
                    <w:spacing w:line="251" w:lineRule="auto"/>
                    <w:rPr>
                      <w:rFonts w:ascii="Arial"/>
                      <w:sz w:val="21"/>
                    </w:rPr>
                  </w:pPr>
                </w:p>
                <w:p w14:paraId="36436583">
                  <w:pPr>
                    <w:spacing w:line="251" w:lineRule="auto"/>
                    <w:rPr>
                      <w:rFonts w:ascii="Arial"/>
                      <w:sz w:val="21"/>
                    </w:rPr>
                  </w:pPr>
                </w:p>
                <w:p w14:paraId="09D94DE0">
                  <w:pPr>
                    <w:spacing w:line="251" w:lineRule="auto"/>
                    <w:rPr>
                      <w:rFonts w:ascii="Arial"/>
                      <w:sz w:val="21"/>
                    </w:rPr>
                  </w:pPr>
                </w:p>
                <w:p w14:paraId="5BEBD2A3">
                  <w:pPr>
                    <w:pStyle w:val="6"/>
                    <w:spacing w:before="59" w:line="232" w:lineRule="auto"/>
                    <w:ind w:left="84" w:right="8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7B43CC94">
                  <w:pPr>
                    <w:spacing w:line="260" w:lineRule="auto"/>
                    <w:rPr>
                      <w:rFonts w:ascii="Arial"/>
                      <w:sz w:val="21"/>
                    </w:rPr>
                  </w:pPr>
                </w:p>
                <w:p w14:paraId="43266FC6">
                  <w:pPr>
                    <w:spacing w:line="261" w:lineRule="auto"/>
                    <w:rPr>
                      <w:rFonts w:ascii="Arial"/>
                      <w:sz w:val="21"/>
                    </w:rPr>
                  </w:pPr>
                </w:p>
                <w:p w14:paraId="1B23AF73">
                  <w:pPr>
                    <w:spacing w:line="261" w:lineRule="auto"/>
                    <w:rPr>
                      <w:rFonts w:ascii="Arial"/>
                      <w:sz w:val="21"/>
                    </w:rPr>
                  </w:pPr>
                </w:p>
                <w:p w14:paraId="0FF40BAA">
                  <w:pPr>
                    <w:spacing w:line="261" w:lineRule="auto"/>
                    <w:rPr>
                      <w:rFonts w:ascii="Arial"/>
                      <w:sz w:val="21"/>
                    </w:rPr>
                  </w:pPr>
                </w:p>
                <w:p w14:paraId="384C6415">
                  <w:pPr>
                    <w:spacing w:line="261" w:lineRule="auto"/>
                    <w:rPr>
                      <w:rFonts w:ascii="Arial"/>
                      <w:sz w:val="21"/>
                    </w:rPr>
                  </w:pPr>
                </w:p>
                <w:p w14:paraId="2ECE4BB0">
                  <w:pPr>
                    <w:spacing w:line="261" w:lineRule="auto"/>
                    <w:rPr>
                      <w:rFonts w:ascii="Arial"/>
                      <w:sz w:val="21"/>
                    </w:rPr>
                  </w:pPr>
                </w:p>
                <w:p w14:paraId="6D0C6DB5">
                  <w:pPr>
                    <w:spacing w:line="261" w:lineRule="auto"/>
                    <w:rPr>
                      <w:rFonts w:ascii="Arial"/>
                      <w:sz w:val="21"/>
                    </w:rPr>
                  </w:pPr>
                </w:p>
                <w:p w14:paraId="18198B31">
                  <w:pPr>
                    <w:spacing w:line="261" w:lineRule="auto"/>
                    <w:rPr>
                      <w:rFonts w:ascii="Arial"/>
                      <w:sz w:val="21"/>
                    </w:rPr>
                  </w:pPr>
                </w:p>
                <w:p w14:paraId="140C5975">
                  <w:pPr>
                    <w:spacing w:line="261" w:lineRule="auto"/>
                    <w:rPr>
                      <w:rFonts w:ascii="Arial"/>
                      <w:sz w:val="21"/>
                    </w:rPr>
                  </w:pPr>
                </w:p>
                <w:p w14:paraId="308E5FC5">
                  <w:pPr>
                    <w:spacing w:line="261" w:lineRule="auto"/>
                    <w:rPr>
                      <w:rFonts w:ascii="Arial"/>
                      <w:sz w:val="21"/>
                    </w:rPr>
                  </w:pPr>
                </w:p>
                <w:p w14:paraId="34CA0C9A">
                  <w:pPr>
                    <w:spacing w:line="261" w:lineRule="auto"/>
                    <w:rPr>
                      <w:rFonts w:ascii="Arial"/>
                      <w:sz w:val="21"/>
                    </w:rPr>
                  </w:pPr>
                </w:p>
                <w:p w14:paraId="3B094956">
                  <w:pPr>
                    <w:pStyle w:val="6"/>
                    <w:spacing w:before="58" w:line="229" w:lineRule="auto"/>
                    <w:ind w:left="266"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55D22CD0">
                  <w:pPr>
                    <w:pStyle w:val="6"/>
                    <w:spacing w:before="28" w:line="219" w:lineRule="auto"/>
                    <w:ind w:left="50"/>
                    <w:rPr>
                      <w:sz w:val="18"/>
                      <w:szCs w:val="18"/>
                    </w:rPr>
                  </w:pPr>
                  <w:r>
                    <w:rPr>
                      <w:b/>
                      <w:bCs/>
                      <w:spacing w:val="-2"/>
                      <w:sz w:val="18"/>
                      <w:szCs w:val="18"/>
                    </w:rPr>
                    <w:t>禁止开发建设活动的要求</w:t>
                  </w:r>
                </w:p>
                <w:p w14:paraId="0F90852C">
                  <w:pPr>
                    <w:pStyle w:val="6"/>
                    <w:spacing w:before="19" w:line="229" w:lineRule="auto"/>
                    <w:ind w:left="51" w:right="44" w:firstLine="359"/>
                    <w:rPr>
                      <w:sz w:val="18"/>
                      <w:szCs w:val="18"/>
                    </w:rPr>
                  </w:pPr>
                  <w:r>
                    <w:rPr>
                      <w:rFonts w:ascii="Times New Roman" w:hAnsi="Times New Roman" w:eastAsia="Times New Roman" w:cs="Times New Roman"/>
                      <w:spacing w:val="-2"/>
                      <w:sz w:val="18"/>
                      <w:szCs w:val="18"/>
                    </w:rPr>
                    <w:t>-</w:t>
                  </w:r>
                  <w:r>
                    <w:rPr>
                      <w:spacing w:val="-2"/>
                      <w:sz w:val="18"/>
                      <w:szCs w:val="18"/>
                    </w:rPr>
                    <w:t>禁止在长江干支流</w:t>
                  </w:r>
                  <w:r>
                    <w:rPr>
                      <w:spacing w:val="-7"/>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12"/>
                      <w:sz w:val="18"/>
                      <w:szCs w:val="18"/>
                    </w:rPr>
                    <w:t xml:space="preserve"> </w:t>
                  </w:r>
                  <w:r>
                    <w:rPr>
                      <w:spacing w:val="-2"/>
                      <w:sz w:val="18"/>
                      <w:szCs w:val="18"/>
                    </w:rPr>
                    <w:t>公里范围内新建、扩建化工园区和化工项目，严控新建</w:t>
                  </w:r>
                  <w:r>
                    <w:rPr>
                      <w:sz w:val="18"/>
                      <w:szCs w:val="18"/>
                    </w:rPr>
                    <w:t xml:space="preserve"> </w:t>
                  </w:r>
                  <w:r>
                    <w:rPr>
                      <w:spacing w:val="-1"/>
                      <w:sz w:val="18"/>
                      <w:szCs w:val="18"/>
                    </w:rPr>
                    <w:t>石油化工、煤化工、涉磷、造纸、印染、制革等项目。</w:t>
                  </w:r>
                </w:p>
                <w:p w14:paraId="5E36DC52">
                  <w:pPr>
                    <w:pStyle w:val="6"/>
                    <w:spacing w:before="21" w:line="219" w:lineRule="auto"/>
                    <w:ind w:left="410"/>
                    <w:rPr>
                      <w:sz w:val="18"/>
                      <w:szCs w:val="18"/>
                    </w:rPr>
                  </w:pPr>
                  <w:r>
                    <w:rPr>
                      <w:rFonts w:ascii="Times New Roman" w:hAnsi="Times New Roman" w:eastAsia="Times New Roman" w:cs="Times New Roman"/>
                      <w:sz w:val="18"/>
                      <w:szCs w:val="18"/>
                    </w:rPr>
                    <w:t>-</w:t>
                  </w:r>
                  <w:r>
                    <w:rPr>
                      <w:sz w:val="18"/>
                      <w:szCs w:val="18"/>
                    </w:rPr>
                    <w:t>禁止从事《长江经济带发展负面清单指南（试</w:t>
                  </w:r>
                  <w:r>
                    <w:rPr>
                      <w:spacing w:val="-1"/>
                      <w:sz w:val="18"/>
                      <w:szCs w:val="18"/>
                    </w:rPr>
                    <w:t>行）》禁止准入类事项。</w:t>
                  </w:r>
                </w:p>
                <w:p w14:paraId="2FADD9D3">
                  <w:pPr>
                    <w:pStyle w:val="6"/>
                    <w:spacing w:before="19" w:line="219" w:lineRule="auto"/>
                    <w:ind w:left="410"/>
                    <w:rPr>
                      <w:sz w:val="18"/>
                      <w:szCs w:val="18"/>
                    </w:rPr>
                  </w:pPr>
                  <w:r>
                    <w:rPr>
                      <w:rFonts w:ascii="Times New Roman" w:hAnsi="Times New Roman" w:eastAsia="Times New Roman" w:cs="Times New Roman"/>
                      <w:spacing w:val="-1"/>
                      <w:sz w:val="18"/>
                      <w:szCs w:val="18"/>
                    </w:rPr>
                    <w:t>-</w:t>
                  </w:r>
                  <w:r>
                    <w:rPr>
                      <w:spacing w:val="-1"/>
                      <w:sz w:val="18"/>
                      <w:szCs w:val="18"/>
                    </w:rPr>
                    <w:t>引进项目应符合园区规划环评和区域产业准入及负面清单要求。</w:t>
                  </w:r>
                </w:p>
                <w:p w14:paraId="78456CEE">
                  <w:pPr>
                    <w:pStyle w:val="6"/>
                    <w:spacing w:before="19" w:line="219" w:lineRule="auto"/>
                    <w:ind w:left="410"/>
                    <w:rPr>
                      <w:sz w:val="18"/>
                      <w:szCs w:val="18"/>
                    </w:rPr>
                  </w:pPr>
                  <w:r>
                    <w:rPr>
                      <w:rFonts w:ascii="Times New Roman" w:hAnsi="Times New Roman" w:eastAsia="Times New Roman" w:cs="Times New Roman"/>
                      <w:spacing w:val="-1"/>
                      <w:sz w:val="18"/>
                      <w:szCs w:val="18"/>
                    </w:rPr>
                    <w:t>-</w:t>
                  </w:r>
                  <w:r>
                    <w:rPr>
                      <w:spacing w:val="-1"/>
                      <w:sz w:val="18"/>
                      <w:szCs w:val="18"/>
                    </w:rPr>
                    <w:t>禁止新建不符合国家产业政策和行业准入条件的高污染项目。</w:t>
                  </w:r>
                </w:p>
                <w:p w14:paraId="59B81B21">
                  <w:pPr>
                    <w:pStyle w:val="6"/>
                    <w:spacing w:before="21" w:line="219" w:lineRule="auto"/>
                    <w:ind w:left="410"/>
                    <w:rPr>
                      <w:sz w:val="18"/>
                      <w:szCs w:val="18"/>
                    </w:rPr>
                  </w:pPr>
                  <w:r>
                    <w:rPr>
                      <w:rFonts w:ascii="Times New Roman" w:hAnsi="Times New Roman" w:eastAsia="Times New Roman" w:cs="Times New Roman"/>
                      <w:spacing w:val="-1"/>
                      <w:sz w:val="18"/>
                      <w:szCs w:val="18"/>
                    </w:rPr>
                    <w:t>-</w:t>
                  </w:r>
                  <w:r>
                    <w:rPr>
                      <w:spacing w:val="-1"/>
                      <w:sz w:val="18"/>
                      <w:szCs w:val="18"/>
                    </w:rPr>
                    <w:t>工业园区禁止新建高污染燃料锅炉。</w:t>
                  </w:r>
                </w:p>
                <w:p w14:paraId="215F373A">
                  <w:pPr>
                    <w:pStyle w:val="6"/>
                    <w:spacing w:before="19" w:line="219" w:lineRule="auto"/>
                    <w:ind w:left="410"/>
                    <w:rPr>
                      <w:sz w:val="18"/>
                      <w:szCs w:val="18"/>
                    </w:rPr>
                  </w:pPr>
                  <w:r>
                    <w:rPr>
                      <w:rFonts w:ascii="Times New Roman" w:hAnsi="Times New Roman" w:eastAsia="Times New Roman" w:cs="Times New Roman"/>
                      <w:sz w:val="18"/>
                      <w:szCs w:val="18"/>
                    </w:rPr>
                    <w:t>-</w:t>
                  </w:r>
                  <w:r>
                    <w:rPr>
                      <w:sz w:val="18"/>
                      <w:szCs w:val="18"/>
                    </w:rPr>
                    <w:t>禁止在长江流域河湖管理范围内倾倒、填埋、堆放</w:t>
                  </w:r>
                  <w:r>
                    <w:rPr>
                      <w:spacing w:val="-1"/>
                      <w:sz w:val="18"/>
                      <w:szCs w:val="18"/>
                    </w:rPr>
                    <w:t>、弃置、处理固体废物。</w:t>
                  </w:r>
                </w:p>
                <w:p w14:paraId="09D0E853">
                  <w:pPr>
                    <w:pStyle w:val="6"/>
                    <w:spacing w:before="19" w:line="220" w:lineRule="auto"/>
                    <w:ind w:left="63"/>
                    <w:rPr>
                      <w:sz w:val="18"/>
                      <w:szCs w:val="18"/>
                    </w:rPr>
                  </w:pPr>
                  <w:r>
                    <w:rPr>
                      <w:b/>
                      <w:bCs/>
                      <w:spacing w:val="-4"/>
                      <w:sz w:val="18"/>
                      <w:szCs w:val="18"/>
                    </w:rPr>
                    <w:t>限制开发建设活动的要求</w:t>
                  </w:r>
                </w:p>
                <w:p w14:paraId="3379BD5F">
                  <w:pPr>
                    <w:pStyle w:val="6"/>
                    <w:spacing w:before="19" w:line="230" w:lineRule="auto"/>
                    <w:ind w:left="51" w:right="44" w:firstLine="359"/>
                    <w:rPr>
                      <w:sz w:val="18"/>
                      <w:szCs w:val="18"/>
                    </w:rPr>
                  </w:pPr>
                  <w:r>
                    <w:rPr>
                      <w:rFonts w:ascii="Times New Roman" w:hAnsi="Times New Roman" w:eastAsia="Times New Roman" w:cs="Times New Roman"/>
                      <w:spacing w:val="-1"/>
                      <w:sz w:val="18"/>
                      <w:szCs w:val="18"/>
                    </w:rPr>
                    <w:t>-</w:t>
                  </w:r>
                  <w:r>
                    <w:rPr>
                      <w:spacing w:val="-1"/>
                      <w:sz w:val="18"/>
                      <w:szCs w:val="18"/>
                    </w:rPr>
                    <w:t>严格控制污染物新增排放量，对新建排放二氧化硫、氮氧化物、工业烟粉尘</w:t>
                  </w:r>
                  <w:r>
                    <w:rPr>
                      <w:spacing w:val="16"/>
                      <w:sz w:val="18"/>
                      <w:szCs w:val="18"/>
                    </w:rPr>
                    <w:t xml:space="preserve"> </w:t>
                  </w:r>
                  <w:r>
                    <w:rPr>
                      <w:spacing w:val="-2"/>
                      <w:sz w:val="18"/>
                      <w:szCs w:val="18"/>
                    </w:rPr>
                    <w:t>和</w:t>
                  </w:r>
                  <w:r>
                    <w:rPr>
                      <w:spacing w:val="-34"/>
                      <w:sz w:val="18"/>
                      <w:szCs w:val="18"/>
                    </w:rPr>
                    <w:t xml:space="preserve"> </w:t>
                  </w:r>
                  <w:r>
                    <w:rPr>
                      <w:rFonts w:ascii="Times New Roman" w:hAnsi="Times New Roman" w:eastAsia="Times New Roman" w:cs="Times New Roman"/>
                      <w:spacing w:val="-2"/>
                      <w:sz w:val="18"/>
                      <w:szCs w:val="18"/>
                    </w:rPr>
                    <w:t>VOC</w:t>
                  </w:r>
                  <w:r>
                    <w:rPr>
                      <w:rFonts w:ascii="Times New Roman" w:hAnsi="Times New Roman" w:eastAsia="Times New Roman" w:cs="Times New Roman"/>
                      <w:spacing w:val="-2"/>
                      <w:position w:val="-1"/>
                      <w:sz w:val="11"/>
                      <w:szCs w:val="11"/>
                    </w:rPr>
                    <w:t>S</w:t>
                  </w:r>
                  <w:r>
                    <w:rPr>
                      <w:rFonts w:ascii="Times New Roman" w:hAnsi="Times New Roman" w:eastAsia="Times New Roman" w:cs="Times New Roman"/>
                      <w:spacing w:val="22"/>
                      <w:position w:val="-1"/>
                      <w:sz w:val="11"/>
                      <w:szCs w:val="11"/>
                    </w:rPr>
                    <w:t xml:space="preserve"> </w:t>
                  </w:r>
                  <w:r>
                    <w:rPr>
                      <w:spacing w:val="-2"/>
                      <w:sz w:val="18"/>
                      <w:szCs w:val="18"/>
                    </w:rPr>
                    <w:t>的项目实施现役源</w:t>
                  </w:r>
                  <w:r>
                    <w:rPr>
                      <w:spacing w:val="-41"/>
                      <w:sz w:val="18"/>
                      <w:szCs w:val="18"/>
                    </w:rPr>
                    <w:t xml:space="preserve"> </w:t>
                  </w:r>
                  <w:r>
                    <w:rPr>
                      <w:rFonts w:ascii="Times New Roman" w:hAnsi="Times New Roman" w:eastAsia="Times New Roman" w:cs="Times New Roman"/>
                      <w:spacing w:val="-2"/>
                      <w:sz w:val="18"/>
                      <w:szCs w:val="18"/>
                    </w:rPr>
                    <w:t xml:space="preserve">2 </w:t>
                  </w:r>
                  <w:r>
                    <w:rPr>
                      <w:spacing w:val="-2"/>
                      <w:sz w:val="18"/>
                      <w:szCs w:val="18"/>
                    </w:rPr>
                    <w:t>倍削减量替代。</w:t>
                  </w:r>
                </w:p>
                <w:p w14:paraId="4F7428B5">
                  <w:pPr>
                    <w:pStyle w:val="6"/>
                    <w:spacing w:before="19" w:line="229" w:lineRule="auto"/>
                    <w:ind w:left="52" w:right="44" w:firstLine="358"/>
                    <w:rPr>
                      <w:sz w:val="18"/>
                      <w:szCs w:val="18"/>
                    </w:rPr>
                  </w:pPr>
                  <w:r>
                    <w:rPr>
                      <w:rFonts w:ascii="Times New Roman" w:hAnsi="Times New Roman" w:eastAsia="Times New Roman" w:cs="Times New Roman"/>
                      <w:spacing w:val="5"/>
                      <w:sz w:val="18"/>
                      <w:szCs w:val="18"/>
                    </w:rPr>
                    <w:t>-</w:t>
                  </w:r>
                  <w:r>
                    <w:rPr>
                      <w:spacing w:val="5"/>
                      <w:sz w:val="18"/>
                      <w:szCs w:val="18"/>
                    </w:rPr>
                    <w:t>严格实施环评制度，将细颗粒物达标情况纳入规划环评和相关项</w:t>
                  </w:r>
                  <w:r>
                    <w:rPr>
                      <w:spacing w:val="4"/>
                      <w:sz w:val="18"/>
                      <w:szCs w:val="18"/>
                    </w:rPr>
                    <w:t>目环评内</w:t>
                  </w:r>
                  <w:r>
                    <w:rPr>
                      <w:sz w:val="18"/>
                      <w:szCs w:val="18"/>
                    </w:rPr>
                    <w:t xml:space="preserve"> </w:t>
                  </w:r>
                  <w:r>
                    <w:rPr>
                      <w:spacing w:val="-1"/>
                      <w:sz w:val="18"/>
                      <w:szCs w:val="18"/>
                    </w:rPr>
                    <w:t>容，加快制定颗粒物、</w:t>
                  </w:r>
                  <w:r>
                    <w:rPr>
                      <w:rFonts w:ascii="Times New Roman" w:hAnsi="Times New Roman" w:eastAsia="Times New Roman" w:cs="Times New Roman"/>
                      <w:spacing w:val="-1"/>
                      <w:sz w:val="18"/>
                      <w:szCs w:val="18"/>
                    </w:rPr>
                    <w:t>VOC</w:t>
                  </w:r>
                  <w:r>
                    <w:rPr>
                      <w:rFonts w:ascii="Times New Roman" w:hAnsi="Times New Roman" w:eastAsia="Times New Roman" w:cs="Times New Roman"/>
                      <w:spacing w:val="-1"/>
                      <w:position w:val="-1"/>
                      <w:sz w:val="11"/>
                      <w:szCs w:val="11"/>
                    </w:rPr>
                    <w:t>S</w:t>
                  </w:r>
                  <w:r>
                    <w:rPr>
                      <w:rFonts w:ascii="Times New Roman" w:hAnsi="Times New Roman" w:eastAsia="Times New Roman" w:cs="Times New Roman"/>
                      <w:spacing w:val="18"/>
                      <w:w w:val="103"/>
                      <w:position w:val="-1"/>
                      <w:sz w:val="11"/>
                      <w:szCs w:val="11"/>
                    </w:rPr>
                    <w:t xml:space="preserve"> </w:t>
                  </w:r>
                  <w:r>
                    <w:rPr>
                      <w:spacing w:val="-1"/>
                      <w:sz w:val="18"/>
                      <w:szCs w:val="18"/>
                    </w:rPr>
                    <w:t>排放总量管理配套政策。</w:t>
                  </w:r>
                </w:p>
                <w:p w14:paraId="03A80D63">
                  <w:pPr>
                    <w:pStyle w:val="6"/>
                    <w:spacing w:before="19" w:line="219" w:lineRule="auto"/>
                    <w:ind w:left="410"/>
                    <w:rPr>
                      <w:sz w:val="18"/>
                      <w:szCs w:val="18"/>
                    </w:rPr>
                  </w:pPr>
                  <w:r>
                    <w:rPr>
                      <w:rFonts w:ascii="Times New Roman" w:hAnsi="Times New Roman" w:eastAsia="Times New Roman" w:cs="Times New Roman"/>
                      <w:spacing w:val="-1"/>
                      <w:sz w:val="18"/>
                      <w:szCs w:val="18"/>
                    </w:rPr>
                    <w:t>-</w:t>
                  </w:r>
                  <w:r>
                    <w:rPr>
                      <w:spacing w:val="-1"/>
                      <w:sz w:val="18"/>
                      <w:szCs w:val="18"/>
                    </w:rPr>
                    <w:t>严格控制新建、扩建燃煤发电项目。</w:t>
                  </w:r>
                </w:p>
                <w:p w14:paraId="4E22F470">
                  <w:pPr>
                    <w:pStyle w:val="6"/>
                    <w:spacing w:before="21" w:line="229" w:lineRule="auto"/>
                    <w:ind w:left="51" w:firstLine="358"/>
                    <w:rPr>
                      <w:sz w:val="18"/>
                      <w:szCs w:val="18"/>
                    </w:rPr>
                  </w:pPr>
                  <w:r>
                    <w:rPr>
                      <w:rFonts w:ascii="Times New Roman" w:hAnsi="Times New Roman" w:eastAsia="Times New Roman" w:cs="Times New Roman"/>
                      <w:spacing w:val="-4"/>
                      <w:sz w:val="18"/>
                      <w:szCs w:val="18"/>
                    </w:rPr>
                    <w:t>-</w:t>
                  </w:r>
                  <w:r>
                    <w:rPr>
                      <w:spacing w:val="-4"/>
                      <w:sz w:val="18"/>
                      <w:szCs w:val="18"/>
                    </w:rPr>
                    <w:t>严控达州市主城区上游沿岸地区新建石油化工</w:t>
                  </w:r>
                  <w:r>
                    <w:rPr>
                      <w:spacing w:val="-5"/>
                      <w:sz w:val="18"/>
                      <w:szCs w:val="18"/>
                    </w:rPr>
                    <w:t>、煤化工、涉磷、造纸、印染、</w:t>
                  </w:r>
                  <w:r>
                    <w:rPr>
                      <w:sz w:val="18"/>
                      <w:szCs w:val="18"/>
                    </w:rPr>
                    <w:t xml:space="preserve"> </w:t>
                  </w:r>
                  <w:r>
                    <w:rPr>
                      <w:spacing w:val="-2"/>
                      <w:sz w:val="18"/>
                      <w:szCs w:val="18"/>
                    </w:rPr>
                    <w:t>制革等项目。</w:t>
                  </w:r>
                </w:p>
                <w:p w14:paraId="61E61A2E">
                  <w:pPr>
                    <w:pStyle w:val="6"/>
                    <w:spacing w:before="19" w:line="219" w:lineRule="auto"/>
                    <w:ind w:left="53"/>
                    <w:rPr>
                      <w:sz w:val="18"/>
                      <w:szCs w:val="18"/>
                    </w:rPr>
                  </w:pPr>
                  <w:r>
                    <w:rPr>
                      <w:b/>
                      <w:bCs/>
                      <w:spacing w:val="-2"/>
                      <w:sz w:val="18"/>
                      <w:szCs w:val="18"/>
                    </w:rPr>
                    <w:t>不符合空间布局要求活动的退出要求</w:t>
                  </w:r>
                </w:p>
                <w:p w14:paraId="1654B7DA">
                  <w:pPr>
                    <w:pStyle w:val="6"/>
                    <w:spacing w:before="22" w:line="219" w:lineRule="auto"/>
                    <w:ind w:left="410"/>
                    <w:rPr>
                      <w:sz w:val="18"/>
                      <w:szCs w:val="18"/>
                    </w:rPr>
                  </w:pPr>
                  <w:r>
                    <w:rPr>
                      <w:rFonts w:ascii="Times New Roman" w:hAnsi="Times New Roman" w:eastAsia="Times New Roman" w:cs="Times New Roman"/>
                      <w:sz w:val="18"/>
                      <w:szCs w:val="18"/>
                    </w:rPr>
                    <w:t>-</w:t>
                  </w:r>
                  <w:r>
                    <w:rPr>
                      <w:sz w:val="18"/>
                      <w:szCs w:val="18"/>
                    </w:rPr>
                    <w:t>现有属于禁止引入产业门类的企业，应按相</w:t>
                  </w:r>
                  <w:r>
                    <w:rPr>
                      <w:spacing w:val="-1"/>
                      <w:sz w:val="18"/>
                      <w:szCs w:val="18"/>
                    </w:rPr>
                    <w:t>关规定限期整治或退出。</w:t>
                  </w:r>
                </w:p>
                <w:p w14:paraId="61348224">
                  <w:pPr>
                    <w:pStyle w:val="6"/>
                    <w:spacing w:before="20" w:line="232" w:lineRule="auto"/>
                    <w:ind w:left="49" w:firstLine="360"/>
                    <w:rPr>
                      <w:sz w:val="18"/>
                      <w:szCs w:val="18"/>
                    </w:rPr>
                  </w:pPr>
                  <w:r>
                    <w:rPr>
                      <w:rFonts w:ascii="Times New Roman" w:hAnsi="Times New Roman" w:eastAsia="Times New Roman" w:cs="Times New Roman"/>
                      <w:spacing w:val="-1"/>
                      <w:sz w:val="18"/>
                      <w:szCs w:val="18"/>
                    </w:rPr>
                    <w:t>-</w:t>
                  </w:r>
                  <w:r>
                    <w:rPr>
                      <w:spacing w:val="-1"/>
                      <w:sz w:val="18"/>
                      <w:szCs w:val="18"/>
                    </w:rPr>
                    <w:t>重点区域城市钢铁企业要切实采取彻底关停、转型发展、就地改造、域外搬</w:t>
                  </w:r>
                  <w:r>
                    <w:rPr>
                      <w:spacing w:val="14"/>
                      <w:sz w:val="18"/>
                      <w:szCs w:val="18"/>
                    </w:rPr>
                    <w:t xml:space="preserve"> </w:t>
                  </w:r>
                  <w:r>
                    <w:rPr>
                      <w:spacing w:val="-3"/>
                      <w:sz w:val="18"/>
                      <w:szCs w:val="18"/>
                    </w:rPr>
                    <w:t>迁等方式。四川省达州钢铁集团有限责任公司处于四川省大气污染防治重点区域，</w:t>
                  </w:r>
                  <w:r>
                    <w:rPr>
                      <w:spacing w:val="15"/>
                      <w:sz w:val="18"/>
                      <w:szCs w:val="18"/>
                    </w:rPr>
                    <w:t xml:space="preserve"> </w:t>
                  </w:r>
                  <w:r>
                    <w:rPr>
                      <w:spacing w:val="-1"/>
                      <w:sz w:val="18"/>
                      <w:szCs w:val="18"/>
                    </w:rPr>
                    <w:t>属于“彻底关停、转型发展、就地改造、域</w:t>
                  </w:r>
                  <w:r>
                    <w:rPr>
                      <w:spacing w:val="-2"/>
                      <w:sz w:val="18"/>
                      <w:szCs w:val="18"/>
                    </w:rPr>
                    <w:t>外搬迁</w:t>
                  </w:r>
                  <w:r>
                    <w:rPr>
                      <w:spacing w:val="-66"/>
                      <w:sz w:val="18"/>
                      <w:szCs w:val="18"/>
                    </w:rPr>
                    <w:t xml:space="preserve"> </w:t>
                  </w:r>
                  <w:r>
                    <w:rPr>
                      <w:spacing w:val="-2"/>
                      <w:sz w:val="18"/>
                      <w:szCs w:val="18"/>
                    </w:rPr>
                    <w:t>”企业；</w:t>
                  </w:r>
                </w:p>
                <w:p w14:paraId="07ABB3B7">
                  <w:pPr>
                    <w:pStyle w:val="6"/>
                    <w:spacing w:before="22" w:line="232" w:lineRule="auto"/>
                    <w:ind w:left="51" w:firstLine="358"/>
                    <w:rPr>
                      <w:sz w:val="18"/>
                      <w:szCs w:val="18"/>
                    </w:rPr>
                  </w:pPr>
                  <w:r>
                    <w:rPr>
                      <w:rFonts w:ascii="Times New Roman" w:hAnsi="Times New Roman" w:eastAsia="Times New Roman" w:cs="Times New Roman"/>
                      <w:spacing w:val="-1"/>
                      <w:sz w:val="18"/>
                      <w:szCs w:val="18"/>
                    </w:rPr>
                    <w:t>-</w:t>
                  </w:r>
                  <w:r>
                    <w:rPr>
                      <w:spacing w:val="-1"/>
                      <w:sz w:val="18"/>
                      <w:szCs w:val="18"/>
                    </w:rPr>
                    <w:t>引导重污染产业退出或搬迁、企业分类退城入园，逐步打破近水靠城的历史</w:t>
                  </w:r>
                  <w:r>
                    <w:rPr>
                      <w:spacing w:val="1"/>
                      <w:sz w:val="18"/>
                      <w:szCs w:val="18"/>
                    </w:rPr>
                    <w:t xml:space="preserve"> </w:t>
                  </w:r>
                  <w:r>
                    <w:rPr>
                      <w:spacing w:val="-3"/>
                      <w:sz w:val="18"/>
                      <w:szCs w:val="18"/>
                    </w:rPr>
                    <w:t>工业布局。加大城市区域现有装备水平低、环保设施差的微小企业“关、停、并、</w:t>
                  </w:r>
                  <w:r>
                    <w:rPr>
                      <w:spacing w:val="13"/>
                      <w:sz w:val="18"/>
                      <w:szCs w:val="18"/>
                    </w:rPr>
                    <w:t xml:space="preserve"> </w:t>
                  </w:r>
                  <w:r>
                    <w:rPr>
                      <w:spacing w:val="-2"/>
                      <w:sz w:val="18"/>
                      <w:szCs w:val="18"/>
                    </w:rPr>
                    <w:t>转</w:t>
                  </w:r>
                  <w:r>
                    <w:rPr>
                      <w:spacing w:val="-65"/>
                      <w:sz w:val="18"/>
                      <w:szCs w:val="18"/>
                    </w:rPr>
                    <w:t xml:space="preserve"> </w:t>
                  </w:r>
                  <w:r>
                    <w:rPr>
                      <w:spacing w:val="-2"/>
                      <w:sz w:val="18"/>
                      <w:szCs w:val="18"/>
                    </w:rPr>
                    <w:t>”实施力度，清理建成区上风向重点涉气项目。</w:t>
                  </w:r>
                </w:p>
                <w:p w14:paraId="53819C83">
                  <w:pPr>
                    <w:pStyle w:val="6"/>
                    <w:spacing w:before="19" w:line="228" w:lineRule="auto"/>
                    <w:ind w:left="51" w:firstLine="358"/>
                    <w:rPr>
                      <w:sz w:val="18"/>
                      <w:szCs w:val="18"/>
                    </w:rPr>
                  </w:pPr>
                  <w:r>
                    <w:rPr>
                      <w:rFonts w:ascii="Times New Roman" w:hAnsi="Times New Roman" w:eastAsia="Times New Roman" w:cs="Times New Roman"/>
                      <w:spacing w:val="-4"/>
                      <w:sz w:val="18"/>
                      <w:szCs w:val="18"/>
                    </w:rPr>
                    <w:t>-</w:t>
                  </w:r>
                  <w:r>
                    <w:rPr>
                      <w:spacing w:val="-4"/>
                      <w:sz w:val="18"/>
                      <w:szCs w:val="18"/>
                    </w:rPr>
                    <w:t>石化、现代煤化工项目应纳入国家产业规划。</w:t>
                  </w:r>
                  <w:r>
                    <w:rPr>
                      <w:spacing w:val="-5"/>
                      <w:sz w:val="18"/>
                      <w:szCs w:val="18"/>
                    </w:rPr>
                    <w:t>新建、扩建石化、化工、焦化、</w:t>
                  </w:r>
                  <w:r>
                    <w:rPr>
                      <w:sz w:val="18"/>
                      <w:szCs w:val="18"/>
                    </w:rPr>
                    <w:t xml:space="preserve"> 有色金属冶炼、平板玻璃项目应布设在依法合规设立并经规划环评的产业园区。  </w:t>
                  </w:r>
                  <w:r>
                    <w:rPr>
                      <w:spacing w:val="-2"/>
                      <w:sz w:val="18"/>
                      <w:szCs w:val="18"/>
                    </w:rPr>
                    <w:t>其他空间布局约束要求</w:t>
                  </w:r>
                  <w:r>
                    <w:rPr>
                      <w:rFonts w:ascii="Times New Roman" w:hAnsi="Times New Roman" w:eastAsia="Times New Roman" w:cs="Times New Roman"/>
                      <w:spacing w:val="-2"/>
                      <w:sz w:val="18"/>
                      <w:szCs w:val="18"/>
                    </w:rPr>
                    <w:t>,</w:t>
                  </w:r>
                  <w:r>
                    <w:rPr>
                      <w:spacing w:val="-2"/>
                      <w:sz w:val="18"/>
                      <w:szCs w:val="18"/>
                    </w:rPr>
                    <w:t>暂无。</w:t>
                  </w:r>
                </w:p>
              </w:tc>
              <w:tc>
                <w:tcPr>
                  <w:tcW w:w="1695" w:type="dxa"/>
                  <w:vAlign w:val="top"/>
                </w:tcPr>
                <w:p w14:paraId="4CEEC8FF">
                  <w:pPr>
                    <w:pStyle w:val="6"/>
                    <w:spacing w:before="25" w:line="238" w:lineRule="auto"/>
                    <w:ind w:left="50" w:right="42" w:firstLine="14"/>
                    <w:rPr>
                      <w:sz w:val="18"/>
                      <w:szCs w:val="18"/>
                    </w:rPr>
                  </w:pPr>
                  <w:r>
                    <w:rPr>
                      <w:rFonts w:ascii="Times New Roman" w:hAnsi="Times New Roman" w:eastAsia="Times New Roman" w:cs="Times New Roman"/>
                      <w:spacing w:val="2"/>
                      <w:sz w:val="18"/>
                      <w:szCs w:val="18"/>
                    </w:rPr>
                    <w:t>1</w:t>
                  </w:r>
                  <w:r>
                    <w:rPr>
                      <w:rFonts w:ascii="Times New Roman" w:hAnsi="Times New Roman" w:eastAsia="Times New Roman" w:cs="Times New Roman"/>
                      <w:spacing w:val="-15"/>
                      <w:sz w:val="18"/>
                      <w:szCs w:val="18"/>
                    </w:rPr>
                    <w:t xml:space="preserve"> </w:t>
                  </w:r>
                  <w:r>
                    <w:rPr>
                      <w:spacing w:val="2"/>
                      <w:sz w:val="18"/>
                      <w:szCs w:val="18"/>
                    </w:rPr>
                    <w:t>、本项目为非金属</w:t>
                  </w:r>
                  <w:r>
                    <w:rPr>
                      <w:sz w:val="18"/>
                      <w:szCs w:val="18"/>
                    </w:rPr>
                    <w:t xml:space="preserve"> </w:t>
                  </w:r>
                  <w:r>
                    <w:rPr>
                      <w:spacing w:val="-3"/>
                      <w:sz w:val="18"/>
                      <w:szCs w:val="18"/>
                    </w:rPr>
                    <w:t>矿物制品制造项目，</w:t>
                  </w:r>
                  <w:r>
                    <w:rPr>
                      <w:spacing w:val="2"/>
                      <w:sz w:val="18"/>
                      <w:szCs w:val="18"/>
                    </w:rPr>
                    <w:t xml:space="preserve"> </w:t>
                  </w:r>
                  <w:r>
                    <w:rPr>
                      <w:spacing w:val="-3"/>
                      <w:sz w:val="18"/>
                      <w:szCs w:val="18"/>
                    </w:rPr>
                    <w:t>不属于化工、涉磷、</w:t>
                  </w:r>
                  <w:r>
                    <w:rPr>
                      <w:spacing w:val="2"/>
                      <w:sz w:val="18"/>
                      <w:szCs w:val="18"/>
                    </w:rPr>
                    <w:t xml:space="preserve"> </w:t>
                  </w:r>
                  <w:r>
                    <w:rPr>
                      <w:spacing w:val="-3"/>
                      <w:sz w:val="18"/>
                      <w:szCs w:val="18"/>
                    </w:rPr>
                    <w:t>造纸等项目，不属于</w:t>
                  </w:r>
                  <w:r>
                    <w:rPr>
                      <w:spacing w:val="2"/>
                      <w:sz w:val="18"/>
                      <w:szCs w:val="18"/>
                    </w:rPr>
                    <w:t xml:space="preserve"> </w:t>
                  </w:r>
                  <w:r>
                    <w:rPr>
                      <w:spacing w:val="13"/>
                      <w:sz w:val="18"/>
                      <w:szCs w:val="18"/>
                    </w:rPr>
                    <w:t>《</w:t>
                  </w:r>
                  <w:r>
                    <w:rPr>
                      <w:spacing w:val="-41"/>
                      <w:sz w:val="18"/>
                      <w:szCs w:val="18"/>
                    </w:rPr>
                    <w:t xml:space="preserve"> </w:t>
                  </w:r>
                  <w:r>
                    <w:rPr>
                      <w:spacing w:val="13"/>
                      <w:sz w:val="18"/>
                      <w:szCs w:val="18"/>
                    </w:rPr>
                    <w:t>长江经济带发展</w:t>
                  </w:r>
                  <w:r>
                    <w:rPr>
                      <w:sz w:val="18"/>
                      <w:szCs w:val="18"/>
                    </w:rPr>
                    <w:t xml:space="preserve"> </w:t>
                  </w:r>
                  <w:r>
                    <w:rPr>
                      <w:spacing w:val="19"/>
                      <w:sz w:val="18"/>
                      <w:szCs w:val="18"/>
                    </w:rPr>
                    <w:t>负面清单指南（试</w:t>
                  </w:r>
                  <w:r>
                    <w:rPr>
                      <w:spacing w:val="1"/>
                      <w:sz w:val="18"/>
                      <w:szCs w:val="18"/>
                    </w:rPr>
                    <w:t xml:space="preserve"> </w:t>
                  </w:r>
                  <w:r>
                    <w:rPr>
                      <w:spacing w:val="-7"/>
                      <w:sz w:val="18"/>
                      <w:szCs w:val="18"/>
                    </w:rPr>
                    <w:t>行）》</w:t>
                  </w:r>
                  <w:r>
                    <w:rPr>
                      <w:spacing w:val="-54"/>
                      <w:sz w:val="18"/>
                      <w:szCs w:val="18"/>
                    </w:rPr>
                    <w:t xml:space="preserve"> </w:t>
                  </w:r>
                  <w:r>
                    <w:rPr>
                      <w:spacing w:val="-7"/>
                      <w:sz w:val="18"/>
                      <w:szCs w:val="18"/>
                    </w:rPr>
                    <w:t>禁止准入类事</w:t>
                  </w:r>
                  <w:r>
                    <w:rPr>
                      <w:sz w:val="18"/>
                      <w:szCs w:val="18"/>
                    </w:rPr>
                    <w:t xml:space="preserve"> </w:t>
                  </w:r>
                  <w:r>
                    <w:rPr>
                      <w:spacing w:val="-3"/>
                      <w:sz w:val="18"/>
                      <w:szCs w:val="18"/>
                    </w:rPr>
                    <w:t>项。项目符合东岳新</w:t>
                  </w:r>
                  <w:r>
                    <w:rPr>
                      <w:spacing w:val="2"/>
                      <w:sz w:val="18"/>
                      <w:szCs w:val="18"/>
                    </w:rPr>
                    <w:t xml:space="preserve"> </w:t>
                  </w:r>
                  <w:r>
                    <w:rPr>
                      <w:spacing w:val="8"/>
                      <w:sz w:val="18"/>
                      <w:szCs w:val="18"/>
                    </w:rPr>
                    <w:t>型工业集</w:t>
                  </w:r>
                  <w:r>
                    <w:rPr>
                      <w:spacing w:val="-47"/>
                      <w:sz w:val="18"/>
                      <w:szCs w:val="18"/>
                    </w:rPr>
                    <w:t xml:space="preserve"> </w:t>
                  </w:r>
                  <w:r>
                    <w:rPr>
                      <w:spacing w:val="8"/>
                      <w:sz w:val="18"/>
                      <w:szCs w:val="18"/>
                    </w:rPr>
                    <w:t>聚区</w:t>
                  </w:r>
                  <w:r>
                    <w:rPr>
                      <w:spacing w:val="-44"/>
                      <w:sz w:val="18"/>
                      <w:szCs w:val="18"/>
                    </w:rPr>
                    <w:t xml:space="preserve"> </w:t>
                  </w:r>
                  <w:r>
                    <w:rPr>
                      <w:spacing w:val="8"/>
                      <w:sz w:val="18"/>
                      <w:szCs w:val="18"/>
                    </w:rPr>
                    <w:t>的准</w:t>
                  </w:r>
                  <w:r>
                    <w:rPr>
                      <w:sz w:val="18"/>
                      <w:szCs w:val="18"/>
                    </w:rPr>
                    <w:t xml:space="preserve"> </w:t>
                  </w:r>
                  <w:r>
                    <w:rPr>
                      <w:spacing w:val="-3"/>
                      <w:sz w:val="18"/>
                      <w:szCs w:val="18"/>
                    </w:rPr>
                    <w:t>入要求，不属于高污</w:t>
                  </w:r>
                  <w:r>
                    <w:rPr>
                      <w:spacing w:val="2"/>
                      <w:sz w:val="18"/>
                      <w:szCs w:val="18"/>
                    </w:rPr>
                    <w:t xml:space="preserve"> </w:t>
                  </w:r>
                  <w:r>
                    <w:rPr>
                      <w:spacing w:val="-3"/>
                      <w:sz w:val="18"/>
                      <w:szCs w:val="18"/>
                    </w:rPr>
                    <w:t>染项目，也不使用高</w:t>
                  </w:r>
                  <w:r>
                    <w:rPr>
                      <w:spacing w:val="2"/>
                      <w:sz w:val="18"/>
                      <w:szCs w:val="18"/>
                    </w:rPr>
                    <w:t xml:space="preserve"> </w:t>
                  </w:r>
                  <w:r>
                    <w:rPr>
                      <w:spacing w:val="-1"/>
                      <w:sz w:val="18"/>
                      <w:szCs w:val="18"/>
                    </w:rPr>
                    <w:t>污染燃料锅炉。</w:t>
                  </w:r>
                </w:p>
                <w:p w14:paraId="675659ED">
                  <w:pPr>
                    <w:pStyle w:val="6"/>
                    <w:spacing w:before="14" w:line="238" w:lineRule="auto"/>
                    <w:ind w:left="46" w:right="42" w:firstLine="2"/>
                    <w:rPr>
                      <w:sz w:val="18"/>
                      <w:szCs w:val="18"/>
                    </w:rPr>
                  </w:pPr>
                  <w:r>
                    <w:rPr>
                      <w:rFonts w:ascii="Times New Roman" w:hAnsi="Times New Roman" w:eastAsia="Times New Roman" w:cs="Times New Roman"/>
                      <w:spacing w:val="4"/>
                      <w:sz w:val="18"/>
                      <w:szCs w:val="18"/>
                    </w:rPr>
                    <w:t>2</w:t>
                  </w:r>
                  <w:r>
                    <w:rPr>
                      <w:rFonts w:ascii="Times New Roman" w:hAnsi="Times New Roman" w:eastAsia="Times New Roman" w:cs="Times New Roman"/>
                      <w:spacing w:val="-13"/>
                      <w:sz w:val="18"/>
                      <w:szCs w:val="18"/>
                    </w:rPr>
                    <w:t xml:space="preserve"> </w:t>
                  </w:r>
                  <w:r>
                    <w:rPr>
                      <w:spacing w:val="4"/>
                      <w:sz w:val="18"/>
                      <w:szCs w:val="18"/>
                    </w:rPr>
                    <w:t>、项目涉及排放二</w:t>
                  </w:r>
                  <w:r>
                    <w:rPr>
                      <w:sz w:val="18"/>
                      <w:szCs w:val="18"/>
                    </w:rPr>
                    <w:t xml:space="preserve"> </w:t>
                  </w:r>
                  <w:r>
                    <w:rPr>
                      <w:spacing w:val="-3"/>
                      <w:sz w:val="18"/>
                      <w:szCs w:val="18"/>
                    </w:rPr>
                    <w:t>氧化硫、氮氧化物、</w:t>
                  </w:r>
                  <w:r>
                    <w:rPr>
                      <w:spacing w:val="7"/>
                      <w:sz w:val="18"/>
                      <w:szCs w:val="18"/>
                    </w:rPr>
                    <w:t xml:space="preserve"> </w:t>
                  </w:r>
                  <w:r>
                    <w:rPr>
                      <w:spacing w:val="-7"/>
                      <w:sz w:val="18"/>
                      <w:szCs w:val="18"/>
                    </w:rPr>
                    <w:t>工</w:t>
                  </w:r>
                  <w:r>
                    <w:rPr>
                      <w:spacing w:val="22"/>
                      <w:sz w:val="18"/>
                      <w:szCs w:val="18"/>
                    </w:rPr>
                    <w:t xml:space="preserve"> </w:t>
                  </w:r>
                  <w:r>
                    <w:rPr>
                      <w:spacing w:val="-7"/>
                      <w:sz w:val="18"/>
                      <w:szCs w:val="18"/>
                    </w:rPr>
                    <w:t>业</w:t>
                  </w:r>
                  <w:r>
                    <w:rPr>
                      <w:spacing w:val="23"/>
                      <w:sz w:val="18"/>
                      <w:szCs w:val="18"/>
                    </w:rPr>
                    <w:t xml:space="preserve"> </w:t>
                  </w:r>
                  <w:r>
                    <w:rPr>
                      <w:spacing w:val="-7"/>
                      <w:sz w:val="18"/>
                      <w:szCs w:val="18"/>
                    </w:rPr>
                    <w:t>烟</w:t>
                  </w:r>
                  <w:r>
                    <w:rPr>
                      <w:spacing w:val="20"/>
                      <w:sz w:val="18"/>
                      <w:szCs w:val="18"/>
                    </w:rPr>
                    <w:t xml:space="preserve"> </w:t>
                  </w:r>
                  <w:r>
                    <w:rPr>
                      <w:spacing w:val="-7"/>
                      <w:sz w:val="18"/>
                      <w:szCs w:val="18"/>
                    </w:rPr>
                    <w:t>粉</w:t>
                  </w:r>
                  <w:r>
                    <w:rPr>
                      <w:spacing w:val="24"/>
                      <w:sz w:val="18"/>
                      <w:szCs w:val="18"/>
                    </w:rPr>
                    <w:t xml:space="preserve"> </w:t>
                  </w:r>
                  <w:r>
                    <w:rPr>
                      <w:spacing w:val="-7"/>
                      <w:sz w:val="18"/>
                      <w:szCs w:val="18"/>
                    </w:rPr>
                    <w:t>尘</w:t>
                  </w:r>
                  <w:r>
                    <w:rPr>
                      <w:spacing w:val="23"/>
                      <w:sz w:val="18"/>
                      <w:szCs w:val="18"/>
                    </w:rPr>
                    <w:t xml:space="preserve"> </w:t>
                  </w:r>
                  <w:r>
                    <w:rPr>
                      <w:spacing w:val="-7"/>
                      <w:sz w:val="18"/>
                      <w:szCs w:val="18"/>
                    </w:rPr>
                    <w:t>和</w:t>
                  </w:r>
                  <w:r>
                    <w:rPr>
                      <w:sz w:val="18"/>
                      <w:szCs w:val="18"/>
                    </w:rPr>
                    <w:t xml:space="preserve"> </w:t>
                  </w:r>
                  <w:r>
                    <w:rPr>
                      <w:rFonts w:ascii="Times New Roman" w:hAnsi="Times New Roman" w:eastAsia="Times New Roman" w:cs="Times New Roman"/>
                      <w:sz w:val="18"/>
                      <w:szCs w:val="18"/>
                    </w:rPr>
                    <w:t>VOC</w:t>
                  </w:r>
                  <w:r>
                    <w:rPr>
                      <w:rFonts w:ascii="Times New Roman" w:hAnsi="Times New Roman" w:eastAsia="Times New Roman" w:cs="Times New Roman"/>
                      <w:position w:val="-1"/>
                      <w:sz w:val="11"/>
                      <w:szCs w:val="11"/>
                    </w:rPr>
                    <w:t>S</w:t>
                  </w:r>
                  <w:r>
                    <w:rPr>
                      <w:rFonts w:ascii="Times New Roman" w:hAnsi="Times New Roman" w:eastAsia="Times New Roman" w:cs="Times New Roman"/>
                      <w:spacing w:val="1"/>
                      <w:position w:val="-1"/>
                      <w:sz w:val="11"/>
                      <w:szCs w:val="11"/>
                    </w:rPr>
                    <w:t xml:space="preserve"> </w:t>
                  </w:r>
                  <w:r>
                    <w:rPr>
                      <w:spacing w:val="1"/>
                      <w:sz w:val="18"/>
                      <w:szCs w:val="18"/>
                    </w:rPr>
                    <w:t>，</w:t>
                  </w:r>
                  <w:r>
                    <w:rPr>
                      <w:spacing w:val="-46"/>
                      <w:sz w:val="18"/>
                      <w:szCs w:val="18"/>
                    </w:rPr>
                    <w:t xml:space="preserve"> </w:t>
                  </w:r>
                  <w:r>
                    <w:rPr>
                      <w:spacing w:val="1"/>
                      <w:sz w:val="18"/>
                      <w:szCs w:val="18"/>
                    </w:rPr>
                    <w:t>由当地生态</w:t>
                  </w:r>
                  <w:r>
                    <w:rPr>
                      <w:sz w:val="18"/>
                      <w:szCs w:val="18"/>
                    </w:rPr>
                    <w:t xml:space="preserve"> </w:t>
                  </w:r>
                  <w:r>
                    <w:rPr>
                      <w:spacing w:val="19"/>
                      <w:sz w:val="18"/>
                      <w:szCs w:val="18"/>
                    </w:rPr>
                    <w:t>环境主管部门落实</w:t>
                  </w:r>
                  <w:r>
                    <w:rPr>
                      <w:spacing w:val="6"/>
                      <w:sz w:val="18"/>
                      <w:szCs w:val="18"/>
                    </w:rPr>
                    <w:t xml:space="preserve"> </w:t>
                  </w:r>
                  <w:r>
                    <w:rPr>
                      <w:spacing w:val="-2"/>
                      <w:sz w:val="18"/>
                      <w:szCs w:val="18"/>
                    </w:rPr>
                    <w:t>现役源</w:t>
                  </w:r>
                  <w:r>
                    <w:rPr>
                      <w:spacing w:val="-45"/>
                      <w:sz w:val="18"/>
                      <w:szCs w:val="18"/>
                    </w:rPr>
                    <w:t xml:space="preserve"> </w:t>
                  </w:r>
                  <w:r>
                    <w:rPr>
                      <w:rFonts w:ascii="Times New Roman" w:hAnsi="Times New Roman" w:eastAsia="Times New Roman" w:cs="Times New Roman"/>
                      <w:spacing w:val="-2"/>
                      <w:sz w:val="18"/>
                      <w:szCs w:val="18"/>
                    </w:rPr>
                    <w:t xml:space="preserve">2 </w:t>
                  </w:r>
                  <w:r>
                    <w:rPr>
                      <w:spacing w:val="-2"/>
                      <w:sz w:val="18"/>
                      <w:szCs w:val="18"/>
                    </w:rPr>
                    <w:t>倍削减量替</w:t>
                  </w:r>
                  <w:r>
                    <w:rPr>
                      <w:sz w:val="18"/>
                      <w:szCs w:val="18"/>
                    </w:rPr>
                    <w:t xml:space="preserve"> </w:t>
                  </w:r>
                  <w:r>
                    <w:rPr>
                      <w:spacing w:val="-3"/>
                      <w:sz w:val="18"/>
                      <w:szCs w:val="18"/>
                    </w:rPr>
                    <w:t>代。项目不属于燃煤</w:t>
                  </w:r>
                  <w:r>
                    <w:rPr>
                      <w:spacing w:val="7"/>
                      <w:sz w:val="18"/>
                      <w:szCs w:val="18"/>
                    </w:rPr>
                    <w:t xml:space="preserve"> </w:t>
                  </w:r>
                  <w:r>
                    <w:rPr>
                      <w:spacing w:val="-3"/>
                      <w:sz w:val="18"/>
                      <w:szCs w:val="18"/>
                    </w:rPr>
                    <w:t>发电项目，也不属于</w:t>
                  </w:r>
                  <w:r>
                    <w:rPr>
                      <w:spacing w:val="7"/>
                      <w:sz w:val="18"/>
                      <w:szCs w:val="18"/>
                    </w:rPr>
                    <w:t xml:space="preserve"> </w:t>
                  </w:r>
                  <w:r>
                    <w:rPr>
                      <w:spacing w:val="-3"/>
                      <w:sz w:val="18"/>
                      <w:szCs w:val="18"/>
                    </w:rPr>
                    <w:t>新建石油化工、煤化</w:t>
                  </w:r>
                  <w:r>
                    <w:rPr>
                      <w:spacing w:val="7"/>
                      <w:sz w:val="18"/>
                      <w:szCs w:val="18"/>
                    </w:rPr>
                    <w:t xml:space="preserve"> </w:t>
                  </w:r>
                  <w:r>
                    <w:rPr>
                      <w:spacing w:val="-3"/>
                      <w:sz w:val="18"/>
                      <w:szCs w:val="18"/>
                    </w:rPr>
                    <w:t>工、涉磷、造纸、印</w:t>
                  </w:r>
                  <w:r>
                    <w:rPr>
                      <w:spacing w:val="7"/>
                      <w:sz w:val="18"/>
                      <w:szCs w:val="18"/>
                    </w:rPr>
                    <w:t xml:space="preserve"> </w:t>
                  </w:r>
                  <w:r>
                    <w:rPr>
                      <w:spacing w:val="-1"/>
                      <w:sz w:val="18"/>
                      <w:szCs w:val="18"/>
                    </w:rPr>
                    <w:t>染、制革等项目。</w:t>
                  </w:r>
                </w:p>
                <w:p w14:paraId="12837562">
                  <w:pPr>
                    <w:pStyle w:val="6"/>
                    <w:spacing w:before="17" w:line="231" w:lineRule="auto"/>
                    <w:ind w:left="51" w:right="42"/>
                    <w:rPr>
                      <w:sz w:val="18"/>
                      <w:szCs w:val="18"/>
                    </w:rPr>
                  </w:pPr>
                  <w:r>
                    <w:rPr>
                      <w:rFonts w:ascii="Times New Roman" w:hAnsi="Times New Roman" w:eastAsia="Times New Roman" w:cs="Times New Roman"/>
                      <w:spacing w:val="3"/>
                      <w:sz w:val="18"/>
                      <w:szCs w:val="18"/>
                    </w:rPr>
                    <w:t>3</w:t>
                  </w:r>
                  <w:r>
                    <w:rPr>
                      <w:rFonts w:ascii="Times New Roman" w:hAnsi="Times New Roman" w:eastAsia="Times New Roman" w:cs="Times New Roman"/>
                      <w:spacing w:val="-8"/>
                      <w:sz w:val="18"/>
                      <w:szCs w:val="18"/>
                    </w:rPr>
                    <w:t xml:space="preserve"> </w:t>
                  </w:r>
                  <w:r>
                    <w:rPr>
                      <w:spacing w:val="3"/>
                      <w:sz w:val="18"/>
                      <w:szCs w:val="18"/>
                    </w:rPr>
                    <w:t>、本项目不属于禁</w:t>
                  </w:r>
                  <w:r>
                    <w:rPr>
                      <w:sz w:val="18"/>
                      <w:szCs w:val="18"/>
                    </w:rPr>
                    <w:t xml:space="preserve"> </w:t>
                  </w:r>
                  <w:r>
                    <w:rPr>
                      <w:spacing w:val="13"/>
                      <w:sz w:val="18"/>
                      <w:szCs w:val="18"/>
                    </w:rPr>
                    <w:t>止</w:t>
                  </w:r>
                  <w:r>
                    <w:rPr>
                      <w:spacing w:val="-42"/>
                      <w:sz w:val="18"/>
                      <w:szCs w:val="18"/>
                    </w:rPr>
                    <w:t xml:space="preserve"> </w:t>
                  </w:r>
                  <w:r>
                    <w:rPr>
                      <w:spacing w:val="13"/>
                      <w:sz w:val="18"/>
                      <w:szCs w:val="18"/>
                    </w:rPr>
                    <w:t>引入产业门类的</w:t>
                  </w:r>
                  <w:r>
                    <w:rPr>
                      <w:sz w:val="18"/>
                      <w:szCs w:val="18"/>
                    </w:rPr>
                    <w:t xml:space="preserve"> </w:t>
                  </w:r>
                  <w:r>
                    <w:rPr>
                      <w:spacing w:val="-3"/>
                      <w:sz w:val="18"/>
                      <w:szCs w:val="18"/>
                    </w:rPr>
                    <w:t>企业。本项目不属于</w:t>
                  </w:r>
                  <w:r>
                    <w:rPr>
                      <w:spacing w:val="1"/>
                      <w:sz w:val="18"/>
                      <w:szCs w:val="18"/>
                    </w:rPr>
                    <w:t xml:space="preserve"> </w:t>
                  </w:r>
                  <w:r>
                    <w:rPr>
                      <w:spacing w:val="-2"/>
                      <w:sz w:val="18"/>
                      <w:szCs w:val="18"/>
                    </w:rPr>
                    <w:t>重污染产业。</w:t>
                  </w:r>
                </w:p>
              </w:tc>
              <w:tc>
                <w:tcPr>
                  <w:tcW w:w="565" w:type="dxa"/>
                  <w:vAlign w:val="top"/>
                </w:tcPr>
                <w:p w14:paraId="5E0D5BE2">
                  <w:pPr>
                    <w:spacing w:line="248" w:lineRule="auto"/>
                    <w:rPr>
                      <w:rFonts w:ascii="Arial"/>
                      <w:sz w:val="21"/>
                    </w:rPr>
                  </w:pPr>
                </w:p>
                <w:p w14:paraId="5FD74467">
                  <w:pPr>
                    <w:spacing w:line="248" w:lineRule="auto"/>
                    <w:rPr>
                      <w:rFonts w:ascii="Arial"/>
                      <w:sz w:val="21"/>
                    </w:rPr>
                  </w:pPr>
                </w:p>
                <w:p w14:paraId="33537639">
                  <w:pPr>
                    <w:spacing w:line="248" w:lineRule="auto"/>
                    <w:rPr>
                      <w:rFonts w:ascii="Arial"/>
                      <w:sz w:val="21"/>
                    </w:rPr>
                  </w:pPr>
                </w:p>
                <w:p w14:paraId="69843EB6">
                  <w:pPr>
                    <w:spacing w:line="248" w:lineRule="auto"/>
                    <w:rPr>
                      <w:rFonts w:ascii="Arial"/>
                      <w:sz w:val="21"/>
                    </w:rPr>
                  </w:pPr>
                </w:p>
                <w:p w14:paraId="543AA34F">
                  <w:pPr>
                    <w:spacing w:line="249" w:lineRule="auto"/>
                    <w:rPr>
                      <w:rFonts w:ascii="Arial"/>
                      <w:sz w:val="21"/>
                    </w:rPr>
                  </w:pPr>
                </w:p>
                <w:p w14:paraId="179A7755">
                  <w:pPr>
                    <w:spacing w:line="249" w:lineRule="auto"/>
                    <w:rPr>
                      <w:rFonts w:ascii="Arial"/>
                      <w:sz w:val="21"/>
                    </w:rPr>
                  </w:pPr>
                </w:p>
                <w:p w14:paraId="3FD9B16D">
                  <w:pPr>
                    <w:spacing w:line="249" w:lineRule="auto"/>
                    <w:rPr>
                      <w:rFonts w:ascii="Arial"/>
                      <w:sz w:val="21"/>
                    </w:rPr>
                  </w:pPr>
                </w:p>
                <w:p w14:paraId="3216C351">
                  <w:pPr>
                    <w:spacing w:line="249" w:lineRule="auto"/>
                    <w:rPr>
                      <w:rFonts w:ascii="Arial"/>
                      <w:sz w:val="21"/>
                    </w:rPr>
                  </w:pPr>
                </w:p>
                <w:p w14:paraId="370C5CC4">
                  <w:pPr>
                    <w:spacing w:line="249" w:lineRule="auto"/>
                    <w:rPr>
                      <w:rFonts w:ascii="Arial"/>
                      <w:sz w:val="21"/>
                    </w:rPr>
                  </w:pPr>
                </w:p>
                <w:p w14:paraId="4B3E4157">
                  <w:pPr>
                    <w:spacing w:line="249" w:lineRule="auto"/>
                    <w:rPr>
                      <w:rFonts w:ascii="Arial"/>
                      <w:sz w:val="21"/>
                    </w:rPr>
                  </w:pPr>
                </w:p>
                <w:p w14:paraId="2F9CD0EF">
                  <w:pPr>
                    <w:spacing w:line="249" w:lineRule="auto"/>
                    <w:rPr>
                      <w:rFonts w:ascii="Arial"/>
                      <w:sz w:val="21"/>
                    </w:rPr>
                  </w:pPr>
                </w:p>
                <w:p w14:paraId="5F45D7AE">
                  <w:pPr>
                    <w:spacing w:line="249" w:lineRule="auto"/>
                    <w:rPr>
                      <w:rFonts w:ascii="Arial"/>
                      <w:sz w:val="21"/>
                    </w:rPr>
                  </w:pPr>
                </w:p>
                <w:p w14:paraId="23F66D6B">
                  <w:pPr>
                    <w:pStyle w:val="6"/>
                    <w:spacing w:before="59" w:line="219" w:lineRule="auto"/>
                    <w:ind w:left="107"/>
                    <w:rPr>
                      <w:sz w:val="18"/>
                      <w:szCs w:val="18"/>
                    </w:rPr>
                  </w:pPr>
                  <w:r>
                    <w:rPr>
                      <w:spacing w:val="-5"/>
                      <w:sz w:val="18"/>
                      <w:szCs w:val="18"/>
                    </w:rPr>
                    <w:t>符合</w:t>
                  </w:r>
                </w:p>
              </w:tc>
            </w:tr>
          </w:tbl>
          <w:p w14:paraId="4542D7DD">
            <w:pPr>
              <w:rPr>
                <w:rFonts w:ascii="Arial"/>
                <w:sz w:val="21"/>
              </w:rPr>
            </w:pPr>
          </w:p>
        </w:tc>
      </w:tr>
    </w:tbl>
    <w:p w14:paraId="47CC5C03">
      <w:pPr>
        <w:pStyle w:val="2"/>
      </w:pPr>
    </w:p>
    <w:p w14:paraId="03E7E917">
      <w:pPr>
        <w:sectPr>
          <w:footerReference r:id="rId12" w:type="default"/>
          <w:pgSz w:w="16839" w:h="11906"/>
          <w:pgMar w:top="1012" w:right="1681" w:bottom="1260" w:left="1680" w:header="0" w:footer="1080" w:gutter="0"/>
          <w:cols w:space="720" w:num="1"/>
        </w:sectPr>
      </w:pPr>
    </w:p>
    <w:p w14:paraId="202D5DB6">
      <w:pPr>
        <w:spacing w:before="18"/>
      </w:pPr>
    </w:p>
    <w:p w14:paraId="2D6E912B">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0"/>
        <w:gridCol w:w="886"/>
        <w:gridCol w:w="879"/>
        <w:gridCol w:w="6443"/>
        <w:gridCol w:w="1695"/>
        <w:gridCol w:w="561"/>
        <w:gridCol w:w="149"/>
      </w:tblGrid>
      <w:tr w14:paraId="0700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7" w:hRule="atLeast"/>
        </w:trPr>
        <w:tc>
          <w:tcPr>
            <w:tcW w:w="1705" w:type="dxa"/>
            <w:vMerge w:val="restart"/>
            <w:tcBorders>
              <w:bottom w:val="nil"/>
            </w:tcBorders>
            <w:vAlign w:val="top"/>
          </w:tcPr>
          <w:p w14:paraId="52293126">
            <w:pPr>
              <w:spacing w:line="247" w:lineRule="auto"/>
              <w:rPr>
                <w:rFonts w:ascii="Arial"/>
                <w:sz w:val="21"/>
              </w:rPr>
            </w:pPr>
          </w:p>
          <w:p w14:paraId="26662111">
            <w:pPr>
              <w:spacing w:line="247" w:lineRule="auto"/>
              <w:rPr>
                <w:rFonts w:ascii="Arial"/>
                <w:sz w:val="21"/>
              </w:rPr>
            </w:pPr>
          </w:p>
          <w:p w14:paraId="4601FAFE">
            <w:pPr>
              <w:spacing w:line="247" w:lineRule="auto"/>
              <w:rPr>
                <w:rFonts w:ascii="Arial"/>
                <w:sz w:val="21"/>
              </w:rPr>
            </w:pPr>
          </w:p>
          <w:p w14:paraId="65CCCAD0">
            <w:pPr>
              <w:spacing w:line="247" w:lineRule="auto"/>
              <w:rPr>
                <w:rFonts w:ascii="Arial"/>
                <w:sz w:val="21"/>
              </w:rPr>
            </w:pPr>
          </w:p>
          <w:p w14:paraId="46BE9C36">
            <w:pPr>
              <w:spacing w:line="247" w:lineRule="auto"/>
              <w:rPr>
                <w:rFonts w:ascii="Arial"/>
                <w:sz w:val="21"/>
              </w:rPr>
            </w:pPr>
          </w:p>
          <w:p w14:paraId="759AA714">
            <w:pPr>
              <w:spacing w:line="247" w:lineRule="auto"/>
              <w:rPr>
                <w:rFonts w:ascii="Arial"/>
                <w:sz w:val="21"/>
              </w:rPr>
            </w:pPr>
          </w:p>
          <w:p w14:paraId="238BDCDF">
            <w:pPr>
              <w:spacing w:line="247" w:lineRule="auto"/>
              <w:rPr>
                <w:rFonts w:ascii="Arial"/>
                <w:sz w:val="21"/>
              </w:rPr>
            </w:pPr>
          </w:p>
          <w:p w14:paraId="70F463D5">
            <w:pPr>
              <w:spacing w:line="247" w:lineRule="auto"/>
              <w:rPr>
                <w:rFonts w:ascii="Arial"/>
                <w:sz w:val="21"/>
              </w:rPr>
            </w:pPr>
          </w:p>
          <w:p w14:paraId="49C1BE21">
            <w:pPr>
              <w:spacing w:line="247" w:lineRule="auto"/>
              <w:rPr>
                <w:rFonts w:ascii="Arial"/>
                <w:sz w:val="21"/>
              </w:rPr>
            </w:pPr>
          </w:p>
          <w:p w14:paraId="7AD4AB5A">
            <w:pPr>
              <w:spacing w:line="247" w:lineRule="auto"/>
              <w:rPr>
                <w:rFonts w:ascii="Arial"/>
                <w:sz w:val="21"/>
              </w:rPr>
            </w:pPr>
          </w:p>
          <w:p w14:paraId="5CC647C2">
            <w:pPr>
              <w:spacing w:line="247" w:lineRule="auto"/>
              <w:rPr>
                <w:rFonts w:ascii="Arial"/>
                <w:sz w:val="21"/>
              </w:rPr>
            </w:pPr>
          </w:p>
          <w:p w14:paraId="6E91B949">
            <w:pPr>
              <w:spacing w:line="247" w:lineRule="auto"/>
              <w:rPr>
                <w:rFonts w:ascii="Arial"/>
                <w:sz w:val="21"/>
              </w:rPr>
            </w:pPr>
          </w:p>
          <w:p w14:paraId="410ED90D">
            <w:pPr>
              <w:spacing w:line="247" w:lineRule="auto"/>
              <w:rPr>
                <w:rFonts w:ascii="Arial"/>
                <w:sz w:val="21"/>
              </w:rPr>
            </w:pPr>
          </w:p>
          <w:p w14:paraId="294E7240">
            <w:pPr>
              <w:spacing w:line="247" w:lineRule="auto"/>
              <w:rPr>
                <w:rFonts w:ascii="Arial"/>
                <w:sz w:val="21"/>
              </w:rPr>
            </w:pPr>
          </w:p>
          <w:p w14:paraId="52AF817C">
            <w:pPr>
              <w:spacing w:line="247" w:lineRule="auto"/>
              <w:rPr>
                <w:rFonts w:ascii="Arial"/>
                <w:sz w:val="21"/>
              </w:rPr>
            </w:pPr>
          </w:p>
          <w:p w14:paraId="6D942438">
            <w:pPr>
              <w:spacing w:line="248" w:lineRule="auto"/>
              <w:rPr>
                <w:rFonts w:ascii="Arial"/>
                <w:sz w:val="21"/>
              </w:rPr>
            </w:pPr>
          </w:p>
          <w:p w14:paraId="6C5E108F">
            <w:pPr>
              <w:pStyle w:val="6"/>
              <w:spacing w:before="65" w:line="228" w:lineRule="auto"/>
              <w:ind w:left="116"/>
              <w:rPr>
                <w:sz w:val="20"/>
                <w:szCs w:val="20"/>
              </w:rPr>
            </w:pPr>
            <w:r>
              <w:rPr>
                <w:spacing w:val="8"/>
                <w:sz w:val="20"/>
                <w:szCs w:val="20"/>
              </w:rPr>
              <w:t>其他符合性分析</w:t>
            </w:r>
          </w:p>
        </w:tc>
        <w:tc>
          <w:tcPr>
            <w:tcW w:w="143" w:type="dxa"/>
            <w:tcBorders>
              <w:bottom w:val="nil"/>
            </w:tcBorders>
            <w:vAlign w:val="top"/>
          </w:tcPr>
          <w:p w14:paraId="505BDF3F">
            <w:pPr>
              <w:rPr>
                <w:rFonts w:ascii="Arial"/>
                <w:sz w:val="21"/>
              </w:rPr>
            </w:pPr>
          </w:p>
        </w:tc>
        <w:tc>
          <w:tcPr>
            <w:tcW w:w="1010" w:type="dxa"/>
            <w:vAlign w:val="top"/>
          </w:tcPr>
          <w:p w14:paraId="04481011">
            <w:pPr>
              <w:rPr>
                <w:rFonts w:ascii="Arial"/>
                <w:sz w:val="21"/>
              </w:rPr>
            </w:pPr>
          </w:p>
        </w:tc>
        <w:tc>
          <w:tcPr>
            <w:tcW w:w="886" w:type="dxa"/>
            <w:vAlign w:val="top"/>
          </w:tcPr>
          <w:p w14:paraId="6E99CE55">
            <w:pPr>
              <w:rPr>
                <w:rFonts w:ascii="Arial"/>
                <w:sz w:val="21"/>
              </w:rPr>
            </w:pPr>
          </w:p>
        </w:tc>
        <w:tc>
          <w:tcPr>
            <w:tcW w:w="879" w:type="dxa"/>
            <w:vAlign w:val="top"/>
          </w:tcPr>
          <w:p w14:paraId="63A983BF">
            <w:pPr>
              <w:spacing w:line="245" w:lineRule="auto"/>
              <w:rPr>
                <w:rFonts w:ascii="Arial"/>
                <w:sz w:val="21"/>
              </w:rPr>
            </w:pPr>
          </w:p>
          <w:p w14:paraId="653CC8A7">
            <w:pPr>
              <w:spacing w:line="245" w:lineRule="auto"/>
              <w:rPr>
                <w:rFonts w:ascii="Arial"/>
                <w:sz w:val="21"/>
              </w:rPr>
            </w:pPr>
          </w:p>
          <w:p w14:paraId="6038697B">
            <w:pPr>
              <w:spacing w:line="245" w:lineRule="auto"/>
              <w:rPr>
                <w:rFonts w:ascii="Arial"/>
                <w:sz w:val="21"/>
              </w:rPr>
            </w:pPr>
          </w:p>
          <w:p w14:paraId="7E75CA80">
            <w:pPr>
              <w:spacing w:line="245" w:lineRule="auto"/>
              <w:rPr>
                <w:rFonts w:ascii="Arial"/>
                <w:sz w:val="21"/>
              </w:rPr>
            </w:pPr>
          </w:p>
          <w:p w14:paraId="5D4ED212">
            <w:pPr>
              <w:spacing w:line="245" w:lineRule="auto"/>
              <w:rPr>
                <w:rFonts w:ascii="Arial"/>
                <w:sz w:val="21"/>
              </w:rPr>
            </w:pPr>
          </w:p>
          <w:p w14:paraId="3123F4A0">
            <w:pPr>
              <w:spacing w:line="245" w:lineRule="auto"/>
              <w:rPr>
                <w:rFonts w:ascii="Arial"/>
                <w:sz w:val="21"/>
              </w:rPr>
            </w:pPr>
          </w:p>
          <w:p w14:paraId="761308CD">
            <w:pPr>
              <w:spacing w:line="245" w:lineRule="auto"/>
              <w:rPr>
                <w:rFonts w:ascii="Arial"/>
                <w:sz w:val="21"/>
              </w:rPr>
            </w:pPr>
          </w:p>
          <w:p w14:paraId="00EAC41F">
            <w:pPr>
              <w:spacing w:line="245" w:lineRule="auto"/>
              <w:rPr>
                <w:rFonts w:ascii="Arial"/>
                <w:sz w:val="21"/>
              </w:rPr>
            </w:pPr>
          </w:p>
          <w:p w14:paraId="409579EC">
            <w:pPr>
              <w:spacing w:line="245" w:lineRule="auto"/>
              <w:rPr>
                <w:rFonts w:ascii="Arial"/>
                <w:sz w:val="21"/>
              </w:rPr>
            </w:pPr>
          </w:p>
          <w:p w14:paraId="1DA330C8">
            <w:pPr>
              <w:spacing w:line="246" w:lineRule="auto"/>
              <w:rPr>
                <w:rFonts w:ascii="Arial"/>
                <w:sz w:val="21"/>
              </w:rPr>
            </w:pPr>
          </w:p>
          <w:p w14:paraId="7DE2EFDC">
            <w:pPr>
              <w:spacing w:line="246" w:lineRule="auto"/>
              <w:rPr>
                <w:rFonts w:ascii="Arial"/>
                <w:sz w:val="21"/>
              </w:rPr>
            </w:pPr>
          </w:p>
          <w:p w14:paraId="7061782F">
            <w:pPr>
              <w:spacing w:line="246" w:lineRule="auto"/>
              <w:rPr>
                <w:rFonts w:ascii="Arial"/>
                <w:sz w:val="21"/>
              </w:rPr>
            </w:pPr>
          </w:p>
          <w:p w14:paraId="238142AA">
            <w:pPr>
              <w:spacing w:line="246" w:lineRule="auto"/>
              <w:rPr>
                <w:rFonts w:ascii="Arial"/>
                <w:sz w:val="21"/>
              </w:rPr>
            </w:pPr>
          </w:p>
          <w:p w14:paraId="227CDD64">
            <w:pPr>
              <w:spacing w:line="246" w:lineRule="auto"/>
              <w:rPr>
                <w:rFonts w:ascii="Arial"/>
                <w:sz w:val="21"/>
              </w:rPr>
            </w:pPr>
          </w:p>
          <w:p w14:paraId="0EF9A659">
            <w:pPr>
              <w:spacing w:line="246" w:lineRule="auto"/>
              <w:rPr>
                <w:rFonts w:ascii="Arial"/>
                <w:sz w:val="21"/>
              </w:rPr>
            </w:pPr>
          </w:p>
          <w:p w14:paraId="0BFFCE82">
            <w:pPr>
              <w:spacing w:line="246" w:lineRule="auto"/>
              <w:rPr>
                <w:rFonts w:ascii="Arial"/>
                <w:sz w:val="21"/>
              </w:rPr>
            </w:pPr>
          </w:p>
          <w:p w14:paraId="1BBF55AF">
            <w:pPr>
              <w:pStyle w:val="6"/>
              <w:spacing w:before="59" w:line="229" w:lineRule="auto"/>
              <w:ind w:left="171" w:right="77"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0C83763A">
            <w:pPr>
              <w:pStyle w:val="6"/>
              <w:spacing w:before="43" w:line="219" w:lineRule="auto"/>
              <w:ind w:left="57"/>
              <w:rPr>
                <w:sz w:val="18"/>
                <w:szCs w:val="18"/>
              </w:rPr>
            </w:pPr>
            <w:r>
              <w:rPr>
                <w:spacing w:val="-2"/>
                <w:sz w:val="18"/>
                <w:szCs w:val="18"/>
              </w:rPr>
              <w:t>允许排放量要求</w:t>
            </w:r>
          </w:p>
          <w:p w14:paraId="3086EB25">
            <w:pPr>
              <w:pStyle w:val="6"/>
              <w:spacing w:before="19" w:line="232" w:lineRule="auto"/>
              <w:ind w:left="50" w:firstLine="359"/>
              <w:rPr>
                <w:sz w:val="18"/>
                <w:szCs w:val="18"/>
              </w:rPr>
            </w:pPr>
            <w:r>
              <w:rPr>
                <w:sz w:val="18"/>
                <w:szCs w:val="18"/>
              </w:rPr>
              <w:t>达州市</w:t>
            </w:r>
            <w:r>
              <w:rPr>
                <w:spacing w:val="-38"/>
                <w:sz w:val="18"/>
                <w:szCs w:val="18"/>
              </w:rPr>
              <w:t xml:space="preserve"> </w:t>
            </w:r>
            <w:r>
              <w:rPr>
                <w:rFonts w:ascii="Times New Roman" w:hAnsi="Times New Roman" w:eastAsia="Times New Roman" w:cs="Times New Roman"/>
                <w:sz w:val="18"/>
                <w:szCs w:val="18"/>
              </w:rPr>
              <w:t xml:space="preserve">2025 </w:t>
            </w:r>
            <w:r>
              <w:rPr>
                <w:sz w:val="18"/>
                <w:szCs w:val="18"/>
              </w:rPr>
              <w:t>年水污染物允许排放量</w:t>
            </w:r>
            <w:r>
              <w:rPr>
                <w:spacing w:val="-36"/>
                <w:sz w:val="18"/>
                <w:szCs w:val="18"/>
              </w:rPr>
              <w:t xml:space="preserve"> </w:t>
            </w:r>
            <w:r>
              <w:rPr>
                <w:rFonts w:ascii="Times New Roman" w:hAnsi="Times New Roman" w:eastAsia="Times New Roman" w:cs="Times New Roman"/>
                <w:sz w:val="18"/>
                <w:szCs w:val="18"/>
              </w:rPr>
              <w:t>COD4396.4</w:t>
            </w:r>
            <w:r>
              <w:rPr>
                <w:rFonts w:ascii="Times New Roman" w:hAnsi="Times New Roman" w:eastAsia="Times New Roman" w:cs="Times New Roman"/>
                <w:spacing w:val="-1"/>
                <w:sz w:val="18"/>
                <w:szCs w:val="18"/>
              </w:rPr>
              <w:t>1t</w:t>
            </w:r>
            <w:r>
              <w:rPr>
                <w:rFonts w:ascii="Times New Roman" w:hAnsi="Times New Roman" w:eastAsia="Times New Roman" w:cs="Times New Roman"/>
                <w:spacing w:val="-21"/>
                <w:sz w:val="18"/>
                <w:szCs w:val="18"/>
              </w:rPr>
              <w:t xml:space="preserve"> </w:t>
            </w:r>
            <w:r>
              <w:rPr>
                <w:spacing w:val="-1"/>
                <w:sz w:val="18"/>
                <w:szCs w:val="18"/>
              </w:rPr>
              <w:t>，氨氮</w:t>
            </w:r>
            <w:r>
              <w:rPr>
                <w:spacing w:val="-39"/>
                <w:sz w:val="18"/>
                <w:szCs w:val="18"/>
              </w:rPr>
              <w:t xml:space="preserve"> </w:t>
            </w:r>
            <w:r>
              <w:rPr>
                <w:rFonts w:ascii="Times New Roman" w:hAnsi="Times New Roman" w:eastAsia="Times New Roman" w:cs="Times New Roman"/>
                <w:spacing w:val="-1"/>
                <w:sz w:val="18"/>
                <w:szCs w:val="18"/>
              </w:rPr>
              <w:t>418.7t</w:t>
            </w:r>
            <w:r>
              <w:rPr>
                <w:rFonts w:ascii="Times New Roman" w:hAnsi="Times New Roman" w:eastAsia="Times New Roman" w:cs="Times New Roman"/>
                <w:spacing w:val="-21"/>
                <w:sz w:val="18"/>
                <w:szCs w:val="18"/>
              </w:rPr>
              <w:t xml:space="preserve"> </w:t>
            </w:r>
            <w:r>
              <w:rPr>
                <w:spacing w:val="-1"/>
                <w:sz w:val="18"/>
                <w:szCs w:val="18"/>
              </w:rPr>
              <w:t>，</w:t>
            </w:r>
            <w:r>
              <w:rPr>
                <w:rFonts w:ascii="Times New Roman" w:hAnsi="Times New Roman" w:eastAsia="Times New Roman" w:cs="Times New Roman"/>
                <w:spacing w:val="-1"/>
                <w:sz w:val="18"/>
                <w:szCs w:val="18"/>
              </w:rPr>
              <w:t>TP45.36t</w:t>
            </w:r>
            <w:r>
              <w:rPr>
                <w:spacing w:val="-1"/>
                <w:sz w:val="18"/>
                <w:szCs w:val="18"/>
              </w:rPr>
              <w:t>；</w:t>
            </w:r>
            <w:r>
              <w:rPr>
                <w:sz w:val="18"/>
                <w:szCs w:val="18"/>
              </w:rPr>
              <w:t xml:space="preserve"> </w:t>
            </w:r>
            <w:r>
              <w:rPr>
                <w:spacing w:val="-4"/>
                <w:sz w:val="18"/>
                <w:szCs w:val="18"/>
              </w:rPr>
              <w:t>达州市</w:t>
            </w:r>
            <w:r>
              <w:rPr>
                <w:spacing w:val="-36"/>
                <w:sz w:val="18"/>
                <w:szCs w:val="18"/>
              </w:rPr>
              <w:t xml:space="preserve"> </w:t>
            </w:r>
            <w:r>
              <w:rPr>
                <w:rFonts w:ascii="Times New Roman" w:hAnsi="Times New Roman" w:eastAsia="Times New Roman" w:cs="Times New Roman"/>
                <w:spacing w:val="-4"/>
                <w:sz w:val="18"/>
                <w:szCs w:val="18"/>
              </w:rPr>
              <w:t xml:space="preserve">2025 </w:t>
            </w:r>
            <w:r>
              <w:rPr>
                <w:spacing w:val="-4"/>
                <w:sz w:val="18"/>
                <w:szCs w:val="18"/>
              </w:rPr>
              <w:t>年大气污染物一次</w:t>
            </w:r>
            <w:r>
              <w:rPr>
                <w:spacing w:val="-41"/>
                <w:sz w:val="18"/>
                <w:szCs w:val="18"/>
              </w:rPr>
              <w:t xml:space="preserve"> </w:t>
            </w:r>
            <w:r>
              <w:rPr>
                <w:rFonts w:ascii="Times New Roman" w:hAnsi="Times New Roman" w:eastAsia="Times New Roman" w:cs="Times New Roman"/>
                <w:spacing w:val="-4"/>
                <w:sz w:val="18"/>
                <w:szCs w:val="18"/>
              </w:rPr>
              <w:t>PM</w:t>
            </w:r>
            <w:r>
              <w:rPr>
                <w:rFonts w:ascii="Times New Roman" w:hAnsi="Times New Roman" w:eastAsia="Times New Roman" w:cs="Times New Roman"/>
                <w:spacing w:val="-4"/>
                <w:position w:val="-1"/>
                <w:sz w:val="11"/>
                <w:szCs w:val="11"/>
              </w:rPr>
              <w:t xml:space="preserve">2.5  </w:t>
            </w:r>
            <w:r>
              <w:rPr>
                <w:rFonts w:ascii="Times New Roman" w:hAnsi="Times New Roman" w:eastAsia="Times New Roman" w:cs="Times New Roman"/>
                <w:spacing w:val="-4"/>
                <w:sz w:val="18"/>
                <w:szCs w:val="18"/>
              </w:rPr>
              <w:t>5805t</w:t>
            </w:r>
            <w:r>
              <w:rPr>
                <w:spacing w:val="-4"/>
                <w:sz w:val="18"/>
                <w:szCs w:val="18"/>
              </w:rPr>
              <w:t>、</w:t>
            </w: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1"/>
                <w:sz w:val="11"/>
                <w:szCs w:val="11"/>
              </w:rPr>
              <w:t xml:space="preserve">2  </w:t>
            </w:r>
            <w:r>
              <w:rPr>
                <w:rFonts w:ascii="Times New Roman" w:hAnsi="Times New Roman" w:eastAsia="Times New Roman" w:cs="Times New Roman"/>
                <w:spacing w:val="-4"/>
                <w:sz w:val="18"/>
                <w:szCs w:val="18"/>
              </w:rPr>
              <w:t>1277</w:t>
            </w:r>
            <w:r>
              <w:rPr>
                <w:rFonts w:ascii="Times New Roman" w:hAnsi="Times New Roman" w:eastAsia="Times New Roman" w:cs="Times New Roman"/>
                <w:spacing w:val="-5"/>
                <w:sz w:val="18"/>
                <w:szCs w:val="18"/>
              </w:rPr>
              <w:t>3t</w:t>
            </w:r>
            <w:r>
              <w:rPr>
                <w:spacing w:val="-5"/>
                <w:sz w:val="18"/>
                <w:szCs w:val="18"/>
              </w:rPr>
              <w:t>、</w:t>
            </w:r>
            <w:r>
              <w:rPr>
                <w:rFonts w:ascii="Times New Roman" w:hAnsi="Times New Roman" w:eastAsia="Times New Roman" w:cs="Times New Roman"/>
                <w:spacing w:val="-5"/>
                <w:sz w:val="18"/>
                <w:szCs w:val="18"/>
              </w:rPr>
              <w:t>NO</w:t>
            </w:r>
            <w:r>
              <w:rPr>
                <w:rFonts w:ascii="Times New Roman" w:hAnsi="Times New Roman" w:eastAsia="Times New Roman" w:cs="Times New Roman"/>
                <w:spacing w:val="-5"/>
                <w:position w:val="-1"/>
                <w:sz w:val="11"/>
                <w:szCs w:val="11"/>
              </w:rPr>
              <w:t>x</w:t>
            </w:r>
            <w:r>
              <w:rPr>
                <w:rFonts w:ascii="Times New Roman" w:hAnsi="Times New Roman" w:eastAsia="Times New Roman" w:cs="Times New Roman"/>
                <w:spacing w:val="-7"/>
                <w:position w:val="-1"/>
                <w:sz w:val="11"/>
                <w:szCs w:val="11"/>
              </w:rPr>
              <w:t xml:space="preserve"> </w:t>
            </w:r>
            <w:r>
              <w:rPr>
                <w:rFonts w:ascii="Times New Roman" w:hAnsi="Times New Roman" w:eastAsia="Times New Roman" w:cs="Times New Roman"/>
                <w:spacing w:val="-5"/>
                <w:sz w:val="18"/>
                <w:szCs w:val="18"/>
              </w:rPr>
              <w:t>11892t</w:t>
            </w:r>
            <w:r>
              <w:rPr>
                <w:spacing w:val="-16"/>
                <w:w w:val="97"/>
                <w:sz w:val="18"/>
                <w:szCs w:val="18"/>
              </w:rPr>
              <w:t>、</w:t>
            </w:r>
            <w:r>
              <w:rPr>
                <w:rFonts w:ascii="Times New Roman" w:hAnsi="Times New Roman" w:eastAsia="Times New Roman" w:cs="Times New Roman"/>
                <w:spacing w:val="-16"/>
                <w:w w:val="97"/>
                <w:sz w:val="18"/>
                <w:szCs w:val="18"/>
              </w:rPr>
              <w:t>VOC</w:t>
            </w:r>
            <w:r>
              <w:rPr>
                <w:rFonts w:ascii="Times New Roman" w:hAnsi="Times New Roman" w:eastAsia="Times New Roman" w:cs="Times New Roman"/>
                <w:spacing w:val="-7"/>
                <w:position w:val="-1"/>
                <w:sz w:val="11"/>
                <w:szCs w:val="11"/>
              </w:rPr>
              <w:t>s</w:t>
            </w:r>
            <w:r>
              <w:rPr>
                <w:rFonts w:ascii="Times New Roman" w:hAnsi="Times New Roman" w:eastAsia="Times New Roman" w:cs="Times New Roman"/>
                <w:spacing w:val="5"/>
                <w:position w:val="-1"/>
                <w:sz w:val="11"/>
                <w:szCs w:val="11"/>
              </w:rPr>
              <w:t xml:space="preserve">  </w:t>
            </w:r>
            <w:r>
              <w:rPr>
                <w:rFonts w:ascii="Times New Roman" w:hAnsi="Times New Roman" w:eastAsia="Times New Roman" w:cs="Times New Roman"/>
                <w:spacing w:val="-7"/>
                <w:sz w:val="18"/>
                <w:szCs w:val="18"/>
              </w:rPr>
              <w:t>13969t</w:t>
            </w:r>
            <w:r>
              <w:rPr>
                <w:spacing w:val="-7"/>
                <w:sz w:val="18"/>
                <w:szCs w:val="18"/>
              </w:rPr>
              <w:t>。</w:t>
            </w:r>
            <w:r>
              <w:rPr>
                <w:sz w:val="18"/>
                <w:szCs w:val="18"/>
              </w:rPr>
              <w:t xml:space="preserve"> </w:t>
            </w:r>
            <w:r>
              <w:rPr>
                <w:spacing w:val="-2"/>
                <w:sz w:val="18"/>
                <w:szCs w:val="18"/>
              </w:rPr>
              <w:t>现有源提标升级改造。</w:t>
            </w:r>
          </w:p>
          <w:p w14:paraId="74FB129A">
            <w:pPr>
              <w:pStyle w:val="6"/>
              <w:spacing w:before="19" w:line="219" w:lineRule="auto"/>
              <w:ind w:left="411"/>
              <w:rPr>
                <w:sz w:val="18"/>
                <w:szCs w:val="18"/>
              </w:rPr>
            </w:pPr>
            <w:r>
              <w:rPr>
                <w:rFonts w:ascii="Times New Roman" w:hAnsi="Times New Roman" w:eastAsia="Times New Roman" w:cs="Times New Roman"/>
                <w:spacing w:val="-3"/>
                <w:sz w:val="18"/>
                <w:szCs w:val="18"/>
              </w:rPr>
              <w:t>-</w:t>
            </w:r>
            <w:r>
              <w:rPr>
                <w:spacing w:val="-3"/>
                <w:sz w:val="18"/>
                <w:szCs w:val="18"/>
              </w:rPr>
              <w:t>污水收集处理率达</w:t>
            </w:r>
            <w:r>
              <w:rPr>
                <w:spacing w:val="-12"/>
                <w:sz w:val="18"/>
                <w:szCs w:val="18"/>
              </w:rPr>
              <w:t xml:space="preserve"> </w:t>
            </w:r>
            <w:r>
              <w:rPr>
                <w:rFonts w:ascii="Times New Roman" w:hAnsi="Times New Roman" w:eastAsia="Times New Roman" w:cs="Times New Roman"/>
                <w:spacing w:val="-3"/>
                <w:sz w:val="18"/>
                <w:szCs w:val="18"/>
              </w:rPr>
              <w:t>100%</w:t>
            </w:r>
            <w:r>
              <w:rPr>
                <w:spacing w:val="-3"/>
                <w:sz w:val="18"/>
                <w:szCs w:val="18"/>
              </w:rPr>
              <w:t>；</w:t>
            </w:r>
          </w:p>
          <w:p w14:paraId="195B6AC2">
            <w:pPr>
              <w:pStyle w:val="6"/>
              <w:spacing w:before="20" w:line="229" w:lineRule="auto"/>
              <w:ind w:left="54" w:firstLine="356"/>
              <w:rPr>
                <w:sz w:val="18"/>
                <w:szCs w:val="18"/>
              </w:rPr>
            </w:pPr>
            <w:r>
              <w:rPr>
                <w:rFonts w:ascii="Times New Roman" w:hAnsi="Times New Roman" w:eastAsia="Times New Roman" w:cs="Times New Roman"/>
                <w:spacing w:val="1"/>
                <w:sz w:val="18"/>
                <w:szCs w:val="18"/>
              </w:rPr>
              <w:t>-</w:t>
            </w:r>
            <w:r>
              <w:rPr>
                <w:spacing w:val="1"/>
                <w:sz w:val="18"/>
                <w:szCs w:val="18"/>
              </w:rPr>
              <w:t>到</w:t>
            </w:r>
            <w:r>
              <w:rPr>
                <w:spacing w:val="-38"/>
                <w:sz w:val="18"/>
                <w:szCs w:val="18"/>
              </w:rPr>
              <w:t xml:space="preserve"> </w:t>
            </w:r>
            <w:r>
              <w:rPr>
                <w:rFonts w:ascii="Times New Roman" w:hAnsi="Times New Roman" w:eastAsia="Times New Roman" w:cs="Times New Roman"/>
                <w:spacing w:val="1"/>
                <w:sz w:val="18"/>
                <w:szCs w:val="18"/>
              </w:rPr>
              <w:t xml:space="preserve">2025 </w:t>
            </w:r>
            <w:r>
              <w:rPr>
                <w:spacing w:val="1"/>
                <w:sz w:val="18"/>
                <w:szCs w:val="18"/>
              </w:rPr>
              <w:t>年底前，现有钢铁行业</w:t>
            </w:r>
            <w:r>
              <w:rPr>
                <w:spacing w:val="-31"/>
                <w:sz w:val="18"/>
                <w:szCs w:val="18"/>
              </w:rPr>
              <w:t xml:space="preserve"> </w:t>
            </w:r>
            <w:r>
              <w:rPr>
                <w:rFonts w:ascii="Times New Roman" w:hAnsi="Times New Roman" w:eastAsia="Times New Roman" w:cs="Times New Roman"/>
                <w:spacing w:val="1"/>
                <w:sz w:val="18"/>
                <w:szCs w:val="18"/>
              </w:rPr>
              <w:t>80%</w:t>
            </w:r>
            <w:r>
              <w:rPr>
                <w:sz w:val="18"/>
                <w:szCs w:val="18"/>
              </w:rPr>
              <w:t xml:space="preserve">以上产能完成超低排放改造，烧结机机 </w:t>
            </w:r>
            <w:r>
              <w:rPr>
                <w:spacing w:val="-4"/>
                <w:sz w:val="18"/>
                <w:szCs w:val="18"/>
              </w:rPr>
              <w:t>头、球团焙烧烟气颗粒物、二氧化硫、氮氧化物</w:t>
            </w:r>
            <w:r>
              <w:rPr>
                <w:spacing w:val="-5"/>
                <w:sz w:val="18"/>
                <w:szCs w:val="18"/>
              </w:rPr>
              <w:t>排放浓度小时均值分别不高于</w:t>
            </w:r>
            <w:r>
              <w:rPr>
                <w:spacing w:val="-24"/>
                <w:sz w:val="18"/>
                <w:szCs w:val="18"/>
              </w:rPr>
              <w:t xml:space="preserve"> </w:t>
            </w:r>
            <w:r>
              <w:rPr>
                <w:rFonts w:ascii="Times New Roman" w:hAnsi="Times New Roman" w:eastAsia="Times New Roman" w:cs="Times New Roman"/>
                <w:spacing w:val="-5"/>
                <w:sz w:val="18"/>
                <w:szCs w:val="18"/>
              </w:rPr>
              <w:t>10</w:t>
            </w:r>
            <w:r>
              <w:rPr>
                <w:spacing w:val="-5"/>
                <w:sz w:val="18"/>
                <w:szCs w:val="18"/>
              </w:rPr>
              <w:t>、</w:t>
            </w:r>
          </w:p>
          <w:p w14:paraId="444D3D41">
            <w:pPr>
              <w:pStyle w:val="6"/>
              <w:spacing w:before="20" w:line="230" w:lineRule="auto"/>
              <w:ind w:left="51" w:right="43"/>
              <w:rPr>
                <w:sz w:val="18"/>
                <w:szCs w:val="18"/>
              </w:rPr>
            </w:pPr>
            <w:r>
              <w:rPr>
                <w:rFonts w:ascii="Times New Roman" w:hAnsi="Times New Roman" w:eastAsia="Times New Roman" w:cs="Times New Roman"/>
                <w:spacing w:val="-1"/>
                <w:sz w:val="18"/>
                <w:szCs w:val="18"/>
              </w:rPr>
              <w:t>35</w:t>
            </w:r>
            <w:r>
              <w:rPr>
                <w:rFonts w:ascii="Times New Roman" w:hAnsi="Times New Roman" w:eastAsia="Times New Roman" w:cs="Times New Roman"/>
                <w:spacing w:val="-11"/>
                <w:sz w:val="18"/>
                <w:szCs w:val="18"/>
              </w:rPr>
              <w:t xml:space="preserve"> </w:t>
            </w:r>
            <w:r>
              <w:rPr>
                <w:spacing w:val="-1"/>
                <w:sz w:val="18"/>
                <w:szCs w:val="18"/>
              </w:rPr>
              <w:t>、</w:t>
            </w:r>
            <w:r>
              <w:rPr>
                <w:rFonts w:ascii="Times New Roman" w:hAnsi="Times New Roman" w:eastAsia="Times New Roman" w:cs="Times New Roman"/>
                <w:spacing w:val="-1"/>
                <w:sz w:val="18"/>
                <w:szCs w:val="18"/>
              </w:rPr>
              <w:t xml:space="preserve">50 </w:t>
            </w:r>
            <w:r>
              <w:rPr>
                <w:spacing w:val="-1"/>
                <w:sz w:val="18"/>
                <w:szCs w:val="18"/>
              </w:rPr>
              <w:t>毫克立方米；其他主要污染源颗粒物、二氧化硫、氮氧化物排放浓度小时</w:t>
            </w:r>
            <w:r>
              <w:rPr>
                <w:sz w:val="18"/>
                <w:szCs w:val="18"/>
              </w:rPr>
              <w:t xml:space="preserve"> </w:t>
            </w:r>
            <w:r>
              <w:rPr>
                <w:spacing w:val="-3"/>
                <w:sz w:val="18"/>
                <w:szCs w:val="18"/>
              </w:rPr>
              <w:t>均值原则上分别不高于</w:t>
            </w:r>
            <w:r>
              <w:rPr>
                <w:spacing w:val="-26"/>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50</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200</w:t>
            </w:r>
            <w:r>
              <w:rPr>
                <w:rFonts w:ascii="Times New Roman" w:hAnsi="Times New Roman" w:eastAsia="Times New Roman" w:cs="Times New Roman"/>
                <w:spacing w:val="11"/>
                <w:sz w:val="18"/>
                <w:szCs w:val="18"/>
              </w:rPr>
              <w:t xml:space="preserve"> </w:t>
            </w:r>
            <w:r>
              <w:rPr>
                <w:spacing w:val="-3"/>
                <w:sz w:val="18"/>
                <w:szCs w:val="18"/>
              </w:rPr>
              <w:t>毫克立方米。</w:t>
            </w:r>
          </w:p>
          <w:p w14:paraId="09CC163D">
            <w:pPr>
              <w:pStyle w:val="6"/>
              <w:spacing w:before="18" w:line="236" w:lineRule="auto"/>
              <w:ind w:left="50" w:firstLine="360"/>
              <w:rPr>
                <w:sz w:val="18"/>
                <w:szCs w:val="18"/>
              </w:rPr>
            </w:pPr>
            <w:r>
              <w:rPr>
                <w:rFonts w:ascii="Times New Roman" w:hAnsi="Times New Roman" w:eastAsia="Times New Roman" w:cs="Times New Roman"/>
                <w:spacing w:val="-1"/>
                <w:sz w:val="18"/>
                <w:szCs w:val="18"/>
              </w:rPr>
              <w:t>-</w:t>
            </w:r>
            <w:r>
              <w:rPr>
                <w:spacing w:val="-1"/>
                <w:sz w:val="18"/>
                <w:szCs w:val="18"/>
              </w:rPr>
              <w:t>有行业标准的工业炉窑，要求严格执行已有的行业排放标准，配套建设高效</w:t>
            </w:r>
            <w:r>
              <w:rPr>
                <w:sz w:val="18"/>
                <w:szCs w:val="18"/>
              </w:rPr>
              <w:t xml:space="preserve"> </w:t>
            </w:r>
            <w:r>
              <w:rPr>
                <w:spacing w:val="-3"/>
                <w:sz w:val="18"/>
                <w:szCs w:val="18"/>
              </w:rPr>
              <w:t>除尘脱硫脱硝设施，确保稳定达标排放。有排污许可证的，应严格执行许可要求。</w:t>
            </w:r>
            <w:r>
              <w:rPr>
                <w:spacing w:val="14"/>
                <w:sz w:val="18"/>
                <w:szCs w:val="18"/>
              </w:rPr>
              <w:t xml:space="preserve"> </w:t>
            </w:r>
            <w:r>
              <w:rPr>
                <w:spacing w:val="1"/>
                <w:sz w:val="18"/>
                <w:szCs w:val="18"/>
              </w:rPr>
              <w:t>暂没有行业标准的，要求参照有关行业标准执行，其中，铸造行</w:t>
            </w:r>
            <w:r>
              <w:rPr>
                <w:sz w:val="18"/>
                <w:szCs w:val="18"/>
              </w:rPr>
              <w:t xml:space="preserve">业烧结、高炉工 </w:t>
            </w:r>
            <w:r>
              <w:rPr>
                <w:spacing w:val="1"/>
                <w:sz w:val="18"/>
                <w:szCs w:val="18"/>
              </w:rPr>
              <w:t>序污染排放控制按照钢铁行业相关标准要求执行；颗粒物、二氧</w:t>
            </w:r>
            <w:r>
              <w:rPr>
                <w:sz w:val="18"/>
                <w:szCs w:val="18"/>
              </w:rPr>
              <w:t xml:space="preserve">化硫、氮氧化物 </w:t>
            </w:r>
            <w:r>
              <w:rPr>
                <w:spacing w:val="-3"/>
                <w:sz w:val="18"/>
                <w:szCs w:val="18"/>
              </w:rPr>
              <w:t>排放限值分别不高于</w:t>
            </w:r>
            <w:r>
              <w:rPr>
                <w:spacing w:val="-29"/>
                <w:sz w:val="18"/>
                <w:szCs w:val="18"/>
              </w:rPr>
              <w:t xml:space="preserve"> </w:t>
            </w:r>
            <w:r>
              <w:rPr>
                <w:rFonts w:ascii="Times New Roman" w:hAnsi="Times New Roman" w:eastAsia="Times New Roman" w:cs="Times New Roman"/>
                <w:spacing w:val="-3"/>
                <w:sz w:val="18"/>
                <w:szCs w:val="18"/>
              </w:rPr>
              <w:t>30</w:t>
            </w:r>
            <w:r>
              <w:rPr>
                <w:rFonts w:ascii="Times New Roman" w:hAnsi="Times New Roman" w:eastAsia="Times New Roman" w:cs="Times New Roman"/>
                <w:spacing w:val="-26"/>
                <w:sz w:val="18"/>
                <w:szCs w:val="18"/>
              </w:rPr>
              <w:t xml:space="preserve"> </w:t>
            </w:r>
            <w:r>
              <w:rPr>
                <w:spacing w:val="-3"/>
                <w:sz w:val="18"/>
                <w:szCs w:val="18"/>
              </w:rPr>
              <w:t>、</w:t>
            </w:r>
            <w:r>
              <w:rPr>
                <w:rFonts w:ascii="Times New Roman" w:hAnsi="Times New Roman" w:eastAsia="Times New Roman" w:cs="Times New Roman"/>
                <w:spacing w:val="-3"/>
                <w:sz w:val="18"/>
                <w:szCs w:val="18"/>
              </w:rPr>
              <w:t>200</w:t>
            </w:r>
            <w:r>
              <w:rPr>
                <w:rFonts w:ascii="Times New Roman" w:hAnsi="Times New Roman" w:eastAsia="Times New Roman" w:cs="Times New Roman"/>
                <w:spacing w:val="-24"/>
                <w:sz w:val="18"/>
                <w:szCs w:val="18"/>
              </w:rPr>
              <w:t xml:space="preserve"> </w:t>
            </w:r>
            <w:r>
              <w:rPr>
                <w:spacing w:val="-3"/>
                <w:sz w:val="18"/>
                <w:szCs w:val="18"/>
              </w:rPr>
              <w:t>、</w:t>
            </w:r>
            <w:r>
              <w:rPr>
                <w:rFonts w:ascii="Times New Roman" w:hAnsi="Times New Roman" w:eastAsia="Times New Roman" w:cs="Times New Roman"/>
                <w:spacing w:val="-3"/>
                <w:sz w:val="18"/>
                <w:szCs w:val="18"/>
              </w:rPr>
              <w:t xml:space="preserve">300 </w:t>
            </w:r>
            <w:r>
              <w:rPr>
                <w:spacing w:val="-3"/>
                <w:sz w:val="18"/>
                <w:szCs w:val="18"/>
              </w:rPr>
              <w:t>毫克立方米实施改造，其中，日用玻璃、玻璃</w:t>
            </w:r>
            <w:r>
              <w:rPr>
                <w:sz w:val="18"/>
                <w:szCs w:val="18"/>
              </w:rPr>
              <w:t xml:space="preserve"> </w:t>
            </w:r>
            <w:r>
              <w:rPr>
                <w:spacing w:val="-1"/>
                <w:sz w:val="18"/>
                <w:szCs w:val="18"/>
              </w:rPr>
              <w:t>棉氮氧化物排放限值不高于</w:t>
            </w:r>
            <w:r>
              <w:rPr>
                <w:spacing w:val="-40"/>
                <w:sz w:val="18"/>
                <w:szCs w:val="18"/>
              </w:rPr>
              <w:t xml:space="preserve"> </w:t>
            </w:r>
            <w:r>
              <w:rPr>
                <w:rFonts w:ascii="Times New Roman" w:hAnsi="Times New Roman" w:eastAsia="Times New Roman" w:cs="Times New Roman"/>
                <w:spacing w:val="-1"/>
                <w:sz w:val="18"/>
                <w:szCs w:val="18"/>
              </w:rPr>
              <w:t xml:space="preserve">400 </w:t>
            </w:r>
            <w:r>
              <w:rPr>
                <w:spacing w:val="-1"/>
                <w:sz w:val="18"/>
                <w:szCs w:val="18"/>
              </w:rPr>
              <w:t>毫克立方米。</w:t>
            </w:r>
          </w:p>
          <w:p w14:paraId="0E1FAE29">
            <w:pPr>
              <w:pStyle w:val="6"/>
              <w:spacing w:before="18" w:line="235" w:lineRule="auto"/>
              <w:ind w:left="50" w:right="40" w:firstLine="361"/>
              <w:rPr>
                <w:sz w:val="18"/>
                <w:szCs w:val="18"/>
              </w:rPr>
            </w:pPr>
            <w:r>
              <w:rPr>
                <w:rFonts w:ascii="Times New Roman" w:hAnsi="Times New Roman" w:eastAsia="Times New Roman" w:cs="Times New Roman"/>
                <w:spacing w:val="-1"/>
                <w:sz w:val="18"/>
                <w:szCs w:val="18"/>
              </w:rPr>
              <w:t>-</w:t>
            </w:r>
            <w:r>
              <w:rPr>
                <w:spacing w:val="-1"/>
                <w:sz w:val="18"/>
                <w:szCs w:val="18"/>
              </w:rPr>
              <w:t>完善园区及企业雨污分流系统，全面推进医药、化工等行业初期雨水收集处</w:t>
            </w:r>
            <w:r>
              <w:rPr>
                <w:spacing w:val="16"/>
                <w:sz w:val="18"/>
                <w:szCs w:val="18"/>
              </w:rPr>
              <w:t xml:space="preserve"> </w:t>
            </w:r>
            <w:r>
              <w:rPr>
                <w:sz w:val="18"/>
                <w:szCs w:val="18"/>
              </w:rPr>
              <w:t>理，推动有条件的园区实施入园企业“一企一管、明管输送、实时监测</w:t>
            </w:r>
            <w:r>
              <w:rPr>
                <w:spacing w:val="-47"/>
                <w:sz w:val="18"/>
                <w:szCs w:val="18"/>
              </w:rPr>
              <w:t xml:space="preserve"> </w:t>
            </w:r>
            <w:r>
              <w:rPr>
                <w:sz w:val="18"/>
                <w:szCs w:val="18"/>
              </w:rPr>
              <w:t xml:space="preserve">”。加强 </w:t>
            </w:r>
            <w:r>
              <w:rPr>
                <w:spacing w:val="1"/>
                <w:sz w:val="18"/>
                <w:szCs w:val="18"/>
              </w:rPr>
              <w:t>企业废水预处理和排水管理，鼓励纳管企业与园区污水处理厂运营单位通过签订</w:t>
            </w:r>
            <w:r>
              <w:rPr>
                <w:spacing w:val="10"/>
                <w:sz w:val="18"/>
                <w:szCs w:val="18"/>
              </w:rPr>
              <w:t xml:space="preserve"> </w:t>
            </w:r>
            <w:r>
              <w:rPr>
                <w:spacing w:val="-1"/>
                <w:sz w:val="18"/>
                <w:szCs w:val="18"/>
              </w:rPr>
              <w:t>委托处理合同等方式协同处理废水。</w:t>
            </w:r>
          </w:p>
          <w:p w14:paraId="5E4FE1E3">
            <w:pPr>
              <w:pStyle w:val="6"/>
              <w:spacing w:before="21" w:line="219" w:lineRule="auto"/>
              <w:ind w:left="52"/>
              <w:rPr>
                <w:sz w:val="18"/>
                <w:szCs w:val="18"/>
              </w:rPr>
            </w:pPr>
            <w:r>
              <w:rPr>
                <w:spacing w:val="-1"/>
                <w:sz w:val="18"/>
                <w:szCs w:val="18"/>
              </w:rPr>
              <w:t>其他污染物排放管控要求</w:t>
            </w:r>
          </w:p>
          <w:p w14:paraId="40E0EB4A">
            <w:pPr>
              <w:pStyle w:val="6"/>
              <w:spacing w:before="19" w:line="229" w:lineRule="auto"/>
              <w:ind w:left="66" w:right="43" w:firstLine="345"/>
              <w:rPr>
                <w:sz w:val="18"/>
                <w:szCs w:val="18"/>
              </w:rPr>
            </w:pPr>
            <w:r>
              <w:rPr>
                <w:sz w:val="18"/>
                <w:szCs w:val="18"/>
              </w:rPr>
              <w:t>新增源等量或倍量替代</w:t>
            </w:r>
            <w:r>
              <w:rPr>
                <w:rFonts w:ascii="Times New Roman" w:hAnsi="Times New Roman" w:eastAsia="Times New Roman" w:cs="Times New Roman"/>
                <w:sz w:val="18"/>
                <w:szCs w:val="18"/>
              </w:rPr>
              <w:t>:</w:t>
            </w:r>
            <w:r>
              <w:rPr>
                <w:sz w:val="18"/>
                <w:szCs w:val="18"/>
              </w:rPr>
              <w:t>上一年度水环境质量未完成目标</w:t>
            </w:r>
            <w:r>
              <w:rPr>
                <w:spacing w:val="-1"/>
                <w:sz w:val="18"/>
                <w:szCs w:val="18"/>
              </w:rPr>
              <w:t>的，新建排放水污染</w:t>
            </w:r>
            <w:r>
              <w:rPr>
                <w:sz w:val="18"/>
                <w:szCs w:val="18"/>
              </w:rPr>
              <w:t xml:space="preserve"> </w:t>
            </w:r>
            <w:r>
              <w:rPr>
                <w:spacing w:val="-1"/>
                <w:sz w:val="18"/>
                <w:szCs w:val="18"/>
              </w:rPr>
              <w:t>的建设项目按照总量管控要求进行倍量削减替代。</w:t>
            </w:r>
          </w:p>
          <w:p w14:paraId="1FCAB1C5">
            <w:pPr>
              <w:pStyle w:val="6"/>
              <w:spacing w:before="21" w:line="235" w:lineRule="auto"/>
              <w:ind w:left="51" w:right="40" w:firstLine="361"/>
              <w:rPr>
                <w:sz w:val="18"/>
                <w:szCs w:val="18"/>
              </w:rPr>
            </w:pPr>
            <w:r>
              <w:rPr>
                <w:spacing w:val="1"/>
                <w:sz w:val="18"/>
                <w:szCs w:val="18"/>
              </w:rPr>
              <w:t>上一年度空气质量年平均浓度不达标的城市，建设项目新增相关污染物按照</w:t>
            </w:r>
            <w:r>
              <w:rPr>
                <w:spacing w:val="10"/>
                <w:sz w:val="18"/>
                <w:szCs w:val="18"/>
              </w:rPr>
              <w:t xml:space="preserve"> </w:t>
            </w:r>
            <w:r>
              <w:rPr>
                <w:spacing w:val="1"/>
                <w:sz w:val="18"/>
                <w:szCs w:val="18"/>
              </w:rPr>
              <w:t>总量管控要求进行倍量削减替代。对新建排放二氧化硫、氮氧化物、工业烟粉尘</w:t>
            </w:r>
            <w:r>
              <w:rPr>
                <w:spacing w:val="9"/>
                <w:sz w:val="18"/>
                <w:szCs w:val="18"/>
              </w:rPr>
              <w:t xml:space="preserve"> </w:t>
            </w:r>
            <w:r>
              <w:rPr>
                <w:sz w:val="18"/>
                <w:szCs w:val="18"/>
              </w:rPr>
              <w:t>和</w:t>
            </w:r>
            <w:r>
              <w:rPr>
                <w:spacing w:val="-28"/>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25"/>
                <w:sz w:val="18"/>
                <w:szCs w:val="18"/>
              </w:rPr>
              <w:t xml:space="preserve"> </w:t>
            </w:r>
            <w:r>
              <w:rPr>
                <w:sz w:val="18"/>
                <w:szCs w:val="18"/>
              </w:rPr>
              <w:t xml:space="preserve">的项目实施现役源倍量削减量替代。严禁钢铁、水泥、电解铝、平板玻 </w:t>
            </w:r>
            <w:r>
              <w:rPr>
                <w:spacing w:val="1"/>
                <w:sz w:val="18"/>
                <w:szCs w:val="18"/>
              </w:rPr>
              <w:t>璃等行业新增产能，对确有必要新建的必须实施等量或减量置换，防范过生和落</w:t>
            </w:r>
            <w:r>
              <w:rPr>
                <w:spacing w:val="9"/>
                <w:sz w:val="18"/>
                <w:szCs w:val="18"/>
              </w:rPr>
              <w:t xml:space="preserve"> </w:t>
            </w:r>
            <w:r>
              <w:rPr>
                <w:spacing w:val="-1"/>
                <w:sz w:val="18"/>
                <w:szCs w:val="18"/>
              </w:rPr>
              <w:t>后产能跨地区转移。</w:t>
            </w:r>
          </w:p>
          <w:p w14:paraId="25D1E21D">
            <w:pPr>
              <w:pStyle w:val="6"/>
              <w:spacing w:before="20" w:line="233" w:lineRule="auto"/>
              <w:ind w:left="54" w:right="43" w:firstLine="358"/>
              <w:jc w:val="both"/>
              <w:rPr>
                <w:sz w:val="18"/>
                <w:szCs w:val="18"/>
              </w:rPr>
            </w:pPr>
            <w:r>
              <w:rPr>
                <w:sz w:val="18"/>
                <w:szCs w:val="18"/>
              </w:rPr>
              <w:t>污染物排放绩效水平准入要求</w:t>
            </w:r>
            <w:r>
              <w:rPr>
                <w:rFonts w:ascii="Times New Roman" w:hAnsi="Times New Roman" w:eastAsia="Times New Roman" w:cs="Times New Roman"/>
                <w:sz w:val="18"/>
                <w:szCs w:val="18"/>
              </w:rPr>
              <w:t>:</w:t>
            </w:r>
            <w:r>
              <w:rPr>
                <w:sz w:val="18"/>
                <w:szCs w:val="18"/>
              </w:rPr>
              <w:t>新、改扩建项目污</w:t>
            </w:r>
            <w:r>
              <w:rPr>
                <w:spacing w:val="-1"/>
                <w:sz w:val="18"/>
                <w:szCs w:val="18"/>
              </w:rPr>
              <w:t>染排放指标满足《四川省省</w:t>
            </w:r>
            <w:r>
              <w:rPr>
                <w:sz w:val="18"/>
                <w:szCs w:val="18"/>
              </w:rPr>
              <w:t xml:space="preserve"> </w:t>
            </w:r>
            <w:r>
              <w:rPr>
                <w:spacing w:val="1"/>
                <w:sz w:val="18"/>
                <w:szCs w:val="18"/>
              </w:rPr>
              <w:t>级生态工业园区指标》综合类生态工业园区要求。工业固体废弃物利用处置率达</w:t>
            </w:r>
            <w:r>
              <w:rPr>
                <w:spacing w:val="4"/>
                <w:sz w:val="18"/>
                <w:szCs w:val="18"/>
              </w:rPr>
              <w:t xml:space="preserve"> </w:t>
            </w:r>
            <w:r>
              <w:rPr>
                <w:rFonts w:ascii="Times New Roman" w:hAnsi="Times New Roman" w:eastAsia="Times New Roman" w:cs="Times New Roman"/>
                <w:spacing w:val="-3"/>
                <w:sz w:val="18"/>
                <w:szCs w:val="18"/>
              </w:rPr>
              <w:t>100%</w:t>
            </w:r>
            <w:r>
              <w:rPr>
                <w:rFonts w:ascii="Times New Roman" w:hAnsi="Times New Roman" w:eastAsia="Times New Roman" w:cs="Times New Roman"/>
                <w:spacing w:val="-25"/>
                <w:sz w:val="18"/>
                <w:szCs w:val="18"/>
              </w:rPr>
              <w:t xml:space="preserve"> </w:t>
            </w:r>
            <w:r>
              <w:rPr>
                <w:spacing w:val="-3"/>
                <w:sz w:val="18"/>
                <w:szCs w:val="18"/>
              </w:rPr>
              <w:t>，危险废物处置率达</w:t>
            </w:r>
            <w:r>
              <w:rPr>
                <w:spacing w:val="-23"/>
                <w:sz w:val="18"/>
                <w:szCs w:val="18"/>
              </w:rPr>
              <w:t xml:space="preserve"> </w:t>
            </w:r>
            <w:r>
              <w:rPr>
                <w:rFonts w:ascii="Times New Roman" w:hAnsi="Times New Roman" w:eastAsia="Times New Roman" w:cs="Times New Roman"/>
                <w:spacing w:val="-3"/>
                <w:sz w:val="18"/>
                <w:szCs w:val="18"/>
              </w:rPr>
              <w:t>100%</w:t>
            </w:r>
            <w:r>
              <w:rPr>
                <w:spacing w:val="-3"/>
                <w:sz w:val="18"/>
                <w:szCs w:val="18"/>
              </w:rPr>
              <w:t>。</w:t>
            </w:r>
          </w:p>
          <w:p w14:paraId="44BCC82F">
            <w:pPr>
              <w:pStyle w:val="6"/>
              <w:spacing w:before="21" w:line="234" w:lineRule="auto"/>
              <w:ind w:left="55" w:right="43" w:firstLine="373"/>
              <w:rPr>
                <w:sz w:val="18"/>
                <w:szCs w:val="18"/>
              </w:rPr>
            </w:pPr>
            <w:r>
              <w:rPr>
                <w:spacing w:val="2"/>
                <w:sz w:val="18"/>
                <w:szCs w:val="18"/>
              </w:rPr>
              <w:t>国家大气污染防治重点区域</w:t>
            </w:r>
            <w:r>
              <w:rPr>
                <w:rFonts w:ascii="Times New Roman" w:hAnsi="Times New Roman" w:eastAsia="Times New Roman" w:cs="Times New Roman"/>
                <w:spacing w:val="2"/>
                <w:sz w:val="18"/>
                <w:szCs w:val="18"/>
              </w:rPr>
              <w:t>(</w:t>
            </w:r>
            <w:r>
              <w:rPr>
                <w:spacing w:val="2"/>
                <w:sz w:val="18"/>
                <w:szCs w:val="18"/>
              </w:rPr>
              <w:t>以下称重点区域</w:t>
            </w:r>
            <w:r>
              <w:rPr>
                <w:rFonts w:ascii="Times New Roman" w:hAnsi="Times New Roman" w:eastAsia="Times New Roman" w:cs="Times New Roman"/>
                <w:spacing w:val="2"/>
                <w:sz w:val="18"/>
                <w:szCs w:val="18"/>
              </w:rPr>
              <w:t>)</w:t>
            </w:r>
            <w:r>
              <w:rPr>
                <w:spacing w:val="2"/>
                <w:sz w:val="18"/>
                <w:szCs w:val="18"/>
              </w:rPr>
              <w:t>内新建耗煤项目还应严格按规</w:t>
            </w:r>
            <w:r>
              <w:rPr>
                <w:spacing w:val="16"/>
                <w:sz w:val="18"/>
                <w:szCs w:val="18"/>
              </w:rPr>
              <w:t xml:space="preserve"> </w:t>
            </w:r>
            <w:r>
              <w:rPr>
                <w:sz w:val="18"/>
                <w:szCs w:val="18"/>
              </w:rPr>
              <w:t>定采取煤炭消费减量替代措施，不得使用高污染燃料作</w:t>
            </w:r>
            <w:r>
              <w:rPr>
                <w:spacing w:val="-1"/>
                <w:sz w:val="18"/>
                <w:szCs w:val="18"/>
              </w:rPr>
              <w:t>为煤炭减量替代措施</w:t>
            </w:r>
            <w:r>
              <w:rPr>
                <w:rFonts w:ascii="Times New Roman" w:hAnsi="Times New Roman" w:eastAsia="Times New Roman" w:cs="Times New Roman"/>
                <w:spacing w:val="-1"/>
                <w:sz w:val="18"/>
                <w:szCs w:val="18"/>
              </w:rPr>
              <w:t>;</w:t>
            </w:r>
            <w:r>
              <w:rPr>
                <w:spacing w:val="-1"/>
                <w:sz w:val="18"/>
                <w:szCs w:val="18"/>
              </w:rPr>
              <w:t>重点</w:t>
            </w:r>
            <w:r>
              <w:rPr>
                <w:sz w:val="18"/>
                <w:szCs w:val="18"/>
              </w:rPr>
              <w:t xml:space="preserve"> </w:t>
            </w:r>
            <w:r>
              <w:rPr>
                <w:spacing w:val="1"/>
                <w:sz w:val="18"/>
                <w:szCs w:val="18"/>
              </w:rPr>
              <w:t>区域执行大气污染物特别排放限值，严禁新增钢铁、电力、水泥、玻璃、砖瓦、</w:t>
            </w:r>
            <w:r>
              <w:rPr>
                <w:spacing w:val="3"/>
                <w:sz w:val="18"/>
                <w:szCs w:val="18"/>
              </w:rPr>
              <w:t xml:space="preserve"> </w:t>
            </w:r>
            <w:r>
              <w:rPr>
                <w:spacing w:val="-1"/>
                <w:sz w:val="18"/>
                <w:szCs w:val="18"/>
              </w:rPr>
              <w:t>陶瓷、焦化、电解铝、有色等重点行业大气污染物排放。</w:t>
            </w:r>
          </w:p>
          <w:p w14:paraId="127D6A87">
            <w:pPr>
              <w:pStyle w:val="6"/>
              <w:spacing w:before="19" w:line="220" w:lineRule="auto"/>
              <w:ind w:left="51" w:right="43" w:firstLine="358"/>
              <w:rPr>
                <w:sz w:val="18"/>
                <w:szCs w:val="18"/>
              </w:rPr>
            </w:pPr>
            <w:r>
              <w:rPr>
                <w:sz w:val="18"/>
                <w:szCs w:val="18"/>
              </w:rPr>
              <w:t>钢铁行业新建应参考达州市“三线一单</w:t>
            </w:r>
            <w:r>
              <w:rPr>
                <w:spacing w:val="-47"/>
                <w:sz w:val="18"/>
                <w:szCs w:val="18"/>
              </w:rPr>
              <w:t xml:space="preserve"> </w:t>
            </w:r>
            <w:r>
              <w:rPr>
                <w:sz w:val="18"/>
                <w:szCs w:val="18"/>
              </w:rPr>
              <w:t xml:space="preserve">”生态环境分区管控中钢铁行业资源 </w:t>
            </w:r>
            <w:r>
              <w:rPr>
                <w:spacing w:val="-1"/>
                <w:sz w:val="18"/>
                <w:szCs w:val="18"/>
              </w:rPr>
              <w:t>环境绩效准入门槛。</w:t>
            </w:r>
          </w:p>
        </w:tc>
        <w:tc>
          <w:tcPr>
            <w:tcW w:w="1695" w:type="dxa"/>
            <w:vAlign w:val="top"/>
          </w:tcPr>
          <w:p w14:paraId="332077C2">
            <w:pPr>
              <w:spacing w:line="259" w:lineRule="auto"/>
              <w:rPr>
                <w:rFonts w:ascii="Arial"/>
                <w:sz w:val="21"/>
              </w:rPr>
            </w:pPr>
          </w:p>
          <w:p w14:paraId="158012BA">
            <w:pPr>
              <w:spacing w:line="259" w:lineRule="auto"/>
              <w:rPr>
                <w:rFonts w:ascii="Arial"/>
                <w:sz w:val="21"/>
              </w:rPr>
            </w:pPr>
          </w:p>
          <w:p w14:paraId="7E3787CB">
            <w:pPr>
              <w:spacing w:line="259" w:lineRule="auto"/>
              <w:rPr>
                <w:rFonts w:ascii="Arial"/>
                <w:sz w:val="21"/>
              </w:rPr>
            </w:pPr>
          </w:p>
          <w:p w14:paraId="5FBDAA01">
            <w:pPr>
              <w:spacing w:line="259" w:lineRule="auto"/>
              <w:rPr>
                <w:rFonts w:ascii="Arial"/>
                <w:sz w:val="21"/>
              </w:rPr>
            </w:pPr>
          </w:p>
          <w:p w14:paraId="401D98F9">
            <w:pPr>
              <w:spacing w:line="260" w:lineRule="auto"/>
              <w:rPr>
                <w:rFonts w:ascii="Arial"/>
                <w:sz w:val="21"/>
              </w:rPr>
            </w:pPr>
          </w:p>
          <w:p w14:paraId="20D7758C">
            <w:pPr>
              <w:spacing w:line="260" w:lineRule="auto"/>
              <w:rPr>
                <w:rFonts w:ascii="Arial"/>
                <w:sz w:val="21"/>
              </w:rPr>
            </w:pPr>
          </w:p>
          <w:p w14:paraId="54DAAC1C">
            <w:pPr>
              <w:spacing w:line="260" w:lineRule="auto"/>
              <w:rPr>
                <w:rFonts w:ascii="Arial"/>
                <w:sz w:val="21"/>
              </w:rPr>
            </w:pPr>
          </w:p>
          <w:p w14:paraId="6A7004C7">
            <w:pPr>
              <w:spacing w:line="260" w:lineRule="auto"/>
              <w:rPr>
                <w:rFonts w:ascii="Arial"/>
                <w:sz w:val="21"/>
              </w:rPr>
            </w:pPr>
          </w:p>
          <w:p w14:paraId="6BE0B822">
            <w:pPr>
              <w:spacing w:line="260" w:lineRule="auto"/>
              <w:rPr>
                <w:rFonts w:ascii="Arial"/>
                <w:sz w:val="21"/>
              </w:rPr>
            </w:pPr>
          </w:p>
          <w:p w14:paraId="37D10E53">
            <w:pPr>
              <w:spacing w:line="260" w:lineRule="auto"/>
              <w:rPr>
                <w:rFonts w:ascii="Arial"/>
                <w:sz w:val="21"/>
              </w:rPr>
            </w:pPr>
          </w:p>
          <w:p w14:paraId="3FEA25FA">
            <w:pPr>
              <w:spacing w:line="260" w:lineRule="auto"/>
              <w:rPr>
                <w:rFonts w:ascii="Arial"/>
                <w:sz w:val="21"/>
              </w:rPr>
            </w:pPr>
          </w:p>
          <w:p w14:paraId="2A1BC47A">
            <w:pPr>
              <w:spacing w:line="260" w:lineRule="auto"/>
              <w:rPr>
                <w:rFonts w:ascii="Arial"/>
                <w:sz w:val="21"/>
              </w:rPr>
            </w:pPr>
          </w:p>
          <w:p w14:paraId="4736D970">
            <w:pPr>
              <w:pStyle w:val="6"/>
              <w:spacing w:before="59" w:line="229" w:lineRule="auto"/>
              <w:ind w:left="52" w:right="113" w:firstLine="14"/>
              <w:rPr>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21"/>
                <w:sz w:val="18"/>
                <w:szCs w:val="18"/>
              </w:rPr>
              <w:t xml:space="preserve"> </w:t>
            </w:r>
            <w:r>
              <w:rPr>
                <w:spacing w:val="-5"/>
                <w:sz w:val="18"/>
                <w:szCs w:val="18"/>
              </w:rPr>
              <w:t>、本项目生产废水</w:t>
            </w:r>
            <w:r>
              <w:rPr>
                <w:sz w:val="18"/>
                <w:szCs w:val="18"/>
              </w:rPr>
              <w:t xml:space="preserve"> </w:t>
            </w:r>
            <w:r>
              <w:rPr>
                <w:spacing w:val="-1"/>
                <w:sz w:val="18"/>
                <w:szCs w:val="18"/>
              </w:rPr>
              <w:t>全部循环回用不外</w:t>
            </w:r>
          </w:p>
          <w:p w14:paraId="1482874F">
            <w:pPr>
              <w:pStyle w:val="6"/>
              <w:spacing w:before="19" w:line="229" w:lineRule="auto"/>
              <w:ind w:left="53" w:right="41" w:hanging="1"/>
              <w:rPr>
                <w:sz w:val="18"/>
                <w:szCs w:val="18"/>
              </w:rPr>
            </w:pPr>
            <w:r>
              <w:rPr>
                <w:spacing w:val="-3"/>
                <w:sz w:val="18"/>
                <w:szCs w:val="18"/>
              </w:rPr>
              <w:t>排；生活污水经定期</w:t>
            </w:r>
            <w:r>
              <w:rPr>
                <w:spacing w:val="2"/>
                <w:sz w:val="18"/>
                <w:szCs w:val="18"/>
              </w:rPr>
              <w:t xml:space="preserve"> </w:t>
            </w:r>
            <w:r>
              <w:rPr>
                <w:spacing w:val="-2"/>
                <w:sz w:val="18"/>
                <w:szCs w:val="18"/>
              </w:rPr>
              <w:t>拉运至东岳场镇污</w:t>
            </w:r>
          </w:p>
          <w:p w14:paraId="1B621B2F">
            <w:pPr>
              <w:pStyle w:val="6"/>
              <w:spacing w:before="19" w:line="219" w:lineRule="auto"/>
              <w:ind w:left="54"/>
              <w:rPr>
                <w:sz w:val="18"/>
                <w:szCs w:val="18"/>
              </w:rPr>
            </w:pPr>
            <w:r>
              <w:rPr>
                <w:spacing w:val="-2"/>
                <w:sz w:val="18"/>
                <w:szCs w:val="18"/>
              </w:rPr>
              <w:t>水处理厂处理后。</w:t>
            </w:r>
          </w:p>
          <w:p w14:paraId="0E19FC7F">
            <w:pPr>
              <w:pStyle w:val="6"/>
              <w:spacing w:before="21" w:line="234" w:lineRule="auto"/>
              <w:ind w:left="47" w:right="41" w:firstLine="2"/>
              <w:rPr>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22"/>
                <w:sz w:val="18"/>
                <w:szCs w:val="18"/>
              </w:rPr>
              <w:t xml:space="preserve"> </w:t>
            </w:r>
            <w:r>
              <w:rPr>
                <w:spacing w:val="-3"/>
                <w:sz w:val="18"/>
                <w:szCs w:val="18"/>
              </w:rPr>
              <w:t>、本项目涉及排放</w:t>
            </w:r>
            <w:r>
              <w:rPr>
                <w:sz w:val="18"/>
                <w:szCs w:val="18"/>
              </w:rPr>
              <w:t xml:space="preserve">  </w:t>
            </w:r>
            <w:r>
              <w:rPr>
                <w:rFonts w:ascii="Times New Roman" w:hAnsi="Times New Roman" w:eastAsia="Times New Roman" w:cs="Times New Roman"/>
                <w:spacing w:val="-2"/>
                <w:sz w:val="18"/>
                <w:szCs w:val="18"/>
              </w:rPr>
              <w:t>VOC</w:t>
            </w:r>
            <w:r>
              <w:rPr>
                <w:rFonts w:ascii="Times New Roman" w:hAnsi="Times New Roman" w:eastAsia="Times New Roman" w:cs="Times New Roman"/>
                <w:spacing w:val="-2"/>
                <w:position w:val="-1"/>
                <w:sz w:val="11"/>
                <w:szCs w:val="11"/>
              </w:rPr>
              <w:t>S</w:t>
            </w:r>
            <w:r>
              <w:rPr>
                <w:rFonts w:ascii="Times New Roman" w:hAnsi="Times New Roman" w:eastAsia="Times New Roman" w:cs="Times New Roman"/>
                <w:spacing w:val="-8"/>
                <w:position w:val="-1"/>
                <w:sz w:val="11"/>
                <w:szCs w:val="11"/>
              </w:rPr>
              <w:t xml:space="preserve"> </w:t>
            </w:r>
            <w:r>
              <w:rPr>
                <w:spacing w:val="-2"/>
                <w:sz w:val="18"/>
                <w:szCs w:val="18"/>
              </w:rPr>
              <w:t>，采取相应的</w:t>
            </w:r>
            <w:r>
              <w:rPr>
                <w:sz w:val="18"/>
                <w:szCs w:val="18"/>
              </w:rPr>
              <w:t xml:space="preserve">  </w:t>
            </w:r>
            <w:r>
              <w:rPr>
                <w:spacing w:val="-3"/>
                <w:sz w:val="18"/>
                <w:szCs w:val="18"/>
              </w:rPr>
              <w:t>污染治理措施后，能</w:t>
            </w:r>
            <w:r>
              <w:rPr>
                <w:spacing w:val="7"/>
                <w:sz w:val="18"/>
                <w:szCs w:val="18"/>
              </w:rPr>
              <w:t xml:space="preserve"> </w:t>
            </w:r>
            <w:r>
              <w:rPr>
                <w:spacing w:val="-1"/>
                <w:sz w:val="18"/>
                <w:szCs w:val="18"/>
              </w:rPr>
              <w:t>够实现达标排放。</w:t>
            </w:r>
          </w:p>
        </w:tc>
        <w:tc>
          <w:tcPr>
            <w:tcW w:w="561" w:type="dxa"/>
            <w:vAlign w:val="top"/>
          </w:tcPr>
          <w:p w14:paraId="57F9B5D7">
            <w:pPr>
              <w:spacing w:line="252" w:lineRule="auto"/>
              <w:rPr>
                <w:rFonts w:ascii="Arial"/>
                <w:sz w:val="21"/>
              </w:rPr>
            </w:pPr>
          </w:p>
          <w:p w14:paraId="273BA3F4">
            <w:pPr>
              <w:spacing w:line="252" w:lineRule="auto"/>
              <w:rPr>
                <w:rFonts w:ascii="Arial"/>
                <w:sz w:val="21"/>
              </w:rPr>
            </w:pPr>
          </w:p>
          <w:p w14:paraId="243A6399">
            <w:pPr>
              <w:spacing w:line="252" w:lineRule="auto"/>
              <w:rPr>
                <w:rFonts w:ascii="Arial"/>
                <w:sz w:val="21"/>
              </w:rPr>
            </w:pPr>
          </w:p>
          <w:p w14:paraId="02B52324">
            <w:pPr>
              <w:spacing w:line="252" w:lineRule="auto"/>
              <w:rPr>
                <w:rFonts w:ascii="Arial"/>
                <w:sz w:val="21"/>
              </w:rPr>
            </w:pPr>
          </w:p>
          <w:p w14:paraId="6CF0E707">
            <w:pPr>
              <w:spacing w:line="252" w:lineRule="auto"/>
              <w:rPr>
                <w:rFonts w:ascii="Arial"/>
                <w:sz w:val="21"/>
              </w:rPr>
            </w:pPr>
          </w:p>
          <w:p w14:paraId="48B43409">
            <w:pPr>
              <w:spacing w:line="252" w:lineRule="auto"/>
              <w:rPr>
                <w:rFonts w:ascii="Arial"/>
                <w:sz w:val="21"/>
              </w:rPr>
            </w:pPr>
          </w:p>
          <w:p w14:paraId="6FA188DA">
            <w:pPr>
              <w:spacing w:line="253" w:lineRule="auto"/>
              <w:rPr>
                <w:rFonts w:ascii="Arial"/>
                <w:sz w:val="21"/>
              </w:rPr>
            </w:pPr>
          </w:p>
          <w:p w14:paraId="2AC1D25D">
            <w:pPr>
              <w:spacing w:line="253" w:lineRule="auto"/>
              <w:rPr>
                <w:rFonts w:ascii="Arial"/>
                <w:sz w:val="21"/>
              </w:rPr>
            </w:pPr>
          </w:p>
          <w:p w14:paraId="0FFF2F2F">
            <w:pPr>
              <w:spacing w:line="253" w:lineRule="auto"/>
              <w:rPr>
                <w:rFonts w:ascii="Arial"/>
                <w:sz w:val="21"/>
              </w:rPr>
            </w:pPr>
          </w:p>
          <w:p w14:paraId="1038FFA0">
            <w:pPr>
              <w:spacing w:line="253" w:lineRule="auto"/>
              <w:rPr>
                <w:rFonts w:ascii="Arial"/>
                <w:sz w:val="21"/>
              </w:rPr>
            </w:pPr>
          </w:p>
          <w:p w14:paraId="571F90CA">
            <w:pPr>
              <w:spacing w:line="253" w:lineRule="auto"/>
              <w:rPr>
                <w:rFonts w:ascii="Arial"/>
                <w:sz w:val="21"/>
              </w:rPr>
            </w:pPr>
          </w:p>
          <w:p w14:paraId="6B52A42E">
            <w:pPr>
              <w:spacing w:line="253" w:lineRule="auto"/>
              <w:rPr>
                <w:rFonts w:ascii="Arial"/>
                <w:sz w:val="21"/>
              </w:rPr>
            </w:pPr>
          </w:p>
          <w:p w14:paraId="26325F12">
            <w:pPr>
              <w:spacing w:line="253" w:lineRule="auto"/>
              <w:rPr>
                <w:rFonts w:ascii="Arial"/>
                <w:sz w:val="21"/>
              </w:rPr>
            </w:pPr>
          </w:p>
          <w:p w14:paraId="53C9CCF6">
            <w:pPr>
              <w:spacing w:line="253" w:lineRule="auto"/>
              <w:rPr>
                <w:rFonts w:ascii="Arial"/>
                <w:sz w:val="21"/>
              </w:rPr>
            </w:pPr>
          </w:p>
          <w:p w14:paraId="3AE8EEA1">
            <w:pPr>
              <w:spacing w:line="253" w:lineRule="auto"/>
              <w:rPr>
                <w:rFonts w:ascii="Arial"/>
                <w:sz w:val="21"/>
              </w:rPr>
            </w:pPr>
          </w:p>
          <w:p w14:paraId="09B53C5F">
            <w:pPr>
              <w:spacing w:line="253" w:lineRule="auto"/>
              <w:rPr>
                <w:rFonts w:ascii="Arial"/>
                <w:sz w:val="21"/>
              </w:rPr>
            </w:pPr>
          </w:p>
          <w:p w14:paraId="1E7B4C7C">
            <w:pPr>
              <w:pStyle w:val="6"/>
              <w:spacing w:before="58" w:line="219" w:lineRule="auto"/>
              <w:ind w:left="108"/>
              <w:rPr>
                <w:sz w:val="18"/>
                <w:szCs w:val="18"/>
              </w:rPr>
            </w:pPr>
            <w:r>
              <w:rPr>
                <w:spacing w:val="-5"/>
                <w:sz w:val="18"/>
                <w:szCs w:val="18"/>
              </w:rPr>
              <w:t>符合</w:t>
            </w:r>
          </w:p>
        </w:tc>
        <w:tc>
          <w:tcPr>
            <w:tcW w:w="149" w:type="dxa"/>
            <w:vAlign w:val="top"/>
          </w:tcPr>
          <w:p w14:paraId="2F9FCDDA">
            <w:pPr>
              <w:rPr>
                <w:rFonts w:ascii="Arial"/>
                <w:sz w:val="21"/>
              </w:rPr>
            </w:pPr>
          </w:p>
        </w:tc>
      </w:tr>
      <w:tr w14:paraId="013D7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1705" w:type="dxa"/>
            <w:vMerge w:val="continue"/>
            <w:tcBorders>
              <w:top w:val="nil"/>
            </w:tcBorders>
            <w:vAlign w:val="top"/>
          </w:tcPr>
          <w:p w14:paraId="34BD0E21">
            <w:pPr>
              <w:rPr>
                <w:rFonts w:ascii="Arial"/>
                <w:sz w:val="21"/>
              </w:rPr>
            </w:pPr>
          </w:p>
        </w:tc>
        <w:tc>
          <w:tcPr>
            <w:tcW w:w="11766" w:type="dxa"/>
            <w:gridSpan w:val="8"/>
            <w:vAlign w:val="top"/>
          </w:tcPr>
          <w:p w14:paraId="0607D8CC">
            <w:pPr>
              <w:spacing w:line="141" w:lineRule="exact"/>
              <w:rPr>
                <w:rFonts w:ascii="Arial"/>
                <w:sz w:val="12"/>
              </w:rPr>
            </w:pPr>
          </w:p>
        </w:tc>
      </w:tr>
    </w:tbl>
    <w:p w14:paraId="2DAF6047">
      <w:pPr>
        <w:pStyle w:val="2"/>
      </w:pPr>
    </w:p>
    <w:p w14:paraId="5186B762">
      <w:pPr>
        <w:sectPr>
          <w:footerReference r:id="rId13" w:type="default"/>
          <w:pgSz w:w="16839" w:h="11906"/>
          <w:pgMar w:top="1012" w:right="1681" w:bottom="1260" w:left="1680" w:header="0" w:footer="1080" w:gutter="0"/>
          <w:cols w:space="720" w:num="1"/>
        </w:sectPr>
      </w:pPr>
    </w:p>
    <w:p w14:paraId="5DDB05C6">
      <w:pPr>
        <w:spacing w:before="18"/>
      </w:pPr>
    </w:p>
    <w:p w14:paraId="71CC5ADB">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03ABF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0" w:hRule="atLeast"/>
        </w:trPr>
        <w:tc>
          <w:tcPr>
            <w:tcW w:w="1705" w:type="dxa"/>
            <w:vMerge w:val="restart"/>
            <w:tcBorders>
              <w:bottom w:val="nil"/>
            </w:tcBorders>
            <w:vAlign w:val="top"/>
          </w:tcPr>
          <w:p w14:paraId="639EC278">
            <w:pPr>
              <w:spacing w:line="256" w:lineRule="auto"/>
              <w:rPr>
                <w:rFonts w:ascii="Arial"/>
                <w:sz w:val="21"/>
              </w:rPr>
            </w:pPr>
          </w:p>
          <w:p w14:paraId="3BD51C97">
            <w:pPr>
              <w:spacing w:line="256" w:lineRule="auto"/>
              <w:rPr>
                <w:rFonts w:ascii="Arial"/>
                <w:sz w:val="21"/>
              </w:rPr>
            </w:pPr>
          </w:p>
          <w:p w14:paraId="091A2096">
            <w:pPr>
              <w:spacing w:line="256" w:lineRule="auto"/>
              <w:rPr>
                <w:rFonts w:ascii="Arial"/>
                <w:sz w:val="21"/>
              </w:rPr>
            </w:pPr>
          </w:p>
          <w:p w14:paraId="26417A06">
            <w:pPr>
              <w:spacing w:line="256" w:lineRule="auto"/>
              <w:rPr>
                <w:rFonts w:ascii="Arial"/>
                <w:sz w:val="21"/>
              </w:rPr>
            </w:pPr>
          </w:p>
          <w:p w14:paraId="43827353">
            <w:pPr>
              <w:spacing w:line="256" w:lineRule="auto"/>
              <w:rPr>
                <w:rFonts w:ascii="Arial"/>
                <w:sz w:val="21"/>
              </w:rPr>
            </w:pPr>
          </w:p>
          <w:p w14:paraId="5A0E8EC3">
            <w:pPr>
              <w:spacing w:line="256" w:lineRule="auto"/>
              <w:rPr>
                <w:rFonts w:ascii="Arial"/>
                <w:sz w:val="21"/>
              </w:rPr>
            </w:pPr>
          </w:p>
          <w:p w14:paraId="24C32289">
            <w:pPr>
              <w:spacing w:line="256" w:lineRule="auto"/>
              <w:rPr>
                <w:rFonts w:ascii="Arial"/>
                <w:sz w:val="21"/>
              </w:rPr>
            </w:pPr>
          </w:p>
          <w:p w14:paraId="004ACAC5">
            <w:pPr>
              <w:spacing w:line="256" w:lineRule="auto"/>
              <w:rPr>
                <w:rFonts w:ascii="Arial"/>
                <w:sz w:val="21"/>
              </w:rPr>
            </w:pPr>
          </w:p>
          <w:p w14:paraId="4A4B1423">
            <w:pPr>
              <w:spacing w:line="257" w:lineRule="auto"/>
              <w:rPr>
                <w:rFonts w:ascii="Arial"/>
                <w:sz w:val="21"/>
              </w:rPr>
            </w:pPr>
          </w:p>
          <w:p w14:paraId="4CFA5818">
            <w:pPr>
              <w:spacing w:line="257" w:lineRule="auto"/>
              <w:rPr>
                <w:rFonts w:ascii="Arial"/>
                <w:sz w:val="21"/>
              </w:rPr>
            </w:pPr>
          </w:p>
          <w:p w14:paraId="5B7A991C">
            <w:pPr>
              <w:spacing w:line="257" w:lineRule="auto"/>
              <w:rPr>
                <w:rFonts w:ascii="Arial"/>
                <w:sz w:val="21"/>
              </w:rPr>
            </w:pPr>
          </w:p>
          <w:p w14:paraId="20DCB56A">
            <w:pPr>
              <w:spacing w:line="257" w:lineRule="auto"/>
              <w:rPr>
                <w:rFonts w:ascii="Arial"/>
                <w:sz w:val="21"/>
              </w:rPr>
            </w:pPr>
          </w:p>
          <w:p w14:paraId="4F74C1FC">
            <w:pPr>
              <w:spacing w:line="257" w:lineRule="auto"/>
              <w:rPr>
                <w:rFonts w:ascii="Arial"/>
                <w:sz w:val="21"/>
              </w:rPr>
            </w:pPr>
          </w:p>
          <w:p w14:paraId="6B992897">
            <w:pPr>
              <w:spacing w:line="257" w:lineRule="auto"/>
              <w:rPr>
                <w:rFonts w:ascii="Arial"/>
                <w:sz w:val="21"/>
              </w:rPr>
            </w:pPr>
          </w:p>
          <w:p w14:paraId="46911EC3">
            <w:pPr>
              <w:pStyle w:val="6"/>
              <w:spacing w:before="65" w:line="228" w:lineRule="auto"/>
              <w:ind w:left="116"/>
              <w:rPr>
                <w:sz w:val="20"/>
                <w:szCs w:val="20"/>
              </w:rPr>
            </w:pPr>
            <w:r>
              <w:rPr>
                <w:spacing w:val="8"/>
                <w:sz w:val="20"/>
                <w:szCs w:val="20"/>
              </w:rPr>
              <w:t>其他符合性分析</w:t>
            </w:r>
          </w:p>
        </w:tc>
        <w:tc>
          <w:tcPr>
            <w:tcW w:w="143" w:type="dxa"/>
            <w:tcBorders>
              <w:bottom w:val="nil"/>
            </w:tcBorders>
            <w:vAlign w:val="top"/>
          </w:tcPr>
          <w:p w14:paraId="1F5C1BD5">
            <w:pPr>
              <w:rPr>
                <w:rFonts w:ascii="Arial"/>
                <w:sz w:val="21"/>
              </w:rPr>
            </w:pPr>
          </w:p>
        </w:tc>
        <w:tc>
          <w:tcPr>
            <w:tcW w:w="1011" w:type="dxa"/>
            <w:vAlign w:val="top"/>
          </w:tcPr>
          <w:p w14:paraId="1B1D9E3C">
            <w:pPr>
              <w:rPr>
                <w:rFonts w:ascii="Arial"/>
                <w:sz w:val="21"/>
              </w:rPr>
            </w:pPr>
          </w:p>
        </w:tc>
        <w:tc>
          <w:tcPr>
            <w:tcW w:w="886" w:type="dxa"/>
            <w:vAlign w:val="top"/>
          </w:tcPr>
          <w:p w14:paraId="7B57FD75">
            <w:pPr>
              <w:rPr>
                <w:rFonts w:ascii="Arial"/>
                <w:sz w:val="21"/>
              </w:rPr>
            </w:pPr>
          </w:p>
        </w:tc>
        <w:tc>
          <w:tcPr>
            <w:tcW w:w="879" w:type="dxa"/>
            <w:vAlign w:val="top"/>
          </w:tcPr>
          <w:p w14:paraId="290BD634">
            <w:pPr>
              <w:rPr>
                <w:rFonts w:ascii="Arial"/>
                <w:sz w:val="21"/>
              </w:rPr>
            </w:pPr>
          </w:p>
        </w:tc>
        <w:tc>
          <w:tcPr>
            <w:tcW w:w="6443" w:type="dxa"/>
            <w:vAlign w:val="top"/>
          </w:tcPr>
          <w:p w14:paraId="00FEF411">
            <w:pPr>
              <w:pStyle w:val="6"/>
              <w:spacing w:before="43" w:line="235" w:lineRule="auto"/>
              <w:ind w:left="49" w:right="41" w:firstLine="357"/>
              <w:jc w:val="both"/>
              <w:rPr>
                <w:sz w:val="18"/>
                <w:szCs w:val="18"/>
              </w:rPr>
            </w:pPr>
            <w:r>
              <w:rPr>
                <w:rFonts w:ascii="Times New Roman" w:hAnsi="Times New Roman" w:eastAsia="Times New Roman" w:cs="Times New Roman"/>
                <w:spacing w:val="-2"/>
                <w:sz w:val="18"/>
                <w:szCs w:val="18"/>
              </w:rPr>
              <w:t xml:space="preserve">2030 </w:t>
            </w:r>
            <w:r>
              <w:rPr>
                <w:spacing w:val="-2"/>
                <w:sz w:val="18"/>
                <w:szCs w:val="18"/>
              </w:rPr>
              <w:t>年，渠江流域用水总量控制在</w:t>
            </w:r>
            <w:r>
              <w:rPr>
                <w:spacing w:val="-35"/>
                <w:sz w:val="18"/>
                <w:szCs w:val="18"/>
              </w:rPr>
              <w:t xml:space="preserve"> </w:t>
            </w:r>
            <w:r>
              <w:rPr>
                <w:rFonts w:ascii="Times New Roman" w:hAnsi="Times New Roman" w:eastAsia="Times New Roman" w:cs="Times New Roman"/>
                <w:spacing w:val="-2"/>
                <w:sz w:val="18"/>
                <w:szCs w:val="18"/>
              </w:rPr>
              <w:t xml:space="preserve">31.61 </w:t>
            </w:r>
            <w:r>
              <w:rPr>
                <w:spacing w:val="-2"/>
                <w:sz w:val="18"/>
                <w:szCs w:val="18"/>
              </w:rPr>
              <w:t>亿立方米以内，渠江干流</w:t>
            </w:r>
            <w:r>
              <w:rPr>
                <w:spacing w:val="-38"/>
                <w:sz w:val="18"/>
                <w:szCs w:val="18"/>
              </w:rPr>
              <w:t xml:space="preserve"> </w:t>
            </w:r>
            <w:r>
              <w:rPr>
                <w:rFonts w:ascii="Times New Roman" w:hAnsi="Times New Roman" w:eastAsia="Times New Roman" w:cs="Times New Roman"/>
                <w:spacing w:val="-2"/>
                <w:sz w:val="18"/>
                <w:szCs w:val="18"/>
              </w:rPr>
              <w:t xml:space="preserve">COD </w:t>
            </w:r>
            <w:r>
              <w:rPr>
                <w:spacing w:val="-2"/>
                <w:sz w:val="18"/>
                <w:szCs w:val="18"/>
              </w:rPr>
              <w:t>排放</w:t>
            </w:r>
            <w:r>
              <w:rPr>
                <w:sz w:val="18"/>
                <w:szCs w:val="18"/>
              </w:rPr>
              <w:t xml:space="preserve"> </w:t>
            </w:r>
            <w:r>
              <w:rPr>
                <w:spacing w:val="-1"/>
                <w:sz w:val="18"/>
                <w:szCs w:val="18"/>
              </w:rPr>
              <w:t>总量限制在</w:t>
            </w:r>
            <w:r>
              <w:rPr>
                <w:spacing w:val="-39"/>
                <w:sz w:val="18"/>
                <w:szCs w:val="18"/>
              </w:rPr>
              <w:t xml:space="preserve"> </w:t>
            </w:r>
            <w:r>
              <w:rPr>
                <w:rFonts w:ascii="Times New Roman" w:hAnsi="Times New Roman" w:eastAsia="Times New Roman" w:cs="Times New Roman"/>
                <w:spacing w:val="-1"/>
                <w:sz w:val="18"/>
                <w:szCs w:val="18"/>
              </w:rPr>
              <w:t xml:space="preserve">4.89 </w:t>
            </w:r>
            <w:r>
              <w:rPr>
                <w:spacing w:val="-1"/>
                <w:sz w:val="18"/>
                <w:szCs w:val="18"/>
              </w:rPr>
              <w:t>万</w:t>
            </w:r>
            <w:r>
              <w:rPr>
                <w:spacing w:val="-40"/>
                <w:sz w:val="18"/>
                <w:szCs w:val="18"/>
              </w:rPr>
              <w:t xml:space="preserve"> </w:t>
            </w:r>
            <w:r>
              <w:rPr>
                <w:rFonts w:ascii="Times New Roman" w:hAnsi="Times New Roman" w:eastAsia="Times New Roman" w:cs="Times New Roman"/>
                <w:spacing w:val="-1"/>
                <w:sz w:val="18"/>
                <w:szCs w:val="18"/>
              </w:rPr>
              <w:t>ta</w:t>
            </w:r>
            <w:r>
              <w:rPr>
                <w:rFonts w:ascii="Times New Roman" w:hAnsi="Times New Roman" w:eastAsia="Times New Roman" w:cs="Times New Roman"/>
                <w:spacing w:val="29"/>
                <w:sz w:val="18"/>
                <w:szCs w:val="18"/>
              </w:rPr>
              <w:t xml:space="preserve"> </w:t>
            </w:r>
            <w:r>
              <w:rPr>
                <w:spacing w:val="-1"/>
                <w:sz w:val="18"/>
                <w:szCs w:val="18"/>
              </w:rPr>
              <w:t>内、氨氮排放总量限制在</w:t>
            </w:r>
            <w:r>
              <w:rPr>
                <w:spacing w:val="-36"/>
                <w:sz w:val="18"/>
                <w:szCs w:val="18"/>
              </w:rPr>
              <w:t xml:space="preserve"> </w:t>
            </w:r>
            <w:r>
              <w:rPr>
                <w:rFonts w:ascii="Times New Roman" w:hAnsi="Times New Roman" w:eastAsia="Times New Roman" w:cs="Times New Roman"/>
                <w:spacing w:val="-1"/>
                <w:sz w:val="18"/>
                <w:szCs w:val="18"/>
              </w:rPr>
              <w:t>0.54</w:t>
            </w:r>
            <w:r>
              <w:rPr>
                <w:rFonts w:ascii="Times New Roman" w:hAnsi="Times New Roman" w:eastAsia="Times New Roman" w:cs="Times New Roman"/>
                <w:spacing w:val="14"/>
                <w:sz w:val="18"/>
                <w:szCs w:val="18"/>
              </w:rPr>
              <w:t xml:space="preserve"> </w:t>
            </w:r>
            <w:r>
              <w:rPr>
                <w:spacing w:val="-1"/>
                <w:sz w:val="18"/>
                <w:szCs w:val="18"/>
              </w:rPr>
              <w:t>万</w:t>
            </w:r>
            <w:r>
              <w:rPr>
                <w:spacing w:val="-41"/>
                <w:sz w:val="18"/>
                <w:szCs w:val="18"/>
              </w:rPr>
              <w:t xml:space="preserve"> </w:t>
            </w:r>
            <w:r>
              <w:rPr>
                <w:rFonts w:ascii="Times New Roman" w:hAnsi="Times New Roman" w:eastAsia="Times New Roman" w:cs="Times New Roman"/>
                <w:spacing w:val="-1"/>
                <w:sz w:val="18"/>
                <w:szCs w:val="18"/>
              </w:rPr>
              <w:t>ta</w:t>
            </w:r>
            <w:r>
              <w:rPr>
                <w:rFonts w:ascii="Times New Roman" w:hAnsi="Times New Roman" w:eastAsia="Times New Roman" w:cs="Times New Roman"/>
                <w:spacing w:val="29"/>
                <w:w w:val="101"/>
                <w:sz w:val="18"/>
                <w:szCs w:val="18"/>
              </w:rPr>
              <w:t xml:space="preserve"> </w:t>
            </w:r>
            <w:r>
              <w:rPr>
                <w:spacing w:val="-1"/>
                <w:sz w:val="18"/>
                <w:szCs w:val="18"/>
              </w:rPr>
              <w:t>内。全面推</w:t>
            </w:r>
            <w:r>
              <w:rPr>
                <w:spacing w:val="-2"/>
                <w:sz w:val="18"/>
                <w:szCs w:val="18"/>
              </w:rPr>
              <w:t>进节水型社</w:t>
            </w:r>
            <w:r>
              <w:rPr>
                <w:sz w:val="18"/>
                <w:szCs w:val="18"/>
              </w:rPr>
              <w:t xml:space="preserve"> </w:t>
            </w:r>
            <w:r>
              <w:rPr>
                <w:spacing w:val="1"/>
                <w:sz w:val="18"/>
                <w:szCs w:val="18"/>
              </w:rPr>
              <w:t>会建设，加强河湖（库）水域岸线保护及管理，加强入河排污口规范化建设，加</w:t>
            </w:r>
            <w:r>
              <w:rPr>
                <w:spacing w:val="10"/>
                <w:sz w:val="18"/>
                <w:szCs w:val="18"/>
              </w:rPr>
              <w:t xml:space="preserve"> </w:t>
            </w:r>
            <w:r>
              <w:rPr>
                <w:spacing w:val="1"/>
                <w:sz w:val="18"/>
                <w:szCs w:val="18"/>
              </w:rPr>
              <w:t>强工业污染、农业农村污染、船舶港口污染防治。对流域内饮用水源地进行有效</w:t>
            </w:r>
            <w:r>
              <w:rPr>
                <w:spacing w:val="10"/>
                <w:sz w:val="18"/>
                <w:szCs w:val="18"/>
              </w:rPr>
              <w:t xml:space="preserve"> </w:t>
            </w:r>
            <w:r>
              <w:rPr>
                <w:spacing w:val="-1"/>
                <w:sz w:val="18"/>
                <w:szCs w:val="18"/>
              </w:rPr>
              <w:t>保护及规范化建设。</w:t>
            </w:r>
          </w:p>
          <w:p w14:paraId="22056F90">
            <w:pPr>
              <w:pStyle w:val="6"/>
              <w:spacing w:before="21" w:line="232" w:lineRule="auto"/>
              <w:ind w:left="52" w:right="41" w:firstLine="358"/>
              <w:jc w:val="both"/>
              <w:rPr>
                <w:sz w:val="18"/>
                <w:szCs w:val="18"/>
              </w:rPr>
            </w:pPr>
            <w:r>
              <w:rPr>
                <w:spacing w:val="1"/>
                <w:sz w:val="18"/>
                <w:szCs w:val="18"/>
              </w:rPr>
              <w:t>化工园区应按照分类收集，分质处理的要求，配备专业化工生产废水集中处</w:t>
            </w:r>
            <w:r>
              <w:rPr>
                <w:spacing w:val="10"/>
                <w:sz w:val="18"/>
                <w:szCs w:val="18"/>
              </w:rPr>
              <w:t xml:space="preserve"> </w:t>
            </w:r>
            <w:r>
              <w:rPr>
                <w:spacing w:val="1"/>
                <w:sz w:val="18"/>
                <w:szCs w:val="18"/>
              </w:rPr>
              <w:t>理设施（独立建设或依托骨干企业）及专管或明管输送的配套管网，化工生产废</w:t>
            </w:r>
            <w:r>
              <w:rPr>
                <w:spacing w:val="7"/>
                <w:sz w:val="18"/>
                <w:szCs w:val="18"/>
              </w:rPr>
              <w:t xml:space="preserve"> </w:t>
            </w:r>
            <w:r>
              <w:rPr>
                <w:spacing w:val="-2"/>
                <w:sz w:val="18"/>
                <w:szCs w:val="18"/>
              </w:rPr>
              <w:t>水纳管率达到</w:t>
            </w:r>
            <w:r>
              <w:rPr>
                <w:spacing w:val="-26"/>
                <w:sz w:val="18"/>
                <w:szCs w:val="18"/>
              </w:rPr>
              <w:t xml:space="preserve"> </w:t>
            </w:r>
            <w:r>
              <w:rPr>
                <w:rFonts w:ascii="Times New Roman" w:hAnsi="Times New Roman" w:eastAsia="Times New Roman" w:cs="Times New Roman"/>
                <w:spacing w:val="-2"/>
                <w:sz w:val="18"/>
                <w:szCs w:val="18"/>
              </w:rPr>
              <w:t>100%</w:t>
            </w:r>
            <w:r>
              <w:rPr>
                <w:rFonts w:ascii="Times New Roman" w:hAnsi="Times New Roman" w:eastAsia="Times New Roman" w:cs="Times New Roman"/>
                <w:spacing w:val="-21"/>
                <w:sz w:val="18"/>
                <w:szCs w:val="18"/>
              </w:rPr>
              <w:t xml:space="preserve"> </w:t>
            </w:r>
            <w:r>
              <w:rPr>
                <w:spacing w:val="-2"/>
                <w:sz w:val="18"/>
                <w:szCs w:val="18"/>
              </w:rPr>
              <w:t>。入河排污口设置应符合相关</w:t>
            </w:r>
            <w:r>
              <w:rPr>
                <w:spacing w:val="-3"/>
                <w:sz w:val="18"/>
                <w:szCs w:val="18"/>
              </w:rPr>
              <w:t>规定。</w:t>
            </w:r>
          </w:p>
          <w:p w14:paraId="609536C3">
            <w:pPr>
              <w:pStyle w:val="6"/>
              <w:spacing w:before="21" w:line="236" w:lineRule="auto"/>
              <w:ind w:left="49" w:right="41" w:firstLine="361"/>
              <w:jc w:val="both"/>
              <w:rPr>
                <w:sz w:val="18"/>
                <w:szCs w:val="18"/>
              </w:rPr>
            </w:pPr>
            <w:r>
              <w:rPr>
                <w:sz w:val="18"/>
                <w:szCs w:val="18"/>
              </w:rPr>
              <w:t>重点行业建设项目应遵循重点重金属污染物排放“等量替代</w:t>
            </w:r>
            <w:r>
              <w:rPr>
                <w:spacing w:val="-49"/>
                <w:sz w:val="18"/>
                <w:szCs w:val="18"/>
              </w:rPr>
              <w:t xml:space="preserve"> </w:t>
            </w:r>
            <w:r>
              <w:rPr>
                <w:sz w:val="18"/>
                <w:szCs w:val="18"/>
              </w:rPr>
              <w:t xml:space="preserve">”原则。按国家 </w:t>
            </w:r>
            <w:r>
              <w:rPr>
                <w:spacing w:val="1"/>
                <w:sz w:val="18"/>
                <w:szCs w:val="18"/>
              </w:rPr>
              <w:t>规定，建设单位在提交环境影响评价文件时应明确重点重金属污染物排放总量及</w:t>
            </w:r>
            <w:r>
              <w:rPr>
                <w:spacing w:val="10"/>
                <w:sz w:val="18"/>
                <w:szCs w:val="18"/>
              </w:rPr>
              <w:t xml:space="preserve"> </w:t>
            </w:r>
            <w:r>
              <w:rPr>
                <w:spacing w:val="1"/>
                <w:sz w:val="18"/>
                <w:szCs w:val="18"/>
              </w:rPr>
              <w:t>来源，无明确具体总量来源的，各级生态环境部门不得批准相关环境影响评价文</w:t>
            </w:r>
            <w:r>
              <w:rPr>
                <w:spacing w:val="10"/>
                <w:sz w:val="18"/>
                <w:szCs w:val="18"/>
              </w:rPr>
              <w:t xml:space="preserve"> </w:t>
            </w:r>
            <w:r>
              <w:rPr>
                <w:sz w:val="18"/>
                <w:szCs w:val="18"/>
              </w:rPr>
              <w:t xml:space="preserve">件。重金属污染物排放总量替代管理豁免的情形参见《四川省“十四五”重金属 污染防控工作方案》；重点行业、重点重金属的界定参见《四川省“十四五”重 </w:t>
            </w:r>
            <w:r>
              <w:rPr>
                <w:spacing w:val="-1"/>
                <w:sz w:val="18"/>
                <w:szCs w:val="18"/>
              </w:rPr>
              <w:t>金属污染防控工作方案》。</w:t>
            </w:r>
          </w:p>
          <w:p w14:paraId="17A57AA7">
            <w:pPr>
              <w:pStyle w:val="6"/>
              <w:spacing w:before="17" w:line="232" w:lineRule="auto"/>
              <w:ind w:left="50" w:right="41" w:firstLine="361"/>
              <w:jc w:val="both"/>
              <w:rPr>
                <w:sz w:val="18"/>
                <w:szCs w:val="18"/>
              </w:rPr>
            </w:pPr>
            <w:r>
              <w:rPr>
                <w:spacing w:val="1"/>
                <w:sz w:val="18"/>
                <w:szCs w:val="18"/>
              </w:rPr>
              <w:t>落实《四川省深入打好重污染天气消除、臭氧污染防治和柴油货车污染治理</w:t>
            </w:r>
            <w:r>
              <w:rPr>
                <w:spacing w:val="10"/>
                <w:sz w:val="18"/>
                <w:szCs w:val="18"/>
              </w:rPr>
              <w:t xml:space="preserve"> </w:t>
            </w:r>
            <w:r>
              <w:rPr>
                <w:spacing w:val="-7"/>
                <w:sz w:val="18"/>
                <w:szCs w:val="18"/>
              </w:rPr>
              <w:t>攻坚战实施方案》要求，推进重点行业超低排放改造和深度治理，加快</w:t>
            </w:r>
            <w:r>
              <w:rPr>
                <w:spacing w:val="-8"/>
                <w:sz w:val="18"/>
                <w:szCs w:val="18"/>
              </w:rPr>
              <w:t>实施低</w:t>
            </w:r>
            <w:r>
              <w:rPr>
                <w:spacing w:val="-45"/>
                <w:sz w:val="18"/>
                <w:szCs w:val="18"/>
              </w:rPr>
              <w:t xml:space="preserve"> </w:t>
            </w:r>
            <w:r>
              <w:rPr>
                <w:rFonts w:ascii="Times New Roman" w:hAnsi="Times New Roman" w:eastAsia="Times New Roman" w:cs="Times New Roman"/>
                <w:spacing w:val="-8"/>
                <w:sz w:val="18"/>
                <w:szCs w:val="18"/>
              </w:rPr>
              <w:t>VOCs</w:t>
            </w:r>
            <w:r>
              <w:rPr>
                <w:rFonts w:ascii="Times New Roman" w:hAnsi="Times New Roman" w:eastAsia="Times New Roman" w:cs="Times New Roman"/>
                <w:sz w:val="18"/>
                <w:szCs w:val="18"/>
              </w:rPr>
              <w:t xml:space="preserve"> </w:t>
            </w:r>
            <w:r>
              <w:rPr>
                <w:spacing w:val="1"/>
                <w:sz w:val="18"/>
                <w:szCs w:val="18"/>
              </w:rPr>
              <w:t>含量原辅材料替代，持续开展</w:t>
            </w:r>
            <w:r>
              <w:rPr>
                <w:spacing w:val="-43"/>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4"/>
                <w:w w:val="102"/>
                <w:sz w:val="18"/>
                <w:szCs w:val="18"/>
              </w:rPr>
              <w:t xml:space="preserve"> </w:t>
            </w:r>
            <w:r>
              <w:rPr>
                <w:spacing w:val="1"/>
                <w:sz w:val="18"/>
                <w:szCs w:val="18"/>
              </w:rPr>
              <w:t>治理设施提级增效，强</w:t>
            </w:r>
            <w:r>
              <w:rPr>
                <w:sz w:val="18"/>
                <w:szCs w:val="18"/>
              </w:rPr>
              <w:t>化</w:t>
            </w:r>
            <w:r>
              <w:rPr>
                <w:spacing w:val="-43"/>
                <w:sz w:val="18"/>
                <w:szCs w:val="18"/>
              </w:rPr>
              <w:t xml:space="preserve"> </w:t>
            </w:r>
            <w:r>
              <w:rPr>
                <w:rFonts w:ascii="Times New Roman" w:hAnsi="Times New Roman" w:eastAsia="Times New Roman" w:cs="Times New Roman"/>
                <w:sz w:val="18"/>
                <w:szCs w:val="18"/>
              </w:rPr>
              <w:t xml:space="preserve">VOCs </w:t>
            </w:r>
            <w:r>
              <w:rPr>
                <w:sz w:val="18"/>
                <w:szCs w:val="18"/>
              </w:rPr>
              <w:t xml:space="preserve">无组织排放 </w:t>
            </w:r>
            <w:r>
              <w:rPr>
                <w:spacing w:val="1"/>
                <w:sz w:val="18"/>
                <w:szCs w:val="18"/>
              </w:rPr>
              <w:t>整治，加强非正常工况废气排放管控，推进涉</w:t>
            </w:r>
            <w:r>
              <w:rPr>
                <w:spacing w:val="-36"/>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产业集群治理提升，推进油</w:t>
            </w:r>
            <w:r>
              <w:rPr>
                <w:sz w:val="18"/>
                <w:szCs w:val="18"/>
              </w:rPr>
              <w:t xml:space="preserve"> </w:t>
            </w:r>
            <w:r>
              <w:rPr>
                <w:spacing w:val="-1"/>
                <w:sz w:val="18"/>
                <w:szCs w:val="18"/>
              </w:rPr>
              <w:t>品</w:t>
            </w:r>
            <w:r>
              <w:rPr>
                <w:spacing w:val="-43"/>
                <w:sz w:val="18"/>
                <w:szCs w:val="18"/>
              </w:rPr>
              <w:t xml:space="preserve"> </w:t>
            </w:r>
            <w:r>
              <w:rPr>
                <w:rFonts w:ascii="Times New Roman" w:hAnsi="Times New Roman" w:eastAsia="Times New Roman" w:cs="Times New Roman"/>
                <w:spacing w:val="-1"/>
                <w:sz w:val="18"/>
                <w:szCs w:val="18"/>
              </w:rPr>
              <w:t xml:space="preserve">VOCs </w:t>
            </w:r>
            <w:r>
              <w:rPr>
                <w:spacing w:val="-1"/>
                <w:sz w:val="18"/>
                <w:szCs w:val="18"/>
              </w:rPr>
              <w:t>综合管控。</w:t>
            </w:r>
          </w:p>
        </w:tc>
        <w:tc>
          <w:tcPr>
            <w:tcW w:w="1695" w:type="dxa"/>
            <w:vAlign w:val="top"/>
          </w:tcPr>
          <w:p w14:paraId="6DE4F44C">
            <w:pPr>
              <w:rPr>
                <w:rFonts w:ascii="Arial"/>
                <w:sz w:val="21"/>
              </w:rPr>
            </w:pPr>
          </w:p>
        </w:tc>
        <w:tc>
          <w:tcPr>
            <w:tcW w:w="709" w:type="dxa"/>
            <w:vAlign w:val="top"/>
          </w:tcPr>
          <w:p w14:paraId="3423D542">
            <w:pPr>
              <w:rPr>
                <w:rFonts w:ascii="Arial"/>
                <w:sz w:val="21"/>
              </w:rPr>
            </w:pPr>
            <w:r>
              <w:pict>
                <v:shape id="_x0000_s1029" o:spid="_x0000_s1029" style="position:absolute;left:0pt;margin-left:28pt;margin-top:0.5pt;height:222.2pt;width:0.5pt;mso-position-horizontal-relative:page;mso-position-vertical-relative:page;z-index:251668480;mso-width-relative:page;mso-height-relative:page;" filled="f" stroked="t" coordsize="10,4443" path="m4,0l4,4443e">
                  <v:fill on="f" focussize="0,0"/>
                  <v:stroke weight="0.48pt" color="#000000" miterlimit="2" joinstyle="bevel"/>
                  <v:imagedata o:title=""/>
                  <o:lock v:ext="edit"/>
                </v:shape>
              </w:pict>
            </w:r>
          </w:p>
        </w:tc>
      </w:tr>
      <w:tr w14:paraId="1562E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1705" w:type="dxa"/>
            <w:vMerge w:val="continue"/>
            <w:tcBorders>
              <w:top w:val="nil"/>
            </w:tcBorders>
            <w:vAlign w:val="top"/>
          </w:tcPr>
          <w:p w14:paraId="68C1BD97">
            <w:pPr>
              <w:rPr>
                <w:rFonts w:ascii="Arial"/>
                <w:sz w:val="21"/>
              </w:rPr>
            </w:pPr>
          </w:p>
        </w:tc>
        <w:tc>
          <w:tcPr>
            <w:tcW w:w="11766" w:type="dxa"/>
            <w:gridSpan w:val="7"/>
            <w:vAlign w:val="top"/>
          </w:tcPr>
          <w:p w14:paraId="1F25183E">
            <w:pPr>
              <w:rPr>
                <w:rFonts w:ascii="Arial"/>
                <w:sz w:val="21"/>
              </w:rPr>
            </w:pPr>
          </w:p>
        </w:tc>
      </w:tr>
    </w:tbl>
    <w:p w14:paraId="522F890E">
      <w:pPr>
        <w:pStyle w:val="2"/>
      </w:pPr>
    </w:p>
    <w:p w14:paraId="10CDD77A">
      <w:pPr>
        <w:sectPr>
          <w:footerReference r:id="rId14" w:type="default"/>
          <w:pgSz w:w="16839" w:h="11906"/>
          <w:pgMar w:top="1012" w:right="1681" w:bottom="1260" w:left="1680" w:header="0" w:footer="1080" w:gutter="0"/>
          <w:cols w:space="720" w:num="1"/>
        </w:sectPr>
      </w:pPr>
    </w:p>
    <w:p w14:paraId="75CB1125">
      <w:pPr>
        <w:spacing w:before="18"/>
      </w:pPr>
      <w:r>
        <w:pict>
          <v:shape id="_x0000_s1030" o:spid="_x0000_s1030" style="position:absolute;left:0pt;margin-left:750.15pt;margin-top:77.5pt;height:421.15pt;width:0.5pt;mso-position-horizontal-relative:page;mso-position-vertical-relative:page;z-index:251669504;mso-width-relative:page;mso-height-relative:page;" filled="f" stroked="t" coordsize="10,8422" o:allowincell="f" path="m4,0l4,8422e">
            <v:fill on="f" focussize="0,0"/>
            <v:stroke weight="0.48pt" color="#000000" miterlimit="2" joinstyle="bevel"/>
            <v:imagedata o:title=""/>
            <o:lock v:ext="edit"/>
          </v:shape>
        </w:pict>
      </w:r>
    </w:p>
    <w:p w14:paraId="6DF1C43B">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5B10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3" w:hRule="atLeast"/>
        </w:trPr>
        <w:tc>
          <w:tcPr>
            <w:tcW w:w="1705" w:type="dxa"/>
            <w:vMerge w:val="restart"/>
            <w:tcBorders>
              <w:bottom w:val="nil"/>
            </w:tcBorders>
            <w:vAlign w:val="top"/>
          </w:tcPr>
          <w:p w14:paraId="490CC90F">
            <w:pPr>
              <w:spacing w:line="258" w:lineRule="auto"/>
              <w:rPr>
                <w:rFonts w:ascii="Arial"/>
                <w:sz w:val="21"/>
              </w:rPr>
            </w:pPr>
          </w:p>
          <w:p w14:paraId="6A66EE8A">
            <w:pPr>
              <w:spacing w:line="258" w:lineRule="auto"/>
              <w:rPr>
                <w:rFonts w:ascii="Arial"/>
                <w:sz w:val="21"/>
              </w:rPr>
            </w:pPr>
          </w:p>
          <w:p w14:paraId="6F5ED6DC">
            <w:pPr>
              <w:spacing w:line="258" w:lineRule="auto"/>
              <w:rPr>
                <w:rFonts w:ascii="Arial"/>
                <w:sz w:val="21"/>
              </w:rPr>
            </w:pPr>
          </w:p>
          <w:p w14:paraId="39F39272">
            <w:pPr>
              <w:spacing w:line="258" w:lineRule="auto"/>
              <w:rPr>
                <w:rFonts w:ascii="Arial"/>
                <w:sz w:val="21"/>
              </w:rPr>
            </w:pPr>
          </w:p>
          <w:p w14:paraId="023D7A85">
            <w:pPr>
              <w:spacing w:line="258" w:lineRule="auto"/>
              <w:rPr>
                <w:rFonts w:ascii="Arial"/>
                <w:sz w:val="21"/>
              </w:rPr>
            </w:pPr>
          </w:p>
          <w:p w14:paraId="2CB5494A">
            <w:pPr>
              <w:spacing w:line="258" w:lineRule="auto"/>
              <w:rPr>
                <w:rFonts w:ascii="Arial"/>
                <w:sz w:val="21"/>
              </w:rPr>
            </w:pPr>
          </w:p>
          <w:p w14:paraId="43B1A0B3">
            <w:pPr>
              <w:spacing w:line="258" w:lineRule="auto"/>
              <w:rPr>
                <w:rFonts w:ascii="Arial"/>
                <w:sz w:val="21"/>
              </w:rPr>
            </w:pPr>
          </w:p>
          <w:p w14:paraId="11FA3CDB">
            <w:pPr>
              <w:spacing w:line="258" w:lineRule="auto"/>
              <w:rPr>
                <w:rFonts w:ascii="Arial"/>
                <w:sz w:val="21"/>
              </w:rPr>
            </w:pPr>
          </w:p>
          <w:p w14:paraId="093D6C48">
            <w:pPr>
              <w:spacing w:line="258" w:lineRule="auto"/>
              <w:rPr>
                <w:rFonts w:ascii="Arial"/>
                <w:sz w:val="21"/>
              </w:rPr>
            </w:pPr>
          </w:p>
          <w:p w14:paraId="35089D38">
            <w:pPr>
              <w:spacing w:line="258" w:lineRule="auto"/>
              <w:rPr>
                <w:rFonts w:ascii="Arial"/>
                <w:sz w:val="21"/>
              </w:rPr>
            </w:pPr>
          </w:p>
          <w:p w14:paraId="634C0EEF">
            <w:pPr>
              <w:spacing w:line="258" w:lineRule="auto"/>
              <w:rPr>
                <w:rFonts w:ascii="Arial"/>
                <w:sz w:val="21"/>
              </w:rPr>
            </w:pPr>
          </w:p>
          <w:p w14:paraId="7C071812">
            <w:pPr>
              <w:spacing w:line="258" w:lineRule="auto"/>
              <w:rPr>
                <w:rFonts w:ascii="Arial"/>
                <w:sz w:val="21"/>
              </w:rPr>
            </w:pPr>
          </w:p>
          <w:p w14:paraId="4304D783">
            <w:pPr>
              <w:spacing w:line="258" w:lineRule="auto"/>
              <w:rPr>
                <w:rFonts w:ascii="Arial"/>
                <w:sz w:val="21"/>
              </w:rPr>
            </w:pPr>
          </w:p>
          <w:p w14:paraId="3B695D23">
            <w:pPr>
              <w:pStyle w:val="6"/>
              <w:spacing w:before="65" w:line="228" w:lineRule="auto"/>
              <w:ind w:left="116"/>
              <w:rPr>
                <w:sz w:val="20"/>
                <w:szCs w:val="20"/>
              </w:rPr>
            </w:pPr>
            <w:r>
              <w:rPr>
                <w:spacing w:val="8"/>
                <w:sz w:val="20"/>
                <w:szCs w:val="20"/>
              </w:rPr>
              <w:t>其他符合性分析</w:t>
            </w:r>
          </w:p>
        </w:tc>
        <w:tc>
          <w:tcPr>
            <w:tcW w:w="143" w:type="dxa"/>
            <w:vMerge w:val="restart"/>
            <w:tcBorders>
              <w:bottom w:val="nil"/>
            </w:tcBorders>
            <w:vAlign w:val="top"/>
          </w:tcPr>
          <w:p w14:paraId="53536397">
            <w:pPr>
              <w:rPr>
                <w:rFonts w:ascii="Arial"/>
                <w:sz w:val="21"/>
              </w:rPr>
            </w:pPr>
          </w:p>
        </w:tc>
        <w:tc>
          <w:tcPr>
            <w:tcW w:w="1011" w:type="dxa"/>
            <w:vMerge w:val="restart"/>
            <w:tcBorders>
              <w:bottom w:val="nil"/>
            </w:tcBorders>
            <w:vAlign w:val="top"/>
          </w:tcPr>
          <w:p w14:paraId="54558D95">
            <w:pPr>
              <w:rPr>
                <w:rFonts w:ascii="Arial"/>
                <w:sz w:val="21"/>
              </w:rPr>
            </w:pPr>
          </w:p>
        </w:tc>
        <w:tc>
          <w:tcPr>
            <w:tcW w:w="886" w:type="dxa"/>
            <w:vMerge w:val="restart"/>
            <w:tcBorders>
              <w:bottom w:val="nil"/>
            </w:tcBorders>
            <w:vAlign w:val="top"/>
          </w:tcPr>
          <w:p w14:paraId="1FB00FB9">
            <w:pPr>
              <w:rPr>
                <w:rFonts w:ascii="Arial"/>
                <w:sz w:val="21"/>
              </w:rPr>
            </w:pPr>
          </w:p>
        </w:tc>
        <w:tc>
          <w:tcPr>
            <w:tcW w:w="879" w:type="dxa"/>
            <w:vAlign w:val="top"/>
          </w:tcPr>
          <w:p w14:paraId="27F5FF19">
            <w:pPr>
              <w:spacing w:line="256" w:lineRule="auto"/>
              <w:rPr>
                <w:rFonts w:ascii="Arial"/>
                <w:sz w:val="21"/>
              </w:rPr>
            </w:pPr>
          </w:p>
          <w:p w14:paraId="1C1DBF8B">
            <w:pPr>
              <w:spacing w:line="256" w:lineRule="auto"/>
              <w:rPr>
                <w:rFonts w:ascii="Arial"/>
                <w:sz w:val="21"/>
              </w:rPr>
            </w:pPr>
          </w:p>
          <w:p w14:paraId="09381AE1">
            <w:pPr>
              <w:spacing w:line="256" w:lineRule="auto"/>
              <w:rPr>
                <w:rFonts w:ascii="Arial"/>
                <w:sz w:val="21"/>
              </w:rPr>
            </w:pPr>
          </w:p>
          <w:p w14:paraId="63C6A682">
            <w:pPr>
              <w:spacing w:line="256" w:lineRule="auto"/>
              <w:rPr>
                <w:rFonts w:ascii="Arial"/>
                <w:sz w:val="21"/>
              </w:rPr>
            </w:pPr>
          </w:p>
          <w:p w14:paraId="0C88132A">
            <w:pPr>
              <w:spacing w:line="256" w:lineRule="auto"/>
              <w:rPr>
                <w:rFonts w:ascii="Arial"/>
                <w:sz w:val="21"/>
              </w:rPr>
            </w:pPr>
          </w:p>
          <w:p w14:paraId="70CCE0D2">
            <w:pPr>
              <w:spacing w:line="256" w:lineRule="auto"/>
              <w:rPr>
                <w:rFonts w:ascii="Arial"/>
                <w:sz w:val="21"/>
              </w:rPr>
            </w:pPr>
          </w:p>
          <w:p w14:paraId="77413E31">
            <w:pPr>
              <w:spacing w:line="256" w:lineRule="auto"/>
              <w:rPr>
                <w:rFonts w:ascii="Arial"/>
                <w:sz w:val="21"/>
              </w:rPr>
            </w:pPr>
          </w:p>
          <w:p w14:paraId="07280278">
            <w:pPr>
              <w:spacing w:line="256" w:lineRule="auto"/>
              <w:rPr>
                <w:rFonts w:ascii="Arial"/>
                <w:sz w:val="21"/>
              </w:rPr>
            </w:pPr>
          </w:p>
          <w:p w14:paraId="67875860">
            <w:pPr>
              <w:spacing w:line="256" w:lineRule="auto"/>
              <w:rPr>
                <w:rFonts w:ascii="Arial"/>
                <w:sz w:val="21"/>
              </w:rPr>
            </w:pPr>
          </w:p>
          <w:p w14:paraId="682A4651">
            <w:pPr>
              <w:pStyle w:val="6"/>
              <w:spacing w:before="58"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6CDBD0A4">
            <w:pPr>
              <w:pStyle w:val="6"/>
              <w:spacing w:before="43" w:line="220" w:lineRule="auto"/>
              <w:ind w:left="51"/>
              <w:rPr>
                <w:sz w:val="18"/>
                <w:szCs w:val="18"/>
              </w:rPr>
            </w:pPr>
            <w:r>
              <w:rPr>
                <w:spacing w:val="-2"/>
                <w:sz w:val="18"/>
                <w:szCs w:val="18"/>
              </w:rPr>
              <w:t>联防联控要求</w:t>
            </w:r>
          </w:p>
          <w:p w14:paraId="7043F09F">
            <w:pPr>
              <w:pStyle w:val="6"/>
              <w:spacing w:before="17" w:line="234" w:lineRule="auto"/>
              <w:ind w:left="51" w:right="41" w:firstLine="363"/>
              <w:jc w:val="both"/>
              <w:rPr>
                <w:sz w:val="18"/>
                <w:szCs w:val="18"/>
              </w:rPr>
            </w:pPr>
            <w:r>
              <w:rPr>
                <w:spacing w:val="1"/>
                <w:sz w:val="18"/>
                <w:szCs w:val="18"/>
              </w:rPr>
              <w:t>强化区域联防联控，严格落实《关于建立跨省流域上下游突发水污染事件联</w:t>
            </w:r>
            <w:r>
              <w:rPr>
                <w:spacing w:val="7"/>
                <w:sz w:val="18"/>
                <w:szCs w:val="18"/>
              </w:rPr>
              <w:t xml:space="preserve"> </w:t>
            </w:r>
            <w:r>
              <w:rPr>
                <w:spacing w:val="1"/>
                <w:sz w:val="18"/>
                <w:szCs w:val="18"/>
              </w:rPr>
              <w:t>防联控机制的指导意见》；定期召开区域大气环境形式分析会，强化信息共享和</w:t>
            </w:r>
            <w:r>
              <w:rPr>
                <w:spacing w:val="8"/>
                <w:sz w:val="18"/>
                <w:szCs w:val="18"/>
              </w:rPr>
              <w:t xml:space="preserve"> </w:t>
            </w:r>
            <w:r>
              <w:rPr>
                <w:sz w:val="18"/>
                <w:szCs w:val="18"/>
              </w:rPr>
              <w:t>联动合作，实行环境规划，标准，环评，执法，信息公开“六统一</w:t>
            </w:r>
            <w:r>
              <w:rPr>
                <w:spacing w:val="-49"/>
                <w:sz w:val="18"/>
                <w:szCs w:val="18"/>
              </w:rPr>
              <w:t xml:space="preserve"> </w:t>
            </w:r>
            <w:r>
              <w:rPr>
                <w:sz w:val="18"/>
                <w:szCs w:val="18"/>
              </w:rPr>
              <w:t xml:space="preserve">”，协力推进 </w:t>
            </w:r>
            <w:r>
              <w:rPr>
                <w:spacing w:val="-1"/>
                <w:sz w:val="18"/>
                <w:szCs w:val="18"/>
              </w:rPr>
              <w:t>大气污染源头防控，加强川东北区域大气污染防治合作。</w:t>
            </w:r>
          </w:p>
          <w:p w14:paraId="03031750">
            <w:pPr>
              <w:pStyle w:val="6"/>
              <w:spacing w:before="21" w:line="220" w:lineRule="auto"/>
              <w:ind w:left="51"/>
              <w:rPr>
                <w:sz w:val="18"/>
                <w:szCs w:val="18"/>
              </w:rPr>
            </w:pPr>
            <w:r>
              <w:rPr>
                <w:spacing w:val="-1"/>
                <w:sz w:val="18"/>
                <w:szCs w:val="18"/>
              </w:rPr>
              <w:t>其他环境风险防控要求</w:t>
            </w:r>
          </w:p>
          <w:p w14:paraId="51ACDDDE">
            <w:pPr>
              <w:pStyle w:val="6"/>
              <w:spacing w:before="20" w:line="235" w:lineRule="auto"/>
              <w:ind w:left="49" w:firstLine="422"/>
              <w:jc w:val="both"/>
              <w:rPr>
                <w:sz w:val="18"/>
                <w:szCs w:val="18"/>
              </w:rPr>
            </w:pPr>
            <w:r>
              <w:rPr>
                <w:spacing w:val="-3"/>
                <w:sz w:val="18"/>
                <w:szCs w:val="18"/>
              </w:rPr>
              <w:t>企业环境风险防控要求</w:t>
            </w:r>
            <w:r>
              <w:rPr>
                <w:rFonts w:ascii="Times New Roman" w:hAnsi="Times New Roman" w:eastAsia="Times New Roman" w:cs="Times New Roman"/>
                <w:spacing w:val="-3"/>
                <w:sz w:val="18"/>
                <w:szCs w:val="18"/>
              </w:rPr>
              <w:t>:</w:t>
            </w:r>
            <w:r>
              <w:rPr>
                <w:spacing w:val="-3"/>
                <w:sz w:val="18"/>
                <w:szCs w:val="18"/>
              </w:rPr>
              <w:t>涉及有毒有害、易燃易爆物质新建、改扩建项目，严</w:t>
            </w:r>
            <w:r>
              <w:rPr>
                <w:spacing w:val="16"/>
                <w:sz w:val="18"/>
                <w:szCs w:val="18"/>
              </w:rPr>
              <w:t xml:space="preserve"> </w:t>
            </w:r>
            <w:r>
              <w:rPr>
                <w:spacing w:val="-11"/>
                <w:sz w:val="18"/>
                <w:szCs w:val="18"/>
              </w:rPr>
              <w:t>控准入要求。（根据《</w:t>
            </w:r>
            <w:r>
              <w:rPr>
                <w:rFonts w:ascii="Times New Roman" w:hAnsi="Times New Roman" w:eastAsia="Times New Roman" w:cs="Times New Roman"/>
                <w:spacing w:val="-11"/>
                <w:sz w:val="18"/>
                <w:szCs w:val="18"/>
              </w:rPr>
              <w:t>GB</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11"/>
                <w:sz w:val="18"/>
                <w:szCs w:val="18"/>
              </w:rPr>
              <w:t>8978-2002</w:t>
            </w:r>
            <w:r>
              <w:rPr>
                <w:spacing w:val="-11"/>
                <w:sz w:val="18"/>
                <w:szCs w:val="18"/>
              </w:rPr>
              <w:t>》中第一类污染物以及《优先控制化学品名录》、</w:t>
            </w:r>
            <w:r>
              <w:rPr>
                <w:sz w:val="18"/>
                <w:szCs w:val="18"/>
              </w:rPr>
              <w:t xml:space="preserve"> </w:t>
            </w:r>
            <w:r>
              <w:rPr>
                <w:spacing w:val="-9"/>
                <w:sz w:val="18"/>
                <w:szCs w:val="18"/>
              </w:rPr>
              <w:t>《有毒有害大气污染物名录》《有毒有害水污染物名录》确定）。对钢铁、焦化平</w:t>
            </w:r>
            <w:r>
              <w:rPr>
                <w:sz w:val="18"/>
                <w:szCs w:val="18"/>
              </w:rPr>
              <w:t xml:space="preserve"> </w:t>
            </w:r>
            <w:r>
              <w:rPr>
                <w:spacing w:val="1"/>
                <w:sz w:val="18"/>
                <w:szCs w:val="18"/>
              </w:rPr>
              <w:t>板玻璃、铜铅锌硅冶炼等环境影响大或环境风险高的项目类别，不</w:t>
            </w:r>
            <w:r>
              <w:rPr>
                <w:sz w:val="18"/>
                <w:szCs w:val="18"/>
              </w:rPr>
              <w:t xml:space="preserve">得以改革试点 </w:t>
            </w:r>
            <w:r>
              <w:rPr>
                <w:spacing w:val="-1"/>
                <w:sz w:val="18"/>
                <w:szCs w:val="18"/>
              </w:rPr>
              <w:t>名义随意下放环评审批权限或降低审批要求。</w:t>
            </w:r>
          </w:p>
          <w:p w14:paraId="0C0E4894">
            <w:pPr>
              <w:pStyle w:val="6"/>
              <w:spacing w:before="17" w:line="235" w:lineRule="auto"/>
              <w:ind w:left="53" w:right="41" w:firstLine="431"/>
              <w:jc w:val="both"/>
              <w:rPr>
                <w:sz w:val="18"/>
                <w:szCs w:val="18"/>
              </w:rPr>
            </w:pPr>
            <w:r>
              <w:rPr>
                <w:spacing w:val="3"/>
                <w:sz w:val="18"/>
                <w:szCs w:val="18"/>
              </w:rPr>
              <w:t>园区环境风险防控要求</w:t>
            </w:r>
            <w:r>
              <w:rPr>
                <w:rFonts w:ascii="Times New Roman" w:hAnsi="Times New Roman" w:eastAsia="Times New Roman" w:cs="Times New Roman"/>
                <w:spacing w:val="3"/>
                <w:sz w:val="18"/>
                <w:szCs w:val="18"/>
              </w:rPr>
              <w:t>:</w:t>
            </w:r>
            <w:r>
              <w:rPr>
                <w:spacing w:val="3"/>
                <w:sz w:val="18"/>
                <w:szCs w:val="18"/>
              </w:rPr>
              <w:t>园区风险防控体系要求：构建三级环境风险防</w:t>
            </w:r>
            <w:r>
              <w:rPr>
                <w:spacing w:val="2"/>
                <w:sz w:val="18"/>
                <w:szCs w:val="18"/>
              </w:rPr>
              <w:t>控体</w:t>
            </w:r>
            <w:r>
              <w:rPr>
                <w:sz w:val="18"/>
                <w:szCs w:val="18"/>
              </w:rPr>
              <w:t xml:space="preserve"> </w:t>
            </w:r>
            <w:r>
              <w:rPr>
                <w:spacing w:val="1"/>
                <w:sz w:val="18"/>
                <w:szCs w:val="18"/>
              </w:rPr>
              <w:t>系，强化危化品泄漏应急处置措施，确保风险可控。针对化工园区进一步强化风</w:t>
            </w:r>
            <w:r>
              <w:rPr>
                <w:spacing w:val="6"/>
                <w:sz w:val="18"/>
                <w:szCs w:val="18"/>
              </w:rPr>
              <w:t xml:space="preserve"> </w:t>
            </w:r>
            <w:r>
              <w:rPr>
                <w:spacing w:val="1"/>
                <w:sz w:val="18"/>
                <w:szCs w:val="18"/>
              </w:rPr>
              <w:t>险防控。化工园区应具有安全风险监控体系、建立生态环境监测监控体系、建立</w:t>
            </w:r>
            <w:r>
              <w:rPr>
                <w:spacing w:val="6"/>
                <w:sz w:val="18"/>
                <w:szCs w:val="18"/>
              </w:rPr>
              <w:t xml:space="preserve"> </w:t>
            </w:r>
            <w:r>
              <w:rPr>
                <w:sz w:val="18"/>
                <w:szCs w:val="18"/>
              </w:rPr>
              <w:t>必要的突发环境事件应急体系。杜绝危化品泄漏、事故</w:t>
            </w:r>
            <w:r>
              <w:rPr>
                <w:spacing w:val="-1"/>
                <w:sz w:val="18"/>
                <w:szCs w:val="18"/>
              </w:rPr>
              <w:t>排放等，确保环境安全。</w:t>
            </w:r>
          </w:p>
          <w:p w14:paraId="4AF5FA1F">
            <w:pPr>
              <w:pStyle w:val="6"/>
              <w:spacing w:before="15" w:line="235" w:lineRule="auto"/>
              <w:ind w:left="49" w:firstLine="421"/>
              <w:jc w:val="both"/>
              <w:rPr>
                <w:sz w:val="18"/>
                <w:szCs w:val="18"/>
              </w:rPr>
            </w:pPr>
            <w:r>
              <w:rPr>
                <w:spacing w:val="-3"/>
                <w:sz w:val="18"/>
                <w:szCs w:val="18"/>
              </w:rPr>
              <w:t>用地环境风险防控要求</w:t>
            </w:r>
            <w:r>
              <w:rPr>
                <w:rFonts w:ascii="Times New Roman" w:hAnsi="Times New Roman" w:eastAsia="Times New Roman" w:cs="Times New Roman"/>
                <w:spacing w:val="-3"/>
                <w:sz w:val="18"/>
                <w:szCs w:val="18"/>
              </w:rPr>
              <w:t>:</w:t>
            </w:r>
            <w:r>
              <w:rPr>
                <w:spacing w:val="-3"/>
                <w:sz w:val="18"/>
                <w:szCs w:val="18"/>
              </w:rPr>
              <w:t>化工、电镀等行业企业拆除生产设施设备、构筑物和</w:t>
            </w:r>
            <w:r>
              <w:rPr>
                <w:spacing w:val="18"/>
                <w:sz w:val="18"/>
                <w:szCs w:val="18"/>
              </w:rPr>
              <w:t xml:space="preserve"> </w:t>
            </w:r>
            <w:r>
              <w:rPr>
                <w:spacing w:val="1"/>
                <w:sz w:val="18"/>
                <w:szCs w:val="18"/>
              </w:rPr>
              <w:t>污染治理设施，要事先制定残留污染物清理和安全处置方案，要严</w:t>
            </w:r>
            <w:r>
              <w:rPr>
                <w:sz w:val="18"/>
                <w:szCs w:val="18"/>
              </w:rPr>
              <w:t xml:space="preserve">格按照有关规 </w:t>
            </w:r>
            <w:r>
              <w:rPr>
                <w:spacing w:val="-3"/>
                <w:sz w:val="18"/>
                <w:szCs w:val="18"/>
              </w:rPr>
              <w:t>定实施安全处理处置，防范拆除活动污染土壤。有色金属矿采选、有色金属冶炼、</w:t>
            </w:r>
            <w:r>
              <w:rPr>
                <w:spacing w:val="15"/>
                <w:sz w:val="18"/>
                <w:szCs w:val="18"/>
              </w:rPr>
              <w:t xml:space="preserve"> </w:t>
            </w:r>
            <w:r>
              <w:rPr>
                <w:spacing w:val="1"/>
                <w:sz w:val="18"/>
                <w:szCs w:val="18"/>
              </w:rPr>
              <w:t>石油加工、化工、焦化、电镀、制革、天然（页岩）气开采、铅蓄</w:t>
            </w:r>
            <w:r>
              <w:rPr>
                <w:sz w:val="18"/>
                <w:szCs w:val="18"/>
              </w:rPr>
              <w:t xml:space="preserve">电池、汽车制 </w:t>
            </w:r>
            <w:r>
              <w:rPr>
                <w:spacing w:val="1"/>
                <w:sz w:val="18"/>
                <w:szCs w:val="18"/>
              </w:rPr>
              <w:t>造、农药、危废处置、电子拆解等行业企业及其他可能影响土壤环</w:t>
            </w:r>
            <w:r>
              <w:rPr>
                <w:sz w:val="18"/>
                <w:szCs w:val="18"/>
              </w:rPr>
              <w:t xml:space="preserve">境质量的生产 </w:t>
            </w:r>
            <w:r>
              <w:rPr>
                <w:spacing w:val="1"/>
                <w:sz w:val="18"/>
                <w:szCs w:val="18"/>
              </w:rPr>
              <w:t>设施设备、构筑物和污染治理设施的拆除，按照有关规定制定残留</w:t>
            </w:r>
            <w:r>
              <w:rPr>
                <w:sz w:val="18"/>
                <w:szCs w:val="18"/>
              </w:rPr>
              <w:t xml:space="preserve">污染物清理和 </w:t>
            </w:r>
            <w:r>
              <w:rPr>
                <w:spacing w:val="-3"/>
                <w:sz w:val="18"/>
                <w:szCs w:val="18"/>
              </w:rPr>
              <w:t>安全处置方案，要严格按照有关规定实施安全处理处置，防范拆除活动污染土壤。</w:t>
            </w:r>
          </w:p>
        </w:tc>
        <w:tc>
          <w:tcPr>
            <w:tcW w:w="1695" w:type="dxa"/>
            <w:vAlign w:val="top"/>
          </w:tcPr>
          <w:p w14:paraId="5FE2CAE6">
            <w:pPr>
              <w:spacing w:line="251" w:lineRule="auto"/>
              <w:rPr>
                <w:rFonts w:ascii="Arial"/>
                <w:sz w:val="21"/>
              </w:rPr>
            </w:pPr>
          </w:p>
          <w:p w14:paraId="6A5EA5BD">
            <w:pPr>
              <w:spacing w:line="251" w:lineRule="auto"/>
              <w:rPr>
                <w:rFonts w:ascii="Arial"/>
                <w:sz w:val="21"/>
              </w:rPr>
            </w:pPr>
          </w:p>
          <w:p w14:paraId="5BB072BD">
            <w:pPr>
              <w:spacing w:line="252" w:lineRule="auto"/>
              <w:rPr>
                <w:rFonts w:ascii="Arial"/>
                <w:sz w:val="21"/>
              </w:rPr>
            </w:pPr>
          </w:p>
          <w:p w14:paraId="0D2169B6">
            <w:pPr>
              <w:spacing w:line="252" w:lineRule="auto"/>
              <w:rPr>
                <w:rFonts w:ascii="Arial"/>
                <w:sz w:val="21"/>
              </w:rPr>
            </w:pPr>
          </w:p>
          <w:p w14:paraId="3DA10B6C">
            <w:pPr>
              <w:spacing w:line="252" w:lineRule="auto"/>
              <w:rPr>
                <w:rFonts w:ascii="Arial"/>
                <w:sz w:val="21"/>
              </w:rPr>
            </w:pPr>
          </w:p>
          <w:p w14:paraId="46B27E4A">
            <w:pPr>
              <w:pStyle w:val="6"/>
              <w:spacing w:before="58" w:line="219" w:lineRule="auto"/>
              <w:ind w:left="52"/>
              <w:rPr>
                <w:sz w:val="18"/>
                <w:szCs w:val="18"/>
              </w:rPr>
            </w:pPr>
            <w:r>
              <w:rPr>
                <w:spacing w:val="-1"/>
                <w:sz w:val="18"/>
                <w:szCs w:val="18"/>
              </w:rPr>
              <w:t>本项目为非金属矿</w:t>
            </w:r>
          </w:p>
          <w:p w14:paraId="7B019609">
            <w:pPr>
              <w:pStyle w:val="6"/>
              <w:spacing w:before="20" w:line="229" w:lineRule="auto"/>
              <w:ind w:left="51" w:right="42"/>
              <w:rPr>
                <w:sz w:val="18"/>
                <w:szCs w:val="18"/>
              </w:rPr>
            </w:pPr>
            <w:r>
              <w:rPr>
                <w:spacing w:val="-3"/>
                <w:sz w:val="18"/>
                <w:szCs w:val="18"/>
              </w:rPr>
              <w:t>物制品制造项目，营</w:t>
            </w:r>
            <w:r>
              <w:rPr>
                <w:spacing w:val="2"/>
                <w:sz w:val="18"/>
                <w:szCs w:val="18"/>
              </w:rPr>
              <w:t xml:space="preserve"> </w:t>
            </w:r>
            <w:r>
              <w:rPr>
                <w:spacing w:val="-1"/>
                <w:sz w:val="18"/>
                <w:szCs w:val="18"/>
              </w:rPr>
              <w:t>运期风险物质为废</w:t>
            </w:r>
          </w:p>
          <w:p w14:paraId="50509702">
            <w:pPr>
              <w:pStyle w:val="6"/>
              <w:spacing w:before="21" w:line="232" w:lineRule="auto"/>
              <w:ind w:left="52" w:right="42" w:hanging="2"/>
              <w:rPr>
                <w:sz w:val="18"/>
                <w:szCs w:val="18"/>
              </w:rPr>
            </w:pPr>
            <w:r>
              <w:rPr>
                <w:spacing w:val="-3"/>
                <w:sz w:val="18"/>
                <w:szCs w:val="18"/>
              </w:rPr>
              <w:t>矿物油，储量较少不</w:t>
            </w:r>
            <w:r>
              <w:rPr>
                <w:spacing w:val="2"/>
                <w:sz w:val="18"/>
                <w:szCs w:val="18"/>
              </w:rPr>
              <w:t xml:space="preserve"> </w:t>
            </w:r>
            <w:r>
              <w:rPr>
                <w:spacing w:val="-3"/>
                <w:sz w:val="18"/>
                <w:szCs w:val="18"/>
              </w:rPr>
              <w:t>属于重大危险源，建</w:t>
            </w:r>
            <w:r>
              <w:rPr>
                <w:sz w:val="18"/>
                <w:szCs w:val="18"/>
              </w:rPr>
              <w:t xml:space="preserve"> </w:t>
            </w:r>
            <w:r>
              <w:rPr>
                <w:spacing w:val="-2"/>
                <w:sz w:val="18"/>
                <w:szCs w:val="18"/>
              </w:rPr>
              <w:t>成后将按要求编制</w:t>
            </w:r>
          </w:p>
          <w:p w14:paraId="118368E9">
            <w:pPr>
              <w:pStyle w:val="6"/>
              <w:spacing w:before="21" w:line="220" w:lineRule="auto"/>
              <w:ind w:left="57"/>
              <w:rPr>
                <w:sz w:val="18"/>
                <w:szCs w:val="18"/>
              </w:rPr>
            </w:pPr>
            <w:r>
              <w:rPr>
                <w:spacing w:val="-2"/>
                <w:sz w:val="18"/>
                <w:szCs w:val="18"/>
              </w:rPr>
              <w:t>《突发环境风险应</w:t>
            </w:r>
          </w:p>
          <w:p w14:paraId="5D1969C4">
            <w:pPr>
              <w:pStyle w:val="6"/>
              <w:spacing w:before="19" w:line="232" w:lineRule="auto"/>
              <w:ind w:left="50" w:right="42" w:firstLine="6"/>
              <w:rPr>
                <w:sz w:val="18"/>
                <w:szCs w:val="18"/>
              </w:rPr>
            </w:pPr>
            <w:r>
              <w:rPr>
                <w:spacing w:val="-12"/>
                <w:sz w:val="18"/>
                <w:szCs w:val="18"/>
              </w:rPr>
              <w:t>急预案》，采取风险</w:t>
            </w:r>
            <w:r>
              <w:rPr>
                <w:spacing w:val="2"/>
                <w:sz w:val="18"/>
                <w:szCs w:val="18"/>
              </w:rPr>
              <w:t xml:space="preserve">  </w:t>
            </w:r>
            <w:r>
              <w:rPr>
                <w:spacing w:val="-3"/>
                <w:sz w:val="18"/>
                <w:szCs w:val="18"/>
              </w:rPr>
              <w:t>控制措施后，其风险</w:t>
            </w:r>
            <w:r>
              <w:rPr>
                <w:spacing w:val="2"/>
                <w:sz w:val="18"/>
                <w:szCs w:val="18"/>
              </w:rPr>
              <w:t xml:space="preserve"> </w:t>
            </w:r>
            <w:r>
              <w:rPr>
                <w:spacing w:val="-1"/>
                <w:sz w:val="18"/>
                <w:szCs w:val="18"/>
              </w:rPr>
              <w:t>影响属于可接受水</w:t>
            </w:r>
          </w:p>
          <w:p w14:paraId="21349697">
            <w:pPr>
              <w:pStyle w:val="6"/>
              <w:spacing w:before="21" w:line="223" w:lineRule="auto"/>
              <w:ind w:left="50"/>
              <w:rPr>
                <w:sz w:val="18"/>
                <w:szCs w:val="18"/>
              </w:rPr>
            </w:pPr>
            <w:r>
              <w:rPr>
                <w:spacing w:val="-4"/>
                <w:sz w:val="18"/>
                <w:szCs w:val="18"/>
              </w:rPr>
              <w:t>平。</w:t>
            </w:r>
          </w:p>
        </w:tc>
        <w:tc>
          <w:tcPr>
            <w:tcW w:w="709" w:type="dxa"/>
            <w:vAlign w:val="top"/>
          </w:tcPr>
          <w:p w14:paraId="1AB54494">
            <w:pPr>
              <w:spacing w:line="241" w:lineRule="auto"/>
              <w:rPr>
                <w:rFonts w:ascii="Arial"/>
                <w:sz w:val="21"/>
              </w:rPr>
            </w:pPr>
          </w:p>
          <w:p w14:paraId="7B44E1B0">
            <w:pPr>
              <w:spacing w:line="241" w:lineRule="auto"/>
              <w:rPr>
                <w:rFonts w:ascii="Arial"/>
                <w:sz w:val="21"/>
              </w:rPr>
            </w:pPr>
          </w:p>
          <w:p w14:paraId="3663AB1F">
            <w:pPr>
              <w:spacing w:line="242" w:lineRule="auto"/>
              <w:rPr>
                <w:rFonts w:ascii="Arial"/>
                <w:sz w:val="21"/>
              </w:rPr>
            </w:pPr>
          </w:p>
          <w:p w14:paraId="62BF2622">
            <w:pPr>
              <w:spacing w:line="242" w:lineRule="auto"/>
              <w:rPr>
                <w:rFonts w:ascii="Arial"/>
                <w:sz w:val="21"/>
              </w:rPr>
            </w:pPr>
          </w:p>
          <w:p w14:paraId="0D9F691F">
            <w:pPr>
              <w:spacing w:line="242" w:lineRule="auto"/>
              <w:rPr>
                <w:rFonts w:ascii="Arial"/>
                <w:sz w:val="21"/>
              </w:rPr>
            </w:pPr>
          </w:p>
          <w:p w14:paraId="62FE3BCC">
            <w:pPr>
              <w:spacing w:line="242" w:lineRule="auto"/>
              <w:rPr>
                <w:rFonts w:ascii="Arial"/>
                <w:sz w:val="21"/>
              </w:rPr>
            </w:pPr>
          </w:p>
          <w:p w14:paraId="57C680C9">
            <w:pPr>
              <w:spacing w:line="242" w:lineRule="auto"/>
              <w:rPr>
                <w:rFonts w:ascii="Arial"/>
                <w:sz w:val="21"/>
              </w:rPr>
            </w:pPr>
          </w:p>
          <w:p w14:paraId="1AFF469C">
            <w:pPr>
              <w:spacing w:line="242" w:lineRule="auto"/>
              <w:rPr>
                <w:rFonts w:ascii="Arial"/>
                <w:sz w:val="21"/>
              </w:rPr>
            </w:pPr>
          </w:p>
          <w:p w14:paraId="4CFBD385">
            <w:pPr>
              <w:spacing w:line="242" w:lineRule="auto"/>
              <w:rPr>
                <w:rFonts w:ascii="Arial"/>
                <w:sz w:val="21"/>
              </w:rPr>
            </w:pPr>
          </w:p>
          <w:p w14:paraId="310E4333">
            <w:pPr>
              <w:spacing w:line="242" w:lineRule="auto"/>
              <w:rPr>
                <w:rFonts w:ascii="Arial"/>
                <w:sz w:val="21"/>
              </w:rPr>
            </w:pPr>
          </w:p>
          <w:p w14:paraId="6E101776">
            <w:pPr>
              <w:pStyle w:val="6"/>
              <w:spacing w:before="58" w:line="219" w:lineRule="auto"/>
              <w:ind w:left="107"/>
              <w:rPr>
                <w:sz w:val="18"/>
                <w:szCs w:val="18"/>
              </w:rPr>
            </w:pPr>
            <w:r>
              <w:rPr>
                <w:spacing w:val="-5"/>
                <w:sz w:val="18"/>
                <w:szCs w:val="18"/>
              </w:rPr>
              <w:t>符合</w:t>
            </w:r>
          </w:p>
        </w:tc>
      </w:tr>
      <w:tr w14:paraId="7701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1705" w:type="dxa"/>
            <w:vMerge w:val="continue"/>
            <w:tcBorders>
              <w:top w:val="nil"/>
              <w:bottom w:val="nil"/>
            </w:tcBorders>
            <w:vAlign w:val="top"/>
          </w:tcPr>
          <w:p w14:paraId="20488824">
            <w:pPr>
              <w:rPr>
                <w:rFonts w:ascii="Arial"/>
                <w:sz w:val="21"/>
              </w:rPr>
            </w:pPr>
          </w:p>
        </w:tc>
        <w:tc>
          <w:tcPr>
            <w:tcW w:w="143" w:type="dxa"/>
            <w:vMerge w:val="continue"/>
            <w:tcBorders>
              <w:top w:val="nil"/>
              <w:bottom w:val="nil"/>
            </w:tcBorders>
            <w:vAlign w:val="top"/>
          </w:tcPr>
          <w:p w14:paraId="5228CB23">
            <w:pPr>
              <w:rPr>
                <w:rFonts w:ascii="Arial"/>
                <w:sz w:val="21"/>
              </w:rPr>
            </w:pPr>
          </w:p>
        </w:tc>
        <w:tc>
          <w:tcPr>
            <w:tcW w:w="1011" w:type="dxa"/>
            <w:vMerge w:val="continue"/>
            <w:tcBorders>
              <w:top w:val="nil"/>
            </w:tcBorders>
            <w:vAlign w:val="top"/>
          </w:tcPr>
          <w:p w14:paraId="27CCB16D">
            <w:pPr>
              <w:rPr>
                <w:rFonts w:ascii="Arial"/>
                <w:sz w:val="21"/>
              </w:rPr>
            </w:pPr>
          </w:p>
        </w:tc>
        <w:tc>
          <w:tcPr>
            <w:tcW w:w="886" w:type="dxa"/>
            <w:vMerge w:val="continue"/>
            <w:tcBorders>
              <w:top w:val="nil"/>
            </w:tcBorders>
            <w:vAlign w:val="top"/>
          </w:tcPr>
          <w:p w14:paraId="03B5DAC8">
            <w:pPr>
              <w:rPr>
                <w:rFonts w:ascii="Arial"/>
                <w:sz w:val="21"/>
              </w:rPr>
            </w:pPr>
          </w:p>
        </w:tc>
        <w:tc>
          <w:tcPr>
            <w:tcW w:w="879" w:type="dxa"/>
            <w:vAlign w:val="top"/>
          </w:tcPr>
          <w:p w14:paraId="3EFD2947">
            <w:pPr>
              <w:spacing w:line="249" w:lineRule="auto"/>
              <w:rPr>
                <w:rFonts w:ascii="Arial"/>
                <w:sz w:val="21"/>
              </w:rPr>
            </w:pPr>
          </w:p>
          <w:p w14:paraId="630E1DF8">
            <w:pPr>
              <w:spacing w:line="249" w:lineRule="auto"/>
              <w:rPr>
                <w:rFonts w:ascii="Arial"/>
                <w:sz w:val="21"/>
              </w:rPr>
            </w:pPr>
          </w:p>
          <w:p w14:paraId="631C8355">
            <w:pPr>
              <w:spacing w:line="249" w:lineRule="auto"/>
              <w:rPr>
                <w:rFonts w:ascii="Arial"/>
                <w:sz w:val="21"/>
              </w:rPr>
            </w:pPr>
          </w:p>
          <w:p w14:paraId="1EDD4FE8">
            <w:pPr>
              <w:spacing w:line="249" w:lineRule="auto"/>
              <w:rPr>
                <w:rFonts w:ascii="Arial"/>
                <w:sz w:val="21"/>
              </w:rPr>
            </w:pPr>
          </w:p>
          <w:p w14:paraId="08431F38">
            <w:pPr>
              <w:spacing w:line="250" w:lineRule="auto"/>
              <w:rPr>
                <w:rFonts w:ascii="Arial"/>
                <w:sz w:val="21"/>
              </w:rPr>
            </w:pPr>
          </w:p>
          <w:p w14:paraId="0D87F312">
            <w:pPr>
              <w:pStyle w:val="6"/>
              <w:spacing w:before="58" w:line="220" w:lineRule="auto"/>
              <w:ind w:left="90"/>
              <w:rPr>
                <w:sz w:val="18"/>
                <w:szCs w:val="18"/>
              </w:rPr>
            </w:pPr>
            <w:r>
              <w:rPr>
                <w:spacing w:val="-4"/>
                <w:sz w:val="18"/>
                <w:szCs w:val="18"/>
              </w:rPr>
              <w:t>资源开发</w:t>
            </w:r>
          </w:p>
          <w:p w14:paraId="0D2C8743">
            <w:pPr>
              <w:pStyle w:val="6"/>
              <w:spacing w:before="18" w:line="219" w:lineRule="auto"/>
              <w:ind w:left="83"/>
              <w:rPr>
                <w:sz w:val="18"/>
                <w:szCs w:val="18"/>
              </w:rPr>
            </w:pPr>
            <w:r>
              <w:rPr>
                <w:spacing w:val="-2"/>
                <w:sz w:val="18"/>
                <w:szCs w:val="18"/>
              </w:rPr>
              <w:t>利用效率</w:t>
            </w:r>
          </w:p>
          <w:p w14:paraId="3F68689D">
            <w:pPr>
              <w:pStyle w:val="6"/>
              <w:spacing w:before="18" w:line="221" w:lineRule="auto"/>
              <w:ind w:left="263"/>
              <w:rPr>
                <w:sz w:val="18"/>
                <w:szCs w:val="18"/>
              </w:rPr>
            </w:pPr>
            <w:r>
              <w:rPr>
                <w:spacing w:val="-4"/>
                <w:sz w:val="18"/>
                <w:szCs w:val="18"/>
              </w:rPr>
              <w:t>要求</w:t>
            </w:r>
          </w:p>
        </w:tc>
        <w:tc>
          <w:tcPr>
            <w:tcW w:w="6443" w:type="dxa"/>
            <w:vAlign w:val="top"/>
          </w:tcPr>
          <w:p w14:paraId="116F0889">
            <w:pPr>
              <w:pStyle w:val="6"/>
              <w:spacing w:before="28" w:line="219" w:lineRule="auto"/>
              <w:ind w:left="52"/>
              <w:rPr>
                <w:sz w:val="18"/>
                <w:szCs w:val="18"/>
              </w:rPr>
            </w:pPr>
            <w:r>
              <w:rPr>
                <w:spacing w:val="-2"/>
                <w:sz w:val="18"/>
                <w:szCs w:val="18"/>
              </w:rPr>
              <w:t>水资源利用总量要求</w:t>
            </w:r>
          </w:p>
          <w:p w14:paraId="136BDD9B">
            <w:pPr>
              <w:pStyle w:val="6"/>
              <w:spacing w:before="19" w:line="233" w:lineRule="auto"/>
              <w:ind w:left="50" w:right="41" w:firstLine="360"/>
              <w:jc w:val="both"/>
              <w:rPr>
                <w:sz w:val="18"/>
                <w:szCs w:val="18"/>
              </w:rPr>
            </w:pPr>
            <w:r>
              <w:rPr>
                <w:spacing w:val="1"/>
                <w:sz w:val="18"/>
                <w:szCs w:val="18"/>
              </w:rPr>
              <w:t>新、改扩建项目污染水耗指标满足《四川省省级生态工业园区指标》综合类</w:t>
            </w:r>
            <w:r>
              <w:rPr>
                <w:spacing w:val="10"/>
                <w:sz w:val="18"/>
                <w:szCs w:val="18"/>
              </w:rPr>
              <w:t xml:space="preserve"> </w:t>
            </w:r>
            <w:r>
              <w:rPr>
                <w:spacing w:val="-1"/>
                <w:sz w:val="18"/>
                <w:szCs w:val="18"/>
              </w:rPr>
              <w:t>生态工业园区要求；到</w:t>
            </w:r>
            <w:r>
              <w:rPr>
                <w:spacing w:val="-40"/>
                <w:sz w:val="18"/>
                <w:szCs w:val="18"/>
              </w:rPr>
              <w:t xml:space="preserve"> </w:t>
            </w:r>
            <w:r>
              <w:rPr>
                <w:rFonts w:ascii="Times New Roman" w:hAnsi="Times New Roman" w:eastAsia="Times New Roman" w:cs="Times New Roman"/>
                <w:spacing w:val="-1"/>
                <w:sz w:val="18"/>
                <w:szCs w:val="18"/>
              </w:rPr>
              <w:t xml:space="preserve">2022 </w:t>
            </w:r>
            <w:r>
              <w:rPr>
                <w:spacing w:val="-1"/>
                <w:sz w:val="18"/>
                <w:szCs w:val="18"/>
              </w:rPr>
              <w:t>年，万元国内生产</w:t>
            </w:r>
            <w:r>
              <w:rPr>
                <w:spacing w:val="-2"/>
                <w:sz w:val="18"/>
                <w:szCs w:val="18"/>
              </w:rPr>
              <w:t>总值用水量、万元工业增加值用水</w:t>
            </w:r>
            <w:r>
              <w:rPr>
                <w:sz w:val="18"/>
                <w:szCs w:val="18"/>
              </w:rPr>
              <w:t xml:space="preserve"> </w:t>
            </w:r>
            <w:r>
              <w:rPr>
                <w:spacing w:val="-2"/>
                <w:sz w:val="18"/>
                <w:szCs w:val="18"/>
              </w:rPr>
              <w:t>量较</w:t>
            </w:r>
            <w:r>
              <w:rPr>
                <w:spacing w:val="-27"/>
                <w:sz w:val="18"/>
                <w:szCs w:val="18"/>
              </w:rPr>
              <w:t xml:space="preserve"> </w:t>
            </w:r>
            <w:r>
              <w:rPr>
                <w:rFonts w:ascii="Times New Roman" w:hAnsi="Times New Roman" w:eastAsia="Times New Roman" w:cs="Times New Roman"/>
                <w:spacing w:val="-2"/>
                <w:sz w:val="18"/>
                <w:szCs w:val="18"/>
              </w:rPr>
              <w:t xml:space="preserve">2015 </w:t>
            </w:r>
            <w:r>
              <w:rPr>
                <w:spacing w:val="-2"/>
                <w:sz w:val="18"/>
                <w:szCs w:val="18"/>
              </w:rPr>
              <w:t>年分别下降</w:t>
            </w:r>
            <w:r>
              <w:rPr>
                <w:spacing w:val="-37"/>
                <w:sz w:val="18"/>
                <w:szCs w:val="18"/>
              </w:rPr>
              <w:t xml:space="preserve"> </w:t>
            </w:r>
            <w:r>
              <w:rPr>
                <w:rFonts w:ascii="Times New Roman" w:hAnsi="Times New Roman" w:eastAsia="Times New Roman" w:cs="Times New Roman"/>
                <w:spacing w:val="-2"/>
                <w:sz w:val="18"/>
                <w:szCs w:val="18"/>
              </w:rPr>
              <w:t>30%</w:t>
            </w:r>
            <w:r>
              <w:rPr>
                <w:spacing w:val="-2"/>
                <w:sz w:val="18"/>
                <w:szCs w:val="18"/>
              </w:rPr>
              <w:t>和</w:t>
            </w:r>
            <w:r>
              <w:rPr>
                <w:spacing w:val="-41"/>
                <w:sz w:val="18"/>
                <w:szCs w:val="18"/>
              </w:rPr>
              <w:t xml:space="preserve"> </w:t>
            </w:r>
            <w:r>
              <w:rPr>
                <w:rFonts w:ascii="Times New Roman" w:hAnsi="Times New Roman" w:eastAsia="Times New Roman" w:cs="Times New Roman"/>
                <w:spacing w:val="-2"/>
                <w:sz w:val="18"/>
                <w:szCs w:val="18"/>
              </w:rPr>
              <w:t>28%</w:t>
            </w:r>
            <w:r>
              <w:rPr>
                <w:spacing w:val="-2"/>
                <w:sz w:val="18"/>
                <w:szCs w:val="18"/>
              </w:rPr>
              <w:t>。</w:t>
            </w:r>
          </w:p>
          <w:p w14:paraId="7E9B6767">
            <w:pPr>
              <w:pStyle w:val="6"/>
              <w:spacing w:before="19" w:line="230" w:lineRule="auto"/>
              <w:ind w:left="57" w:right="3425" w:hanging="7"/>
              <w:rPr>
                <w:sz w:val="18"/>
                <w:szCs w:val="18"/>
              </w:rPr>
            </w:pPr>
            <w:r>
              <w:rPr>
                <w:spacing w:val="-3"/>
                <w:sz w:val="18"/>
                <w:szCs w:val="18"/>
              </w:rPr>
              <w:t>地下水开采要求</w:t>
            </w:r>
            <w:r>
              <w:rPr>
                <w:spacing w:val="38"/>
                <w:sz w:val="18"/>
                <w:szCs w:val="18"/>
              </w:rPr>
              <w:t xml:space="preserve"> </w:t>
            </w:r>
            <w:r>
              <w:rPr>
                <w:spacing w:val="-3"/>
                <w:sz w:val="18"/>
                <w:szCs w:val="18"/>
              </w:rPr>
              <w:t>以省市下发指标为准</w:t>
            </w:r>
            <w:r>
              <w:rPr>
                <w:sz w:val="18"/>
                <w:szCs w:val="18"/>
              </w:rPr>
              <w:t xml:space="preserve"> </w:t>
            </w:r>
            <w:r>
              <w:rPr>
                <w:spacing w:val="-2"/>
                <w:sz w:val="18"/>
                <w:szCs w:val="18"/>
              </w:rPr>
              <w:t>能源利用总量及效率要求</w:t>
            </w:r>
          </w:p>
          <w:p w14:paraId="59A50623">
            <w:pPr>
              <w:pStyle w:val="6"/>
              <w:spacing w:before="19" w:line="232" w:lineRule="auto"/>
              <w:ind w:left="49" w:right="41" w:firstLine="366"/>
              <w:jc w:val="both"/>
              <w:rPr>
                <w:sz w:val="18"/>
                <w:szCs w:val="18"/>
              </w:rPr>
            </w:pPr>
            <w:r>
              <w:rPr>
                <w:spacing w:val="1"/>
                <w:sz w:val="18"/>
                <w:szCs w:val="18"/>
              </w:rPr>
              <w:t>川东北区域实施新建项目与煤炭消费总量控制挂钩机制，耗煤建设项目实行</w:t>
            </w:r>
            <w:r>
              <w:rPr>
                <w:spacing w:val="6"/>
                <w:sz w:val="18"/>
                <w:szCs w:val="18"/>
              </w:rPr>
              <w:t xml:space="preserve"> </w:t>
            </w:r>
            <w:r>
              <w:rPr>
                <w:spacing w:val="1"/>
                <w:sz w:val="18"/>
                <w:szCs w:val="18"/>
              </w:rPr>
              <w:t>煤炭消耗等量减量替代。提高煤炭利用效率和天然气利用占比，工业领域有序推</w:t>
            </w:r>
            <w:r>
              <w:rPr>
                <w:spacing w:val="11"/>
                <w:sz w:val="18"/>
                <w:szCs w:val="18"/>
              </w:rPr>
              <w:t xml:space="preserve"> </w:t>
            </w:r>
            <w:r>
              <w:rPr>
                <w:spacing w:val="-2"/>
                <w:sz w:val="18"/>
                <w:szCs w:val="18"/>
              </w:rPr>
              <w:t>进“煤改电</w:t>
            </w:r>
            <w:r>
              <w:rPr>
                <w:spacing w:val="-62"/>
                <w:sz w:val="18"/>
                <w:szCs w:val="18"/>
              </w:rPr>
              <w:t xml:space="preserve"> </w:t>
            </w:r>
            <w:r>
              <w:rPr>
                <w:spacing w:val="-2"/>
                <w:sz w:val="18"/>
                <w:szCs w:val="18"/>
              </w:rPr>
              <w:t>”和有序推进“煤改气</w:t>
            </w:r>
            <w:r>
              <w:rPr>
                <w:spacing w:val="-66"/>
                <w:sz w:val="18"/>
                <w:szCs w:val="18"/>
              </w:rPr>
              <w:t xml:space="preserve"> </w:t>
            </w:r>
            <w:r>
              <w:rPr>
                <w:spacing w:val="-2"/>
                <w:sz w:val="18"/>
                <w:szCs w:val="18"/>
              </w:rPr>
              <w:t>”。</w:t>
            </w:r>
          </w:p>
          <w:p w14:paraId="0FDF3335">
            <w:pPr>
              <w:pStyle w:val="6"/>
              <w:spacing w:before="19" w:line="230" w:lineRule="auto"/>
              <w:ind w:left="54" w:right="44" w:firstLine="356"/>
              <w:rPr>
                <w:sz w:val="18"/>
                <w:szCs w:val="18"/>
              </w:rPr>
            </w:pPr>
            <w:r>
              <w:rPr>
                <w:rFonts w:ascii="Times New Roman" w:hAnsi="Times New Roman" w:eastAsia="Times New Roman" w:cs="Times New Roman"/>
                <w:spacing w:val="-1"/>
                <w:sz w:val="18"/>
                <w:szCs w:val="18"/>
              </w:rPr>
              <w:t>-</w:t>
            </w:r>
            <w:r>
              <w:rPr>
                <w:spacing w:val="-1"/>
                <w:sz w:val="18"/>
                <w:szCs w:val="18"/>
              </w:rPr>
              <w:t>大力实施和推广以电代煤、以电代油工程，重点在城市交通、工商业等领域</w:t>
            </w:r>
            <w:r>
              <w:rPr>
                <w:spacing w:val="16"/>
                <w:sz w:val="18"/>
                <w:szCs w:val="18"/>
              </w:rPr>
              <w:t xml:space="preserve"> </w:t>
            </w:r>
            <w:r>
              <w:rPr>
                <w:spacing w:val="-1"/>
                <w:sz w:val="18"/>
                <w:szCs w:val="18"/>
              </w:rPr>
              <w:t>实施以电代油、以电代煤。</w:t>
            </w:r>
          </w:p>
          <w:p w14:paraId="478CF378">
            <w:pPr>
              <w:pStyle w:val="6"/>
              <w:spacing w:before="20" w:line="229" w:lineRule="auto"/>
              <w:ind w:left="54" w:right="44" w:firstLine="356"/>
              <w:rPr>
                <w:sz w:val="18"/>
                <w:szCs w:val="18"/>
              </w:rPr>
            </w:pPr>
            <w:r>
              <w:rPr>
                <w:rFonts w:ascii="Times New Roman" w:hAnsi="Times New Roman" w:eastAsia="Times New Roman" w:cs="Times New Roman"/>
                <w:spacing w:val="-1"/>
                <w:sz w:val="18"/>
                <w:szCs w:val="18"/>
              </w:rPr>
              <w:t>-</w:t>
            </w:r>
            <w:r>
              <w:rPr>
                <w:spacing w:val="-1"/>
                <w:sz w:val="18"/>
                <w:szCs w:val="18"/>
              </w:rPr>
              <w:t>增加天然气对煤炭和石油的替代，提高天然气民用、交通、发电、工业领域</w:t>
            </w:r>
            <w:r>
              <w:rPr>
                <w:spacing w:val="16"/>
                <w:sz w:val="18"/>
                <w:szCs w:val="18"/>
              </w:rPr>
              <w:t xml:space="preserve"> </w:t>
            </w:r>
            <w:r>
              <w:rPr>
                <w:spacing w:val="-2"/>
                <w:sz w:val="18"/>
                <w:szCs w:val="18"/>
              </w:rPr>
              <w:t>天然气消费比重。</w:t>
            </w:r>
          </w:p>
          <w:p w14:paraId="654E7DD7">
            <w:pPr>
              <w:pStyle w:val="6"/>
              <w:spacing w:before="20" w:line="200" w:lineRule="auto"/>
              <w:ind w:left="410"/>
              <w:rPr>
                <w:sz w:val="18"/>
                <w:szCs w:val="18"/>
              </w:rPr>
            </w:pPr>
            <w:r>
              <w:rPr>
                <w:rFonts w:ascii="Times New Roman" w:hAnsi="Times New Roman" w:eastAsia="Times New Roman" w:cs="Times New Roman"/>
                <w:sz w:val="18"/>
                <w:szCs w:val="18"/>
              </w:rPr>
              <w:t>-</w:t>
            </w:r>
            <w:r>
              <w:rPr>
                <w:sz w:val="18"/>
                <w:szCs w:val="18"/>
              </w:rPr>
              <w:t>实施煤炭消费总量控制：严格控制煤炭消费总量；</w:t>
            </w:r>
            <w:r>
              <w:rPr>
                <w:spacing w:val="-1"/>
                <w:sz w:val="18"/>
                <w:szCs w:val="18"/>
              </w:rPr>
              <w:t>严格控制新建、改建、扩</w:t>
            </w:r>
          </w:p>
        </w:tc>
        <w:tc>
          <w:tcPr>
            <w:tcW w:w="1695" w:type="dxa"/>
            <w:vAlign w:val="top"/>
          </w:tcPr>
          <w:p w14:paraId="6F563A5E">
            <w:pPr>
              <w:spacing w:line="259" w:lineRule="auto"/>
              <w:rPr>
                <w:rFonts w:ascii="Arial"/>
                <w:sz w:val="21"/>
              </w:rPr>
            </w:pPr>
          </w:p>
          <w:p w14:paraId="23C283CF">
            <w:pPr>
              <w:spacing w:line="260" w:lineRule="auto"/>
              <w:rPr>
                <w:rFonts w:ascii="Arial"/>
                <w:sz w:val="21"/>
              </w:rPr>
            </w:pPr>
          </w:p>
          <w:p w14:paraId="5397DD30">
            <w:pPr>
              <w:spacing w:line="260" w:lineRule="auto"/>
              <w:rPr>
                <w:rFonts w:ascii="Arial"/>
                <w:sz w:val="21"/>
              </w:rPr>
            </w:pPr>
          </w:p>
          <w:p w14:paraId="5E335076">
            <w:pPr>
              <w:pStyle w:val="6"/>
              <w:spacing w:before="58" w:line="237" w:lineRule="auto"/>
              <w:ind w:left="50" w:right="42" w:firstLine="83"/>
              <w:jc w:val="both"/>
              <w:rPr>
                <w:sz w:val="18"/>
                <w:szCs w:val="18"/>
              </w:rPr>
            </w:pPr>
            <w:r>
              <w:rPr>
                <w:spacing w:val="-1"/>
                <w:sz w:val="18"/>
                <w:szCs w:val="18"/>
              </w:rPr>
              <w:t>本项目生产过程热</w:t>
            </w:r>
            <w:r>
              <w:rPr>
                <w:sz w:val="18"/>
                <w:szCs w:val="18"/>
              </w:rPr>
              <w:t xml:space="preserve">  </w:t>
            </w:r>
            <w:r>
              <w:rPr>
                <w:spacing w:val="9"/>
                <w:sz w:val="18"/>
                <w:szCs w:val="18"/>
              </w:rPr>
              <w:t>源主要为东岳电厂</w:t>
            </w:r>
            <w:r>
              <w:rPr>
                <w:spacing w:val="1"/>
                <w:sz w:val="18"/>
                <w:szCs w:val="18"/>
              </w:rPr>
              <w:t xml:space="preserve">  </w:t>
            </w:r>
            <w:r>
              <w:rPr>
                <w:spacing w:val="-3"/>
                <w:sz w:val="18"/>
                <w:szCs w:val="18"/>
              </w:rPr>
              <w:t>的蒸汽热源。项目涉</w:t>
            </w:r>
            <w:r>
              <w:rPr>
                <w:spacing w:val="2"/>
                <w:sz w:val="18"/>
                <w:szCs w:val="18"/>
              </w:rPr>
              <w:t xml:space="preserve"> </w:t>
            </w:r>
            <w:r>
              <w:rPr>
                <w:spacing w:val="-3"/>
                <w:sz w:val="18"/>
                <w:szCs w:val="18"/>
              </w:rPr>
              <w:t>及建设一台</w:t>
            </w:r>
            <w:r>
              <w:rPr>
                <w:spacing w:val="-44"/>
                <w:sz w:val="18"/>
                <w:szCs w:val="18"/>
              </w:rPr>
              <w:t xml:space="preserve"> </w:t>
            </w:r>
            <w:r>
              <w:rPr>
                <w:rFonts w:ascii="Times New Roman" w:hAnsi="Times New Roman" w:eastAsia="Times New Roman" w:cs="Times New Roman"/>
                <w:spacing w:val="-3"/>
                <w:sz w:val="18"/>
                <w:szCs w:val="18"/>
              </w:rPr>
              <w:t xml:space="preserve">8t/h </w:t>
            </w:r>
            <w:r>
              <w:rPr>
                <w:spacing w:val="-3"/>
                <w:sz w:val="18"/>
                <w:szCs w:val="18"/>
              </w:rPr>
              <w:t>的燃</w:t>
            </w:r>
            <w:r>
              <w:rPr>
                <w:sz w:val="18"/>
                <w:szCs w:val="18"/>
              </w:rPr>
              <w:t xml:space="preserve"> </w:t>
            </w:r>
            <w:r>
              <w:rPr>
                <w:spacing w:val="-3"/>
                <w:sz w:val="18"/>
                <w:szCs w:val="18"/>
              </w:rPr>
              <w:t>气锅炉备用，以城镇</w:t>
            </w:r>
            <w:r>
              <w:rPr>
                <w:spacing w:val="2"/>
                <w:sz w:val="18"/>
                <w:szCs w:val="18"/>
              </w:rPr>
              <w:t xml:space="preserve"> </w:t>
            </w:r>
            <w:r>
              <w:rPr>
                <w:spacing w:val="-3"/>
                <w:sz w:val="18"/>
                <w:szCs w:val="18"/>
              </w:rPr>
              <w:t>天然气为燃料，不属</w:t>
            </w:r>
            <w:r>
              <w:rPr>
                <w:spacing w:val="2"/>
                <w:sz w:val="18"/>
                <w:szCs w:val="18"/>
              </w:rPr>
              <w:t xml:space="preserve"> </w:t>
            </w:r>
            <w:r>
              <w:rPr>
                <w:spacing w:val="9"/>
                <w:sz w:val="18"/>
                <w:szCs w:val="18"/>
              </w:rPr>
              <w:t>于使用高污染燃料</w:t>
            </w:r>
          </w:p>
        </w:tc>
        <w:tc>
          <w:tcPr>
            <w:tcW w:w="709" w:type="dxa"/>
            <w:vAlign w:val="top"/>
          </w:tcPr>
          <w:p w14:paraId="5F0C1AA0">
            <w:pPr>
              <w:spacing w:line="246" w:lineRule="auto"/>
              <w:rPr>
                <w:rFonts w:ascii="Arial"/>
                <w:sz w:val="21"/>
              </w:rPr>
            </w:pPr>
          </w:p>
          <w:p w14:paraId="7AE3ED23">
            <w:pPr>
              <w:spacing w:line="246" w:lineRule="auto"/>
              <w:rPr>
                <w:rFonts w:ascii="Arial"/>
                <w:sz w:val="21"/>
              </w:rPr>
            </w:pPr>
          </w:p>
          <w:p w14:paraId="6D6C8D49">
            <w:pPr>
              <w:spacing w:line="246" w:lineRule="auto"/>
              <w:rPr>
                <w:rFonts w:ascii="Arial"/>
                <w:sz w:val="21"/>
              </w:rPr>
            </w:pPr>
          </w:p>
          <w:p w14:paraId="43F06A17">
            <w:pPr>
              <w:spacing w:line="246" w:lineRule="auto"/>
              <w:rPr>
                <w:rFonts w:ascii="Arial"/>
                <w:sz w:val="21"/>
              </w:rPr>
            </w:pPr>
          </w:p>
          <w:p w14:paraId="4191DD0F">
            <w:pPr>
              <w:spacing w:line="246" w:lineRule="auto"/>
              <w:rPr>
                <w:rFonts w:ascii="Arial"/>
                <w:sz w:val="21"/>
              </w:rPr>
            </w:pPr>
          </w:p>
          <w:p w14:paraId="3D679F8F">
            <w:pPr>
              <w:spacing w:line="247" w:lineRule="auto"/>
              <w:rPr>
                <w:rFonts w:ascii="Arial"/>
                <w:sz w:val="21"/>
              </w:rPr>
            </w:pPr>
          </w:p>
          <w:p w14:paraId="07BA2319">
            <w:pPr>
              <w:pStyle w:val="6"/>
              <w:spacing w:before="59" w:line="219" w:lineRule="auto"/>
              <w:ind w:left="107"/>
              <w:rPr>
                <w:sz w:val="18"/>
                <w:szCs w:val="18"/>
              </w:rPr>
            </w:pPr>
            <w:r>
              <w:rPr>
                <w:spacing w:val="-5"/>
                <w:sz w:val="18"/>
                <w:szCs w:val="18"/>
              </w:rPr>
              <w:t>符合</w:t>
            </w:r>
          </w:p>
        </w:tc>
      </w:tr>
      <w:tr w14:paraId="68757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 w:hRule="atLeast"/>
        </w:trPr>
        <w:tc>
          <w:tcPr>
            <w:tcW w:w="1705" w:type="dxa"/>
            <w:vMerge w:val="continue"/>
            <w:tcBorders>
              <w:top w:val="nil"/>
            </w:tcBorders>
            <w:vAlign w:val="top"/>
          </w:tcPr>
          <w:p w14:paraId="0FD5748B">
            <w:pPr>
              <w:rPr>
                <w:rFonts w:ascii="Arial"/>
                <w:sz w:val="21"/>
              </w:rPr>
            </w:pPr>
          </w:p>
        </w:tc>
        <w:tc>
          <w:tcPr>
            <w:tcW w:w="11766" w:type="dxa"/>
            <w:gridSpan w:val="7"/>
            <w:vAlign w:val="top"/>
          </w:tcPr>
          <w:p w14:paraId="1219BFD6">
            <w:pPr>
              <w:spacing w:line="131" w:lineRule="exact"/>
              <w:rPr>
                <w:rFonts w:ascii="Arial"/>
                <w:sz w:val="11"/>
              </w:rPr>
            </w:pPr>
          </w:p>
        </w:tc>
      </w:tr>
    </w:tbl>
    <w:p w14:paraId="65F764BB">
      <w:pPr>
        <w:pStyle w:val="2"/>
      </w:pPr>
    </w:p>
    <w:p w14:paraId="4888E11E">
      <w:pPr>
        <w:sectPr>
          <w:footerReference r:id="rId15" w:type="default"/>
          <w:pgSz w:w="16839" w:h="11906"/>
          <w:pgMar w:top="1012" w:right="1681" w:bottom="1259" w:left="1680" w:header="0" w:footer="1080" w:gutter="0"/>
          <w:cols w:space="720" w:num="1"/>
        </w:sectPr>
      </w:pPr>
    </w:p>
    <w:p w14:paraId="1745FD1D">
      <w:pPr>
        <w:spacing w:before="18"/>
      </w:pPr>
      <w:r>
        <w:drawing>
          <wp:anchor distT="0" distB="0" distL="0" distR="0" simplePos="0" relativeHeight="251670528" behindDoc="0" locked="0" layoutInCell="0" allowOverlap="1">
            <wp:simplePos x="0" y="0"/>
            <wp:positionH relativeFrom="page">
              <wp:posOffset>9526905</wp:posOffset>
            </wp:positionH>
            <wp:positionV relativeFrom="page">
              <wp:posOffset>984250</wp:posOffset>
            </wp:positionV>
            <wp:extent cx="6350" cy="534797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5"/>
                    <a:stretch>
                      <a:fillRect/>
                    </a:stretch>
                  </pic:blipFill>
                  <pic:spPr>
                    <a:xfrm>
                      <a:off x="0" y="0"/>
                      <a:ext cx="6350" cy="5347970"/>
                    </a:xfrm>
                    <a:prstGeom prst="rect">
                      <a:avLst/>
                    </a:prstGeom>
                  </pic:spPr>
                </pic:pic>
              </a:graphicData>
            </a:graphic>
          </wp:anchor>
        </w:drawing>
      </w:r>
    </w:p>
    <w:p w14:paraId="1CB08D21">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6DB6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5" w:hRule="atLeast"/>
        </w:trPr>
        <w:tc>
          <w:tcPr>
            <w:tcW w:w="1705" w:type="dxa"/>
            <w:vMerge w:val="restart"/>
            <w:tcBorders>
              <w:bottom w:val="nil"/>
            </w:tcBorders>
            <w:vAlign w:val="top"/>
          </w:tcPr>
          <w:p w14:paraId="6FD99B0F">
            <w:pPr>
              <w:spacing w:line="247" w:lineRule="auto"/>
              <w:rPr>
                <w:rFonts w:ascii="Arial"/>
                <w:sz w:val="21"/>
              </w:rPr>
            </w:pPr>
          </w:p>
          <w:p w14:paraId="1FF27BA1">
            <w:pPr>
              <w:spacing w:line="247" w:lineRule="auto"/>
              <w:rPr>
                <w:rFonts w:ascii="Arial"/>
                <w:sz w:val="21"/>
              </w:rPr>
            </w:pPr>
          </w:p>
          <w:p w14:paraId="4BFBC351">
            <w:pPr>
              <w:spacing w:line="247" w:lineRule="auto"/>
              <w:rPr>
                <w:rFonts w:ascii="Arial"/>
                <w:sz w:val="21"/>
              </w:rPr>
            </w:pPr>
          </w:p>
          <w:p w14:paraId="3768B16E">
            <w:pPr>
              <w:spacing w:line="248" w:lineRule="auto"/>
              <w:rPr>
                <w:rFonts w:ascii="Arial"/>
                <w:sz w:val="21"/>
              </w:rPr>
            </w:pPr>
          </w:p>
          <w:p w14:paraId="3FE8A607">
            <w:pPr>
              <w:spacing w:line="248" w:lineRule="auto"/>
              <w:rPr>
                <w:rFonts w:ascii="Arial"/>
                <w:sz w:val="21"/>
              </w:rPr>
            </w:pPr>
          </w:p>
          <w:p w14:paraId="25042012">
            <w:pPr>
              <w:spacing w:line="248" w:lineRule="auto"/>
              <w:rPr>
                <w:rFonts w:ascii="Arial"/>
                <w:sz w:val="21"/>
              </w:rPr>
            </w:pPr>
          </w:p>
          <w:p w14:paraId="2F79B97A">
            <w:pPr>
              <w:spacing w:line="248" w:lineRule="auto"/>
              <w:rPr>
                <w:rFonts w:ascii="Arial"/>
                <w:sz w:val="21"/>
              </w:rPr>
            </w:pPr>
          </w:p>
          <w:p w14:paraId="456621F1">
            <w:pPr>
              <w:spacing w:line="248" w:lineRule="auto"/>
              <w:rPr>
                <w:rFonts w:ascii="Arial"/>
                <w:sz w:val="21"/>
              </w:rPr>
            </w:pPr>
          </w:p>
          <w:p w14:paraId="3F6A821D">
            <w:pPr>
              <w:spacing w:line="248" w:lineRule="auto"/>
              <w:rPr>
                <w:rFonts w:ascii="Arial"/>
                <w:sz w:val="21"/>
              </w:rPr>
            </w:pPr>
          </w:p>
          <w:p w14:paraId="39726AFD">
            <w:pPr>
              <w:spacing w:line="248" w:lineRule="auto"/>
              <w:rPr>
                <w:rFonts w:ascii="Arial"/>
                <w:sz w:val="21"/>
              </w:rPr>
            </w:pPr>
          </w:p>
          <w:p w14:paraId="1CE03C80">
            <w:pPr>
              <w:spacing w:line="248" w:lineRule="auto"/>
              <w:rPr>
                <w:rFonts w:ascii="Arial"/>
                <w:sz w:val="21"/>
              </w:rPr>
            </w:pPr>
          </w:p>
          <w:p w14:paraId="74F73FA8">
            <w:pPr>
              <w:spacing w:line="248" w:lineRule="auto"/>
              <w:rPr>
                <w:rFonts w:ascii="Arial"/>
                <w:sz w:val="21"/>
              </w:rPr>
            </w:pPr>
          </w:p>
          <w:p w14:paraId="7EFA6DAE">
            <w:pPr>
              <w:spacing w:line="248" w:lineRule="auto"/>
              <w:rPr>
                <w:rFonts w:ascii="Arial"/>
                <w:sz w:val="21"/>
              </w:rPr>
            </w:pPr>
          </w:p>
          <w:p w14:paraId="41C21E1A">
            <w:pPr>
              <w:spacing w:line="248" w:lineRule="auto"/>
              <w:rPr>
                <w:rFonts w:ascii="Arial"/>
                <w:sz w:val="21"/>
              </w:rPr>
            </w:pPr>
          </w:p>
          <w:p w14:paraId="21DD381D">
            <w:pPr>
              <w:spacing w:line="248" w:lineRule="auto"/>
              <w:rPr>
                <w:rFonts w:ascii="Arial"/>
                <w:sz w:val="21"/>
              </w:rPr>
            </w:pPr>
          </w:p>
          <w:p w14:paraId="5EBC3E27">
            <w:pPr>
              <w:pStyle w:val="6"/>
              <w:spacing w:before="65" w:line="228" w:lineRule="auto"/>
              <w:ind w:left="116"/>
              <w:rPr>
                <w:sz w:val="20"/>
                <w:szCs w:val="20"/>
              </w:rPr>
            </w:pPr>
            <w:r>
              <w:rPr>
                <w:spacing w:val="8"/>
                <w:sz w:val="20"/>
                <w:szCs w:val="20"/>
              </w:rPr>
              <w:t>其他符合性分析</w:t>
            </w:r>
          </w:p>
        </w:tc>
        <w:tc>
          <w:tcPr>
            <w:tcW w:w="143" w:type="dxa"/>
            <w:vMerge w:val="restart"/>
            <w:tcBorders>
              <w:bottom w:val="nil"/>
            </w:tcBorders>
            <w:vAlign w:val="top"/>
          </w:tcPr>
          <w:p w14:paraId="31861E4A">
            <w:pPr>
              <w:rPr>
                <w:rFonts w:ascii="Arial"/>
                <w:sz w:val="21"/>
              </w:rPr>
            </w:pPr>
          </w:p>
        </w:tc>
        <w:tc>
          <w:tcPr>
            <w:tcW w:w="1011" w:type="dxa"/>
            <w:vMerge w:val="restart"/>
            <w:tcBorders>
              <w:bottom w:val="nil"/>
            </w:tcBorders>
            <w:vAlign w:val="top"/>
          </w:tcPr>
          <w:p w14:paraId="29CF15C7">
            <w:pPr>
              <w:rPr>
                <w:rFonts w:ascii="Arial"/>
                <w:sz w:val="21"/>
              </w:rPr>
            </w:pPr>
          </w:p>
        </w:tc>
        <w:tc>
          <w:tcPr>
            <w:tcW w:w="886" w:type="dxa"/>
            <w:vAlign w:val="top"/>
          </w:tcPr>
          <w:p w14:paraId="1C640D19">
            <w:pPr>
              <w:rPr>
                <w:rFonts w:ascii="Arial"/>
                <w:sz w:val="21"/>
              </w:rPr>
            </w:pPr>
          </w:p>
        </w:tc>
        <w:tc>
          <w:tcPr>
            <w:tcW w:w="879" w:type="dxa"/>
            <w:vAlign w:val="top"/>
          </w:tcPr>
          <w:p w14:paraId="0AC172CE">
            <w:pPr>
              <w:rPr>
                <w:rFonts w:ascii="Arial"/>
                <w:sz w:val="21"/>
              </w:rPr>
            </w:pPr>
          </w:p>
        </w:tc>
        <w:tc>
          <w:tcPr>
            <w:tcW w:w="6443" w:type="dxa"/>
            <w:vAlign w:val="top"/>
          </w:tcPr>
          <w:p w14:paraId="3A25FE89">
            <w:pPr>
              <w:pStyle w:val="6"/>
              <w:spacing w:before="43" w:line="219" w:lineRule="auto"/>
              <w:ind w:left="52"/>
              <w:rPr>
                <w:sz w:val="18"/>
                <w:szCs w:val="18"/>
              </w:rPr>
            </w:pPr>
            <w:r>
              <w:rPr>
                <w:spacing w:val="-1"/>
                <w:sz w:val="18"/>
                <w:szCs w:val="18"/>
              </w:rPr>
              <w:t>建耗煤项目，新增耗煤项目实行煤炭消耗减量倍量替代。</w:t>
            </w:r>
          </w:p>
          <w:p w14:paraId="7D674328">
            <w:pPr>
              <w:pStyle w:val="6"/>
              <w:spacing w:before="19" w:line="232" w:lineRule="auto"/>
              <w:ind w:left="52" w:right="44" w:firstLine="358"/>
              <w:rPr>
                <w:sz w:val="18"/>
                <w:szCs w:val="18"/>
              </w:rPr>
            </w:pPr>
            <w:r>
              <w:rPr>
                <w:rFonts w:ascii="Times New Roman" w:hAnsi="Times New Roman" w:eastAsia="Times New Roman" w:cs="Times New Roman"/>
                <w:spacing w:val="-1"/>
                <w:sz w:val="18"/>
                <w:szCs w:val="18"/>
              </w:rPr>
              <w:t>-</w:t>
            </w:r>
            <w:r>
              <w:rPr>
                <w:spacing w:val="-1"/>
                <w:sz w:val="18"/>
                <w:szCs w:val="18"/>
              </w:rPr>
              <w:t>鼓励使用清洁燃料，重点区域建设项目原则上不新建燃煤自备锅炉。鼓励重</w:t>
            </w:r>
            <w:r>
              <w:rPr>
                <w:spacing w:val="16"/>
                <w:sz w:val="18"/>
                <w:szCs w:val="18"/>
              </w:rPr>
              <w:t xml:space="preserve"> </w:t>
            </w:r>
            <w:r>
              <w:rPr>
                <w:spacing w:val="5"/>
                <w:sz w:val="18"/>
                <w:szCs w:val="18"/>
              </w:rPr>
              <w:t>点区域高炉</w:t>
            </w:r>
            <w:r>
              <w:rPr>
                <w:rFonts w:ascii="Times New Roman" w:hAnsi="Times New Roman" w:eastAsia="Times New Roman" w:cs="Times New Roman"/>
                <w:spacing w:val="5"/>
                <w:sz w:val="18"/>
                <w:szCs w:val="18"/>
              </w:rPr>
              <w:t>-</w:t>
            </w:r>
            <w:r>
              <w:rPr>
                <w:spacing w:val="5"/>
                <w:sz w:val="18"/>
                <w:szCs w:val="18"/>
              </w:rPr>
              <w:t>转炉长流程钢铁企业转型为电炉</w:t>
            </w:r>
            <w:r>
              <w:rPr>
                <w:spacing w:val="4"/>
                <w:sz w:val="18"/>
                <w:szCs w:val="18"/>
              </w:rPr>
              <w:t>短流程企业。大宗物料优先采用铁</w:t>
            </w:r>
            <w:r>
              <w:rPr>
                <w:sz w:val="18"/>
                <w:szCs w:val="18"/>
              </w:rPr>
              <w:t xml:space="preserve"> </w:t>
            </w:r>
            <w:r>
              <w:rPr>
                <w:spacing w:val="-1"/>
                <w:sz w:val="18"/>
                <w:szCs w:val="18"/>
              </w:rPr>
              <w:t>路、管道或水路运输，短途接驳优先使用新能源车辆运输。</w:t>
            </w:r>
          </w:p>
          <w:p w14:paraId="52355DDA">
            <w:pPr>
              <w:pStyle w:val="6"/>
              <w:spacing w:before="19" w:line="219" w:lineRule="auto"/>
              <w:ind w:left="410"/>
              <w:rPr>
                <w:sz w:val="18"/>
                <w:szCs w:val="18"/>
              </w:rPr>
            </w:pPr>
            <w:r>
              <w:rPr>
                <w:rFonts w:ascii="Times New Roman" w:hAnsi="Times New Roman" w:eastAsia="Times New Roman" w:cs="Times New Roman"/>
                <w:spacing w:val="-1"/>
                <w:sz w:val="18"/>
                <w:szCs w:val="18"/>
              </w:rPr>
              <w:t>-</w:t>
            </w:r>
            <w:r>
              <w:rPr>
                <w:spacing w:val="-1"/>
                <w:sz w:val="18"/>
                <w:szCs w:val="18"/>
              </w:rPr>
              <w:t>推进清洁能源的推广使用，全面推进散煤清洁化整治；</w:t>
            </w:r>
          </w:p>
          <w:p w14:paraId="33F7657A">
            <w:pPr>
              <w:pStyle w:val="6"/>
              <w:spacing w:before="20" w:line="237" w:lineRule="auto"/>
              <w:ind w:left="49" w:firstLine="360"/>
              <w:rPr>
                <w:sz w:val="18"/>
                <w:szCs w:val="18"/>
              </w:rPr>
            </w:pPr>
            <w:r>
              <w:rPr>
                <w:rFonts w:ascii="Times New Roman" w:hAnsi="Times New Roman" w:eastAsia="Times New Roman" w:cs="Times New Roman"/>
                <w:spacing w:val="1"/>
                <w:sz w:val="18"/>
                <w:szCs w:val="18"/>
              </w:rPr>
              <w:t>-</w:t>
            </w:r>
            <w:r>
              <w:rPr>
                <w:spacing w:val="1"/>
                <w:sz w:val="18"/>
                <w:szCs w:val="18"/>
              </w:rPr>
              <w:t>全面淘汰</w:t>
            </w:r>
            <w:r>
              <w:rPr>
                <w:spacing w:val="-20"/>
                <w:sz w:val="18"/>
                <w:szCs w:val="18"/>
              </w:rPr>
              <w:t xml:space="preserve"> </w:t>
            </w:r>
            <w:r>
              <w:rPr>
                <w:rFonts w:ascii="Times New Roman" w:hAnsi="Times New Roman" w:eastAsia="Times New Roman" w:cs="Times New Roman"/>
                <w:spacing w:val="1"/>
                <w:sz w:val="18"/>
                <w:szCs w:val="18"/>
              </w:rPr>
              <w:t xml:space="preserve">10 </w:t>
            </w:r>
            <w:r>
              <w:rPr>
                <w:spacing w:val="1"/>
                <w:sz w:val="18"/>
                <w:szCs w:val="18"/>
              </w:rPr>
              <w:t>蒸吨</w:t>
            </w:r>
            <w:r>
              <w:rPr>
                <w:rFonts w:ascii="Times New Roman" w:hAnsi="Times New Roman" w:eastAsia="Times New Roman" w:cs="Times New Roman"/>
                <w:spacing w:val="1"/>
                <w:sz w:val="18"/>
                <w:szCs w:val="18"/>
              </w:rPr>
              <w:t>/</w:t>
            </w:r>
            <w:r>
              <w:rPr>
                <w:spacing w:val="1"/>
                <w:sz w:val="18"/>
                <w:szCs w:val="18"/>
              </w:rPr>
              <w:t>小时及以下燃煤锅炉，原则上不再新</w:t>
            </w:r>
            <w:r>
              <w:rPr>
                <w:sz w:val="18"/>
                <w:szCs w:val="18"/>
              </w:rPr>
              <w:t>建</w:t>
            </w:r>
            <w:r>
              <w:rPr>
                <w:spacing w:val="-37"/>
                <w:sz w:val="18"/>
                <w:szCs w:val="18"/>
              </w:rPr>
              <w:t xml:space="preserve"> </w:t>
            </w:r>
            <w:r>
              <w:rPr>
                <w:rFonts w:ascii="Times New Roman" w:hAnsi="Times New Roman" w:eastAsia="Times New Roman" w:cs="Times New Roman"/>
                <w:sz w:val="18"/>
                <w:szCs w:val="18"/>
              </w:rPr>
              <w:t xml:space="preserve">35 </w:t>
            </w:r>
            <w:r>
              <w:rPr>
                <w:sz w:val="18"/>
                <w:szCs w:val="18"/>
              </w:rPr>
              <w:t>蒸吨</w:t>
            </w:r>
            <w:r>
              <w:rPr>
                <w:rFonts w:ascii="Times New Roman" w:hAnsi="Times New Roman" w:eastAsia="Times New Roman" w:cs="Times New Roman"/>
                <w:sz w:val="18"/>
                <w:szCs w:val="18"/>
              </w:rPr>
              <w:t>/</w:t>
            </w:r>
            <w:r>
              <w:rPr>
                <w:sz w:val="18"/>
                <w:szCs w:val="18"/>
              </w:rPr>
              <w:t xml:space="preserve">小时及以 </w:t>
            </w:r>
            <w:r>
              <w:rPr>
                <w:spacing w:val="-3"/>
                <w:sz w:val="18"/>
                <w:szCs w:val="18"/>
              </w:rPr>
              <w:t>下的燃煤锅炉，推进县级及以上城市建成区淘汰</w:t>
            </w:r>
            <w:r>
              <w:rPr>
                <w:spacing w:val="-30"/>
                <w:sz w:val="18"/>
                <w:szCs w:val="18"/>
              </w:rPr>
              <w:t xml:space="preserve"> </w:t>
            </w:r>
            <w:r>
              <w:rPr>
                <w:rFonts w:ascii="Times New Roman" w:hAnsi="Times New Roman" w:eastAsia="Times New Roman" w:cs="Times New Roman"/>
                <w:spacing w:val="-3"/>
                <w:sz w:val="18"/>
                <w:szCs w:val="18"/>
              </w:rPr>
              <w:t xml:space="preserve">35 </w:t>
            </w:r>
            <w:r>
              <w:rPr>
                <w:spacing w:val="-3"/>
                <w:sz w:val="18"/>
                <w:szCs w:val="18"/>
              </w:rPr>
              <w:t>蒸吨</w:t>
            </w:r>
            <w:r>
              <w:rPr>
                <w:rFonts w:ascii="Times New Roman" w:hAnsi="Times New Roman" w:eastAsia="Times New Roman" w:cs="Times New Roman"/>
                <w:spacing w:val="-3"/>
                <w:sz w:val="18"/>
                <w:szCs w:val="18"/>
              </w:rPr>
              <w:t>/</w:t>
            </w:r>
            <w:r>
              <w:rPr>
                <w:spacing w:val="-3"/>
                <w:sz w:val="18"/>
                <w:szCs w:val="18"/>
              </w:rPr>
              <w:t>小时及以下燃煤锅炉，以</w:t>
            </w:r>
            <w:r>
              <w:rPr>
                <w:sz w:val="18"/>
                <w:szCs w:val="18"/>
              </w:rPr>
              <w:t xml:space="preserve"> </w:t>
            </w:r>
            <w:r>
              <w:rPr>
                <w:spacing w:val="1"/>
                <w:sz w:val="18"/>
                <w:szCs w:val="18"/>
              </w:rPr>
              <w:t>工业余热、电厂热力、清洁能源等替代煤炭。加快推进火电、钢铁、铸造（含烧</w:t>
            </w:r>
            <w:r>
              <w:rPr>
                <w:spacing w:val="8"/>
                <w:sz w:val="18"/>
                <w:szCs w:val="18"/>
              </w:rPr>
              <w:t xml:space="preserve"> </w:t>
            </w:r>
            <w:r>
              <w:rPr>
                <w:spacing w:val="1"/>
                <w:sz w:val="18"/>
                <w:szCs w:val="18"/>
              </w:rPr>
              <w:t>结、球团、高炉工序）水泥、焦化行业燃煤锅炉和工业炉窑超低排放改造及深度</w:t>
            </w:r>
            <w:r>
              <w:rPr>
                <w:spacing w:val="8"/>
                <w:sz w:val="18"/>
                <w:szCs w:val="18"/>
              </w:rPr>
              <w:t xml:space="preserve"> </w:t>
            </w:r>
            <w:r>
              <w:rPr>
                <w:spacing w:val="1"/>
                <w:sz w:val="18"/>
                <w:szCs w:val="18"/>
              </w:rPr>
              <w:t>治理。稳步实施陶瓷、玻璃、铁合金、有色、砖瓦等行业企业深度治理，推进工</w:t>
            </w:r>
            <w:r>
              <w:rPr>
                <w:spacing w:val="8"/>
                <w:sz w:val="18"/>
                <w:szCs w:val="18"/>
              </w:rPr>
              <w:t xml:space="preserve"> </w:t>
            </w:r>
            <w:r>
              <w:rPr>
                <w:spacing w:val="1"/>
                <w:sz w:val="18"/>
                <w:szCs w:val="18"/>
              </w:rPr>
              <w:t>业炉窑煤改电（气）和低氮燃烧改造。全面加强钢铁、建材、有色、焦化、铸造</w:t>
            </w:r>
            <w:r>
              <w:rPr>
                <w:spacing w:val="8"/>
                <w:sz w:val="18"/>
                <w:szCs w:val="18"/>
              </w:rPr>
              <w:t xml:space="preserve"> </w:t>
            </w:r>
            <w:r>
              <w:rPr>
                <w:spacing w:val="-3"/>
                <w:sz w:val="18"/>
                <w:szCs w:val="18"/>
              </w:rPr>
              <w:t>重点行业无组织排放治理。生物质锅炉采用专用锅炉，配套布袋等高效除尘设施，</w:t>
            </w:r>
            <w:r>
              <w:rPr>
                <w:spacing w:val="15"/>
                <w:sz w:val="18"/>
                <w:szCs w:val="18"/>
              </w:rPr>
              <w:t xml:space="preserve"> </w:t>
            </w:r>
            <w:r>
              <w:rPr>
                <w:spacing w:val="-1"/>
                <w:sz w:val="18"/>
                <w:szCs w:val="18"/>
              </w:rPr>
              <w:t>禁止掺烧煤炭、垃圾等其他物料。</w:t>
            </w:r>
          </w:p>
          <w:p w14:paraId="7D055E58">
            <w:pPr>
              <w:pStyle w:val="6"/>
              <w:spacing w:before="20" w:line="232" w:lineRule="auto"/>
              <w:ind w:left="49" w:right="41" w:firstLine="361"/>
              <w:rPr>
                <w:sz w:val="18"/>
                <w:szCs w:val="18"/>
              </w:rPr>
            </w:pPr>
            <w:r>
              <w:rPr>
                <w:rFonts w:ascii="Times New Roman" w:hAnsi="Times New Roman" w:eastAsia="Times New Roman" w:cs="Times New Roman"/>
                <w:spacing w:val="2"/>
                <w:sz w:val="18"/>
                <w:szCs w:val="18"/>
              </w:rPr>
              <w:t>-</w:t>
            </w:r>
            <w:r>
              <w:rPr>
                <w:spacing w:val="2"/>
                <w:sz w:val="18"/>
                <w:szCs w:val="18"/>
              </w:rPr>
              <w:t>对</w:t>
            </w:r>
            <w:r>
              <w:rPr>
                <w:spacing w:val="-39"/>
                <w:sz w:val="18"/>
                <w:szCs w:val="18"/>
              </w:rPr>
              <w:t xml:space="preserve"> </w:t>
            </w:r>
            <w:r>
              <w:rPr>
                <w:rFonts w:ascii="Times New Roman" w:hAnsi="Times New Roman" w:eastAsia="Times New Roman" w:cs="Times New Roman"/>
                <w:spacing w:val="2"/>
                <w:sz w:val="18"/>
                <w:szCs w:val="18"/>
              </w:rPr>
              <w:t xml:space="preserve">20 </w:t>
            </w:r>
            <w:r>
              <w:rPr>
                <w:spacing w:val="2"/>
                <w:sz w:val="18"/>
                <w:szCs w:val="18"/>
              </w:rPr>
              <w:t>蒸吨及以上燃煤锅炉实施脱硫改造，建设高效脱硫设施；</w:t>
            </w:r>
            <w:r>
              <w:rPr>
                <w:spacing w:val="1"/>
                <w:sz w:val="18"/>
                <w:szCs w:val="18"/>
              </w:rPr>
              <w:t>对循环流化</w:t>
            </w:r>
            <w:r>
              <w:rPr>
                <w:sz w:val="18"/>
                <w:szCs w:val="18"/>
              </w:rPr>
              <w:t xml:space="preserve"> </w:t>
            </w:r>
            <w:r>
              <w:rPr>
                <w:spacing w:val="1"/>
                <w:sz w:val="18"/>
                <w:szCs w:val="18"/>
              </w:rPr>
              <w:t>床锅炉以外的燃煤发电机组一律安装脱硫设施，对燃煤锅炉和工业锅炉现有除尘</w:t>
            </w:r>
            <w:r>
              <w:rPr>
                <w:spacing w:val="11"/>
                <w:sz w:val="18"/>
                <w:szCs w:val="18"/>
              </w:rPr>
              <w:t xml:space="preserve"> </w:t>
            </w:r>
            <w:r>
              <w:rPr>
                <w:sz w:val="18"/>
                <w:szCs w:val="18"/>
              </w:rPr>
              <w:t>设施实施升级改造，确保达到新的排放标准和</w:t>
            </w:r>
            <w:r>
              <w:rPr>
                <w:spacing w:val="-1"/>
                <w:sz w:val="18"/>
                <w:szCs w:val="18"/>
              </w:rPr>
              <w:t>特别排放限值。</w:t>
            </w:r>
          </w:p>
          <w:p w14:paraId="2CE0EC40">
            <w:pPr>
              <w:pStyle w:val="6"/>
              <w:spacing w:before="22" w:line="219" w:lineRule="auto"/>
              <w:ind w:left="50"/>
              <w:rPr>
                <w:sz w:val="18"/>
                <w:szCs w:val="18"/>
              </w:rPr>
            </w:pPr>
            <w:r>
              <w:rPr>
                <w:spacing w:val="-2"/>
                <w:sz w:val="18"/>
                <w:szCs w:val="18"/>
              </w:rPr>
              <w:t>禁燃区要求</w:t>
            </w:r>
          </w:p>
          <w:p w14:paraId="33FEFFEA">
            <w:pPr>
              <w:pStyle w:val="6"/>
              <w:spacing w:before="17" w:line="235" w:lineRule="auto"/>
              <w:ind w:left="50" w:right="41" w:firstLine="360"/>
              <w:rPr>
                <w:sz w:val="18"/>
                <w:szCs w:val="18"/>
              </w:rPr>
            </w:pPr>
            <w:r>
              <w:rPr>
                <w:rFonts w:ascii="Times New Roman" w:hAnsi="Times New Roman" w:eastAsia="Times New Roman" w:cs="Times New Roman"/>
                <w:spacing w:val="3"/>
                <w:sz w:val="18"/>
                <w:szCs w:val="18"/>
              </w:rPr>
              <w:t>-</w:t>
            </w:r>
            <w:r>
              <w:rPr>
                <w:spacing w:val="3"/>
                <w:sz w:val="18"/>
                <w:szCs w:val="18"/>
              </w:rPr>
              <w:t>高污染燃料禁燃区内禁止燃用的燃料为《高污染燃料目录》（</w:t>
            </w:r>
            <w:r>
              <w:rPr>
                <w:rFonts w:ascii="Times New Roman" w:hAnsi="Times New Roman" w:eastAsia="Times New Roman" w:cs="Times New Roman"/>
                <w:spacing w:val="3"/>
                <w:sz w:val="18"/>
                <w:szCs w:val="18"/>
              </w:rPr>
              <w:t>2017</w:t>
            </w:r>
            <w:r>
              <w:rPr>
                <w:spacing w:val="3"/>
                <w:sz w:val="18"/>
                <w:szCs w:val="18"/>
              </w:rPr>
              <w:t>）中</w:t>
            </w:r>
            <w:r>
              <w:rPr>
                <w:spacing w:val="-30"/>
                <w:sz w:val="18"/>
                <w:szCs w:val="18"/>
              </w:rPr>
              <w:t xml:space="preserve"> </w:t>
            </w:r>
            <w:r>
              <w:rPr>
                <w:rFonts w:ascii="Times New Roman" w:hAnsi="Times New Roman" w:eastAsia="Times New Roman" w:cs="Times New Roman"/>
                <w:sz w:val="18"/>
                <w:szCs w:val="18"/>
              </w:rPr>
              <w:t xml:space="preserve">III </w:t>
            </w:r>
            <w:r>
              <w:rPr>
                <w:spacing w:val="3"/>
                <w:sz w:val="18"/>
                <w:szCs w:val="18"/>
              </w:rPr>
              <w:t>类（严格）燃料组合，包括</w:t>
            </w:r>
            <w:r>
              <w:rPr>
                <w:spacing w:val="-12"/>
                <w:sz w:val="18"/>
                <w:szCs w:val="18"/>
              </w:rPr>
              <w:t>：（</w:t>
            </w:r>
            <w:r>
              <w:rPr>
                <w:spacing w:val="3"/>
                <w:sz w:val="18"/>
                <w:szCs w:val="18"/>
              </w:rPr>
              <w:t>一）煤炭及其制品</w:t>
            </w:r>
            <w:r>
              <w:rPr>
                <w:spacing w:val="-12"/>
                <w:sz w:val="18"/>
                <w:szCs w:val="18"/>
              </w:rPr>
              <w:t>；（</w:t>
            </w:r>
            <w:r>
              <w:rPr>
                <w:spacing w:val="3"/>
                <w:sz w:val="18"/>
                <w:szCs w:val="18"/>
              </w:rPr>
              <w:t>二）石油焦、油</w:t>
            </w:r>
            <w:r>
              <w:rPr>
                <w:spacing w:val="2"/>
                <w:sz w:val="18"/>
                <w:szCs w:val="18"/>
              </w:rPr>
              <w:t>页岩、原</w:t>
            </w:r>
            <w:r>
              <w:rPr>
                <w:spacing w:val="3"/>
                <w:sz w:val="18"/>
                <w:szCs w:val="18"/>
              </w:rPr>
              <w:t xml:space="preserve"> </w:t>
            </w:r>
            <w:r>
              <w:rPr>
                <w:spacing w:val="2"/>
                <w:sz w:val="18"/>
                <w:szCs w:val="18"/>
              </w:rPr>
              <w:t>油、重油、渣油、煤焦油</w:t>
            </w:r>
            <w:r>
              <w:rPr>
                <w:spacing w:val="-11"/>
                <w:sz w:val="18"/>
                <w:szCs w:val="18"/>
              </w:rPr>
              <w:t>；（</w:t>
            </w:r>
            <w:r>
              <w:rPr>
                <w:spacing w:val="2"/>
                <w:sz w:val="18"/>
                <w:szCs w:val="18"/>
              </w:rPr>
              <w:t>三）非专用锅炉或未配置高效除尘设施的专用锅炉</w:t>
            </w:r>
            <w:r>
              <w:rPr>
                <w:sz w:val="18"/>
                <w:szCs w:val="18"/>
              </w:rPr>
              <w:t xml:space="preserve"> </w:t>
            </w:r>
            <w:r>
              <w:rPr>
                <w:spacing w:val="-1"/>
                <w:sz w:val="18"/>
                <w:szCs w:val="18"/>
              </w:rPr>
              <w:t>燃用的生物质成型燃料。</w:t>
            </w:r>
          </w:p>
          <w:p w14:paraId="249C4BB8">
            <w:pPr>
              <w:pStyle w:val="6"/>
              <w:spacing w:before="19" w:line="229" w:lineRule="auto"/>
              <w:ind w:left="50" w:right="44" w:firstLine="360"/>
              <w:rPr>
                <w:sz w:val="18"/>
                <w:szCs w:val="18"/>
              </w:rPr>
            </w:pPr>
            <w:r>
              <w:rPr>
                <w:rFonts w:ascii="Times New Roman" w:hAnsi="Times New Roman" w:eastAsia="Times New Roman" w:cs="Times New Roman"/>
                <w:spacing w:val="-1"/>
                <w:sz w:val="18"/>
                <w:szCs w:val="18"/>
              </w:rPr>
              <w:t>-</w:t>
            </w:r>
            <w:r>
              <w:rPr>
                <w:spacing w:val="-1"/>
                <w:sz w:val="18"/>
                <w:szCs w:val="18"/>
              </w:rPr>
              <w:t>禁燃区内禁止销售、燃用高污染燃料；禁止新建、改建、扩建燃用高污染燃</w:t>
            </w:r>
            <w:r>
              <w:rPr>
                <w:spacing w:val="16"/>
                <w:sz w:val="18"/>
                <w:szCs w:val="18"/>
              </w:rPr>
              <w:t xml:space="preserve"> </w:t>
            </w:r>
            <w:r>
              <w:rPr>
                <w:spacing w:val="-1"/>
                <w:sz w:val="18"/>
                <w:szCs w:val="18"/>
              </w:rPr>
              <w:t>料的设施和设备。</w:t>
            </w:r>
          </w:p>
          <w:p w14:paraId="658226B0">
            <w:pPr>
              <w:pStyle w:val="6"/>
              <w:spacing w:before="21" w:line="229" w:lineRule="auto"/>
              <w:ind w:left="56" w:right="81" w:firstLine="354"/>
              <w:rPr>
                <w:sz w:val="18"/>
                <w:szCs w:val="18"/>
              </w:rPr>
            </w:pPr>
            <w:r>
              <w:rPr>
                <w:rFonts w:ascii="Times New Roman" w:hAnsi="Times New Roman" w:eastAsia="Times New Roman" w:cs="Times New Roman"/>
                <w:spacing w:val="-2"/>
                <w:sz w:val="18"/>
                <w:szCs w:val="18"/>
              </w:rPr>
              <w:t>-</w:t>
            </w:r>
            <w:r>
              <w:rPr>
                <w:spacing w:val="-2"/>
                <w:sz w:val="18"/>
                <w:szCs w:val="18"/>
              </w:rPr>
              <w:t>禁燃区内已建成的高污染燃料燃用设施由辖区人民政府制定限期改造计划，</w:t>
            </w:r>
            <w:r>
              <w:rPr>
                <w:spacing w:val="12"/>
                <w:sz w:val="18"/>
                <w:szCs w:val="18"/>
              </w:rPr>
              <w:t xml:space="preserve"> </w:t>
            </w:r>
            <w:r>
              <w:rPr>
                <w:spacing w:val="-1"/>
                <w:sz w:val="18"/>
                <w:szCs w:val="18"/>
              </w:rPr>
              <w:t>改用天然气、页岩气、液化石油气、电或其他清洁能源。</w:t>
            </w:r>
          </w:p>
          <w:p w14:paraId="0E7AFDDE">
            <w:pPr>
              <w:pStyle w:val="6"/>
              <w:spacing w:before="19" w:line="203" w:lineRule="auto"/>
              <w:ind w:left="411"/>
              <w:rPr>
                <w:sz w:val="18"/>
                <w:szCs w:val="18"/>
              </w:rPr>
            </w:pPr>
            <w:r>
              <w:rPr>
                <w:spacing w:val="-1"/>
                <w:sz w:val="18"/>
                <w:szCs w:val="18"/>
              </w:rPr>
              <w:t>其他资源利用效率要求，暂无。</w:t>
            </w:r>
          </w:p>
        </w:tc>
        <w:tc>
          <w:tcPr>
            <w:tcW w:w="1695" w:type="dxa"/>
            <w:vAlign w:val="top"/>
          </w:tcPr>
          <w:p w14:paraId="0391DBC3">
            <w:pPr>
              <w:rPr>
                <w:rFonts w:ascii="Arial"/>
                <w:sz w:val="21"/>
              </w:rPr>
            </w:pPr>
          </w:p>
        </w:tc>
        <w:tc>
          <w:tcPr>
            <w:tcW w:w="709" w:type="dxa"/>
            <w:vAlign w:val="top"/>
          </w:tcPr>
          <w:p w14:paraId="5497D050">
            <w:pPr>
              <w:rPr>
                <w:rFonts w:ascii="Arial"/>
                <w:sz w:val="21"/>
              </w:rPr>
            </w:pPr>
          </w:p>
        </w:tc>
      </w:tr>
      <w:tr w14:paraId="55198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1705" w:type="dxa"/>
            <w:vMerge w:val="continue"/>
            <w:tcBorders>
              <w:top w:val="nil"/>
            </w:tcBorders>
            <w:vAlign w:val="top"/>
          </w:tcPr>
          <w:p w14:paraId="359F2807">
            <w:pPr>
              <w:rPr>
                <w:rFonts w:ascii="Arial"/>
                <w:sz w:val="21"/>
              </w:rPr>
            </w:pPr>
          </w:p>
        </w:tc>
        <w:tc>
          <w:tcPr>
            <w:tcW w:w="143" w:type="dxa"/>
            <w:vMerge w:val="continue"/>
            <w:tcBorders>
              <w:top w:val="nil"/>
            </w:tcBorders>
            <w:vAlign w:val="top"/>
          </w:tcPr>
          <w:p w14:paraId="5B67A6C4">
            <w:pPr>
              <w:rPr>
                <w:rFonts w:ascii="Arial"/>
                <w:sz w:val="21"/>
              </w:rPr>
            </w:pPr>
          </w:p>
        </w:tc>
        <w:tc>
          <w:tcPr>
            <w:tcW w:w="1011" w:type="dxa"/>
            <w:vMerge w:val="continue"/>
            <w:tcBorders>
              <w:top w:val="nil"/>
            </w:tcBorders>
            <w:vAlign w:val="top"/>
          </w:tcPr>
          <w:p w14:paraId="2DAAB00F">
            <w:pPr>
              <w:rPr>
                <w:rFonts w:ascii="Arial"/>
                <w:sz w:val="21"/>
              </w:rPr>
            </w:pPr>
          </w:p>
        </w:tc>
        <w:tc>
          <w:tcPr>
            <w:tcW w:w="886" w:type="dxa"/>
            <w:vAlign w:val="top"/>
          </w:tcPr>
          <w:p w14:paraId="23B1431C">
            <w:pPr>
              <w:spacing w:line="261" w:lineRule="auto"/>
              <w:rPr>
                <w:rFonts w:ascii="Arial"/>
                <w:sz w:val="21"/>
              </w:rPr>
            </w:pPr>
          </w:p>
          <w:p w14:paraId="389D7B24">
            <w:pPr>
              <w:spacing w:line="262" w:lineRule="auto"/>
              <w:rPr>
                <w:rFonts w:ascii="Arial"/>
                <w:sz w:val="21"/>
              </w:rPr>
            </w:pPr>
          </w:p>
          <w:p w14:paraId="2AAC2615">
            <w:pPr>
              <w:spacing w:line="262" w:lineRule="auto"/>
              <w:rPr>
                <w:rFonts w:ascii="Arial"/>
                <w:sz w:val="21"/>
              </w:rPr>
            </w:pPr>
          </w:p>
          <w:p w14:paraId="3E4DD46E">
            <w:pPr>
              <w:pStyle w:val="6"/>
              <w:spacing w:before="58" w:line="220" w:lineRule="auto"/>
              <w:ind w:left="86"/>
              <w:rPr>
                <w:sz w:val="18"/>
                <w:szCs w:val="18"/>
              </w:rPr>
            </w:pPr>
            <w:r>
              <w:rPr>
                <w:spacing w:val="-3"/>
                <w:sz w:val="18"/>
                <w:szCs w:val="18"/>
              </w:rPr>
              <w:t>单元级清</w:t>
            </w:r>
          </w:p>
          <w:p w14:paraId="0C5B1974">
            <w:pPr>
              <w:pStyle w:val="6"/>
              <w:spacing w:before="18" w:line="219" w:lineRule="auto"/>
              <w:ind w:left="86"/>
              <w:rPr>
                <w:sz w:val="18"/>
                <w:szCs w:val="18"/>
              </w:rPr>
            </w:pPr>
            <w:r>
              <w:rPr>
                <w:spacing w:val="-3"/>
                <w:sz w:val="18"/>
                <w:szCs w:val="18"/>
              </w:rPr>
              <w:t>单管控要</w:t>
            </w:r>
          </w:p>
          <w:p w14:paraId="6F7DA6FD">
            <w:pPr>
              <w:pStyle w:val="6"/>
              <w:spacing w:before="18" w:line="221" w:lineRule="auto"/>
              <w:ind w:left="357"/>
              <w:rPr>
                <w:sz w:val="18"/>
                <w:szCs w:val="18"/>
              </w:rPr>
            </w:pPr>
            <w:r>
              <w:rPr>
                <w:sz w:val="18"/>
                <w:szCs w:val="18"/>
              </w:rPr>
              <w:t>求</w:t>
            </w:r>
          </w:p>
        </w:tc>
        <w:tc>
          <w:tcPr>
            <w:tcW w:w="879" w:type="dxa"/>
            <w:vAlign w:val="top"/>
          </w:tcPr>
          <w:p w14:paraId="2948F72C">
            <w:pPr>
              <w:spacing w:line="299" w:lineRule="auto"/>
              <w:rPr>
                <w:rFonts w:ascii="Arial"/>
                <w:sz w:val="21"/>
              </w:rPr>
            </w:pPr>
          </w:p>
          <w:p w14:paraId="1AF1B7C0">
            <w:pPr>
              <w:spacing w:line="300" w:lineRule="auto"/>
              <w:rPr>
                <w:rFonts w:ascii="Arial"/>
                <w:sz w:val="21"/>
              </w:rPr>
            </w:pPr>
          </w:p>
          <w:p w14:paraId="40C63B3C">
            <w:pPr>
              <w:spacing w:line="300" w:lineRule="auto"/>
              <w:rPr>
                <w:rFonts w:ascii="Arial"/>
                <w:sz w:val="21"/>
              </w:rPr>
            </w:pPr>
          </w:p>
          <w:p w14:paraId="03442E4C">
            <w:pPr>
              <w:pStyle w:val="6"/>
              <w:spacing w:before="59"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4F921132">
            <w:pPr>
              <w:pStyle w:val="6"/>
              <w:spacing w:before="32" w:line="219" w:lineRule="auto"/>
              <w:ind w:left="50"/>
              <w:rPr>
                <w:sz w:val="18"/>
                <w:szCs w:val="18"/>
              </w:rPr>
            </w:pPr>
            <w:r>
              <w:rPr>
                <w:spacing w:val="-1"/>
                <w:sz w:val="18"/>
                <w:szCs w:val="18"/>
              </w:rPr>
              <w:t>禁止开发建设活动的要求</w:t>
            </w:r>
          </w:p>
          <w:p w14:paraId="21396701">
            <w:pPr>
              <w:pStyle w:val="6"/>
              <w:spacing w:before="19" w:line="232" w:lineRule="auto"/>
              <w:ind w:left="49" w:right="44" w:firstLine="361"/>
              <w:jc w:val="both"/>
              <w:rPr>
                <w:sz w:val="18"/>
                <w:szCs w:val="18"/>
              </w:rPr>
            </w:pPr>
            <w:r>
              <w:rPr>
                <w:rFonts w:ascii="Times New Roman" w:hAnsi="Times New Roman" w:eastAsia="Times New Roman" w:cs="Times New Roman"/>
                <w:spacing w:val="-1"/>
                <w:sz w:val="18"/>
                <w:szCs w:val="18"/>
              </w:rPr>
              <w:t>-</w:t>
            </w:r>
            <w:r>
              <w:rPr>
                <w:spacing w:val="-1"/>
                <w:sz w:val="18"/>
                <w:szCs w:val="18"/>
              </w:rPr>
              <w:t>禁止引入如屠宰、电镀、制革、洗选、印染、含发酵工艺的生物制药等对水</w:t>
            </w:r>
            <w:r>
              <w:rPr>
                <w:spacing w:val="16"/>
                <w:sz w:val="18"/>
                <w:szCs w:val="18"/>
              </w:rPr>
              <w:t xml:space="preserve"> </w:t>
            </w:r>
            <w:r>
              <w:rPr>
                <w:sz w:val="18"/>
                <w:szCs w:val="18"/>
              </w:rPr>
              <w:t>环境污染中的企业，电石、焦化、煤化工、黄磷等对大气环境</w:t>
            </w:r>
            <w:r>
              <w:rPr>
                <w:spacing w:val="-1"/>
                <w:sz w:val="18"/>
                <w:szCs w:val="18"/>
              </w:rPr>
              <w:t>污染重的企业，以</w:t>
            </w:r>
            <w:r>
              <w:rPr>
                <w:sz w:val="18"/>
                <w:szCs w:val="18"/>
              </w:rPr>
              <w:t xml:space="preserve"> 及其他重污染的工业企业其它同达州市工业</w:t>
            </w:r>
            <w:r>
              <w:rPr>
                <w:spacing w:val="-1"/>
                <w:sz w:val="18"/>
                <w:szCs w:val="18"/>
              </w:rPr>
              <w:t>重点管控单元要求</w:t>
            </w:r>
          </w:p>
          <w:p w14:paraId="4115396D">
            <w:pPr>
              <w:pStyle w:val="6"/>
              <w:spacing w:before="19" w:line="220" w:lineRule="auto"/>
              <w:ind w:left="63"/>
              <w:rPr>
                <w:sz w:val="18"/>
                <w:szCs w:val="18"/>
              </w:rPr>
            </w:pPr>
            <w:r>
              <w:rPr>
                <w:spacing w:val="-2"/>
                <w:sz w:val="18"/>
                <w:szCs w:val="18"/>
              </w:rPr>
              <w:t>限制开发建设活动的要求</w:t>
            </w:r>
          </w:p>
          <w:p w14:paraId="3359DBF1">
            <w:pPr>
              <w:pStyle w:val="6"/>
              <w:spacing w:before="20" w:line="229" w:lineRule="auto"/>
              <w:ind w:left="56" w:right="3334" w:hanging="6"/>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允许开发建设活动的要求</w:t>
            </w:r>
          </w:p>
          <w:p w14:paraId="640D28EB">
            <w:pPr>
              <w:pStyle w:val="6"/>
              <w:spacing w:before="18" w:line="219" w:lineRule="auto"/>
              <w:ind w:left="53"/>
              <w:rPr>
                <w:sz w:val="18"/>
                <w:szCs w:val="18"/>
              </w:rPr>
            </w:pPr>
            <w:r>
              <w:rPr>
                <w:spacing w:val="-1"/>
                <w:sz w:val="18"/>
                <w:szCs w:val="18"/>
              </w:rPr>
              <w:t>不符合空间布局要求活动的退出要求</w:t>
            </w:r>
          </w:p>
          <w:p w14:paraId="5C437BAB">
            <w:pPr>
              <w:pStyle w:val="6"/>
              <w:spacing w:before="19" w:line="228"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其他空间布局约束要求</w:t>
            </w:r>
          </w:p>
        </w:tc>
        <w:tc>
          <w:tcPr>
            <w:tcW w:w="1695" w:type="dxa"/>
            <w:vAlign w:val="top"/>
          </w:tcPr>
          <w:p w14:paraId="05C64340">
            <w:pPr>
              <w:spacing w:line="436" w:lineRule="auto"/>
              <w:rPr>
                <w:rFonts w:ascii="Arial"/>
                <w:sz w:val="21"/>
              </w:rPr>
            </w:pPr>
          </w:p>
          <w:p w14:paraId="053EF813">
            <w:pPr>
              <w:pStyle w:val="6"/>
              <w:spacing w:before="58" w:line="236" w:lineRule="auto"/>
              <w:ind w:left="51" w:right="42"/>
              <w:jc w:val="both"/>
              <w:rPr>
                <w:sz w:val="18"/>
                <w:szCs w:val="18"/>
              </w:rPr>
            </w:pPr>
            <w:r>
              <w:rPr>
                <w:spacing w:val="11"/>
                <w:sz w:val="18"/>
                <w:szCs w:val="18"/>
              </w:rPr>
              <w:t>本项</w:t>
            </w:r>
            <w:r>
              <w:rPr>
                <w:spacing w:val="-24"/>
                <w:sz w:val="18"/>
                <w:szCs w:val="18"/>
              </w:rPr>
              <w:t xml:space="preserve"> </w:t>
            </w:r>
            <w:r>
              <w:rPr>
                <w:spacing w:val="11"/>
                <w:sz w:val="18"/>
                <w:szCs w:val="18"/>
              </w:rPr>
              <w:t>目为非金属矿</w:t>
            </w:r>
            <w:r>
              <w:rPr>
                <w:sz w:val="18"/>
                <w:szCs w:val="18"/>
              </w:rPr>
              <w:t xml:space="preserve"> </w:t>
            </w:r>
            <w:r>
              <w:rPr>
                <w:spacing w:val="-3"/>
                <w:sz w:val="18"/>
                <w:szCs w:val="18"/>
              </w:rPr>
              <w:t>物制品制造项目，不</w:t>
            </w:r>
            <w:r>
              <w:rPr>
                <w:spacing w:val="2"/>
                <w:sz w:val="18"/>
                <w:szCs w:val="18"/>
              </w:rPr>
              <w:t xml:space="preserve"> </w:t>
            </w:r>
            <w:r>
              <w:rPr>
                <w:spacing w:val="-3"/>
                <w:sz w:val="18"/>
                <w:szCs w:val="18"/>
              </w:rPr>
              <w:t>属于屠宰、电镀、制</w:t>
            </w:r>
            <w:r>
              <w:rPr>
                <w:spacing w:val="2"/>
                <w:sz w:val="18"/>
                <w:szCs w:val="18"/>
              </w:rPr>
              <w:t xml:space="preserve"> </w:t>
            </w:r>
            <w:r>
              <w:rPr>
                <w:spacing w:val="-3"/>
                <w:sz w:val="18"/>
                <w:szCs w:val="18"/>
              </w:rPr>
              <w:t>革、洗选等禁止引入</w:t>
            </w:r>
            <w:r>
              <w:rPr>
                <w:spacing w:val="2"/>
                <w:sz w:val="18"/>
                <w:szCs w:val="18"/>
              </w:rPr>
              <w:t xml:space="preserve"> </w:t>
            </w:r>
            <w:r>
              <w:rPr>
                <w:spacing w:val="-3"/>
                <w:sz w:val="18"/>
                <w:szCs w:val="18"/>
              </w:rPr>
              <w:t>类项目，属于园区允</w:t>
            </w:r>
            <w:r>
              <w:rPr>
                <w:spacing w:val="2"/>
                <w:sz w:val="18"/>
                <w:szCs w:val="18"/>
              </w:rPr>
              <w:t xml:space="preserve"> </w:t>
            </w:r>
            <w:r>
              <w:rPr>
                <w:spacing w:val="-2"/>
                <w:sz w:val="18"/>
                <w:szCs w:val="18"/>
              </w:rPr>
              <w:t>许准入类项目。</w:t>
            </w:r>
          </w:p>
        </w:tc>
        <w:tc>
          <w:tcPr>
            <w:tcW w:w="709" w:type="dxa"/>
            <w:vAlign w:val="top"/>
          </w:tcPr>
          <w:p w14:paraId="072A3ACF">
            <w:pPr>
              <w:spacing w:line="254" w:lineRule="auto"/>
              <w:rPr>
                <w:rFonts w:ascii="Arial"/>
                <w:sz w:val="21"/>
              </w:rPr>
            </w:pPr>
          </w:p>
          <w:p w14:paraId="3ED458DF">
            <w:pPr>
              <w:spacing w:line="254" w:lineRule="auto"/>
              <w:rPr>
                <w:rFonts w:ascii="Arial"/>
                <w:sz w:val="21"/>
              </w:rPr>
            </w:pPr>
          </w:p>
          <w:p w14:paraId="4922B9AE">
            <w:pPr>
              <w:spacing w:line="254" w:lineRule="auto"/>
              <w:rPr>
                <w:rFonts w:ascii="Arial"/>
                <w:sz w:val="21"/>
              </w:rPr>
            </w:pPr>
          </w:p>
          <w:p w14:paraId="7EB932A7">
            <w:pPr>
              <w:spacing w:line="254" w:lineRule="auto"/>
              <w:rPr>
                <w:rFonts w:ascii="Arial"/>
                <w:sz w:val="21"/>
              </w:rPr>
            </w:pPr>
          </w:p>
          <w:p w14:paraId="211B21F7">
            <w:pPr>
              <w:pStyle w:val="6"/>
              <w:spacing w:before="59" w:line="219" w:lineRule="auto"/>
              <w:ind w:left="107"/>
              <w:rPr>
                <w:sz w:val="18"/>
                <w:szCs w:val="18"/>
              </w:rPr>
            </w:pPr>
            <w:r>
              <w:rPr>
                <w:spacing w:val="-5"/>
                <w:sz w:val="18"/>
                <w:szCs w:val="18"/>
              </w:rPr>
              <w:t>符合</w:t>
            </w:r>
          </w:p>
        </w:tc>
      </w:tr>
    </w:tbl>
    <w:p w14:paraId="5EA07D67">
      <w:pPr>
        <w:pStyle w:val="2"/>
      </w:pPr>
    </w:p>
    <w:p w14:paraId="78F4E9E8">
      <w:pPr>
        <w:sectPr>
          <w:footerReference r:id="rId16" w:type="default"/>
          <w:pgSz w:w="16839" w:h="11906"/>
          <w:pgMar w:top="1012" w:right="1681" w:bottom="1260" w:left="1680" w:header="0" w:footer="1080" w:gutter="0"/>
          <w:cols w:space="720" w:num="1"/>
        </w:sectPr>
      </w:pPr>
    </w:p>
    <w:p w14:paraId="48EAA982">
      <w:pPr>
        <w:spacing w:before="18"/>
      </w:pPr>
      <w:r>
        <w:drawing>
          <wp:anchor distT="0" distB="0" distL="0" distR="0" simplePos="0" relativeHeight="251671552" behindDoc="0" locked="0" layoutInCell="0" allowOverlap="1">
            <wp:simplePos x="0" y="0"/>
            <wp:positionH relativeFrom="page">
              <wp:posOffset>9526905</wp:posOffset>
            </wp:positionH>
            <wp:positionV relativeFrom="page">
              <wp:posOffset>984250</wp:posOffset>
            </wp:positionV>
            <wp:extent cx="6350" cy="536702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6"/>
                    <a:stretch>
                      <a:fillRect/>
                    </a:stretch>
                  </pic:blipFill>
                  <pic:spPr>
                    <a:xfrm>
                      <a:off x="0" y="0"/>
                      <a:ext cx="6350" cy="5367020"/>
                    </a:xfrm>
                    <a:prstGeom prst="rect">
                      <a:avLst/>
                    </a:prstGeom>
                  </pic:spPr>
                </pic:pic>
              </a:graphicData>
            </a:graphic>
          </wp:anchor>
        </w:drawing>
      </w:r>
    </w:p>
    <w:p w14:paraId="45C9AF0C">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07797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1705" w:type="dxa"/>
            <w:vMerge w:val="restart"/>
            <w:tcBorders>
              <w:bottom w:val="nil"/>
            </w:tcBorders>
            <w:vAlign w:val="top"/>
          </w:tcPr>
          <w:p w14:paraId="6C076880">
            <w:pPr>
              <w:rPr>
                <w:rFonts w:ascii="Arial"/>
                <w:sz w:val="21"/>
              </w:rPr>
            </w:pPr>
          </w:p>
        </w:tc>
        <w:tc>
          <w:tcPr>
            <w:tcW w:w="143" w:type="dxa"/>
            <w:vMerge w:val="restart"/>
            <w:tcBorders>
              <w:bottom w:val="nil"/>
            </w:tcBorders>
            <w:vAlign w:val="top"/>
          </w:tcPr>
          <w:p w14:paraId="465E1A80">
            <w:pPr>
              <w:rPr>
                <w:rFonts w:ascii="Arial"/>
                <w:sz w:val="21"/>
              </w:rPr>
            </w:pPr>
          </w:p>
        </w:tc>
        <w:tc>
          <w:tcPr>
            <w:tcW w:w="1011" w:type="dxa"/>
            <w:vMerge w:val="restart"/>
            <w:tcBorders>
              <w:bottom w:val="nil"/>
            </w:tcBorders>
            <w:vAlign w:val="top"/>
          </w:tcPr>
          <w:p w14:paraId="5F4ED942">
            <w:pPr>
              <w:rPr>
                <w:rFonts w:ascii="Arial"/>
                <w:sz w:val="21"/>
              </w:rPr>
            </w:pPr>
          </w:p>
        </w:tc>
        <w:tc>
          <w:tcPr>
            <w:tcW w:w="886" w:type="dxa"/>
            <w:vMerge w:val="restart"/>
            <w:tcBorders>
              <w:bottom w:val="nil"/>
            </w:tcBorders>
            <w:vAlign w:val="top"/>
          </w:tcPr>
          <w:p w14:paraId="5A4025EE">
            <w:pPr>
              <w:rPr>
                <w:rFonts w:ascii="Arial"/>
                <w:sz w:val="21"/>
              </w:rPr>
            </w:pPr>
          </w:p>
        </w:tc>
        <w:tc>
          <w:tcPr>
            <w:tcW w:w="879" w:type="dxa"/>
            <w:vAlign w:val="top"/>
          </w:tcPr>
          <w:p w14:paraId="5A2A1804">
            <w:pPr>
              <w:spacing w:line="286" w:lineRule="auto"/>
              <w:rPr>
                <w:rFonts w:ascii="Arial"/>
                <w:sz w:val="21"/>
              </w:rPr>
            </w:pPr>
          </w:p>
          <w:p w14:paraId="50268CE6">
            <w:pPr>
              <w:spacing w:line="286" w:lineRule="auto"/>
              <w:rPr>
                <w:rFonts w:ascii="Arial"/>
                <w:sz w:val="21"/>
              </w:rPr>
            </w:pPr>
          </w:p>
          <w:p w14:paraId="6C438B5B">
            <w:pPr>
              <w:spacing w:line="286" w:lineRule="auto"/>
              <w:rPr>
                <w:rFonts w:ascii="Arial"/>
                <w:sz w:val="21"/>
              </w:rPr>
            </w:pPr>
          </w:p>
          <w:p w14:paraId="2AEFCE91">
            <w:pPr>
              <w:spacing w:line="286" w:lineRule="auto"/>
              <w:rPr>
                <w:rFonts w:ascii="Arial"/>
                <w:sz w:val="21"/>
              </w:rPr>
            </w:pPr>
          </w:p>
          <w:p w14:paraId="0CE04AFE">
            <w:pPr>
              <w:pStyle w:val="6"/>
              <w:spacing w:before="58"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1A41C93B">
            <w:pPr>
              <w:pStyle w:val="6"/>
              <w:spacing w:before="43" w:line="219" w:lineRule="auto"/>
              <w:ind w:left="52"/>
              <w:rPr>
                <w:sz w:val="18"/>
                <w:szCs w:val="18"/>
              </w:rPr>
            </w:pPr>
            <w:r>
              <w:rPr>
                <w:spacing w:val="-1"/>
                <w:sz w:val="18"/>
                <w:szCs w:val="18"/>
              </w:rPr>
              <w:t>现有源提标升级改造</w:t>
            </w:r>
          </w:p>
          <w:p w14:paraId="1AFC0A20">
            <w:pPr>
              <w:pStyle w:val="6"/>
              <w:spacing w:before="19" w:line="232" w:lineRule="auto"/>
              <w:ind w:left="49" w:right="94" w:firstLine="3"/>
              <w:jc w:val="both"/>
              <w:rPr>
                <w:sz w:val="18"/>
                <w:szCs w:val="18"/>
              </w:rPr>
            </w:pPr>
            <w:r>
              <w:rPr>
                <w:sz w:val="18"/>
                <w:szCs w:val="18"/>
              </w:rPr>
              <w:t>项目产生的生产废水由企业自行处理达到《污水排放综</w:t>
            </w:r>
            <w:r>
              <w:rPr>
                <w:spacing w:val="-1"/>
                <w:sz w:val="18"/>
                <w:szCs w:val="18"/>
              </w:rPr>
              <w:t>合标准》三级或相应的行</w:t>
            </w:r>
            <w:r>
              <w:rPr>
                <w:sz w:val="18"/>
                <w:szCs w:val="18"/>
              </w:rPr>
              <w:t xml:space="preserve"> 业排放标准后排入园区污水处理厂处理达《城镇污水处理厂污</w:t>
            </w:r>
            <w:r>
              <w:rPr>
                <w:spacing w:val="-1"/>
                <w:sz w:val="18"/>
                <w:szCs w:val="18"/>
              </w:rPr>
              <w:t>染物排放标准》一</w:t>
            </w:r>
            <w:r>
              <w:rPr>
                <w:sz w:val="18"/>
                <w:szCs w:val="18"/>
              </w:rPr>
              <w:t xml:space="preserve"> </w:t>
            </w:r>
            <w:r>
              <w:rPr>
                <w:spacing w:val="-1"/>
                <w:sz w:val="18"/>
                <w:szCs w:val="18"/>
              </w:rPr>
              <w:t>级</w:t>
            </w:r>
            <w:r>
              <w:rPr>
                <w:spacing w:val="-40"/>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标或更严格标准后排放；</w:t>
            </w:r>
          </w:p>
          <w:p w14:paraId="56340958">
            <w:pPr>
              <w:pStyle w:val="6"/>
              <w:spacing w:before="19" w:line="230" w:lineRule="auto"/>
              <w:ind w:left="51" w:right="3514"/>
              <w:rPr>
                <w:sz w:val="18"/>
                <w:szCs w:val="18"/>
              </w:rPr>
            </w:pPr>
            <w:r>
              <w:rPr>
                <w:spacing w:val="-1"/>
                <w:sz w:val="18"/>
                <w:szCs w:val="18"/>
              </w:rPr>
              <w:t>其他同达州市工业重点总体准入要求</w:t>
            </w:r>
            <w:r>
              <w:rPr>
                <w:spacing w:val="7"/>
                <w:sz w:val="18"/>
                <w:szCs w:val="18"/>
              </w:rPr>
              <w:t xml:space="preserve"> </w:t>
            </w:r>
            <w:r>
              <w:rPr>
                <w:spacing w:val="-1"/>
                <w:sz w:val="18"/>
                <w:szCs w:val="18"/>
              </w:rPr>
              <w:t>新增源等量或倍量替代</w:t>
            </w:r>
          </w:p>
          <w:p w14:paraId="01354EB9">
            <w:pPr>
              <w:pStyle w:val="6"/>
              <w:spacing w:before="19"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新增源排放标准限值</w:t>
            </w:r>
          </w:p>
          <w:p w14:paraId="647ACD08">
            <w:pPr>
              <w:pStyle w:val="6"/>
              <w:spacing w:before="21" w:line="229" w:lineRule="auto"/>
              <w:ind w:left="52" w:right="3874" w:firstLine="16"/>
              <w:rPr>
                <w:sz w:val="18"/>
                <w:szCs w:val="18"/>
              </w:rPr>
            </w:pPr>
            <w:r>
              <w:rPr>
                <w:spacing w:val="-2"/>
                <w:sz w:val="18"/>
                <w:szCs w:val="18"/>
              </w:rPr>
              <w:t>同达州市工业重点总体准入要求</w:t>
            </w:r>
            <w:r>
              <w:rPr>
                <w:spacing w:val="2"/>
                <w:sz w:val="18"/>
                <w:szCs w:val="18"/>
              </w:rPr>
              <w:t xml:space="preserve"> </w:t>
            </w:r>
            <w:r>
              <w:rPr>
                <w:spacing w:val="-1"/>
                <w:sz w:val="18"/>
                <w:szCs w:val="18"/>
              </w:rPr>
              <w:t>污染物排放绩效水平准入要求</w:t>
            </w:r>
          </w:p>
          <w:p w14:paraId="358089B3">
            <w:pPr>
              <w:pStyle w:val="6"/>
              <w:spacing w:before="19" w:line="222"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其他污染物排放管控要求</w:t>
            </w:r>
          </w:p>
        </w:tc>
        <w:tc>
          <w:tcPr>
            <w:tcW w:w="1695" w:type="dxa"/>
            <w:vAlign w:val="top"/>
          </w:tcPr>
          <w:p w14:paraId="072F1A13">
            <w:pPr>
              <w:spacing w:line="447" w:lineRule="auto"/>
              <w:rPr>
                <w:rFonts w:ascii="Arial"/>
                <w:sz w:val="21"/>
              </w:rPr>
            </w:pPr>
          </w:p>
          <w:p w14:paraId="280781DA">
            <w:pPr>
              <w:pStyle w:val="6"/>
              <w:spacing w:before="58" w:line="234" w:lineRule="auto"/>
              <w:ind w:left="69" w:right="42" w:firstLine="66"/>
              <w:jc w:val="both"/>
              <w:rPr>
                <w:sz w:val="18"/>
                <w:szCs w:val="18"/>
              </w:rPr>
            </w:pPr>
            <w:r>
              <w:rPr>
                <w:spacing w:val="-2"/>
                <w:sz w:val="18"/>
                <w:szCs w:val="18"/>
              </w:rPr>
              <w:t>项目生产废水循环</w:t>
            </w:r>
            <w:r>
              <w:rPr>
                <w:spacing w:val="2"/>
                <w:sz w:val="18"/>
                <w:szCs w:val="18"/>
              </w:rPr>
              <w:t xml:space="preserve">  </w:t>
            </w:r>
            <w:r>
              <w:rPr>
                <w:spacing w:val="-5"/>
                <w:sz w:val="18"/>
                <w:szCs w:val="18"/>
              </w:rPr>
              <w:t>回用不外排；少量生</w:t>
            </w:r>
            <w:r>
              <w:rPr>
                <w:spacing w:val="2"/>
                <w:sz w:val="18"/>
                <w:szCs w:val="18"/>
              </w:rPr>
              <w:t xml:space="preserve"> </w:t>
            </w:r>
            <w:r>
              <w:rPr>
                <w:spacing w:val="7"/>
                <w:sz w:val="18"/>
                <w:szCs w:val="18"/>
              </w:rPr>
              <w:t>活污水定期拉运至</w:t>
            </w:r>
            <w:r>
              <w:rPr>
                <w:sz w:val="18"/>
                <w:szCs w:val="18"/>
              </w:rPr>
              <w:t xml:space="preserve">  </w:t>
            </w:r>
            <w:r>
              <w:rPr>
                <w:spacing w:val="7"/>
                <w:sz w:val="18"/>
                <w:szCs w:val="18"/>
              </w:rPr>
              <w:t>东岳场镇生活污水</w:t>
            </w:r>
          </w:p>
          <w:p w14:paraId="44B23295">
            <w:pPr>
              <w:pStyle w:val="6"/>
              <w:spacing w:before="21" w:line="220" w:lineRule="auto"/>
              <w:ind w:left="316"/>
              <w:rPr>
                <w:sz w:val="18"/>
                <w:szCs w:val="18"/>
              </w:rPr>
            </w:pPr>
            <w:r>
              <w:rPr>
                <w:spacing w:val="-2"/>
                <w:sz w:val="18"/>
                <w:szCs w:val="18"/>
              </w:rPr>
              <w:t>处理厂处理。</w:t>
            </w:r>
          </w:p>
          <w:p w14:paraId="4BB238BB">
            <w:pPr>
              <w:pStyle w:val="6"/>
              <w:spacing w:before="18" w:line="229" w:lineRule="auto"/>
              <w:ind w:left="99" w:right="44" w:firstLine="13"/>
              <w:rPr>
                <w:rFonts w:ascii="Times New Roman" w:hAnsi="Times New Roman" w:eastAsia="Times New Roman" w:cs="Times New Roman"/>
                <w:sz w:val="18"/>
                <w:szCs w:val="18"/>
              </w:rPr>
            </w:pPr>
            <w:r>
              <w:rPr>
                <w:spacing w:val="-4"/>
                <w:sz w:val="18"/>
                <w:szCs w:val="18"/>
              </w:rPr>
              <w:t>同</w:t>
            </w:r>
            <w:r>
              <w:rPr>
                <w:rFonts w:ascii="Times New Roman" w:hAnsi="Times New Roman" w:eastAsia="Times New Roman" w:cs="Times New Roman"/>
                <w:spacing w:val="-4"/>
                <w:sz w:val="18"/>
                <w:szCs w:val="18"/>
              </w:rPr>
              <w:t>“</w:t>
            </w:r>
            <w:r>
              <w:rPr>
                <w:spacing w:val="-4"/>
                <w:sz w:val="18"/>
                <w:szCs w:val="18"/>
              </w:rPr>
              <w:t>达州市工业重点</w:t>
            </w:r>
            <w:r>
              <w:rPr>
                <w:spacing w:val="7"/>
                <w:sz w:val="18"/>
                <w:szCs w:val="18"/>
              </w:rPr>
              <w:t xml:space="preserve"> </w:t>
            </w:r>
            <w:r>
              <w:rPr>
                <w:spacing w:val="2"/>
                <w:sz w:val="18"/>
                <w:szCs w:val="18"/>
              </w:rPr>
              <w:t>管控单元总体要求</w:t>
            </w:r>
            <w:r>
              <w:rPr>
                <w:rFonts w:ascii="Times New Roman" w:hAnsi="Times New Roman" w:eastAsia="Times New Roman" w:cs="Times New Roman"/>
                <w:spacing w:val="2"/>
                <w:sz w:val="18"/>
                <w:szCs w:val="18"/>
              </w:rPr>
              <w:t>”</w:t>
            </w:r>
          </w:p>
          <w:p w14:paraId="0C8FC4D0">
            <w:pPr>
              <w:pStyle w:val="6"/>
              <w:spacing w:before="21" w:line="220" w:lineRule="auto"/>
              <w:ind w:left="675"/>
              <w:rPr>
                <w:sz w:val="18"/>
                <w:szCs w:val="18"/>
              </w:rPr>
            </w:pPr>
            <w:r>
              <w:rPr>
                <w:spacing w:val="-5"/>
                <w:sz w:val="18"/>
                <w:szCs w:val="18"/>
              </w:rPr>
              <w:t>分析</w:t>
            </w:r>
          </w:p>
        </w:tc>
        <w:tc>
          <w:tcPr>
            <w:tcW w:w="709" w:type="dxa"/>
            <w:vAlign w:val="top"/>
          </w:tcPr>
          <w:p w14:paraId="731AB80B">
            <w:pPr>
              <w:spacing w:line="251" w:lineRule="auto"/>
              <w:rPr>
                <w:rFonts w:ascii="Arial"/>
                <w:sz w:val="21"/>
              </w:rPr>
            </w:pPr>
          </w:p>
          <w:p w14:paraId="5EDA6F75">
            <w:pPr>
              <w:spacing w:line="251" w:lineRule="auto"/>
              <w:rPr>
                <w:rFonts w:ascii="Arial"/>
                <w:sz w:val="21"/>
              </w:rPr>
            </w:pPr>
          </w:p>
          <w:p w14:paraId="5DEDC6DC">
            <w:pPr>
              <w:spacing w:line="252" w:lineRule="auto"/>
              <w:rPr>
                <w:rFonts w:ascii="Arial"/>
                <w:sz w:val="21"/>
              </w:rPr>
            </w:pPr>
          </w:p>
          <w:p w14:paraId="4F55F503">
            <w:pPr>
              <w:spacing w:line="252" w:lineRule="auto"/>
              <w:rPr>
                <w:rFonts w:ascii="Arial"/>
                <w:sz w:val="21"/>
              </w:rPr>
            </w:pPr>
          </w:p>
          <w:p w14:paraId="6535792B">
            <w:pPr>
              <w:spacing w:line="252" w:lineRule="auto"/>
              <w:rPr>
                <w:rFonts w:ascii="Arial"/>
                <w:sz w:val="21"/>
              </w:rPr>
            </w:pPr>
          </w:p>
          <w:p w14:paraId="4533F5F4">
            <w:pPr>
              <w:pStyle w:val="6"/>
              <w:spacing w:before="59" w:line="219" w:lineRule="auto"/>
              <w:ind w:left="107"/>
              <w:rPr>
                <w:sz w:val="18"/>
                <w:szCs w:val="18"/>
              </w:rPr>
            </w:pPr>
            <w:r>
              <w:rPr>
                <w:spacing w:val="-5"/>
                <w:sz w:val="18"/>
                <w:szCs w:val="18"/>
              </w:rPr>
              <w:t>符合</w:t>
            </w:r>
          </w:p>
        </w:tc>
      </w:tr>
      <w:tr w14:paraId="15EE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705" w:type="dxa"/>
            <w:vMerge w:val="continue"/>
            <w:tcBorders>
              <w:top w:val="nil"/>
              <w:bottom w:val="nil"/>
            </w:tcBorders>
            <w:vAlign w:val="top"/>
          </w:tcPr>
          <w:p w14:paraId="70D01A97">
            <w:pPr>
              <w:rPr>
                <w:rFonts w:ascii="Arial"/>
                <w:sz w:val="21"/>
              </w:rPr>
            </w:pPr>
          </w:p>
        </w:tc>
        <w:tc>
          <w:tcPr>
            <w:tcW w:w="143" w:type="dxa"/>
            <w:vMerge w:val="continue"/>
            <w:tcBorders>
              <w:top w:val="nil"/>
              <w:bottom w:val="nil"/>
            </w:tcBorders>
            <w:vAlign w:val="top"/>
          </w:tcPr>
          <w:p w14:paraId="21A2DBB8">
            <w:pPr>
              <w:rPr>
                <w:rFonts w:ascii="Arial"/>
                <w:sz w:val="21"/>
              </w:rPr>
            </w:pPr>
          </w:p>
        </w:tc>
        <w:tc>
          <w:tcPr>
            <w:tcW w:w="1011" w:type="dxa"/>
            <w:vMerge w:val="continue"/>
            <w:tcBorders>
              <w:top w:val="nil"/>
              <w:bottom w:val="nil"/>
            </w:tcBorders>
            <w:vAlign w:val="top"/>
          </w:tcPr>
          <w:p w14:paraId="076C0D32">
            <w:pPr>
              <w:rPr>
                <w:rFonts w:ascii="Arial"/>
                <w:sz w:val="21"/>
              </w:rPr>
            </w:pPr>
          </w:p>
        </w:tc>
        <w:tc>
          <w:tcPr>
            <w:tcW w:w="886" w:type="dxa"/>
            <w:vMerge w:val="continue"/>
            <w:tcBorders>
              <w:top w:val="nil"/>
              <w:bottom w:val="nil"/>
            </w:tcBorders>
            <w:vAlign w:val="top"/>
          </w:tcPr>
          <w:p w14:paraId="73FDAFEA">
            <w:pPr>
              <w:rPr>
                <w:rFonts w:ascii="Arial"/>
                <w:sz w:val="21"/>
              </w:rPr>
            </w:pPr>
          </w:p>
        </w:tc>
        <w:tc>
          <w:tcPr>
            <w:tcW w:w="879" w:type="dxa"/>
            <w:vAlign w:val="top"/>
          </w:tcPr>
          <w:p w14:paraId="70E27B50">
            <w:pPr>
              <w:spacing w:line="253" w:lineRule="auto"/>
              <w:rPr>
                <w:rFonts w:ascii="Arial"/>
                <w:sz w:val="21"/>
              </w:rPr>
            </w:pPr>
          </w:p>
          <w:p w14:paraId="2D57A795">
            <w:pPr>
              <w:spacing w:line="253" w:lineRule="auto"/>
              <w:rPr>
                <w:rFonts w:ascii="Arial"/>
                <w:sz w:val="21"/>
              </w:rPr>
            </w:pPr>
          </w:p>
          <w:p w14:paraId="6AF857B2">
            <w:pPr>
              <w:spacing w:line="254" w:lineRule="auto"/>
              <w:rPr>
                <w:rFonts w:ascii="Arial"/>
                <w:sz w:val="21"/>
              </w:rPr>
            </w:pPr>
          </w:p>
          <w:p w14:paraId="37354216">
            <w:pPr>
              <w:spacing w:line="254" w:lineRule="auto"/>
              <w:rPr>
                <w:rFonts w:ascii="Arial"/>
                <w:sz w:val="21"/>
              </w:rPr>
            </w:pPr>
          </w:p>
          <w:p w14:paraId="4965CD1B">
            <w:pPr>
              <w:pStyle w:val="6"/>
              <w:spacing w:before="58"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1BE598D5">
            <w:pPr>
              <w:pStyle w:val="6"/>
              <w:spacing w:before="29" w:line="219" w:lineRule="auto"/>
              <w:ind w:left="51"/>
              <w:rPr>
                <w:sz w:val="18"/>
                <w:szCs w:val="18"/>
              </w:rPr>
            </w:pPr>
            <w:r>
              <w:rPr>
                <w:spacing w:val="-1"/>
                <w:sz w:val="18"/>
                <w:szCs w:val="18"/>
              </w:rPr>
              <w:t>严格管控类农用地管控要求</w:t>
            </w:r>
          </w:p>
          <w:p w14:paraId="78D52306">
            <w:pPr>
              <w:pStyle w:val="6"/>
              <w:spacing w:before="19" w:line="229" w:lineRule="auto"/>
              <w:ind w:left="53" w:right="3334" w:hanging="3"/>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安全利用类农用地管控要求</w:t>
            </w:r>
          </w:p>
          <w:p w14:paraId="0EA9FB42">
            <w:pPr>
              <w:pStyle w:val="6"/>
              <w:spacing w:before="21" w:line="229" w:lineRule="auto"/>
              <w:ind w:left="51" w:right="3334" w:hanging="1"/>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污染地块管控要求</w:t>
            </w:r>
          </w:p>
          <w:p w14:paraId="74AC6752">
            <w:pPr>
              <w:pStyle w:val="6"/>
              <w:spacing w:before="19" w:line="229" w:lineRule="auto"/>
              <w:ind w:left="64" w:right="3334" w:hanging="14"/>
              <w:rPr>
                <w:sz w:val="18"/>
                <w:szCs w:val="18"/>
              </w:rPr>
            </w:pPr>
            <w:r>
              <w:rPr>
                <w:spacing w:val="-1"/>
                <w:sz w:val="18"/>
                <w:szCs w:val="18"/>
              </w:rPr>
              <w:t>执行达州市工业重点管控单元总体要求</w:t>
            </w:r>
            <w:r>
              <w:rPr>
                <w:spacing w:val="8"/>
                <w:sz w:val="18"/>
                <w:szCs w:val="18"/>
              </w:rPr>
              <w:t xml:space="preserve"> </w:t>
            </w:r>
            <w:r>
              <w:rPr>
                <w:spacing w:val="-3"/>
                <w:sz w:val="18"/>
                <w:szCs w:val="18"/>
              </w:rPr>
              <w:t>园区环境风险防控要求</w:t>
            </w:r>
          </w:p>
          <w:p w14:paraId="5FBB025E">
            <w:pPr>
              <w:pStyle w:val="6"/>
              <w:spacing w:before="21" w:line="229" w:lineRule="auto"/>
              <w:ind w:left="52" w:right="3334" w:hanging="2"/>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企业环境风险防控要求</w:t>
            </w:r>
          </w:p>
          <w:p w14:paraId="2CF73D1D">
            <w:pPr>
              <w:pStyle w:val="6"/>
              <w:spacing w:before="19" w:line="221"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其他环境风险防控要求</w:t>
            </w:r>
          </w:p>
        </w:tc>
        <w:tc>
          <w:tcPr>
            <w:tcW w:w="1695" w:type="dxa"/>
            <w:vAlign w:val="top"/>
          </w:tcPr>
          <w:p w14:paraId="2D4B6AA5">
            <w:pPr>
              <w:spacing w:line="299" w:lineRule="auto"/>
              <w:rPr>
                <w:rFonts w:ascii="Arial"/>
                <w:sz w:val="21"/>
              </w:rPr>
            </w:pPr>
          </w:p>
          <w:p w14:paraId="611081BC">
            <w:pPr>
              <w:spacing w:line="299" w:lineRule="auto"/>
              <w:rPr>
                <w:rFonts w:ascii="Arial"/>
                <w:sz w:val="21"/>
              </w:rPr>
            </w:pPr>
          </w:p>
          <w:p w14:paraId="003258F1">
            <w:pPr>
              <w:spacing w:line="300" w:lineRule="auto"/>
              <w:rPr>
                <w:rFonts w:ascii="Arial"/>
                <w:sz w:val="21"/>
              </w:rPr>
            </w:pPr>
          </w:p>
          <w:p w14:paraId="6688A5B7">
            <w:pPr>
              <w:pStyle w:val="6"/>
              <w:spacing w:before="59" w:line="219" w:lineRule="auto"/>
              <w:ind w:left="69"/>
              <w:rPr>
                <w:sz w:val="18"/>
                <w:szCs w:val="18"/>
              </w:rPr>
            </w:pPr>
            <w:r>
              <w:rPr>
                <w:spacing w:val="-5"/>
                <w:sz w:val="18"/>
                <w:szCs w:val="18"/>
              </w:rPr>
              <w:t>同“达州市工业重点</w:t>
            </w:r>
          </w:p>
          <w:p w14:paraId="6EA00E3F">
            <w:pPr>
              <w:pStyle w:val="6"/>
              <w:spacing w:before="19" w:line="219" w:lineRule="auto"/>
              <w:jc w:val="right"/>
              <w:rPr>
                <w:sz w:val="18"/>
                <w:szCs w:val="18"/>
              </w:rPr>
            </w:pPr>
            <w:r>
              <w:rPr>
                <w:spacing w:val="-2"/>
                <w:sz w:val="18"/>
                <w:szCs w:val="18"/>
              </w:rPr>
              <w:t>管控单元总体要求</w:t>
            </w:r>
            <w:r>
              <w:rPr>
                <w:spacing w:val="-59"/>
                <w:sz w:val="18"/>
                <w:szCs w:val="18"/>
              </w:rPr>
              <w:t xml:space="preserve"> </w:t>
            </w:r>
            <w:r>
              <w:rPr>
                <w:spacing w:val="-2"/>
                <w:sz w:val="18"/>
                <w:szCs w:val="18"/>
              </w:rPr>
              <w:t>”</w:t>
            </w:r>
          </w:p>
          <w:p w14:paraId="27A20A13">
            <w:pPr>
              <w:pStyle w:val="6"/>
              <w:spacing w:before="18" w:line="220" w:lineRule="auto"/>
              <w:ind w:left="675"/>
              <w:rPr>
                <w:sz w:val="18"/>
                <w:szCs w:val="18"/>
              </w:rPr>
            </w:pPr>
            <w:r>
              <w:rPr>
                <w:spacing w:val="-5"/>
                <w:sz w:val="18"/>
                <w:szCs w:val="18"/>
              </w:rPr>
              <w:t>分析</w:t>
            </w:r>
          </w:p>
        </w:tc>
        <w:tc>
          <w:tcPr>
            <w:tcW w:w="709" w:type="dxa"/>
            <w:vAlign w:val="top"/>
          </w:tcPr>
          <w:p w14:paraId="6F894D2C">
            <w:pPr>
              <w:spacing w:line="282" w:lineRule="auto"/>
              <w:rPr>
                <w:rFonts w:ascii="Arial"/>
                <w:sz w:val="21"/>
              </w:rPr>
            </w:pPr>
          </w:p>
          <w:p w14:paraId="7B0F37BB">
            <w:pPr>
              <w:spacing w:line="282" w:lineRule="auto"/>
              <w:rPr>
                <w:rFonts w:ascii="Arial"/>
                <w:sz w:val="21"/>
              </w:rPr>
            </w:pPr>
          </w:p>
          <w:p w14:paraId="54E1DAF1">
            <w:pPr>
              <w:spacing w:line="283" w:lineRule="auto"/>
              <w:rPr>
                <w:rFonts w:ascii="Arial"/>
                <w:sz w:val="21"/>
              </w:rPr>
            </w:pPr>
          </w:p>
          <w:p w14:paraId="10945CBA">
            <w:pPr>
              <w:spacing w:line="283" w:lineRule="auto"/>
              <w:rPr>
                <w:rFonts w:ascii="Arial"/>
                <w:sz w:val="21"/>
              </w:rPr>
            </w:pPr>
          </w:p>
          <w:p w14:paraId="11B0218F">
            <w:pPr>
              <w:pStyle w:val="6"/>
              <w:spacing w:before="59" w:line="219" w:lineRule="auto"/>
              <w:ind w:left="107"/>
              <w:rPr>
                <w:sz w:val="18"/>
                <w:szCs w:val="18"/>
              </w:rPr>
            </w:pPr>
            <w:r>
              <w:rPr>
                <w:spacing w:val="-5"/>
                <w:sz w:val="18"/>
                <w:szCs w:val="18"/>
              </w:rPr>
              <w:t>符合</w:t>
            </w:r>
          </w:p>
        </w:tc>
      </w:tr>
      <w:tr w14:paraId="2D1C6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705" w:type="dxa"/>
            <w:vMerge w:val="continue"/>
            <w:tcBorders>
              <w:top w:val="nil"/>
              <w:bottom w:val="nil"/>
            </w:tcBorders>
            <w:vAlign w:val="top"/>
          </w:tcPr>
          <w:p w14:paraId="48B55F7D">
            <w:pPr>
              <w:rPr>
                <w:rFonts w:ascii="Arial"/>
                <w:sz w:val="21"/>
              </w:rPr>
            </w:pPr>
          </w:p>
        </w:tc>
        <w:tc>
          <w:tcPr>
            <w:tcW w:w="143" w:type="dxa"/>
            <w:vMerge w:val="continue"/>
            <w:tcBorders>
              <w:top w:val="nil"/>
              <w:bottom w:val="nil"/>
            </w:tcBorders>
            <w:vAlign w:val="top"/>
          </w:tcPr>
          <w:p w14:paraId="12821B4A">
            <w:pPr>
              <w:rPr>
                <w:rFonts w:ascii="Arial"/>
                <w:sz w:val="21"/>
              </w:rPr>
            </w:pPr>
          </w:p>
        </w:tc>
        <w:tc>
          <w:tcPr>
            <w:tcW w:w="1011" w:type="dxa"/>
            <w:vMerge w:val="continue"/>
            <w:tcBorders>
              <w:top w:val="nil"/>
            </w:tcBorders>
            <w:vAlign w:val="top"/>
          </w:tcPr>
          <w:p w14:paraId="23654A55">
            <w:pPr>
              <w:rPr>
                <w:rFonts w:ascii="Arial"/>
                <w:sz w:val="21"/>
              </w:rPr>
            </w:pPr>
          </w:p>
        </w:tc>
        <w:tc>
          <w:tcPr>
            <w:tcW w:w="886" w:type="dxa"/>
            <w:vMerge w:val="continue"/>
            <w:tcBorders>
              <w:top w:val="nil"/>
            </w:tcBorders>
            <w:vAlign w:val="top"/>
          </w:tcPr>
          <w:p w14:paraId="77E55303">
            <w:pPr>
              <w:rPr>
                <w:rFonts w:ascii="Arial"/>
                <w:sz w:val="21"/>
              </w:rPr>
            </w:pPr>
          </w:p>
        </w:tc>
        <w:tc>
          <w:tcPr>
            <w:tcW w:w="879" w:type="dxa"/>
            <w:vAlign w:val="top"/>
          </w:tcPr>
          <w:p w14:paraId="4E6666B4">
            <w:pPr>
              <w:spacing w:line="334" w:lineRule="auto"/>
              <w:rPr>
                <w:rFonts w:ascii="Arial"/>
                <w:sz w:val="21"/>
              </w:rPr>
            </w:pPr>
          </w:p>
          <w:p w14:paraId="2EF35C69">
            <w:pPr>
              <w:spacing w:line="335" w:lineRule="auto"/>
              <w:rPr>
                <w:rFonts w:ascii="Arial"/>
                <w:sz w:val="21"/>
              </w:rPr>
            </w:pPr>
          </w:p>
          <w:p w14:paraId="323538CE">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74AF9782">
            <w:pPr>
              <w:pStyle w:val="6"/>
              <w:spacing w:before="31" w:line="219" w:lineRule="auto"/>
              <w:ind w:left="52"/>
              <w:rPr>
                <w:sz w:val="18"/>
                <w:szCs w:val="18"/>
              </w:rPr>
            </w:pPr>
            <w:r>
              <w:rPr>
                <w:spacing w:val="-2"/>
                <w:sz w:val="18"/>
                <w:szCs w:val="18"/>
              </w:rPr>
              <w:t>水资源利用效率要求</w:t>
            </w:r>
          </w:p>
          <w:p w14:paraId="3F5EEEE0">
            <w:pPr>
              <w:pStyle w:val="6"/>
              <w:spacing w:before="18"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地下水开采要求</w:t>
            </w:r>
          </w:p>
          <w:p w14:paraId="5E1005A8">
            <w:pPr>
              <w:pStyle w:val="6"/>
              <w:spacing w:before="22" w:line="229" w:lineRule="auto"/>
              <w:ind w:left="57" w:right="3334" w:hanging="7"/>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能源利用效率要求</w:t>
            </w:r>
          </w:p>
          <w:p w14:paraId="2484FB1D">
            <w:pPr>
              <w:pStyle w:val="6"/>
              <w:spacing w:before="19"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其他资源利用效率要求</w:t>
            </w:r>
          </w:p>
          <w:p w14:paraId="0B2FD8C7">
            <w:pPr>
              <w:pStyle w:val="6"/>
              <w:spacing w:before="21" w:line="201" w:lineRule="auto"/>
              <w:ind w:left="50"/>
              <w:rPr>
                <w:sz w:val="18"/>
                <w:szCs w:val="18"/>
              </w:rPr>
            </w:pPr>
            <w:r>
              <w:rPr>
                <w:spacing w:val="-1"/>
                <w:sz w:val="18"/>
                <w:szCs w:val="18"/>
              </w:rPr>
              <w:t>禁燃区要求：同达州市工业重点总体准入要求</w:t>
            </w:r>
          </w:p>
        </w:tc>
        <w:tc>
          <w:tcPr>
            <w:tcW w:w="1695" w:type="dxa"/>
            <w:vAlign w:val="top"/>
          </w:tcPr>
          <w:p w14:paraId="273D3EFE">
            <w:pPr>
              <w:spacing w:line="276" w:lineRule="auto"/>
              <w:rPr>
                <w:rFonts w:ascii="Arial"/>
                <w:sz w:val="21"/>
              </w:rPr>
            </w:pPr>
          </w:p>
          <w:p w14:paraId="48151DE9">
            <w:pPr>
              <w:spacing w:line="276" w:lineRule="auto"/>
              <w:rPr>
                <w:rFonts w:ascii="Arial"/>
                <w:sz w:val="21"/>
              </w:rPr>
            </w:pPr>
          </w:p>
          <w:p w14:paraId="134F7C3D">
            <w:pPr>
              <w:pStyle w:val="6"/>
              <w:spacing w:before="58" w:line="219" w:lineRule="auto"/>
              <w:ind w:left="69"/>
              <w:rPr>
                <w:sz w:val="18"/>
                <w:szCs w:val="18"/>
              </w:rPr>
            </w:pPr>
            <w:r>
              <w:rPr>
                <w:spacing w:val="-5"/>
                <w:sz w:val="18"/>
                <w:szCs w:val="18"/>
              </w:rPr>
              <w:t>同“达州市工业重点</w:t>
            </w:r>
          </w:p>
          <w:p w14:paraId="368B27A1">
            <w:pPr>
              <w:pStyle w:val="6"/>
              <w:spacing w:before="19" w:line="219" w:lineRule="auto"/>
              <w:jc w:val="right"/>
              <w:rPr>
                <w:sz w:val="18"/>
                <w:szCs w:val="18"/>
              </w:rPr>
            </w:pPr>
            <w:r>
              <w:rPr>
                <w:spacing w:val="-2"/>
                <w:sz w:val="18"/>
                <w:szCs w:val="18"/>
              </w:rPr>
              <w:t>管控单元总体要求</w:t>
            </w:r>
            <w:r>
              <w:rPr>
                <w:spacing w:val="-59"/>
                <w:sz w:val="18"/>
                <w:szCs w:val="18"/>
              </w:rPr>
              <w:t xml:space="preserve"> </w:t>
            </w:r>
            <w:r>
              <w:rPr>
                <w:spacing w:val="-2"/>
                <w:sz w:val="18"/>
                <w:szCs w:val="18"/>
              </w:rPr>
              <w:t>”</w:t>
            </w:r>
          </w:p>
          <w:p w14:paraId="6E4F04BD">
            <w:pPr>
              <w:pStyle w:val="6"/>
              <w:spacing w:before="19" w:line="220" w:lineRule="auto"/>
              <w:ind w:left="675"/>
              <w:rPr>
                <w:sz w:val="18"/>
                <w:szCs w:val="18"/>
              </w:rPr>
            </w:pPr>
            <w:r>
              <w:rPr>
                <w:spacing w:val="-5"/>
                <w:sz w:val="18"/>
                <w:szCs w:val="18"/>
              </w:rPr>
              <w:t>分析</w:t>
            </w:r>
          </w:p>
        </w:tc>
        <w:tc>
          <w:tcPr>
            <w:tcW w:w="709" w:type="dxa"/>
            <w:vAlign w:val="top"/>
          </w:tcPr>
          <w:p w14:paraId="63962BCA">
            <w:pPr>
              <w:spacing w:line="261" w:lineRule="auto"/>
              <w:rPr>
                <w:rFonts w:ascii="Arial"/>
                <w:sz w:val="21"/>
              </w:rPr>
            </w:pPr>
          </w:p>
          <w:p w14:paraId="305161D3">
            <w:pPr>
              <w:spacing w:line="261" w:lineRule="auto"/>
              <w:rPr>
                <w:rFonts w:ascii="Arial"/>
                <w:sz w:val="21"/>
              </w:rPr>
            </w:pPr>
          </w:p>
          <w:p w14:paraId="6B134552">
            <w:pPr>
              <w:spacing w:line="262" w:lineRule="auto"/>
              <w:rPr>
                <w:rFonts w:ascii="Arial"/>
                <w:sz w:val="21"/>
              </w:rPr>
            </w:pPr>
          </w:p>
          <w:p w14:paraId="53863B35">
            <w:pPr>
              <w:pStyle w:val="6"/>
              <w:spacing w:before="58" w:line="219" w:lineRule="auto"/>
              <w:ind w:left="107"/>
              <w:rPr>
                <w:sz w:val="18"/>
                <w:szCs w:val="18"/>
              </w:rPr>
            </w:pPr>
            <w:r>
              <w:rPr>
                <w:spacing w:val="-5"/>
                <w:sz w:val="18"/>
                <w:szCs w:val="18"/>
              </w:rPr>
              <w:t>符合</w:t>
            </w:r>
          </w:p>
        </w:tc>
      </w:tr>
      <w:tr w14:paraId="3981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705" w:type="dxa"/>
            <w:vMerge w:val="continue"/>
            <w:tcBorders>
              <w:top w:val="nil"/>
              <w:bottom w:val="nil"/>
            </w:tcBorders>
            <w:vAlign w:val="top"/>
          </w:tcPr>
          <w:p w14:paraId="105B2613">
            <w:pPr>
              <w:rPr>
                <w:rFonts w:ascii="Arial"/>
                <w:sz w:val="21"/>
              </w:rPr>
            </w:pPr>
          </w:p>
        </w:tc>
        <w:tc>
          <w:tcPr>
            <w:tcW w:w="143" w:type="dxa"/>
            <w:vMerge w:val="continue"/>
            <w:tcBorders>
              <w:top w:val="nil"/>
              <w:bottom w:val="nil"/>
            </w:tcBorders>
            <w:vAlign w:val="top"/>
          </w:tcPr>
          <w:p w14:paraId="0F4B21CA">
            <w:pPr>
              <w:rPr>
                <w:rFonts w:ascii="Arial"/>
                <w:sz w:val="21"/>
              </w:rPr>
            </w:pPr>
          </w:p>
        </w:tc>
        <w:tc>
          <w:tcPr>
            <w:tcW w:w="1011" w:type="dxa"/>
            <w:vMerge w:val="restart"/>
            <w:tcBorders>
              <w:bottom w:val="nil"/>
            </w:tcBorders>
            <w:vAlign w:val="top"/>
          </w:tcPr>
          <w:p w14:paraId="091032D9">
            <w:pPr>
              <w:pStyle w:val="6"/>
              <w:spacing w:before="48" w:line="237" w:lineRule="auto"/>
              <w:ind w:left="44" w:right="46" w:firstLine="7"/>
              <w:rPr>
                <w:sz w:val="18"/>
                <w:szCs w:val="18"/>
              </w:rPr>
            </w:pPr>
            <w:r>
              <w:rPr>
                <w:spacing w:val="1"/>
                <w:sz w:val="18"/>
                <w:szCs w:val="18"/>
              </w:rPr>
              <w:t xml:space="preserve">水环境工业 </w:t>
            </w:r>
            <w:r>
              <w:rPr>
                <w:spacing w:val="3"/>
                <w:sz w:val="18"/>
                <w:szCs w:val="18"/>
              </w:rPr>
              <w:t>污染重点管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210002</w:t>
            </w:r>
            <w:r>
              <w:rPr>
                <w:rFonts w:ascii="Times New Roman" w:hAnsi="Times New Roman" w:eastAsia="Times New Roman" w:cs="Times New Roman"/>
                <w:spacing w:val="-15"/>
                <w:sz w:val="18"/>
                <w:szCs w:val="18"/>
              </w:rPr>
              <w:t xml:space="preserve"> </w:t>
            </w:r>
            <w:r>
              <w:rPr>
                <w:spacing w:val="-2"/>
                <w:sz w:val="18"/>
                <w:szCs w:val="18"/>
              </w:rPr>
              <w:t>、州</w:t>
            </w:r>
          </w:p>
        </w:tc>
        <w:tc>
          <w:tcPr>
            <w:tcW w:w="886" w:type="dxa"/>
            <w:vMerge w:val="restart"/>
            <w:tcBorders>
              <w:bottom w:val="nil"/>
            </w:tcBorders>
            <w:vAlign w:val="top"/>
          </w:tcPr>
          <w:p w14:paraId="1A3192D2">
            <w:pPr>
              <w:pStyle w:val="6"/>
              <w:spacing w:before="269" w:line="232"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70227799">
            <w:pPr>
              <w:pStyle w:val="6"/>
              <w:spacing w:before="263"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452963F4">
            <w:pPr>
              <w:pStyle w:val="6"/>
              <w:spacing w:before="31"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08686424">
            <w:pPr>
              <w:pStyle w:val="6"/>
              <w:spacing w:before="17" w:line="221"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01591E4B">
            <w:pPr>
              <w:spacing w:line="355" w:lineRule="auto"/>
              <w:rPr>
                <w:rFonts w:ascii="Arial"/>
                <w:sz w:val="21"/>
              </w:rPr>
            </w:pPr>
          </w:p>
          <w:p w14:paraId="198CEA3F">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61864DB1">
            <w:pPr>
              <w:spacing w:line="355" w:lineRule="auto"/>
              <w:rPr>
                <w:rFonts w:ascii="Arial"/>
                <w:sz w:val="21"/>
              </w:rPr>
            </w:pPr>
          </w:p>
          <w:p w14:paraId="734876FB">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2EC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705" w:type="dxa"/>
            <w:vMerge w:val="continue"/>
            <w:tcBorders>
              <w:top w:val="nil"/>
            </w:tcBorders>
            <w:vAlign w:val="top"/>
          </w:tcPr>
          <w:p w14:paraId="039F3CDE">
            <w:pPr>
              <w:rPr>
                <w:rFonts w:ascii="Arial"/>
                <w:sz w:val="21"/>
              </w:rPr>
            </w:pPr>
          </w:p>
        </w:tc>
        <w:tc>
          <w:tcPr>
            <w:tcW w:w="143" w:type="dxa"/>
            <w:vMerge w:val="continue"/>
            <w:tcBorders>
              <w:top w:val="nil"/>
            </w:tcBorders>
            <w:vAlign w:val="top"/>
          </w:tcPr>
          <w:p w14:paraId="25A2D26C">
            <w:pPr>
              <w:rPr>
                <w:rFonts w:ascii="Arial"/>
                <w:sz w:val="21"/>
              </w:rPr>
            </w:pPr>
          </w:p>
        </w:tc>
        <w:tc>
          <w:tcPr>
            <w:tcW w:w="1011" w:type="dxa"/>
            <w:vMerge w:val="continue"/>
            <w:tcBorders>
              <w:top w:val="nil"/>
            </w:tcBorders>
            <w:vAlign w:val="top"/>
          </w:tcPr>
          <w:p w14:paraId="3FDB4D43">
            <w:pPr>
              <w:rPr>
                <w:rFonts w:ascii="Arial"/>
                <w:sz w:val="21"/>
              </w:rPr>
            </w:pPr>
          </w:p>
        </w:tc>
        <w:tc>
          <w:tcPr>
            <w:tcW w:w="886" w:type="dxa"/>
            <w:vMerge w:val="continue"/>
            <w:tcBorders>
              <w:top w:val="nil"/>
            </w:tcBorders>
            <w:vAlign w:val="top"/>
          </w:tcPr>
          <w:p w14:paraId="5C0B1ADC">
            <w:pPr>
              <w:rPr>
                <w:rFonts w:ascii="Arial"/>
                <w:sz w:val="21"/>
              </w:rPr>
            </w:pPr>
          </w:p>
        </w:tc>
        <w:tc>
          <w:tcPr>
            <w:tcW w:w="879" w:type="dxa"/>
            <w:vAlign w:val="top"/>
          </w:tcPr>
          <w:p w14:paraId="74D29473">
            <w:pPr>
              <w:pStyle w:val="6"/>
              <w:spacing w:before="32" w:line="215" w:lineRule="auto"/>
              <w:ind w:left="83"/>
              <w:rPr>
                <w:sz w:val="18"/>
                <w:szCs w:val="18"/>
              </w:rPr>
            </w:pPr>
            <w:r>
              <w:rPr>
                <w:spacing w:val="-3"/>
                <w:sz w:val="18"/>
                <w:szCs w:val="18"/>
              </w:rPr>
              <w:t>污染物排</w:t>
            </w:r>
          </w:p>
        </w:tc>
        <w:tc>
          <w:tcPr>
            <w:tcW w:w="6443" w:type="dxa"/>
            <w:vAlign w:val="top"/>
          </w:tcPr>
          <w:p w14:paraId="53AA85A4">
            <w:pPr>
              <w:pStyle w:val="6"/>
              <w:spacing w:before="32" w:line="215" w:lineRule="auto"/>
              <w:ind w:left="56"/>
              <w:rPr>
                <w:sz w:val="18"/>
                <w:szCs w:val="18"/>
              </w:rPr>
            </w:pPr>
            <w:r>
              <w:rPr>
                <w:spacing w:val="-2"/>
                <w:sz w:val="18"/>
                <w:szCs w:val="18"/>
              </w:rPr>
              <w:t>允许排放量要求暂无</w:t>
            </w:r>
          </w:p>
        </w:tc>
        <w:tc>
          <w:tcPr>
            <w:tcW w:w="1695" w:type="dxa"/>
            <w:vAlign w:val="top"/>
          </w:tcPr>
          <w:p w14:paraId="5B00279B">
            <w:pPr>
              <w:spacing w:before="60"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7FB5AE4E">
            <w:pPr>
              <w:spacing w:before="60"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107D9E56">
      <w:pPr>
        <w:pStyle w:val="2"/>
      </w:pPr>
    </w:p>
    <w:p w14:paraId="3DA39145">
      <w:pPr>
        <w:sectPr>
          <w:footerReference r:id="rId17" w:type="default"/>
          <w:pgSz w:w="16839" w:h="11906"/>
          <w:pgMar w:top="1012" w:right="1681" w:bottom="1260" w:left="1680" w:header="0" w:footer="1080" w:gutter="0"/>
          <w:cols w:space="720" w:num="1"/>
        </w:sectPr>
      </w:pPr>
    </w:p>
    <w:p w14:paraId="5A8B9772">
      <w:pPr>
        <w:spacing w:before="18"/>
      </w:pPr>
      <w:r>
        <w:drawing>
          <wp:anchor distT="0" distB="0" distL="0" distR="0" simplePos="0" relativeHeight="251672576" behindDoc="0" locked="0" layoutInCell="0" allowOverlap="1">
            <wp:simplePos x="0" y="0"/>
            <wp:positionH relativeFrom="page">
              <wp:posOffset>9526905</wp:posOffset>
            </wp:positionH>
            <wp:positionV relativeFrom="page">
              <wp:posOffset>984250</wp:posOffset>
            </wp:positionV>
            <wp:extent cx="6350" cy="537337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7"/>
                    <a:stretch>
                      <a:fillRect/>
                    </a:stretch>
                  </pic:blipFill>
                  <pic:spPr>
                    <a:xfrm>
                      <a:off x="0" y="0"/>
                      <a:ext cx="6350" cy="5373370"/>
                    </a:xfrm>
                    <a:prstGeom prst="rect">
                      <a:avLst/>
                    </a:prstGeom>
                  </pic:spPr>
                </pic:pic>
              </a:graphicData>
            </a:graphic>
          </wp:anchor>
        </w:drawing>
      </w:r>
    </w:p>
    <w:p w14:paraId="459140DB">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0EF4A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restart"/>
            <w:tcBorders>
              <w:bottom w:val="nil"/>
            </w:tcBorders>
            <w:vAlign w:val="top"/>
          </w:tcPr>
          <w:p w14:paraId="3FBD2F10">
            <w:pPr>
              <w:rPr>
                <w:rFonts w:ascii="Arial"/>
                <w:sz w:val="21"/>
              </w:rPr>
            </w:pPr>
          </w:p>
        </w:tc>
        <w:tc>
          <w:tcPr>
            <w:tcW w:w="143" w:type="dxa"/>
            <w:vMerge w:val="restart"/>
            <w:tcBorders>
              <w:bottom w:val="nil"/>
            </w:tcBorders>
            <w:vAlign w:val="top"/>
          </w:tcPr>
          <w:p w14:paraId="1295BE47">
            <w:pPr>
              <w:rPr>
                <w:rFonts w:ascii="Arial"/>
                <w:sz w:val="21"/>
              </w:rPr>
            </w:pPr>
          </w:p>
        </w:tc>
        <w:tc>
          <w:tcPr>
            <w:tcW w:w="1011" w:type="dxa"/>
            <w:vMerge w:val="restart"/>
            <w:tcBorders>
              <w:bottom w:val="nil"/>
            </w:tcBorders>
            <w:vAlign w:val="top"/>
          </w:tcPr>
          <w:p w14:paraId="36A5D1B7">
            <w:pPr>
              <w:pStyle w:val="6"/>
              <w:spacing w:before="41" w:line="233" w:lineRule="auto"/>
              <w:ind w:left="51" w:right="46" w:hanging="2"/>
              <w:jc w:val="both"/>
              <w:rPr>
                <w:sz w:val="18"/>
                <w:szCs w:val="18"/>
              </w:rPr>
            </w:pPr>
            <w:r>
              <w:rPr>
                <w:spacing w:val="2"/>
                <w:sz w:val="18"/>
                <w:szCs w:val="18"/>
              </w:rPr>
              <w:t>河通川区车</w:t>
            </w:r>
            <w:r>
              <w:rPr>
                <w:sz w:val="18"/>
                <w:szCs w:val="18"/>
              </w:rPr>
              <w:t xml:space="preserve"> </w:t>
            </w:r>
            <w:r>
              <w:rPr>
                <w:spacing w:val="1"/>
                <w:sz w:val="18"/>
                <w:szCs w:val="18"/>
              </w:rPr>
              <w:t>家河控制单</w:t>
            </w:r>
            <w:r>
              <w:rPr>
                <w:spacing w:val="2"/>
                <w:sz w:val="18"/>
                <w:szCs w:val="18"/>
              </w:rPr>
              <w:t xml:space="preserve"> </w:t>
            </w:r>
            <w:r>
              <w:rPr>
                <w:sz w:val="18"/>
                <w:szCs w:val="18"/>
              </w:rPr>
              <w:t>元</w:t>
            </w:r>
          </w:p>
        </w:tc>
        <w:tc>
          <w:tcPr>
            <w:tcW w:w="886" w:type="dxa"/>
            <w:vMerge w:val="restart"/>
            <w:tcBorders>
              <w:bottom w:val="nil"/>
            </w:tcBorders>
            <w:vAlign w:val="top"/>
          </w:tcPr>
          <w:p w14:paraId="02569904">
            <w:pPr>
              <w:rPr>
                <w:rFonts w:ascii="Arial"/>
                <w:sz w:val="21"/>
              </w:rPr>
            </w:pPr>
          </w:p>
        </w:tc>
        <w:tc>
          <w:tcPr>
            <w:tcW w:w="879" w:type="dxa"/>
            <w:vAlign w:val="top"/>
          </w:tcPr>
          <w:p w14:paraId="46746CCE">
            <w:pPr>
              <w:pStyle w:val="6"/>
              <w:spacing w:before="43" w:line="219" w:lineRule="auto"/>
              <w:ind w:left="171"/>
              <w:rPr>
                <w:sz w:val="18"/>
                <w:szCs w:val="18"/>
              </w:rPr>
            </w:pPr>
            <w:r>
              <w:rPr>
                <w:spacing w:val="-3"/>
                <w:sz w:val="18"/>
                <w:szCs w:val="18"/>
              </w:rPr>
              <w:t>放管控</w:t>
            </w:r>
          </w:p>
        </w:tc>
        <w:tc>
          <w:tcPr>
            <w:tcW w:w="6443" w:type="dxa"/>
            <w:vAlign w:val="top"/>
          </w:tcPr>
          <w:p w14:paraId="4E05DFBF">
            <w:pPr>
              <w:pStyle w:val="6"/>
              <w:spacing w:before="43" w:line="219" w:lineRule="auto"/>
              <w:ind w:left="52"/>
              <w:rPr>
                <w:sz w:val="18"/>
                <w:szCs w:val="18"/>
              </w:rPr>
            </w:pPr>
            <w:r>
              <w:rPr>
                <w:spacing w:val="-1"/>
                <w:sz w:val="18"/>
                <w:szCs w:val="18"/>
              </w:rPr>
              <w:t>现有源提标升级改造暂无</w:t>
            </w:r>
          </w:p>
          <w:p w14:paraId="47658135">
            <w:pPr>
              <w:pStyle w:val="6"/>
              <w:spacing w:before="19" w:line="205" w:lineRule="auto"/>
              <w:ind w:left="51"/>
              <w:rPr>
                <w:sz w:val="18"/>
                <w:szCs w:val="18"/>
              </w:rPr>
            </w:pPr>
            <w:r>
              <w:rPr>
                <w:spacing w:val="-1"/>
                <w:sz w:val="18"/>
                <w:szCs w:val="18"/>
              </w:rPr>
              <w:t>其他污染物排放管控要求暂无</w:t>
            </w:r>
          </w:p>
        </w:tc>
        <w:tc>
          <w:tcPr>
            <w:tcW w:w="1695" w:type="dxa"/>
            <w:vAlign w:val="top"/>
          </w:tcPr>
          <w:p w14:paraId="01AA210A">
            <w:pPr>
              <w:rPr>
                <w:rFonts w:ascii="Arial"/>
                <w:sz w:val="21"/>
              </w:rPr>
            </w:pPr>
          </w:p>
        </w:tc>
        <w:tc>
          <w:tcPr>
            <w:tcW w:w="709" w:type="dxa"/>
            <w:vAlign w:val="top"/>
          </w:tcPr>
          <w:p w14:paraId="1741E371">
            <w:pPr>
              <w:rPr>
                <w:rFonts w:ascii="Arial"/>
                <w:sz w:val="21"/>
              </w:rPr>
            </w:pPr>
          </w:p>
        </w:tc>
      </w:tr>
      <w:tr w14:paraId="7B815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32963DC0">
            <w:pPr>
              <w:rPr>
                <w:rFonts w:ascii="Arial"/>
                <w:sz w:val="21"/>
              </w:rPr>
            </w:pPr>
          </w:p>
        </w:tc>
        <w:tc>
          <w:tcPr>
            <w:tcW w:w="143" w:type="dxa"/>
            <w:vMerge w:val="continue"/>
            <w:tcBorders>
              <w:top w:val="nil"/>
              <w:bottom w:val="nil"/>
            </w:tcBorders>
            <w:vAlign w:val="top"/>
          </w:tcPr>
          <w:p w14:paraId="62007B83">
            <w:pPr>
              <w:rPr>
                <w:rFonts w:ascii="Arial"/>
                <w:sz w:val="21"/>
              </w:rPr>
            </w:pPr>
          </w:p>
        </w:tc>
        <w:tc>
          <w:tcPr>
            <w:tcW w:w="1011" w:type="dxa"/>
            <w:vMerge w:val="continue"/>
            <w:tcBorders>
              <w:top w:val="nil"/>
              <w:bottom w:val="nil"/>
            </w:tcBorders>
            <w:vAlign w:val="top"/>
          </w:tcPr>
          <w:p w14:paraId="6FD1358C">
            <w:pPr>
              <w:rPr>
                <w:rFonts w:ascii="Arial"/>
                <w:sz w:val="21"/>
              </w:rPr>
            </w:pPr>
          </w:p>
        </w:tc>
        <w:tc>
          <w:tcPr>
            <w:tcW w:w="886" w:type="dxa"/>
            <w:vMerge w:val="continue"/>
            <w:tcBorders>
              <w:top w:val="nil"/>
              <w:bottom w:val="nil"/>
            </w:tcBorders>
            <w:vAlign w:val="top"/>
          </w:tcPr>
          <w:p w14:paraId="34960AF4">
            <w:pPr>
              <w:rPr>
                <w:rFonts w:ascii="Arial"/>
                <w:sz w:val="21"/>
              </w:rPr>
            </w:pPr>
          </w:p>
        </w:tc>
        <w:tc>
          <w:tcPr>
            <w:tcW w:w="879" w:type="dxa"/>
            <w:vAlign w:val="top"/>
          </w:tcPr>
          <w:p w14:paraId="798B5F9C">
            <w:pPr>
              <w:pStyle w:val="6"/>
              <w:spacing w:before="27" w:line="223"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2C71431C">
            <w:pPr>
              <w:pStyle w:val="6"/>
              <w:spacing w:before="27" w:line="220" w:lineRule="auto"/>
              <w:ind w:left="51"/>
              <w:rPr>
                <w:sz w:val="18"/>
                <w:szCs w:val="18"/>
              </w:rPr>
            </w:pPr>
            <w:r>
              <w:rPr>
                <w:spacing w:val="-1"/>
                <w:sz w:val="18"/>
                <w:szCs w:val="18"/>
              </w:rPr>
              <w:t>联防联控要求暂无</w:t>
            </w:r>
          </w:p>
          <w:p w14:paraId="3ACE03F9">
            <w:pPr>
              <w:pStyle w:val="6"/>
              <w:spacing w:before="18" w:line="207" w:lineRule="auto"/>
              <w:ind w:left="51"/>
              <w:rPr>
                <w:sz w:val="18"/>
                <w:szCs w:val="18"/>
              </w:rPr>
            </w:pPr>
            <w:r>
              <w:rPr>
                <w:spacing w:val="-1"/>
                <w:sz w:val="18"/>
                <w:szCs w:val="18"/>
              </w:rPr>
              <w:t>其他环境风险防控要求暂无</w:t>
            </w:r>
          </w:p>
        </w:tc>
        <w:tc>
          <w:tcPr>
            <w:tcW w:w="1695" w:type="dxa"/>
            <w:vAlign w:val="top"/>
          </w:tcPr>
          <w:p w14:paraId="0947BC92">
            <w:pPr>
              <w:spacing w:before="170"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07DCFEEA">
            <w:pPr>
              <w:spacing w:before="170"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3B54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4EFD313C">
            <w:pPr>
              <w:rPr>
                <w:rFonts w:ascii="Arial"/>
                <w:sz w:val="21"/>
              </w:rPr>
            </w:pPr>
          </w:p>
        </w:tc>
        <w:tc>
          <w:tcPr>
            <w:tcW w:w="143" w:type="dxa"/>
            <w:vMerge w:val="continue"/>
            <w:tcBorders>
              <w:top w:val="nil"/>
              <w:bottom w:val="nil"/>
            </w:tcBorders>
            <w:vAlign w:val="top"/>
          </w:tcPr>
          <w:p w14:paraId="3687815B">
            <w:pPr>
              <w:rPr>
                <w:rFonts w:ascii="Arial"/>
                <w:sz w:val="21"/>
              </w:rPr>
            </w:pPr>
          </w:p>
        </w:tc>
        <w:tc>
          <w:tcPr>
            <w:tcW w:w="1011" w:type="dxa"/>
            <w:vMerge w:val="continue"/>
            <w:tcBorders>
              <w:top w:val="nil"/>
              <w:bottom w:val="nil"/>
            </w:tcBorders>
            <w:vAlign w:val="top"/>
          </w:tcPr>
          <w:p w14:paraId="787D2876">
            <w:pPr>
              <w:rPr>
                <w:rFonts w:ascii="Arial"/>
                <w:sz w:val="21"/>
              </w:rPr>
            </w:pPr>
          </w:p>
        </w:tc>
        <w:tc>
          <w:tcPr>
            <w:tcW w:w="886" w:type="dxa"/>
            <w:vMerge w:val="continue"/>
            <w:tcBorders>
              <w:top w:val="nil"/>
            </w:tcBorders>
            <w:vAlign w:val="top"/>
          </w:tcPr>
          <w:p w14:paraId="58A9FB9E">
            <w:pPr>
              <w:rPr>
                <w:rFonts w:ascii="Arial"/>
                <w:sz w:val="21"/>
              </w:rPr>
            </w:pPr>
          </w:p>
        </w:tc>
        <w:tc>
          <w:tcPr>
            <w:tcW w:w="879" w:type="dxa"/>
            <w:vAlign w:val="top"/>
          </w:tcPr>
          <w:p w14:paraId="35CE3B19">
            <w:pPr>
              <w:spacing w:line="318" w:lineRule="auto"/>
              <w:rPr>
                <w:rFonts w:ascii="Arial"/>
                <w:sz w:val="21"/>
              </w:rPr>
            </w:pPr>
          </w:p>
          <w:p w14:paraId="04D7B2EF">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7E4AF38A">
            <w:pPr>
              <w:pStyle w:val="6"/>
              <w:spacing w:before="27"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0CF14F1A">
            <w:pPr>
              <w:pStyle w:val="6"/>
              <w:spacing w:before="19" w:line="229"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58567710">
            <w:pPr>
              <w:pStyle w:val="6"/>
              <w:spacing w:before="18" w:line="207" w:lineRule="auto"/>
              <w:ind w:left="51"/>
              <w:rPr>
                <w:sz w:val="18"/>
                <w:szCs w:val="18"/>
              </w:rPr>
            </w:pPr>
            <w:r>
              <w:rPr>
                <w:spacing w:val="-1"/>
                <w:sz w:val="18"/>
                <w:szCs w:val="18"/>
              </w:rPr>
              <w:t>其他资源利用效率要求暂无</w:t>
            </w:r>
          </w:p>
        </w:tc>
        <w:tc>
          <w:tcPr>
            <w:tcW w:w="1695" w:type="dxa"/>
            <w:vAlign w:val="top"/>
          </w:tcPr>
          <w:p w14:paraId="127C3B39">
            <w:pPr>
              <w:spacing w:line="466" w:lineRule="auto"/>
              <w:rPr>
                <w:rFonts w:ascii="Arial"/>
                <w:sz w:val="21"/>
              </w:rPr>
            </w:pPr>
          </w:p>
          <w:p w14:paraId="334E96D5">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E29165B">
            <w:pPr>
              <w:spacing w:line="466" w:lineRule="auto"/>
              <w:rPr>
                <w:rFonts w:ascii="Arial"/>
                <w:sz w:val="21"/>
              </w:rPr>
            </w:pPr>
          </w:p>
          <w:p w14:paraId="3D09A2D8">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1BE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5CEEFB33">
            <w:pPr>
              <w:rPr>
                <w:rFonts w:ascii="Arial"/>
                <w:sz w:val="21"/>
              </w:rPr>
            </w:pPr>
          </w:p>
        </w:tc>
        <w:tc>
          <w:tcPr>
            <w:tcW w:w="143" w:type="dxa"/>
            <w:vMerge w:val="continue"/>
            <w:tcBorders>
              <w:top w:val="nil"/>
              <w:bottom w:val="nil"/>
            </w:tcBorders>
            <w:vAlign w:val="top"/>
          </w:tcPr>
          <w:p w14:paraId="18AFD24A">
            <w:pPr>
              <w:rPr>
                <w:rFonts w:ascii="Arial"/>
                <w:sz w:val="21"/>
              </w:rPr>
            </w:pPr>
          </w:p>
        </w:tc>
        <w:tc>
          <w:tcPr>
            <w:tcW w:w="1011" w:type="dxa"/>
            <w:vMerge w:val="continue"/>
            <w:tcBorders>
              <w:top w:val="nil"/>
              <w:bottom w:val="nil"/>
            </w:tcBorders>
            <w:vAlign w:val="top"/>
          </w:tcPr>
          <w:p w14:paraId="74C85853">
            <w:pPr>
              <w:rPr>
                <w:rFonts w:ascii="Arial"/>
                <w:sz w:val="21"/>
              </w:rPr>
            </w:pPr>
          </w:p>
        </w:tc>
        <w:tc>
          <w:tcPr>
            <w:tcW w:w="886" w:type="dxa"/>
            <w:vMerge w:val="restart"/>
            <w:tcBorders>
              <w:bottom w:val="nil"/>
            </w:tcBorders>
            <w:vAlign w:val="top"/>
          </w:tcPr>
          <w:p w14:paraId="0EFA5D73">
            <w:pPr>
              <w:spacing w:line="251" w:lineRule="auto"/>
              <w:rPr>
                <w:rFonts w:ascii="Arial"/>
                <w:sz w:val="21"/>
              </w:rPr>
            </w:pPr>
          </w:p>
          <w:p w14:paraId="7CE77A9F">
            <w:pPr>
              <w:spacing w:line="251" w:lineRule="auto"/>
              <w:rPr>
                <w:rFonts w:ascii="Arial"/>
                <w:sz w:val="21"/>
              </w:rPr>
            </w:pPr>
          </w:p>
          <w:p w14:paraId="1BE8AEEA">
            <w:pPr>
              <w:spacing w:line="251" w:lineRule="auto"/>
              <w:rPr>
                <w:rFonts w:ascii="Arial"/>
                <w:sz w:val="21"/>
              </w:rPr>
            </w:pPr>
          </w:p>
          <w:p w14:paraId="7DD3ADDA">
            <w:pPr>
              <w:spacing w:line="251" w:lineRule="auto"/>
              <w:rPr>
                <w:rFonts w:ascii="Arial"/>
                <w:sz w:val="21"/>
              </w:rPr>
            </w:pPr>
          </w:p>
          <w:p w14:paraId="55776D00">
            <w:pPr>
              <w:spacing w:line="251" w:lineRule="auto"/>
              <w:rPr>
                <w:rFonts w:ascii="Arial"/>
                <w:sz w:val="21"/>
              </w:rPr>
            </w:pPr>
          </w:p>
          <w:p w14:paraId="45D0B01C">
            <w:pPr>
              <w:spacing w:line="251" w:lineRule="auto"/>
              <w:rPr>
                <w:rFonts w:ascii="Arial"/>
                <w:sz w:val="21"/>
              </w:rPr>
            </w:pPr>
          </w:p>
          <w:p w14:paraId="192B9361">
            <w:pPr>
              <w:spacing w:line="251" w:lineRule="auto"/>
              <w:rPr>
                <w:rFonts w:ascii="Arial"/>
                <w:sz w:val="21"/>
              </w:rPr>
            </w:pPr>
          </w:p>
          <w:p w14:paraId="7A8DCC48">
            <w:pPr>
              <w:spacing w:line="251" w:lineRule="auto"/>
              <w:rPr>
                <w:rFonts w:ascii="Arial"/>
                <w:sz w:val="21"/>
              </w:rPr>
            </w:pPr>
          </w:p>
          <w:p w14:paraId="4EF3A569">
            <w:pPr>
              <w:spacing w:line="251" w:lineRule="auto"/>
              <w:rPr>
                <w:rFonts w:ascii="Arial"/>
                <w:sz w:val="21"/>
              </w:rPr>
            </w:pPr>
          </w:p>
          <w:p w14:paraId="38F205A5">
            <w:pPr>
              <w:spacing w:line="251" w:lineRule="auto"/>
              <w:rPr>
                <w:rFonts w:ascii="Arial"/>
                <w:sz w:val="21"/>
              </w:rPr>
            </w:pPr>
          </w:p>
          <w:p w14:paraId="326E7B90">
            <w:pPr>
              <w:spacing w:line="252" w:lineRule="auto"/>
              <w:rPr>
                <w:rFonts w:ascii="Arial"/>
                <w:sz w:val="21"/>
              </w:rPr>
            </w:pPr>
          </w:p>
          <w:p w14:paraId="747EAAFB">
            <w:pPr>
              <w:pStyle w:val="6"/>
              <w:spacing w:before="59" w:line="220" w:lineRule="auto"/>
              <w:ind w:left="86"/>
              <w:rPr>
                <w:sz w:val="18"/>
                <w:szCs w:val="18"/>
              </w:rPr>
            </w:pPr>
            <w:r>
              <w:rPr>
                <w:spacing w:val="-3"/>
                <w:sz w:val="18"/>
                <w:szCs w:val="18"/>
              </w:rPr>
              <w:t>单元级清</w:t>
            </w:r>
          </w:p>
          <w:p w14:paraId="01DA53E7">
            <w:pPr>
              <w:pStyle w:val="6"/>
              <w:spacing w:before="18" w:line="219" w:lineRule="auto"/>
              <w:ind w:left="86"/>
              <w:rPr>
                <w:sz w:val="18"/>
                <w:szCs w:val="18"/>
              </w:rPr>
            </w:pPr>
            <w:r>
              <w:rPr>
                <w:spacing w:val="-3"/>
                <w:sz w:val="18"/>
                <w:szCs w:val="18"/>
              </w:rPr>
              <w:t>单管控要</w:t>
            </w:r>
          </w:p>
          <w:p w14:paraId="05BA6D2E">
            <w:pPr>
              <w:pStyle w:val="6"/>
              <w:spacing w:before="18" w:line="221" w:lineRule="auto"/>
              <w:ind w:left="357"/>
              <w:rPr>
                <w:sz w:val="18"/>
                <w:szCs w:val="18"/>
              </w:rPr>
            </w:pPr>
            <w:r>
              <w:rPr>
                <w:sz w:val="18"/>
                <w:szCs w:val="18"/>
              </w:rPr>
              <w:t>求</w:t>
            </w:r>
          </w:p>
        </w:tc>
        <w:tc>
          <w:tcPr>
            <w:tcW w:w="879" w:type="dxa"/>
            <w:vAlign w:val="top"/>
          </w:tcPr>
          <w:p w14:paraId="4AC0BB67">
            <w:pPr>
              <w:spacing w:line="318" w:lineRule="auto"/>
              <w:rPr>
                <w:rFonts w:ascii="Arial"/>
                <w:sz w:val="21"/>
              </w:rPr>
            </w:pPr>
          </w:p>
          <w:p w14:paraId="6941CD46">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7C4082CB">
            <w:pPr>
              <w:pStyle w:val="6"/>
              <w:spacing w:before="28"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14:paraId="592FEDEA">
            <w:pPr>
              <w:pStyle w:val="6"/>
              <w:spacing w:before="20" w:line="222"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14:paraId="39E2D223">
            <w:pPr>
              <w:spacing w:line="466" w:lineRule="auto"/>
              <w:rPr>
                <w:rFonts w:ascii="Arial"/>
                <w:sz w:val="21"/>
              </w:rPr>
            </w:pPr>
          </w:p>
          <w:p w14:paraId="3C70B141">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673B7AF">
            <w:pPr>
              <w:spacing w:line="466" w:lineRule="auto"/>
              <w:rPr>
                <w:rFonts w:ascii="Arial"/>
                <w:sz w:val="21"/>
              </w:rPr>
            </w:pPr>
          </w:p>
          <w:p w14:paraId="7727FCF3">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EC1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71" w:hRule="atLeast"/>
        </w:trPr>
        <w:tc>
          <w:tcPr>
            <w:tcW w:w="1705" w:type="dxa"/>
            <w:vMerge w:val="continue"/>
            <w:tcBorders>
              <w:top w:val="nil"/>
              <w:bottom w:val="nil"/>
            </w:tcBorders>
            <w:vAlign w:val="top"/>
          </w:tcPr>
          <w:p w14:paraId="247665E6">
            <w:pPr>
              <w:rPr>
                <w:rFonts w:ascii="Arial"/>
                <w:sz w:val="21"/>
              </w:rPr>
            </w:pPr>
          </w:p>
        </w:tc>
        <w:tc>
          <w:tcPr>
            <w:tcW w:w="143" w:type="dxa"/>
            <w:vMerge w:val="continue"/>
            <w:tcBorders>
              <w:top w:val="nil"/>
              <w:bottom w:val="nil"/>
            </w:tcBorders>
            <w:vAlign w:val="top"/>
          </w:tcPr>
          <w:p w14:paraId="54BA3827">
            <w:pPr>
              <w:rPr>
                <w:rFonts w:ascii="Arial"/>
                <w:sz w:val="21"/>
              </w:rPr>
            </w:pPr>
          </w:p>
        </w:tc>
        <w:tc>
          <w:tcPr>
            <w:tcW w:w="1011" w:type="dxa"/>
            <w:vMerge w:val="continue"/>
            <w:tcBorders>
              <w:top w:val="nil"/>
              <w:bottom w:val="nil"/>
            </w:tcBorders>
            <w:vAlign w:val="top"/>
          </w:tcPr>
          <w:p w14:paraId="02792761">
            <w:pPr>
              <w:rPr>
                <w:rFonts w:ascii="Arial"/>
                <w:sz w:val="21"/>
              </w:rPr>
            </w:pPr>
          </w:p>
        </w:tc>
        <w:tc>
          <w:tcPr>
            <w:tcW w:w="886" w:type="dxa"/>
            <w:vMerge w:val="continue"/>
            <w:tcBorders>
              <w:top w:val="nil"/>
              <w:bottom w:val="nil"/>
            </w:tcBorders>
            <w:vAlign w:val="top"/>
          </w:tcPr>
          <w:p w14:paraId="78855CA9">
            <w:pPr>
              <w:rPr>
                <w:rFonts w:ascii="Arial"/>
                <w:sz w:val="21"/>
              </w:rPr>
            </w:pPr>
          </w:p>
        </w:tc>
        <w:tc>
          <w:tcPr>
            <w:tcW w:w="879" w:type="dxa"/>
            <w:vAlign w:val="top"/>
          </w:tcPr>
          <w:p w14:paraId="384CADB6">
            <w:pPr>
              <w:spacing w:line="272" w:lineRule="auto"/>
              <w:rPr>
                <w:rFonts w:ascii="Arial"/>
                <w:sz w:val="21"/>
              </w:rPr>
            </w:pPr>
          </w:p>
          <w:p w14:paraId="20416237">
            <w:pPr>
              <w:spacing w:line="272" w:lineRule="auto"/>
              <w:rPr>
                <w:rFonts w:ascii="Arial"/>
                <w:sz w:val="21"/>
              </w:rPr>
            </w:pPr>
          </w:p>
          <w:p w14:paraId="1C1E85DD">
            <w:pPr>
              <w:spacing w:line="272" w:lineRule="auto"/>
              <w:rPr>
                <w:rFonts w:ascii="Arial"/>
                <w:sz w:val="21"/>
              </w:rPr>
            </w:pPr>
          </w:p>
          <w:p w14:paraId="5352F6FB">
            <w:pPr>
              <w:spacing w:line="273" w:lineRule="auto"/>
              <w:rPr>
                <w:rFonts w:ascii="Arial"/>
                <w:sz w:val="21"/>
              </w:rPr>
            </w:pPr>
          </w:p>
          <w:p w14:paraId="6A991BA4">
            <w:pPr>
              <w:spacing w:line="273" w:lineRule="auto"/>
              <w:rPr>
                <w:rFonts w:ascii="Arial"/>
                <w:sz w:val="21"/>
              </w:rPr>
            </w:pPr>
          </w:p>
          <w:p w14:paraId="7B0E40AB">
            <w:pPr>
              <w:pStyle w:val="6"/>
              <w:spacing w:before="59"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707A7EC0">
            <w:pPr>
              <w:pStyle w:val="6"/>
              <w:spacing w:before="30" w:line="219" w:lineRule="auto"/>
              <w:ind w:left="52"/>
              <w:rPr>
                <w:sz w:val="18"/>
                <w:szCs w:val="18"/>
              </w:rPr>
            </w:pPr>
            <w:r>
              <w:rPr>
                <w:spacing w:val="-1"/>
                <w:sz w:val="18"/>
                <w:szCs w:val="18"/>
              </w:rPr>
              <w:t>工业废水污染控制措施要求</w:t>
            </w:r>
          </w:p>
          <w:p w14:paraId="4B50B59F">
            <w:pPr>
              <w:pStyle w:val="6"/>
              <w:spacing w:before="22" w:line="237" w:lineRule="auto"/>
              <w:ind w:left="49" w:right="41" w:firstLine="14"/>
              <w:rPr>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4"/>
                <w:sz w:val="18"/>
                <w:szCs w:val="18"/>
              </w:rPr>
              <w:t xml:space="preserve"> </w:t>
            </w:r>
            <w:r>
              <w:rPr>
                <w:sz w:val="18"/>
                <w:szCs w:val="18"/>
              </w:rPr>
              <w:t>、深入实施工业企业污水处理设施升级改造，全面实</w:t>
            </w:r>
            <w:r>
              <w:rPr>
                <w:spacing w:val="-1"/>
                <w:sz w:val="18"/>
                <w:szCs w:val="18"/>
              </w:rPr>
              <w:t>现工业废水达标排放。</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24"/>
                <w:sz w:val="18"/>
                <w:szCs w:val="18"/>
              </w:rPr>
              <w:t xml:space="preserve"> </w:t>
            </w:r>
            <w:r>
              <w:rPr>
                <w:spacing w:val="-1"/>
                <w:sz w:val="18"/>
                <w:szCs w:val="18"/>
              </w:rPr>
              <w:t>、</w:t>
            </w:r>
            <w:r>
              <w:rPr>
                <w:sz w:val="18"/>
                <w:szCs w:val="18"/>
              </w:rPr>
              <w:t xml:space="preserve"> </w:t>
            </w:r>
            <w:r>
              <w:rPr>
                <w:spacing w:val="1"/>
                <w:sz w:val="18"/>
                <w:szCs w:val="18"/>
              </w:rPr>
              <w:t>强化工业集聚区污水治理，推进工业污水集中处理设施及配套收集系统建设与提</w:t>
            </w:r>
            <w:r>
              <w:rPr>
                <w:spacing w:val="10"/>
                <w:sz w:val="18"/>
                <w:szCs w:val="18"/>
              </w:rPr>
              <w:t xml:space="preserve"> </w:t>
            </w:r>
            <w:r>
              <w:rPr>
                <w:spacing w:val="1"/>
                <w:sz w:val="18"/>
                <w:szCs w:val="18"/>
              </w:rPr>
              <w:t>标升级改造，大力推进现有污水收集、处理设施问题排查及整治；完善园区及企</w:t>
            </w:r>
            <w:r>
              <w:rPr>
                <w:spacing w:val="10"/>
                <w:sz w:val="18"/>
                <w:szCs w:val="18"/>
              </w:rPr>
              <w:t xml:space="preserve"> </w:t>
            </w:r>
            <w:r>
              <w:rPr>
                <w:spacing w:val="1"/>
                <w:sz w:val="18"/>
                <w:szCs w:val="18"/>
              </w:rPr>
              <w:t>业雨污分流系统，全面推进医药、化工等行业初期雨水收集处理，推动有条件的</w:t>
            </w:r>
            <w:r>
              <w:rPr>
                <w:spacing w:val="10"/>
                <w:sz w:val="18"/>
                <w:szCs w:val="18"/>
              </w:rPr>
              <w:t xml:space="preserve"> </w:t>
            </w:r>
            <w:r>
              <w:rPr>
                <w:spacing w:val="-2"/>
                <w:sz w:val="18"/>
                <w:szCs w:val="18"/>
              </w:rPr>
              <w:t>园区实施入园企业</w:t>
            </w:r>
            <w:r>
              <w:rPr>
                <w:rFonts w:ascii="Times New Roman" w:hAnsi="Times New Roman" w:eastAsia="Times New Roman" w:cs="Times New Roman"/>
                <w:spacing w:val="-2"/>
                <w:sz w:val="18"/>
                <w:szCs w:val="18"/>
              </w:rPr>
              <w:t>“</w:t>
            </w:r>
            <w:r>
              <w:rPr>
                <w:spacing w:val="-2"/>
                <w:sz w:val="18"/>
                <w:szCs w:val="18"/>
              </w:rPr>
              <w:t>一企一管、明管输送、实时监测</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9"/>
                <w:sz w:val="18"/>
                <w:szCs w:val="18"/>
              </w:rPr>
              <w:t xml:space="preserve"> </w:t>
            </w:r>
            <w:r>
              <w:rPr>
                <w:spacing w:val="-2"/>
                <w:sz w:val="18"/>
                <w:szCs w:val="18"/>
              </w:rPr>
              <w:t>。</w:t>
            </w:r>
            <w:r>
              <w:rPr>
                <w:rFonts w:ascii="Times New Roman" w:hAnsi="Times New Roman" w:eastAsia="Times New Roman" w:cs="Times New Roman"/>
                <w:spacing w:val="-2"/>
                <w:sz w:val="18"/>
                <w:szCs w:val="18"/>
              </w:rPr>
              <w:t>3</w:t>
            </w:r>
            <w:r>
              <w:rPr>
                <w:rFonts w:ascii="Times New Roman" w:hAnsi="Times New Roman" w:eastAsia="Times New Roman" w:cs="Times New Roman"/>
                <w:spacing w:val="-24"/>
                <w:sz w:val="18"/>
                <w:szCs w:val="18"/>
              </w:rPr>
              <w:t xml:space="preserve"> </w:t>
            </w:r>
            <w:r>
              <w:rPr>
                <w:spacing w:val="-2"/>
                <w:sz w:val="18"/>
                <w:szCs w:val="18"/>
              </w:rPr>
              <w:t>、加强工业园区集中污水</w:t>
            </w:r>
            <w:r>
              <w:rPr>
                <w:sz w:val="18"/>
                <w:szCs w:val="18"/>
              </w:rPr>
              <w:t xml:space="preserve"> </w:t>
            </w:r>
            <w:r>
              <w:rPr>
                <w:spacing w:val="1"/>
                <w:sz w:val="18"/>
                <w:szCs w:val="18"/>
              </w:rPr>
              <w:t>处理设施运行监管，强企业废水预处理和排水管理，鼓励纳管企业与园区污水处</w:t>
            </w:r>
            <w:r>
              <w:rPr>
                <w:spacing w:val="10"/>
                <w:sz w:val="18"/>
                <w:szCs w:val="18"/>
              </w:rPr>
              <w:t xml:space="preserve"> </w:t>
            </w:r>
            <w:r>
              <w:rPr>
                <w:spacing w:val="-1"/>
                <w:sz w:val="18"/>
                <w:szCs w:val="18"/>
              </w:rPr>
              <w:t>理厂运营单位通过签订委托处理合同等方式协同处理废水</w:t>
            </w:r>
            <w:r>
              <w:rPr>
                <w:spacing w:val="-2"/>
                <w:sz w:val="18"/>
                <w:szCs w:val="18"/>
              </w:rPr>
              <w:t>。</w:t>
            </w:r>
            <w:r>
              <w:rPr>
                <w:rFonts w:ascii="Times New Roman" w:hAnsi="Times New Roman" w:eastAsia="Times New Roman" w:cs="Times New Roman"/>
                <w:spacing w:val="-2"/>
                <w:sz w:val="18"/>
                <w:szCs w:val="18"/>
              </w:rPr>
              <w:t>4</w:t>
            </w:r>
            <w:r>
              <w:rPr>
                <w:spacing w:val="-2"/>
                <w:sz w:val="18"/>
                <w:szCs w:val="18"/>
              </w:rPr>
              <w:t>、加强新化学物质环</w:t>
            </w:r>
            <w:r>
              <w:rPr>
                <w:sz w:val="18"/>
                <w:szCs w:val="18"/>
              </w:rPr>
              <w:t xml:space="preserve"> 境管理，严格执行《新化学物质环境管理登记办法》</w:t>
            </w:r>
            <w:r>
              <w:rPr>
                <w:rFonts w:ascii="Times New Roman" w:hAnsi="Times New Roman" w:eastAsia="Times New Roman" w:cs="Times New Roman"/>
                <w:sz w:val="18"/>
                <w:szCs w:val="18"/>
              </w:rPr>
              <w:t>,</w:t>
            </w:r>
            <w:r>
              <w:rPr>
                <w:sz w:val="18"/>
                <w:szCs w:val="18"/>
              </w:rPr>
              <w:t>落实企业新化学物质环</w:t>
            </w:r>
            <w:r>
              <w:rPr>
                <w:spacing w:val="-1"/>
                <w:sz w:val="18"/>
                <w:szCs w:val="18"/>
              </w:rPr>
              <w:t>境风</w:t>
            </w:r>
            <w:r>
              <w:rPr>
                <w:sz w:val="18"/>
                <w:szCs w:val="18"/>
              </w:rPr>
              <w:t xml:space="preserve"> </w:t>
            </w:r>
            <w:r>
              <w:rPr>
                <w:spacing w:val="-4"/>
                <w:sz w:val="18"/>
                <w:szCs w:val="18"/>
              </w:rPr>
              <w:t>险防控主体责任。落实国家《优先控制化学品名录（第一批）》《优先控制化学品</w:t>
            </w:r>
            <w:r>
              <w:rPr>
                <w:spacing w:val="7"/>
                <w:sz w:val="18"/>
                <w:szCs w:val="18"/>
              </w:rPr>
              <w:t xml:space="preserve"> </w:t>
            </w:r>
            <w:r>
              <w:rPr>
                <w:spacing w:val="-7"/>
                <w:sz w:val="18"/>
                <w:szCs w:val="18"/>
              </w:rPr>
              <w:t>名录（第二批）》《重点管控新污染物清单（</w:t>
            </w:r>
            <w:r>
              <w:rPr>
                <w:rFonts w:ascii="Times New Roman" w:hAnsi="Times New Roman" w:eastAsia="Times New Roman" w:cs="Times New Roman"/>
                <w:spacing w:val="-7"/>
                <w:sz w:val="18"/>
                <w:szCs w:val="18"/>
              </w:rPr>
              <w:t xml:space="preserve">2023 </w:t>
            </w:r>
            <w:r>
              <w:rPr>
                <w:spacing w:val="-7"/>
                <w:sz w:val="18"/>
                <w:szCs w:val="18"/>
              </w:rPr>
              <w:t>年</w:t>
            </w:r>
            <w:r>
              <w:rPr>
                <w:spacing w:val="-8"/>
                <w:sz w:val="18"/>
                <w:szCs w:val="18"/>
              </w:rPr>
              <w:t>版）》环境风险管控措施。</w:t>
            </w:r>
          </w:p>
          <w:p w14:paraId="343142B5">
            <w:pPr>
              <w:pStyle w:val="6"/>
              <w:spacing w:before="21" w:line="229" w:lineRule="auto"/>
              <w:ind w:left="50" w:right="4054"/>
              <w:rPr>
                <w:sz w:val="18"/>
                <w:szCs w:val="18"/>
              </w:rPr>
            </w:pPr>
            <w:r>
              <w:rPr>
                <w:spacing w:val="-1"/>
                <w:sz w:val="18"/>
                <w:szCs w:val="18"/>
              </w:rPr>
              <w:t>农业面源水污染控制措施要求</w:t>
            </w:r>
            <w:r>
              <w:rPr>
                <w:spacing w:val="4"/>
                <w:sz w:val="18"/>
                <w:szCs w:val="18"/>
              </w:rPr>
              <w:t xml:space="preserve"> </w:t>
            </w:r>
            <w:r>
              <w:rPr>
                <w:spacing w:val="-1"/>
                <w:sz w:val="18"/>
                <w:szCs w:val="18"/>
              </w:rPr>
              <w:t>船舶港口水污染控制措施要求</w:t>
            </w:r>
          </w:p>
          <w:p w14:paraId="6FD85132">
            <w:pPr>
              <w:pStyle w:val="6"/>
              <w:spacing w:before="19" w:line="202" w:lineRule="auto"/>
              <w:ind w:left="50"/>
              <w:rPr>
                <w:sz w:val="18"/>
                <w:szCs w:val="18"/>
              </w:rPr>
            </w:pPr>
            <w:r>
              <w:rPr>
                <w:spacing w:val="-1"/>
                <w:sz w:val="18"/>
                <w:szCs w:val="18"/>
              </w:rPr>
              <w:t>饮用水水源和其它特殊水体保护要求</w:t>
            </w:r>
          </w:p>
        </w:tc>
        <w:tc>
          <w:tcPr>
            <w:tcW w:w="1695" w:type="dxa"/>
            <w:vAlign w:val="top"/>
          </w:tcPr>
          <w:p w14:paraId="66DDA5EE">
            <w:pPr>
              <w:spacing w:line="253" w:lineRule="auto"/>
              <w:rPr>
                <w:rFonts w:ascii="Arial"/>
                <w:sz w:val="21"/>
              </w:rPr>
            </w:pPr>
          </w:p>
          <w:p w14:paraId="68EEF06A">
            <w:pPr>
              <w:spacing w:line="253" w:lineRule="auto"/>
              <w:rPr>
                <w:rFonts w:ascii="Arial"/>
                <w:sz w:val="21"/>
              </w:rPr>
            </w:pPr>
          </w:p>
          <w:p w14:paraId="54526158">
            <w:pPr>
              <w:spacing w:line="254" w:lineRule="auto"/>
              <w:rPr>
                <w:rFonts w:ascii="Arial"/>
                <w:sz w:val="21"/>
              </w:rPr>
            </w:pPr>
          </w:p>
          <w:p w14:paraId="5F5FA2EB">
            <w:pPr>
              <w:spacing w:line="254" w:lineRule="auto"/>
              <w:rPr>
                <w:rFonts w:ascii="Arial"/>
                <w:sz w:val="21"/>
              </w:rPr>
            </w:pPr>
          </w:p>
          <w:p w14:paraId="4F976398">
            <w:pPr>
              <w:pStyle w:val="6"/>
              <w:spacing w:before="59" w:line="233" w:lineRule="auto"/>
              <w:ind w:left="69" w:right="42" w:firstLine="66"/>
              <w:jc w:val="both"/>
              <w:rPr>
                <w:sz w:val="18"/>
                <w:szCs w:val="18"/>
              </w:rPr>
            </w:pPr>
            <w:r>
              <w:rPr>
                <w:spacing w:val="-2"/>
                <w:sz w:val="18"/>
                <w:szCs w:val="18"/>
              </w:rPr>
              <w:t>项目生产废水循环</w:t>
            </w:r>
            <w:r>
              <w:rPr>
                <w:spacing w:val="2"/>
                <w:sz w:val="18"/>
                <w:szCs w:val="18"/>
              </w:rPr>
              <w:t xml:space="preserve">  </w:t>
            </w:r>
            <w:r>
              <w:rPr>
                <w:spacing w:val="-5"/>
                <w:sz w:val="18"/>
                <w:szCs w:val="18"/>
              </w:rPr>
              <w:t>回用不外排；少量生</w:t>
            </w:r>
            <w:r>
              <w:rPr>
                <w:spacing w:val="2"/>
                <w:sz w:val="18"/>
                <w:szCs w:val="18"/>
              </w:rPr>
              <w:t xml:space="preserve"> </w:t>
            </w:r>
            <w:r>
              <w:rPr>
                <w:spacing w:val="7"/>
                <w:sz w:val="18"/>
                <w:szCs w:val="18"/>
              </w:rPr>
              <w:t>活污水定期拉运至</w:t>
            </w:r>
          </w:p>
          <w:p w14:paraId="1E5ACAB6">
            <w:pPr>
              <w:pStyle w:val="6"/>
              <w:spacing w:before="19" w:line="229" w:lineRule="auto"/>
              <w:ind w:left="316" w:right="123" w:hanging="177"/>
              <w:rPr>
                <w:sz w:val="18"/>
                <w:szCs w:val="18"/>
              </w:rPr>
            </w:pPr>
            <w:r>
              <w:rPr>
                <w:spacing w:val="-2"/>
                <w:sz w:val="18"/>
                <w:szCs w:val="18"/>
              </w:rPr>
              <w:t>东岳场镇生活污水</w:t>
            </w:r>
            <w:r>
              <w:rPr>
                <w:spacing w:val="1"/>
                <w:sz w:val="18"/>
                <w:szCs w:val="18"/>
              </w:rPr>
              <w:t xml:space="preserve"> </w:t>
            </w:r>
            <w:r>
              <w:rPr>
                <w:spacing w:val="-2"/>
                <w:sz w:val="18"/>
                <w:szCs w:val="18"/>
              </w:rPr>
              <w:t>处理厂处理。</w:t>
            </w:r>
          </w:p>
        </w:tc>
        <w:tc>
          <w:tcPr>
            <w:tcW w:w="709" w:type="dxa"/>
            <w:vAlign w:val="top"/>
          </w:tcPr>
          <w:p w14:paraId="0A49176E">
            <w:pPr>
              <w:spacing w:line="246" w:lineRule="auto"/>
              <w:rPr>
                <w:rFonts w:ascii="Arial"/>
                <w:sz w:val="21"/>
              </w:rPr>
            </w:pPr>
          </w:p>
          <w:p w14:paraId="28064354">
            <w:pPr>
              <w:spacing w:line="246" w:lineRule="auto"/>
              <w:rPr>
                <w:rFonts w:ascii="Arial"/>
                <w:sz w:val="21"/>
              </w:rPr>
            </w:pPr>
          </w:p>
          <w:p w14:paraId="2D3963D6">
            <w:pPr>
              <w:spacing w:line="246" w:lineRule="auto"/>
              <w:rPr>
                <w:rFonts w:ascii="Arial"/>
                <w:sz w:val="21"/>
              </w:rPr>
            </w:pPr>
          </w:p>
          <w:p w14:paraId="70982628">
            <w:pPr>
              <w:spacing w:line="247" w:lineRule="auto"/>
              <w:rPr>
                <w:rFonts w:ascii="Arial"/>
                <w:sz w:val="21"/>
              </w:rPr>
            </w:pPr>
          </w:p>
          <w:p w14:paraId="1F996335">
            <w:pPr>
              <w:spacing w:line="247" w:lineRule="auto"/>
              <w:rPr>
                <w:rFonts w:ascii="Arial"/>
                <w:sz w:val="21"/>
              </w:rPr>
            </w:pPr>
          </w:p>
          <w:p w14:paraId="2F9AEF28">
            <w:pPr>
              <w:spacing w:line="247" w:lineRule="auto"/>
              <w:rPr>
                <w:rFonts w:ascii="Arial"/>
                <w:sz w:val="21"/>
              </w:rPr>
            </w:pPr>
          </w:p>
          <w:p w14:paraId="648259C0">
            <w:pPr>
              <w:pStyle w:val="6"/>
              <w:spacing w:before="59" w:line="219" w:lineRule="auto"/>
              <w:ind w:left="107"/>
              <w:rPr>
                <w:sz w:val="18"/>
                <w:szCs w:val="18"/>
              </w:rPr>
            </w:pPr>
            <w:r>
              <w:rPr>
                <w:spacing w:val="-5"/>
                <w:sz w:val="18"/>
                <w:szCs w:val="18"/>
              </w:rPr>
              <w:t>符合</w:t>
            </w:r>
          </w:p>
        </w:tc>
      </w:tr>
      <w:tr w14:paraId="09F0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705" w:type="dxa"/>
            <w:vMerge w:val="continue"/>
            <w:tcBorders>
              <w:top w:val="nil"/>
            </w:tcBorders>
            <w:vAlign w:val="top"/>
          </w:tcPr>
          <w:p w14:paraId="21F6078F">
            <w:pPr>
              <w:rPr>
                <w:rFonts w:ascii="Arial"/>
                <w:sz w:val="21"/>
              </w:rPr>
            </w:pPr>
          </w:p>
        </w:tc>
        <w:tc>
          <w:tcPr>
            <w:tcW w:w="143" w:type="dxa"/>
            <w:vMerge w:val="continue"/>
            <w:tcBorders>
              <w:top w:val="nil"/>
            </w:tcBorders>
            <w:vAlign w:val="top"/>
          </w:tcPr>
          <w:p w14:paraId="0F28418B">
            <w:pPr>
              <w:rPr>
                <w:rFonts w:ascii="Arial"/>
                <w:sz w:val="21"/>
              </w:rPr>
            </w:pPr>
          </w:p>
        </w:tc>
        <w:tc>
          <w:tcPr>
            <w:tcW w:w="1011" w:type="dxa"/>
            <w:vMerge w:val="continue"/>
            <w:tcBorders>
              <w:top w:val="nil"/>
            </w:tcBorders>
            <w:vAlign w:val="top"/>
          </w:tcPr>
          <w:p w14:paraId="6457CC7E">
            <w:pPr>
              <w:rPr>
                <w:rFonts w:ascii="Arial"/>
                <w:sz w:val="21"/>
              </w:rPr>
            </w:pPr>
          </w:p>
        </w:tc>
        <w:tc>
          <w:tcPr>
            <w:tcW w:w="886" w:type="dxa"/>
            <w:vMerge w:val="continue"/>
            <w:tcBorders>
              <w:top w:val="nil"/>
            </w:tcBorders>
            <w:vAlign w:val="top"/>
          </w:tcPr>
          <w:p w14:paraId="586A1C03">
            <w:pPr>
              <w:rPr>
                <w:rFonts w:ascii="Arial"/>
                <w:sz w:val="21"/>
              </w:rPr>
            </w:pPr>
          </w:p>
        </w:tc>
        <w:tc>
          <w:tcPr>
            <w:tcW w:w="879" w:type="dxa"/>
            <w:vAlign w:val="top"/>
          </w:tcPr>
          <w:p w14:paraId="18D535E2">
            <w:pPr>
              <w:spacing w:line="333" w:lineRule="auto"/>
              <w:rPr>
                <w:rFonts w:ascii="Arial"/>
                <w:sz w:val="21"/>
              </w:rPr>
            </w:pPr>
          </w:p>
          <w:p w14:paraId="5781F966">
            <w:pPr>
              <w:spacing w:line="334" w:lineRule="auto"/>
              <w:rPr>
                <w:rFonts w:ascii="Arial"/>
                <w:sz w:val="21"/>
              </w:rPr>
            </w:pPr>
          </w:p>
          <w:p w14:paraId="516E9864">
            <w:pPr>
              <w:pStyle w:val="6"/>
              <w:spacing w:before="59" w:line="231"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3AC5F296">
            <w:pPr>
              <w:spacing w:line="322" w:lineRule="auto"/>
              <w:rPr>
                <w:rFonts w:ascii="Arial"/>
                <w:sz w:val="21"/>
              </w:rPr>
            </w:pPr>
          </w:p>
          <w:p w14:paraId="27900C34">
            <w:pPr>
              <w:pStyle w:val="6"/>
              <w:spacing w:before="58" w:line="235" w:lineRule="auto"/>
              <w:ind w:left="49" w:right="41" w:firstLine="1"/>
              <w:jc w:val="both"/>
              <w:rPr>
                <w:sz w:val="18"/>
                <w:szCs w:val="18"/>
              </w:rPr>
            </w:pPr>
            <w:r>
              <w:rPr>
                <w:spacing w:val="1"/>
                <w:sz w:val="18"/>
                <w:szCs w:val="18"/>
              </w:rPr>
              <w:t>禁止在长江干支流岸线一公里范围内新建、扩建化工园区和化工项目。按要求设</w:t>
            </w:r>
            <w:r>
              <w:rPr>
                <w:spacing w:val="9"/>
                <w:sz w:val="18"/>
                <w:szCs w:val="18"/>
              </w:rPr>
              <w:t xml:space="preserve"> </w:t>
            </w:r>
            <w:r>
              <w:rPr>
                <w:spacing w:val="1"/>
                <w:sz w:val="18"/>
                <w:szCs w:val="18"/>
              </w:rPr>
              <w:t>置生态隔离带，建设相应的防护工程。合理设置与抗风险能力相匹配的事故调蓄</w:t>
            </w:r>
            <w:r>
              <w:rPr>
                <w:spacing w:val="11"/>
                <w:sz w:val="18"/>
                <w:szCs w:val="18"/>
              </w:rPr>
              <w:t xml:space="preserve"> </w:t>
            </w:r>
            <w:r>
              <w:rPr>
                <w:spacing w:val="1"/>
                <w:sz w:val="18"/>
                <w:szCs w:val="18"/>
              </w:rPr>
              <w:t>设施和环境应急措施。强化工业园区环境风险防控工作，突出全防全控，完善各</w:t>
            </w:r>
            <w:r>
              <w:rPr>
                <w:spacing w:val="11"/>
                <w:sz w:val="18"/>
                <w:szCs w:val="18"/>
              </w:rPr>
              <w:t xml:space="preserve"> </w:t>
            </w:r>
            <w:r>
              <w:rPr>
                <w:spacing w:val="1"/>
                <w:sz w:val="18"/>
                <w:szCs w:val="18"/>
              </w:rPr>
              <w:t>项环境风险防范制度，确保将风险防范纳入日常环境管理制度体系。加强执法监</w:t>
            </w:r>
            <w:r>
              <w:rPr>
                <w:spacing w:val="11"/>
                <w:sz w:val="18"/>
                <w:szCs w:val="18"/>
              </w:rPr>
              <w:t xml:space="preserve"> </w:t>
            </w:r>
            <w:r>
              <w:rPr>
                <w:sz w:val="18"/>
                <w:szCs w:val="18"/>
              </w:rPr>
              <w:t>督，实现对工业园区、重点工矿企业和主要环境风险类</w:t>
            </w:r>
            <w:r>
              <w:rPr>
                <w:spacing w:val="-1"/>
                <w:sz w:val="18"/>
                <w:szCs w:val="18"/>
              </w:rPr>
              <w:t>型的动态监控。</w:t>
            </w:r>
          </w:p>
        </w:tc>
        <w:tc>
          <w:tcPr>
            <w:tcW w:w="1695" w:type="dxa"/>
            <w:vAlign w:val="top"/>
          </w:tcPr>
          <w:p w14:paraId="1069F3A9">
            <w:pPr>
              <w:pStyle w:val="6"/>
              <w:spacing w:before="34" w:line="236" w:lineRule="auto"/>
              <w:ind w:left="51" w:right="42" w:firstLine="82"/>
              <w:jc w:val="both"/>
              <w:rPr>
                <w:sz w:val="18"/>
                <w:szCs w:val="18"/>
              </w:rPr>
            </w:pPr>
            <w:r>
              <w:rPr>
                <w:spacing w:val="-1"/>
                <w:sz w:val="18"/>
                <w:szCs w:val="18"/>
              </w:rPr>
              <w:t>本项目为非金属矿</w:t>
            </w:r>
            <w:r>
              <w:rPr>
                <w:sz w:val="18"/>
                <w:szCs w:val="18"/>
              </w:rPr>
              <w:t xml:space="preserve">  </w:t>
            </w:r>
            <w:r>
              <w:rPr>
                <w:spacing w:val="-3"/>
                <w:sz w:val="18"/>
                <w:szCs w:val="18"/>
              </w:rPr>
              <w:t>物制品制造项目，不</w:t>
            </w:r>
            <w:r>
              <w:rPr>
                <w:spacing w:val="2"/>
                <w:sz w:val="18"/>
                <w:szCs w:val="18"/>
              </w:rPr>
              <w:t xml:space="preserve"> </w:t>
            </w:r>
            <w:r>
              <w:rPr>
                <w:spacing w:val="9"/>
                <w:sz w:val="18"/>
                <w:szCs w:val="18"/>
              </w:rPr>
              <w:t>属于化工项目或者</w:t>
            </w:r>
            <w:r>
              <w:rPr>
                <w:sz w:val="18"/>
                <w:szCs w:val="18"/>
              </w:rPr>
              <w:t xml:space="preserve">  </w:t>
            </w:r>
            <w:r>
              <w:rPr>
                <w:spacing w:val="-3"/>
                <w:sz w:val="18"/>
                <w:szCs w:val="18"/>
              </w:rPr>
              <w:t>化工园区，也不在长</w:t>
            </w:r>
            <w:r>
              <w:rPr>
                <w:spacing w:val="2"/>
                <w:sz w:val="18"/>
                <w:szCs w:val="18"/>
              </w:rPr>
              <w:t xml:space="preserve"> </w:t>
            </w:r>
            <w:r>
              <w:rPr>
                <w:spacing w:val="9"/>
                <w:sz w:val="18"/>
                <w:szCs w:val="18"/>
              </w:rPr>
              <w:t>江支流岸线一公里</w:t>
            </w:r>
            <w:r>
              <w:rPr>
                <w:sz w:val="18"/>
                <w:szCs w:val="18"/>
              </w:rPr>
              <w:t xml:space="preserve">  </w:t>
            </w:r>
            <w:r>
              <w:rPr>
                <w:spacing w:val="-3"/>
                <w:sz w:val="18"/>
                <w:szCs w:val="18"/>
              </w:rPr>
              <w:t>范围。项目建成后将</w:t>
            </w:r>
            <w:r>
              <w:rPr>
                <w:spacing w:val="2"/>
                <w:sz w:val="18"/>
                <w:szCs w:val="18"/>
              </w:rPr>
              <w:t xml:space="preserve"> </w:t>
            </w:r>
            <w:r>
              <w:rPr>
                <w:spacing w:val="-3"/>
                <w:sz w:val="18"/>
                <w:szCs w:val="18"/>
              </w:rPr>
              <w:t>按要求编制《突发环</w:t>
            </w:r>
            <w:r>
              <w:rPr>
                <w:spacing w:val="2"/>
                <w:sz w:val="18"/>
                <w:szCs w:val="18"/>
              </w:rPr>
              <w:t xml:space="preserve"> </w:t>
            </w:r>
            <w:r>
              <w:rPr>
                <w:spacing w:val="-4"/>
                <w:sz w:val="18"/>
                <w:szCs w:val="18"/>
              </w:rPr>
              <w:t>境风险应急预案》。</w:t>
            </w:r>
          </w:p>
        </w:tc>
        <w:tc>
          <w:tcPr>
            <w:tcW w:w="709" w:type="dxa"/>
            <w:vAlign w:val="top"/>
          </w:tcPr>
          <w:p w14:paraId="30C5910A">
            <w:pPr>
              <w:spacing w:line="261" w:lineRule="auto"/>
              <w:rPr>
                <w:rFonts w:ascii="Arial"/>
                <w:sz w:val="21"/>
              </w:rPr>
            </w:pPr>
          </w:p>
          <w:p w14:paraId="7025EBFC">
            <w:pPr>
              <w:spacing w:line="262" w:lineRule="auto"/>
              <w:rPr>
                <w:rFonts w:ascii="Arial"/>
                <w:sz w:val="21"/>
              </w:rPr>
            </w:pPr>
          </w:p>
          <w:p w14:paraId="52984FFB">
            <w:pPr>
              <w:spacing w:line="262" w:lineRule="auto"/>
              <w:rPr>
                <w:rFonts w:ascii="Arial"/>
                <w:sz w:val="21"/>
              </w:rPr>
            </w:pPr>
          </w:p>
          <w:p w14:paraId="194325DB">
            <w:pPr>
              <w:pStyle w:val="6"/>
              <w:spacing w:before="59" w:line="219" w:lineRule="auto"/>
              <w:ind w:left="107"/>
              <w:rPr>
                <w:sz w:val="18"/>
                <w:szCs w:val="18"/>
              </w:rPr>
            </w:pPr>
            <w:r>
              <w:rPr>
                <w:spacing w:val="-5"/>
                <w:sz w:val="18"/>
                <w:szCs w:val="18"/>
              </w:rPr>
              <w:t>符合</w:t>
            </w:r>
          </w:p>
        </w:tc>
      </w:tr>
    </w:tbl>
    <w:p w14:paraId="71C5E2D6">
      <w:pPr>
        <w:pStyle w:val="2"/>
      </w:pPr>
    </w:p>
    <w:p w14:paraId="7DB65F5E">
      <w:pPr>
        <w:sectPr>
          <w:footerReference r:id="rId18" w:type="default"/>
          <w:pgSz w:w="16839" w:h="11906"/>
          <w:pgMar w:top="1012" w:right="1681" w:bottom="1259" w:left="1680" w:header="0" w:footer="1080" w:gutter="0"/>
          <w:cols w:space="720" w:num="1"/>
        </w:sectPr>
      </w:pPr>
    </w:p>
    <w:p w14:paraId="35A28507">
      <w:pPr>
        <w:spacing w:before="18"/>
      </w:pPr>
      <w:r>
        <w:drawing>
          <wp:anchor distT="0" distB="0" distL="0" distR="0" simplePos="0" relativeHeight="251673600" behindDoc="0" locked="0" layoutInCell="0" allowOverlap="1">
            <wp:simplePos x="0" y="0"/>
            <wp:positionH relativeFrom="page">
              <wp:posOffset>9526905</wp:posOffset>
            </wp:positionH>
            <wp:positionV relativeFrom="page">
              <wp:posOffset>984250</wp:posOffset>
            </wp:positionV>
            <wp:extent cx="6350" cy="53797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8"/>
                    <a:stretch>
                      <a:fillRect/>
                    </a:stretch>
                  </pic:blipFill>
                  <pic:spPr>
                    <a:xfrm>
                      <a:off x="0" y="0"/>
                      <a:ext cx="6350" cy="5379720"/>
                    </a:xfrm>
                    <a:prstGeom prst="rect">
                      <a:avLst/>
                    </a:prstGeom>
                  </pic:spPr>
                </pic:pic>
              </a:graphicData>
            </a:graphic>
          </wp:anchor>
        </w:drawing>
      </w:r>
    </w:p>
    <w:p w14:paraId="79569A2B">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16424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restart"/>
            <w:tcBorders>
              <w:bottom w:val="nil"/>
            </w:tcBorders>
            <w:vAlign w:val="top"/>
          </w:tcPr>
          <w:p w14:paraId="2CF20E23">
            <w:pPr>
              <w:rPr>
                <w:rFonts w:ascii="Arial"/>
                <w:sz w:val="21"/>
              </w:rPr>
            </w:pPr>
          </w:p>
        </w:tc>
        <w:tc>
          <w:tcPr>
            <w:tcW w:w="143" w:type="dxa"/>
            <w:vMerge w:val="restart"/>
            <w:tcBorders>
              <w:bottom w:val="nil"/>
            </w:tcBorders>
            <w:vAlign w:val="top"/>
          </w:tcPr>
          <w:p w14:paraId="114C4B7B">
            <w:pPr>
              <w:rPr>
                <w:rFonts w:ascii="Arial"/>
                <w:sz w:val="21"/>
              </w:rPr>
            </w:pPr>
          </w:p>
        </w:tc>
        <w:tc>
          <w:tcPr>
            <w:tcW w:w="1011" w:type="dxa"/>
            <w:vAlign w:val="top"/>
          </w:tcPr>
          <w:p w14:paraId="25F70D61">
            <w:pPr>
              <w:rPr>
                <w:rFonts w:ascii="Arial"/>
                <w:sz w:val="21"/>
              </w:rPr>
            </w:pPr>
          </w:p>
        </w:tc>
        <w:tc>
          <w:tcPr>
            <w:tcW w:w="886" w:type="dxa"/>
            <w:vAlign w:val="top"/>
          </w:tcPr>
          <w:p w14:paraId="70300F13">
            <w:pPr>
              <w:rPr>
                <w:rFonts w:ascii="Arial"/>
                <w:sz w:val="21"/>
              </w:rPr>
            </w:pPr>
          </w:p>
        </w:tc>
        <w:tc>
          <w:tcPr>
            <w:tcW w:w="879" w:type="dxa"/>
            <w:vAlign w:val="top"/>
          </w:tcPr>
          <w:p w14:paraId="7910A7A8">
            <w:pPr>
              <w:pStyle w:val="6"/>
              <w:spacing w:before="43" w:line="222"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4DCFEF9C">
            <w:pPr>
              <w:pStyle w:val="6"/>
              <w:spacing w:before="43" w:line="222" w:lineRule="auto"/>
              <w:ind w:left="84" w:right="94" w:hanging="34"/>
              <w:rPr>
                <w:sz w:val="18"/>
                <w:szCs w:val="18"/>
              </w:rPr>
            </w:pPr>
            <w:r>
              <w:rPr>
                <w:sz w:val="18"/>
                <w:szCs w:val="18"/>
              </w:rPr>
              <w:t>加强高耗水行业用水定额管理，以水定产，严格控制高耗水</w:t>
            </w:r>
            <w:r>
              <w:rPr>
                <w:spacing w:val="-1"/>
                <w:sz w:val="18"/>
                <w:szCs w:val="18"/>
              </w:rPr>
              <w:t>新建、改建、扩建项</w:t>
            </w:r>
            <w:r>
              <w:rPr>
                <w:sz w:val="18"/>
                <w:szCs w:val="18"/>
              </w:rPr>
              <w:t xml:space="preserve"> </w:t>
            </w:r>
            <w:r>
              <w:rPr>
                <w:spacing w:val="-21"/>
                <w:sz w:val="18"/>
                <w:szCs w:val="18"/>
              </w:rPr>
              <w:t>目。</w:t>
            </w:r>
          </w:p>
        </w:tc>
        <w:tc>
          <w:tcPr>
            <w:tcW w:w="1695" w:type="dxa"/>
            <w:vAlign w:val="top"/>
          </w:tcPr>
          <w:p w14:paraId="60D77992">
            <w:pPr>
              <w:spacing w:before="1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2E02F2A4">
            <w:pPr>
              <w:spacing w:before="1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FF9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705" w:type="dxa"/>
            <w:vMerge w:val="continue"/>
            <w:tcBorders>
              <w:top w:val="nil"/>
              <w:bottom w:val="nil"/>
            </w:tcBorders>
            <w:vAlign w:val="top"/>
          </w:tcPr>
          <w:p w14:paraId="3CCB2B62">
            <w:pPr>
              <w:rPr>
                <w:rFonts w:ascii="Arial"/>
                <w:sz w:val="21"/>
              </w:rPr>
            </w:pPr>
          </w:p>
        </w:tc>
        <w:tc>
          <w:tcPr>
            <w:tcW w:w="143" w:type="dxa"/>
            <w:vMerge w:val="continue"/>
            <w:tcBorders>
              <w:top w:val="nil"/>
              <w:bottom w:val="nil"/>
            </w:tcBorders>
            <w:vAlign w:val="top"/>
          </w:tcPr>
          <w:p w14:paraId="6CCD3CAB">
            <w:pPr>
              <w:rPr>
                <w:rFonts w:ascii="Arial"/>
                <w:sz w:val="21"/>
              </w:rPr>
            </w:pPr>
          </w:p>
        </w:tc>
        <w:tc>
          <w:tcPr>
            <w:tcW w:w="1011" w:type="dxa"/>
            <w:vMerge w:val="restart"/>
            <w:tcBorders>
              <w:bottom w:val="nil"/>
            </w:tcBorders>
            <w:vAlign w:val="top"/>
          </w:tcPr>
          <w:p w14:paraId="1D6A82A7">
            <w:pPr>
              <w:spacing w:line="241" w:lineRule="auto"/>
              <w:rPr>
                <w:rFonts w:ascii="Arial"/>
                <w:sz w:val="21"/>
              </w:rPr>
            </w:pPr>
          </w:p>
          <w:p w14:paraId="4A7E4086">
            <w:pPr>
              <w:spacing w:line="241" w:lineRule="auto"/>
              <w:rPr>
                <w:rFonts w:ascii="Arial"/>
                <w:sz w:val="21"/>
              </w:rPr>
            </w:pPr>
          </w:p>
          <w:p w14:paraId="7CC80038">
            <w:pPr>
              <w:spacing w:line="241" w:lineRule="auto"/>
              <w:rPr>
                <w:rFonts w:ascii="Arial"/>
                <w:sz w:val="21"/>
              </w:rPr>
            </w:pPr>
          </w:p>
          <w:p w14:paraId="4A67A402">
            <w:pPr>
              <w:spacing w:line="241" w:lineRule="auto"/>
              <w:rPr>
                <w:rFonts w:ascii="Arial"/>
                <w:sz w:val="21"/>
              </w:rPr>
            </w:pPr>
          </w:p>
          <w:p w14:paraId="55D00B70">
            <w:pPr>
              <w:spacing w:line="241" w:lineRule="auto"/>
              <w:rPr>
                <w:rFonts w:ascii="Arial"/>
                <w:sz w:val="21"/>
              </w:rPr>
            </w:pPr>
          </w:p>
          <w:p w14:paraId="23CE7097">
            <w:pPr>
              <w:spacing w:line="241" w:lineRule="auto"/>
              <w:rPr>
                <w:rFonts w:ascii="Arial"/>
                <w:sz w:val="21"/>
              </w:rPr>
            </w:pPr>
          </w:p>
          <w:p w14:paraId="7E39A769">
            <w:pPr>
              <w:spacing w:line="241" w:lineRule="auto"/>
              <w:rPr>
                <w:rFonts w:ascii="Arial"/>
                <w:sz w:val="21"/>
              </w:rPr>
            </w:pPr>
          </w:p>
          <w:p w14:paraId="41D26C7B">
            <w:pPr>
              <w:spacing w:line="241" w:lineRule="auto"/>
              <w:rPr>
                <w:rFonts w:ascii="Arial"/>
                <w:sz w:val="21"/>
              </w:rPr>
            </w:pPr>
          </w:p>
          <w:p w14:paraId="74F9C20B">
            <w:pPr>
              <w:spacing w:line="241" w:lineRule="auto"/>
              <w:rPr>
                <w:rFonts w:ascii="Arial"/>
                <w:sz w:val="21"/>
              </w:rPr>
            </w:pPr>
          </w:p>
          <w:p w14:paraId="6750BCF4">
            <w:pPr>
              <w:spacing w:line="241" w:lineRule="auto"/>
              <w:rPr>
                <w:rFonts w:ascii="Arial"/>
                <w:sz w:val="21"/>
              </w:rPr>
            </w:pPr>
          </w:p>
          <w:p w14:paraId="0D9EF6E6">
            <w:pPr>
              <w:spacing w:line="242" w:lineRule="auto"/>
              <w:rPr>
                <w:rFonts w:ascii="Arial"/>
                <w:sz w:val="21"/>
              </w:rPr>
            </w:pPr>
          </w:p>
          <w:p w14:paraId="50E85704">
            <w:pPr>
              <w:spacing w:line="242" w:lineRule="auto"/>
              <w:rPr>
                <w:rFonts w:ascii="Arial"/>
                <w:sz w:val="21"/>
              </w:rPr>
            </w:pPr>
          </w:p>
          <w:p w14:paraId="2DD4DA2C">
            <w:pPr>
              <w:spacing w:line="242" w:lineRule="auto"/>
              <w:rPr>
                <w:rFonts w:ascii="Arial"/>
                <w:sz w:val="21"/>
              </w:rPr>
            </w:pPr>
          </w:p>
          <w:p w14:paraId="76A56979">
            <w:pPr>
              <w:pStyle w:val="6"/>
              <w:spacing w:before="59" w:line="237" w:lineRule="auto"/>
              <w:ind w:left="44" w:right="46" w:firstLine="7"/>
              <w:rPr>
                <w:sz w:val="18"/>
                <w:szCs w:val="18"/>
              </w:rPr>
            </w:pPr>
            <w:r>
              <w:rPr>
                <w:spacing w:val="1"/>
                <w:sz w:val="18"/>
                <w:szCs w:val="18"/>
              </w:rPr>
              <w:t xml:space="preserve">大气环境高 </w:t>
            </w:r>
            <w:r>
              <w:rPr>
                <w:spacing w:val="3"/>
                <w:sz w:val="18"/>
                <w:szCs w:val="18"/>
              </w:rPr>
              <w:t>排放重点管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310002</w:t>
            </w:r>
            <w:r>
              <w:rPr>
                <w:rFonts w:ascii="Times New Roman" w:hAnsi="Times New Roman" w:eastAsia="Times New Roman" w:cs="Times New Roman"/>
                <w:spacing w:val="-15"/>
                <w:sz w:val="18"/>
                <w:szCs w:val="18"/>
              </w:rPr>
              <w:t xml:space="preserve"> </w:t>
            </w:r>
            <w:r>
              <w:rPr>
                <w:spacing w:val="-2"/>
                <w:sz w:val="18"/>
                <w:szCs w:val="18"/>
              </w:rPr>
              <w:t>、东</w:t>
            </w:r>
            <w:r>
              <w:rPr>
                <w:sz w:val="18"/>
                <w:szCs w:val="18"/>
              </w:rPr>
              <w:t xml:space="preserve"> </w:t>
            </w:r>
            <w:r>
              <w:rPr>
                <w:spacing w:val="3"/>
                <w:sz w:val="18"/>
                <w:szCs w:val="18"/>
              </w:rPr>
              <w:t>岳新型工业</w:t>
            </w:r>
            <w:r>
              <w:rPr>
                <w:sz w:val="18"/>
                <w:szCs w:val="18"/>
              </w:rPr>
              <w:t xml:space="preserve"> </w:t>
            </w:r>
            <w:r>
              <w:rPr>
                <w:spacing w:val="-1"/>
                <w:sz w:val="18"/>
                <w:szCs w:val="18"/>
              </w:rPr>
              <w:t>集聚区</w:t>
            </w:r>
          </w:p>
        </w:tc>
        <w:tc>
          <w:tcPr>
            <w:tcW w:w="886" w:type="dxa"/>
            <w:vMerge w:val="restart"/>
            <w:tcBorders>
              <w:bottom w:val="nil"/>
            </w:tcBorders>
            <w:vAlign w:val="top"/>
          </w:tcPr>
          <w:p w14:paraId="7AC1E995">
            <w:pPr>
              <w:spacing w:line="252" w:lineRule="auto"/>
              <w:rPr>
                <w:rFonts w:ascii="Arial"/>
                <w:sz w:val="21"/>
              </w:rPr>
            </w:pPr>
          </w:p>
          <w:p w14:paraId="56CDA849">
            <w:pPr>
              <w:spacing w:line="252" w:lineRule="auto"/>
              <w:rPr>
                <w:rFonts w:ascii="Arial"/>
                <w:sz w:val="21"/>
              </w:rPr>
            </w:pPr>
          </w:p>
          <w:p w14:paraId="44C0AAAE">
            <w:pPr>
              <w:spacing w:line="252" w:lineRule="auto"/>
              <w:rPr>
                <w:rFonts w:ascii="Arial"/>
                <w:sz w:val="21"/>
              </w:rPr>
            </w:pPr>
          </w:p>
          <w:p w14:paraId="6BF0DEAC">
            <w:pPr>
              <w:spacing w:line="252" w:lineRule="auto"/>
              <w:rPr>
                <w:rFonts w:ascii="Arial"/>
                <w:sz w:val="21"/>
              </w:rPr>
            </w:pPr>
          </w:p>
          <w:p w14:paraId="34D851CC">
            <w:pPr>
              <w:spacing w:line="252" w:lineRule="auto"/>
              <w:rPr>
                <w:rFonts w:ascii="Arial"/>
                <w:sz w:val="21"/>
              </w:rPr>
            </w:pPr>
          </w:p>
          <w:p w14:paraId="4F8EDB78">
            <w:pPr>
              <w:pStyle w:val="6"/>
              <w:spacing w:before="58" w:line="232"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5170F9E8">
            <w:pPr>
              <w:pStyle w:val="6"/>
              <w:spacing w:before="260"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248E7A61">
            <w:pPr>
              <w:pStyle w:val="6"/>
              <w:spacing w:before="28"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4D029241">
            <w:pPr>
              <w:pStyle w:val="6"/>
              <w:spacing w:before="18"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78017D87">
            <w:pPr>
              <w:spacing w:line="349" w:lineRule="auto"/>
              <w:rPr>
                <w:rFonts w:ascii="Arial"/>
                <w:sz w:val="21"/>
              </w:rPr>
            </w:pPr>
          </w:p>
          <w:p w14:paraId="43080F9C">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43F39B87">
            <w:pPr>
              <w:spacing w:line="349" w:lineRule="auto"/>
              <w:rPr>
                <w:rFonts w:ascii="Arial"/>
                <w:sz w:val="21"/>
              </w:rPr>
            </w:pPr>
          </w:p>
          <w:p w14:paraId="71833FCA">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95D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14:paraId="39FD8B93">
            <w:pPr>
              <w:rPr>
                <w:rFonts w:ascii="Arial"/>
                <w:sz w:val="21"/>
              </w:rPr>
            </w:pPr>
          </w:p>
        </w:tc>
        <w:tc>
          <w:tcPr>
            <w:tcW w:w="143" w:type="dxa"/>
            <w:vMerge w:val="continue"/>
            <w:tcBorders>
              <w:top w:val="nil"/>
              <w:bottom w:val="nil"/>
            </w:tcBorders>
            <w:vAlign w:val="top"/>
          </w:tcPr>
          <w:p w14:paraId="0B368A71">
            <w:pPr>
              <w:rPr>
                <w:rFonts w:ascii="Arial"/>
                <w:sz w:val="21"/>
              </w:rPr>
            </w:pPr>
          </w:p>
        </w:tc>
        <w:tc>
          <w:tcPr>
            <w:tcW w:w="1011" w:type="dxa"/>
            <w:vMerge w:val="continue"/>
            <w:tcBorders>
              <w:top w:val="nil"/>
              <w:bottom w:val="nil"/>
            </w:tcBorders>
            <w:vAlign w:val="top"/>
          </w:tcPr>
          <w:p w14:paraId="5C2FF763">
            <w:pPr>
              <w:rPr>
                <w:rFonts w:ascii="Arial"/>
                <w:sz w:val="21"/>
              </w:rPr>
            </w:pPr>
          </w:p>
        </w:tc>
        <w:tc>
          <w:tcPr>
            <w:tcW w:w="886" w:type="dxa"/>
            <w:vMerge w:val="continue"/>
            <w:tcBorders>
              <w:top w:val="nil"/>
              <w:bottom w:val="nil"/>
            </w:tcBorders>
            <w:vAlign w:val="top"/>
          </w:tcPr>
          <w:p w14:paraId="3C6CDABC">
            <w:pPr>
              <w:rPr>
                <w:rFonts w:ascii="Arial"/>
                <w:sz w:val="21"/>
              </w:rPr>
            </w:pPr>
          </w:p>
        </w:tc>
        <w:tc>
          <w:tcPr>
            <w:tcW w:w="879" w:type="dxa"/>
            <w:vAlign w:val="top"/>
          </w:tcPr>
          <w:p w14:paraId="2963EC45">
            <w:pPr>
              <w:pStyle w:val="6"/>
              <w:spacing w:before="145"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08AC1823">
            <w:pPr>
              <w:pStyle w:val="6"/>
              <w:spacing w:before="27" w:line="219" w:lineRule="auto"/>
              <w:ind w:left="56"/>
              <w:rPr>
                <w:sz w:val="18"/>
                <w:szCs w:val="18"/>
              </w:rPr>
            </w:pPr>
            <w:r>
              <w:rPr>
                <w:spacing w:val="-2"/>
                <w:sz w:val="18"/>
                <w:szCs w:val="18"/>
              </w:rPr>
              <w:t>允许排放量要求暂无</w:t>
            </w:r>
          </w:p>
          <w:p w14:paraId="7CEFC7D7">
            <w:pPr>
              <w:pStyle w:val="6"/>
              <w:spacing w:before="19" w:line="219" w:lineRule="auto"/>
              <w:ind w:left="52"/>
              <w:rPr>
                <w:sz w:val="18"/>
                <w:szCs w:val="18"/>
              </w:rPr>
            </w:pPr>
            <w:r>
              <w:rPr>
                <w:spacing w:val="-1"/>
                <w:sz w:val="18"/>
                <w:szCs w:val="18"/>
              </w:rPr>
              <w:t>现有源提标升级改造暂无</w:t>
            </w:r>
          </w:p>
          <w:p w14:paraId="1C643A36">
            <w:pPr>
              <w:pStyle w:val="6"/>
              <w:spacing w:before="18" w:line="207" w:lineRule="auto"/>
              <w:ind w:left="51"/>
              <w:rPr>
                <w:sz w:val="18"/>
                <w:szCs w:val="18"/>
              </w:rPr>
            </w:pPr>
            <w:r>
              <w:rPr>
                <w:spacing w:val="-1"/>
                <w:sz w:val="18"/>
                <w:szCs w:val="18"/>
              </w:rPr>
              <w:t>其他污染物排放管控要求暂无</w:t>
            </w:r>
          </w:p>
        </w:tc>
        <w:tc>
          <w:tcPr>
            <w:tcW w:w="1695" w:type="dxa"/>
            <w:vAlign w:val="top"/>
          </w:tcPr>
          <w:p w14:paraId="398DAD89">
            <w:pPr>
              <w:spacing w:before="288"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9D51590">
            <w:pPr>
              <w:spacing w:before="288"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CC9B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1DFFCAE2">
            <w:pPr>
              <w:rPr>
                <w:rFonts w:ascii="Arial"/>
                <w:sz w:val="21"/>
              </w:rPr>
            </w:pPr>
          </w:p>
        </w:tc>
        <w:tc>
          <w:tcPr>
            <w:tcW w:w="143" w:type="dxa"/>
            <w:vMerge w:val="continue"/>
            <w:tcBorders>
              <w:top w:val="nil"/>
              <w:bottom w:val="nil"/>
            </w:tcBorders>
            <w:vAlign w:val="top"/>
          </w:tcPr>
          <w:p w14:paraId="77E21769">
            <w:pPr>
              <w:rPr>
                <w:rFonts w:ascii="Arial"/>
                <w:sz w:val="21"/>
              </w:rPr>
            </w:pPr>
          </w:p>
        </w:tc>
        <w:tc>
          <w:tcPr>
            <w:tcW w:w="1011" w:type="dxa"/>
            <w:vMerge w:val="continue"/>
            <w:tcBorders>
              <w:top w:val="nil"/>
              <w:bottom w:val="nil"/>
            </w:tcBorders>
            <w:vAlign w:val="top"/>
          </w:tcPr>
          <w:p w14:paraId="1F4CFCC7">
            <w:pPr>
              <w:rPr>
                <w:rFonts w:ascii="Arial"/>
                <w:sz w:val="21"/>
              </w:rPr>
            </w:pPr>
          </w:p>
        </w:tc>
        <w:tc>
          <w:tcPr>
            <w:tcW w:w="886" w:type="dxa"/>
            <w:vMerge w:val="continue"/>
            <w:tcBorders>
              <w:top w:val="nil"/>
              <w:bottom w:val="nil"/>
            </w:tcBorders>
            <w:vAlign w:val="top"/>
          </w:tcPr>
          <w:p w14:paraId="34FD8D83">
            <w:pPr>
              <w:rPr>
                <w:rFonts w:ascii="Arial"/>
                <w:sz w:val="21"/>
              </w:rPr>
            </w:pPr>
          </w:p>
        </w:tc>
        <w:tc>
          <w:tcPr>
            <w:tcW w:w="879" w:type="dxa"/>
            <w:vAlign w:val="top"/>
          </w:tcPr>
          <w:p w14:paraId="443B36B8">
            <w:pPr>
              <w:pStyle w:val="6"/>
              <w:spacing w:before="27" w:line="223"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7DD7B66D">
            <w:pPr>
              <w:pStyle w:val="6"/>
              <w:spacing w:before="28" w:line="220" w:lineRule="auto"/>
              <w:ind w:left="51"/>
              <w:rPr>
                <w:sz w:val="18"/>
                <w:szCs w:val="18"/>
              </w:rPr>
            </w:pPr>
            <w:r>
              <w:rPr>
                <w:spacing w:val="-1"/>
                <w:sz w:val="18"/>
                <w:szCs w:val="18"/>
              </w:rPr>
              <w:t>联防联控要求暂无</w:t>
            </w:r>
          </w:p>
          <w:p w14:paraId="21246BB5">
            <w:pPr>
              <w:pStyle w:val="6"/>
              <w:spacing w:before="18" w:line="206" w:lineRule="auto"/>
              <w:ind w:left="51"/>
              <w:rPr>
                <w:sz w:val="18"/>
                <w:szCs w:val="18"/>
              </w:rPr>
            </w:pPr>
            <w:r>
              <w:rPr>
                <w:spacing w:val="-1"/>
                <w:sz w:val="18"/>
                <w:szCs w:val="18"/>
              </w:rPr>
              <w:t>其他环境风险防控要求暂无</w:t>
            </w:r>
          </w:p>
        </w:tc>
        <w:tc>
          <w:tcPr>
            <w:tcW w:w="1695" w:type="dxa"/>
            <w:vAlign w:val="top"/>
          </w:tcPr>
          <w:p w14:paraId="2965C705">
            <w:pPr>
              <w:spacing w:before="17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63244EB">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8A17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46E8F0C5">
            <w:pPr>
              <w:rPr>
                <w:rFonts w:ascii="Arial"/>
                <w:sz w:val="21"/>
              </w:rPr>
            </w:pPr>
          </w:p>
        </w:tc>
        <w:tc>
          <w:tcPr>
            <w:tcW w:w="143" w:type="dxa"/>
            <w:vMerge w:val="continue"/>
            <w:tcBorders>
              <w:top w:val="nil"/>
              <w:bottom w:val="nil"/>
            </w:tcBorders>
            <w:vAlign w:val="top"/>
          </w:tcPr>
          <w:p w14:paraId="531F4198">
            <w:pPr>
              <w:rPr>
                <w:rFonts w:ascii="Arial"/>
                <w:sz w:val="21"/>
              </w:rPr>
            </w:pPr>
          </w:p>
        </w:tc>
        <w:tc>
          <w:tcPr>
            <w:tcW w:w="1011" w:type="dxa"/>
            <w:vMerge w:val="continue"/>
            <w:tcBorders>
              <w:top w:val="nil"/>
              <w:bottom w:val="nil"/>
            </w:tcBorders>
            <w:vAlign w:val="top"/>
          </w:tcPr>
          <w:p w14:paraId="538C6B4A">
            <w:pPr>
              <w:rPr>
                <w:rFonts w:ascii="Arial"/>
                <w:sz w:val="21"/>
              </w:rPr>
            </w:pPr>
          </w:p>
        </w:tc>
        <w:tc>
          <w:tcPr>
            <w:tcW w:w="886" w:type="dxa"/>
            <w:vMerge w:val="continue"/>
            <w:tcBorders>
              <w:top w:val="nil"/>
            </w:tcBorders>
            <w:vAlign w:val="top"/>
          </w:tcPr>
          <w:p w14:paraId="093EBF01">
            <w:pPr>
              <w:rPr>
                <w:rFonts w:ascii="Arial"/>
                <w:sz w:val="21"/>
              </w:rPr>
            </w:pPr>
          </w:p>
        </w:tc>
        <w:tc>
          <w:tcPr>
            <w:tcW w:w="879" w:type="dxa"/>
            <w:vAlign w:val="top"/>
          </w:tcPr>
          <w:p w14:paraId="1E634028">
            <w:pPr>
              <w:spacing w:line="318" w:lineRule="auto"/>
              <w:rPr>
                <w:rFonts w:ascii="Arial"/>
                <w:sz w:val="21"/>
              </w:rPr>
            </w:pPr>
          </w:p>
          <w:p w14:paraId="163A7CEA">
            <w:pPr>
              <w:pStyle w:val="6"/>
              <w:spacing w:before="59"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18F6606A">
            <w:pPr>
              <w:pStyle w:val="6"/>
              <w:spacing w:before="27"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6157A12F">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0425698D">
            <w:pPr>
              <w:pStyle w:val="6"/>
              <w:spacing w:before="18" w:line="204" w:lineRule="auto"/>
              <w:ind w:left="51"/>
              <w:rPr>
                <w:sz w:val="18"/>
                <w:szCs w:val="18"/>
              </w:rPr>
            </w:pPr>
            <w:r>
              <w:rPr>
                <w:spacing w:val="-1"/>
                <w:sz w:val="18"/>
                <w:szCs w:val="18"/>
              </w:rPr>
              <w:t>其他资源利用效率要求暂无</w:t>
            </w:r>
          </w:p>
        </w:tc>
        <w:tc>
          <w:tcPr>
            <w:tcW w:w="1695" w:type="dxa"/>
            <w:vAlign w:val="top"/>
          </w:tcPr>
          <w:p w14:paraId="5D07EB4F">
            <w:pPr>
              <w:spacing w:line="467" w:lineRule="auto"/>
              <w:rPr>
                <w:rFonts w:ascii="Arial"/>
                <w:sz w:val="21"/>
              </w:rPr>
            </w:pPr>
          </w:p>
          <w:p w14:paraId="489EBBFC">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61AC429C">
            <w:pPr>
              <w:spacing w:line="467" w:lineRule="auto"/>
              <w:rPr>
                <w:rFonts w:ascii="Arial"/>
                <w:sz w:val="21"/>
              </w:rPr>
            </w:pPr>
          </w:p>
          <w:p w14:paraId="586BE42D">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8262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3759E45C">
            <w:pPr>
              <w:rPr>
                <w:rFonts w:ascii="Arial"/>
                <w:sz w:val="21"/>
              </w:rPr>
            </w:pPr>
          </w:p>
        </w:tc>
        <w:tc>
          <w:tcPr>
            <w:tcW w:w="143" w:type="dxa"/>
            <w:vMerge w:val="continue"/>
            <w:tcBorders>
              <w:top w:val="nil"/>
              <w:bottom w:val="nil"/>
            </w:tcBorders>
            <w:vAlign w:val="top"/>
          </w:tcPr>
          <w:p w14:paraId="2C7686A4">
            <w:pPr>
              <w:rPr>
                <w:rFonts w:ascii="Arial"/>
                <w:sz w:val="21"/>
              </w:rPr>
            </w:pPr>
          </w:p>
        </w:tc>
        <w:tc>
          <w:tcPr>
            <w:tcW w:w="1011" w:type="dxa"/>
            <w:vMerge w:val="continue"/>
            <w:tcBorders>
              <w:top w:val="nil"/>
              <w:bottom w:val="nil"/>
            </w:tcBorders>
            <w:vAlign w:val="top"/>
          </w:tcPr>
          <w:p w14:paraId="7A92F5EA">
            <w:pPr>
              <w:rPr>
                <w:rFonts w:ascii="Arial"/>
                <w:sz w:val="21"/>
              </w:rPr>
            </w:pPr>
          </w:p>
        </w:tc>
        <w:tc>
          <w:tcPr>
            <w:tcW w:w="886" w:type="dxa"/>
            <w:vMerge w:val="restart"/>
            <w:tcBorders>
              <w:bottom w:val="nil"/>
            </w:tcBorders>
            <w:vAlign w:val="top"/>
          </w:tcPr>
          <w:p w14:paraId="17B377C5">
            <w:pPr>
              <w:spacing w:line="243" w:lineRule="auto"/>
              <w:rPr>
                <w:rFonts w:ascii="Arial"/>
                <w:sz w:val="21"/>
              </w:rPr>
            </w:pPr>
          </w:p>
          <w:p w14:paraId="26AF1391">
            <w:pPr>
              <w:spacing w:line="243" w:lineRule="auto"/>
              <w:rPr>
                <w:rFonts w:ascii="Arial"/>
                <w:sz w:val="21"/>
              </w:rPr>
            </w:pPr>
          </w:p>
          <w:p w14:paraId="3BF5BFD6">
            <w:pPr>
              <w:spacing w:line="243" w:lineRule="auto"/>
              <w:rPr>
                <w:rFonts w:ascii="Arial"/>
                <w:sz w:val="21"/>
              </w:rPr>
            </w:pPr>
          </w:p>
          <w:p w14:paraId="789BA5A0">
            <w:pPr>
              <w:spacing w:line="243" w:lineRule="auto"/>
              <w:rPr>
                <w:rFonts w:ascii="Arial"/>
                <w:sz w:val="21"/>
              </w:rPr>
            </w:pPr>
          </w:p>
          <w:p w14:paraId="0496B831">
            <w:pPr>
              <w:spacing w:line="243" w:lineRule="auto"/>
              <w:rPr>
                <w:rFonts w:ascii="Arial"/>
                <w:sz w:val="21"/>
              </w:rPr>
            </w:pPr>
          </w:p>
          <w:p w14:paraId="2C169508">
            <w:pPr>
              <w:spacing w:line="244" w:lineRule="auto"/>
              <w:rPr>
                <w:rFonts w:ascii="Arial"/>
                <w:sz w:val="21"/>
              </w:rPr>
            </w:pPr>
          </w:p>
          <w:p w14:paraId="12BE99F3">
            <w:pPr>
              <w:spacing w:line="244" w:lineRule="auto"/>
              <w:rPr>
                <w:rFonts w:ascii="Arial"/>
                <w:sz w:val="21"/>
              </w:rPr>
            </w:pPr>
          </w:p>
          <w:p w14:paraId="6E33110F">
            <w:pPr>
              <w:spacing w:line="244" w:lineRule="auto"/>
              <w:rPr>
                <w:rFonts w:ascii="Arial"/>
                <w:sz w:val="21"/>
              </w:rPr>
            </w:pPr>
          </w:p>
          <w:p w14:paraId="033AFF11">
            <w:pPr>
              <w:pStyle w:val="6"/>
              <w:spacing w:before="59" w:line="220" w:lineRule="auto"/>
              <w:ind w:left="86"/>
              <w:rPr>
                <w:sz w:val="18"/>
                <w:szCs w:val="18"/>
              </w:rPr>
            </w:pPr>
            <w:r>
              <w:rPr>
                <w:spacing w:val="-3"/>
                <w:sz w:val="18"/>
                <w:szCs w:val="18"/>
              </w:rPr>
              <w:t>单元级清</w:t>
            </w:r>
          </w:p>
          <w:p w14:paraId="6968CE9C">
            <w:pPr>
              <w:pStyle w:val="6"/>
              <w:spacing w:before="18" w:line="219" w:lineRule="auto"/>
              <w:ind w:left="86"/>
              <w:rPr>
                <w:sz w:val="18"/>
                <w:szCs w:val="18"/>
              </w:rPr>
            </w:pPr>
            <w:r>
              <w:rPr>
                <w:spacing w:val="-3"/>
                <w:sz w:val="18"/>
                <w:szCs w:val="18"/>
              </w:rPr>
              <w:t>单管控要</w:t>
            </w:r>
          </w:p>
          <w:p w14:paraId="30794A08">
            <w:pPr>
              <w:pStyle w:val="6"/>
              <w:spacing w:before="18" w:line="221" w:lineRule="auto"/>
              <w:ind w:left="357"/>
              <w:rPr>
                <w:sz w:val="18"/>
                <w:szCs w:val="18"/>
              </w:rPr>
            </w:pPr>
            <w:r>
              <w:rPr>
                <w:sz w:val="18"/>
                <w:szCs w:val="18"/>
              </w:rPr>
              <w:t>求</w:t>
            </w:r>
          </w:p>
        </w:tc>
        <w:tc>
          <w:tcPr>
            <w:tcW w:w="879" w:type="dxa"/>
            <w:vAlign w:val="top"/>
          </w:tcPr>
          <w:p w14:paraId="55BD9F89">
            <w:pPr>
              <w:spacing w:line="321" w:lineRule="auto"/>
              <w:rPr>
                <w:rFonts w:ascii="Arial"/>
                <w:sz w:val="21"/>
              </w:rPr>
            </w:pPr>
          </w:p>
          <w:p w14:paraId="5C2B2073">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53F13E67">
            <w:pPr>
              <w:pStyle w:val="6"/>
              <w:spacing w:before="31"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14:paraId="2C7A008D">
            <w:pPr>
              <w:pStyle w:val="6"/>
              <w:spacing w:before="19" w:line="221"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14:paraId="50F1A243">
            <w:pPr>
              <w:spacing w:line="469" w:lineRule="auto"/>
              <w:rPr>
                <w:rFonts w:ascii="Arial"/>
                <w:sz w:val="21"/>
              </w:rPr>
            </w:pPr>
          </w:p>
          <w:p w14:paraId="51C1703A">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8541244">
            <w:pPr>
              <w:spacing w:line="469" w:lineRule="auto"/>
              <w:rPr>
                <w:rFonts w:ascii="Arial"/>
                <w:sz w:val="21"/>
              </w:rPr>
            </w:pPr>
          </w:p>
          <w:p w14:paraId="0F0C5E73">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68B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1705" w:type="dxa"/>
            <w:vMerge w:val="continue"/>
            <w:tcBorders>
              <w:top w:val="nil"/>
            </w:tcBorders>
            <w:vAlign w:val="top"/>
          </w:tcPr>
          <w:p w14:paraId="165AAE5A">
            <w:pPr>
              <w:rPr>
                <w:rFonts w:ascii="Arial"/>
                <w:sz w:val="21"/>
              </w:rPr>
            </w:pPr>
          </w:p>
        </w:tc>
        <w:tc>
          <w:tcPr>
            <w:tcW w:w="143" w:type="dxa"/>
            <w:vMerge w:val="continue"/>
            <w:tcBorders>
              <w:top w:val="nil"/>
            </w:tcBorders>
            <w:vAlign w:val="top"/>
          </w:tcPr>
          <w:p w14:paraId="3284A709">
            <w:pPr>
              <w:rPr>
                <w:rFonts w:ascii="Arial"/>
                <w:sz w:val="21"/>
              </w:rPr>
            </w:pPr>
          </w:p>
        </w:tc>
        <w:tc>
          <w:tcPr>
            <w:tcW w:w="1011" w:type="dxa"/>
            <w:vMerge w:val="continue"/>
            <w:tcBorders>
              <w:top w:val="nil"/>
            </w:tcBorders>
            <w:vAlign w:val="top"/>
          </w:tcPr>
          <w:p w14:paraId="6CA8AA65">
            <w:pPr>
              <w:rPr>
                <w:rFonts w:ascii="Arial"/>
                <w:sz w:val="21"/>
              </w:rPr>
            </w:pPr>
          </w:p>
        </w:tc>
        <w:tc>
          <w:tcPr>
            <w:tcW w:w="886" w:type="dxa"/>
            <w:vMerge w:val="continue"/>
            <w:tcBorders>
              <w:top w:val="nil"/>
            </w:tcBorders>
            <w:vAlign w:val="top"/>
          </w:tcPr>
          <w:p w14:paraId="5287987C">
            <w:pPr>
              <w:rPr>
                <w:rFonts w:ascii="Arial"/>
                <w:sz w:val="21"/>
              </w:rPr>
            </w:pPr>
          </w:p>
        </w:tc>
        <w:tc>
          <w:tcPr>
            <w:tcW w:w="879" w:type="dxa"/>
            <w:vAlign w:val="top"/>
          </w:tcPr>
          <w:p w14:paraId="6139841A">
            <w:pPr>
              <w:spacing w:line="246" w:lineRule="auto"/>
              <w:rPr>
                <w:rFonts w:ascii="Arial"/>
                <w:sz w:val="21"/>
              </w:rPr>
            </w:pPr>
          </w:p>
          <w:p w14:paraId="45BE95A1">
            <w:pPr>
              <w:spacing w:line="246" w:lineRule="auto"/>
              <w:rPr>
                <w:rFonts w:ascii="Arial"/>
                <w:sz w:val="21"/>
              </w:rPr>
            </w:pPr>
          </w:p>
          <w:p w14:paraId="509ACA73">
            <w:pPr>
              <w:spacing w:line="247" w:lineRule="auto"/>
              <w:rPr>
                <w:rFonts w:ascii="Arial"/>
                <w:sz w:val="21"/>
              </w:rPr>
            </w:pPr>
          </w:p>
          <w:p w14:paraId="0F479120">
            <w:pPr>
              <w:spacing w:line="247" w:lineRule="auto"/>
              <w:rPr>
                <w:rFonts w:ascii="Arial"/>
                <w:sz w:val="21"/>
              </w:rPr>
            </w:pPr>
          </w:p>
          <w:p w14:paraId="5A5C4402">
            <w:pPr>
              <w:spacing w:line="247" w:lineRule="auto"/>
              <w:rPr>
                <w:rFonts w:ascii="Arial"/>
                <w:sz w:val="21"/>
              </w:rPr>
            </w:pPr>
          </w:p>
          <w:p w14:paraId="632920D8">
            <w:pPr>
              <w:spacing w:line="247" w:lineRule="auto"/>
              <w:rPr>
                <w:rFonts w:ascii="Arial"/>
                <w:sz w:val="21"/>
              </w:rPr>
            </w:pPr>
          </w:p>
          <w:p w14:paraId="7E7B8108">
            <w:pPr>
              <w:pStyle w:val="6"/>
              <w:spacing w:before="58"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5A50EFC9">
            <w:pPr>
              <w:pStyle w:val="6"/>
              <w:spacing w:before="31" w:line="219" w:lineRule="auto"/>
              <w:ind w:left="52"/>
              <w:rPr>
                <w:sz w:val="18"/>
                <w:szCs w:val="18"/>
              </w:rPr>
            </w:pPr>
            <w:r>
              <w:rPr>
                <w:spacing w:val="-1"/>
                <w:sz w:val="18"/>
                <w:szCs w:val="18"/>
              </w:rPr>
              <w:t>大气环境质量执行标准</w:t>
            </w:r>
          </w:p>
          <w:p w14:paraId="02C42DC4">
            <w:pPr>
              <w:pStyle w:val="6"/>
              <w:spacing w:before="19" w:line="220" w:lineRule="auto"/>
              <w:ind w:left="56"/>
              <w:rPr>
                <w:sz w:val="18"/>
                <w:szCs w:val="18"/>
              </w:rPr>
            </w:pPr>
            <w:r>
              <w:rPr>
                <w:spacing w:val="-5"/>
                <w:sz w:val="18"/>
                <w:szCs w:val="18"/>
              </w:rPr>
              <w:t>《环境空气质量标准》（</w:t>
            </w:r>
            <w:r>
              <w:rPr>
                <w:rFonts w:ascii="Times New Roman" w:hAnsi="Times New Roman" w:eastAsia="Times New Roman" w:cs="Times New Roman"/>
                <w:spacing w:val="-5"/>
                <w:sz w:val="18"/>
                <w:szCs w:val="18"/>
              </w:rPr>
              <w:t>GB3095-2012</w:t>
            </w:r>
            <w:r>
              <w:rPr>
                <w:spacing w:val="-39"/>
                <w:sz w:val="18"/>
                <w:szCs w:val="18"/>
              </w:rPr>
              <w:t>）：</w:t>
            </w:r>
            <w:r>
              <w:rPr>
                <w:spacing w:val="-5"/>
                <w:sz w:val="18"/>
                <w:szCs w:val="18"/>
              </w:rPr>
              <w:t>二级</w:t>
            </w:r>
          </w:p>
          <w:p w14:paraId="43E794EC">
            <w:pPr>
              <w:pStyle w:val="6"/>
              <w:spacing w:before="18" w:line="219" w:lineRule="auto"/>
              <w:ind w:left="63"/>
              <w:rPr>
                <w:rFonts w:ascii="Times New Roman" w:hAnsi="Times New Roman" w:eastAsia="Times New Roman" w:cs="Times New Roman"/>
                <w:sz w:val="18"/>
                <w:szCs w:val="18"/>
              </w:rPr>
            </w:pPr>
            <w:r>
              <w:rPr>
                <w:spacing w:val="-2"/>
                <w:sz w:val="18"/>
                <w:szCs w:val="18"/>
              </w:rPr>
              <w:t>区域大气污染物削减</w:t>
            </w:r>
            <w:r>
              <w:rPr>
                <w:rFonts w:ascii="Times New Roman" w:hAnsi="Times New Roman" w:eastAsia="Times New Roman" w:cs="Times New Roman"/>
                <w:spacing w:val="-2"/>
                <w:sz w:val="18"/>
                <w:szCs w:val="18"/>
              </w:rPr>
              <w:t>/</w:t>
            </w:r>
            <w:r>
              <w:rPr>
                <w:spacing w:val="-2"/>
                <w:sz w:val="18"/>
                <w:szCs w:val="18"/>
              </w:rPr>
              <w:t>替代要求</w:t>
            </w:r>
            <w:r>
              <w:rPr>
                <w:rFonts w:ascii="Times New Roman" w:hAnsi="Times New Roman" w:eastAsia="Times New Roman" w:cs="Times New Roman"/>
                <w:spacing w:val="-2"/>
                <w:sz w:val="18"/>
                <w:szCs w:val="18"/>
              </w:rPr>
              <w:t>/</w:t>
            </w:r>
          </w:p>
          <w:p w14:paraId="0E20E48A">
            <w:pPr>
              <w:pStyle w:val="6"/>
              <w:spacing w:before="21" w:line="220" w:lineRule="auto"/>
              <w:ind w:left="51"/>
              <w:rPr>
                <w:rFonts w:ascii="Times New Roman" w:hAnsi="Times New Roman" w:eastAsia="Times New Roman" w:cs="Times New Roman"/>
                <w:sz w:val="18"/>
                <w:szCs w:val="18"/>
              </w:rPr>
            </w:pPr>
            <w:r>
              <w:rPr>
                <w:spacing w:val="-1"/>
                <w:sz w:val="18"/>
                <w:szCs w:val="18"/>
              </w:rPr>
              <w:t>燃煤和其他能源大气污染控制要求</w:t>
            </w:r>
            <w:r>
              <w:rPr>
                <w:rFonts w:ascii="Times New Roman" w:hAnsi="Times New Roman" w:eastAsia="Times New Roman" w:cs="Times New Roman"/>
                <w:spacing w:val="-1"/>
                <w:sz w:val="18"/>
                <w:szCs w:val="18"/>
              </w:rPr>
              <w:t>/</w:t>
            </w:r>
          </w:p>
          <w:p w14:paraId="4EA65636">
            <w:pPr>
              <w:pStyle w:val="6"/>
              <w:spacing w:before="18" w:line="220" w:lineRule="auto"/>
              <w:ind w:left="52"/>
              <w:rPr>
                <w:sz w:val="18"/>
                <w:szCs w:val="18"/>
              </w:rPr>
            </w:pPr>
            <w:r>
              <w:rPr>
                <w:spacing w:val="-1"/>
                <w:sz w:val="18"/>
                <w:szCs w:val="18"/>
              </w:rPr>
              <w:t>工业废气污染控制要求</w:t>
            </w:r>
          </w:p>
          <w:p w14:paraId="505F52CB">
            <w:pPr>
              <w:pStyle w:val="6"/>
              <w:spacing w:before="18" w:line="233" w:lineRule="auto"/>
              <w:ind w:left="49" w:right="44" w:firstLine="14"/>
              <w:rPr>
                <w:sz w:val="18"/>
                <w:szCs w:val="18"/>
              </w:rPr>
            </w:pPr>
            <w:r>
              <w:rPr>
                <w:rFonts w:ascii="Times New Roman" w:hAnsi="Times New Roman" w:eastAsia="Times New Roman" w:cs="Times New Roman"/>
                <w:spacing w:val="-1"/>
                <w:sz w:val="18"/>
                <w:szCs w:val="18"/>
              </w:rPr>
              <w:t>1</w:t>
            </w:r>
            <w:r>
              <w:rPr>
                <w:rFonts w:ascii="Times New Roman" w:hAnsi="Times New Roman" w:eastAsia="Times New Roman" w:cs="Times New Roman"/>
                <w:spacing w:val="-19"/>
                <w:sz w:val="18"/>
                <w:szCs w:val="18"/>
              </w:rPr>
              <w:t xml:space="preserve"> </w:t>
            </w:r>
            <w:r>
              <w:rPr>
                <w:spacing w:val="-1"/>
                <w:sz w:val="18"/>
                <w:szCs w:val="18"/>
              </w:rPr>
              <w:t>、全面淘汰</w:t>
            </w:r>
            <w:r>
              <w:rPr>
                <w:spacing w:val="-24"/>
                <w:sz w:val="18"/>
                <w:szCs w:val="18"/>
              </w:rPr>
              <w:t xml:space="preserve"> </w:t>
            </w:r>
            <w:r>
              <w:rPr>
                <w:rFonts w:ascii="Times New Roman" w:hAnsi="Times New Roman" w:eastAsia="Times New Roman" w:cs="Times New Roman"/>
                <w:spacing w:val="-1"/>
                <w:sz w:val="18"/>
                <w:szCs w:val="18"/>
              </w:rPr>
              <w:t xml:space="preserve">10 </w:t>
            </w:r>
            <w:r>
              <w:rPr>
                <w:spacing w:val="-1"/>
                <w:sz w:val="18"/>
                <w:szCs w:val="18"/>
              </w:rPr>
              <w:t>蒸吨</w:t>
            </w:r>
            <w:r>
              <w:rPr>
                <w:rFonts w:ascii="Times New Roman" w:hAnsi="Times New Roman" w:eastAsia="Times New Roman" w:cs="Times New Roman"/>
                <w:spacing w:val="-1"/>
                <w:sz w:val="18"/>
                <w:szCs w:val="18"/>
              </w:rPr>
              <w:t>/</w:t>
            </w:r>
            <w:r>
              <w:rPr>
                <w:spacing w:val="-1"/>
                <w:sz w:val="18"/>
                <w:szCs w:val="18"/>
              </w:rPr>
              <w:t>小时及以下燃煤锅炉，原则上不再新建</w:t>
            </w:r>
            <w:r>
              <w:rPr>
                <w:spacing w:val="-34"/>
                <w:sz w:val="18"/>
                <w:szCs w:val="18"/>
              </w:rPr>
              <w:t xml:space="preserve"> </w:t>
            </w:r>
            <w:r>
              <w:rPr>
                <w:rFonts w:ascii="Times New Roman" w:hAnsi="Times New Roman" w:eastAsia="Times New Roman" w:cs="Times New Roman"/>
                <w:spacing w:val="-1"/>
                <w:sz w:val="18"/>
                <w:szCs w:val="18"/>
              </w:rPr>
              <w:t xml:space="preserve">35 </w:t>
            </w:r>
            <w:r>
              <w:rPr>
                <w:spacing w:val="-1"/>
                <w:sz w:val="18"/>
                <w:szCs w:val="18"/>
              </w:rPr>
              <w:t>蒸吨</w:t>
            </w:r>
            <w:r>
              <w:rPr>
                <w:rFonts w:ascii="Times New Roman" w:hAnsi="Times New Roman" w:eastAsia="Times New Roman" w:cs="Times New Roman"/>
                <w:spacing w:val="-1"/>
                <w:sz w:val="18"/>
                <w:szCs w:val="18"/>
              </w:rPr>
              <w:t>/</w:t>
            </w:r>
            <w:r>
              <w:rPr>
                <w:spacing w:val="-1"/>
                <w:sz w:val="18"/>
                <w:szCs w:val="18"/>
              </w:rPr>
              <w:t>小时及以下</w:t>
            </w:r>
            <w:r>
              <w:rPr>
                <w:sz w:val="18"/>
                <w:szCs w:val="18"/>
              </w:rPr>
              <w:t xml:space="preserve"> </w:t>
            </w:r>
            <w:r>
              <w:rPr>
                <w:spacing w:val="-3"/>
                <w:sz w:val="18"/>
                <w:szCs w:val="18"/>
              </w:rPr>
              <w:t>的燃煤锅炉，推进县级及以上城市建成区淘汰</w:t>
            </w:r>
            <w:r>
              <w:rPr>
                <w:spacing w:val="-28"/>
                <w:sz w:val="18"/>
                <w:szCs w:val="18"/>
              </w:rPr>
              <w:t xml:space="preserve"> </w:t>
            </w:r>
            <w:r>
              <w:rPr>
                <w:rFonts w:ascii="Times New Roman" w:hAnsi="Times New Roman" w:eastAsia="Times New Roman" w:cs="Times New Roman"/>
                <w:spacing w:val="-3"/>
                <w:sz w:val="18"/>
                <w:szCs w:val="18"/>
              </w:rPr>
              <w:t xml:space="preserve">35 </w:t>
            </w:r>
            <w:r>
              <w:rPr>
                <w:spacing w:val="-3"/>
                <w:sz w:val="18"/>
                <w:szCs w:val="18"/>
              </w:rPr>
              <w:t>蒸吨</w:t>
            </w:r>
            <w:r>
              <w:rPr>
                <w:rFonts w:ascii="Times New Roman" w:hAnsi="Times New Roman" w:eastAsia="Times New Roman" w:cs="Times New Roman"/>
                <w:spacing w:val="-3"/>
                <w:sz w:val="18"/>
                <w:szCs w:val="18"/>
              </w:rPr>
              <w:t>/</w:t>
            </w:r>
            <w:r>
              <w:rPr>
                <w:spacing w:val="-3"/>
                <w:sz w:val="18"/>
                <w:szCs w:val="18"/>
              </w:rPr>
              <w:t>小时及以下燃煤锅炉，以工</w:t>
            </w:r>
            <w:r>
              <w:rPr>
                <w:sz w:val="18"/>
                <w:szCs w:val="18"/>
              </w:rPr>
              <w:t xml:space="preserve"> </w:t>
            </w:r>
            <w:r>
              <w:rPr>
                <w:spacing w:val="-1"/>
                <w:sz w:val="18"/>
                <w:szCs w:val="18"/>
              </w:rPr>
              <w:t>业余热、电厂热力、清洁能源等替代煤炭。</w:t>
            </w:r>
          </w:p>
          <w:p w14:paraId="0393A8B9">
            <w:pPr>
              <w:pStyle w:val="6"/>
              <w:spacing w:before="20" w:line="235" w:lineRule="auto"/>
              <w:ind w:left="50" w:hanging="3"/>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7"/>
                <w:sz w:val="18"/>
                <w:szCs w:val="18"/>
              </w:rPr>
              <w:t xml:space="preserve"> </w:t>
            </w:r>
            <w:r>
              <w:rPr>
                <w:spacing w:val="-2"/>
                <w:sz w:val="18"/>
                <w:szCs w:val="18"/>
              </w:rPr>
              <w:t>、加快推进火电、钢铁、铸造（含烧结、球团、高炉工序）水泥</w:t>
            </w:r>
            <w:r>
              <w:rPr>
                <w:spacing w:val="-3"/>
                <w:sz w:val="18"/>
                <w:szCs w:val="18"/>
              </w:rPr>
              <w:t>、焦化行业燃煤</w:t>
            </w:r>
            <w:r>
              <w:rPr>
                <w:sz w:val="18"/>
                <w:szCs w:val="18"/>
              </w:rPr>
              <w:t xml:space="preserve"> </w:t>
            </w:r>
            <w:r>
              <w:rPr>
                <w:spacing w:val="-3"/>
                <w:sz w:val="18"/>
                <w:szCs w:val="18"/>
              </w:rPr>
              <w:t>锅炉和工业炉窑超低排放改造及深度治理。稳步实施陶瓷、玻璃、铁合金、有色、</w:t>
            </w:r>
            <w:r>
              <w:rPr>
                <w:spacing w:val="14"/>
                <w:sz w:val="18"/>
                <w:szCs w:val="18"/>
              </w:rPr>
              <w:t xml:space="preserve"> </w:t>
            </w:r>
            <w:r>
              <w:rPr>
                <w:spacing w:val="1"/>
                <w:sz w:val="18"/>
                <w:szCs w:val="18"/>
              </w:rPr>
              <w:t>砖瓦等行业企业深度治理，推进工业炉窑煤改电（气）和低氮燃</w:t>
            </w:r>
            <w:r>
              <w:rPr>
                <w:sz w:val="18"/>
                <w:szCs w:val="18"/>
              </w:rPr>
              <w:t xml:space="preserve">烧改造。全面加 </w:t>
            </w:r>
            <w:r>
              <w:rPr>
                <w:spacing w:val="1"/>
                <w:sz w:val="18"/>
                <w:szCs w:val="18"/>
              </w:rPr>
              <w:t>强钢铁、建材、有色、焦化、铸造重点行业无组织排放治理。生</w:t>
            </w:r>
            <w:r>
              <w:rPr>
                <w:sz w:val="18"/>
                <w:szCs w:val="18"/>
              </w:rPr>
              <w:t xml:space="preserve">物质锅炉采用专 </w:t>
            </w:r>
            <w:r>
              <w:rPr>
                <w:spacing w:val="-1"/>
                <w:sz w:val="18"/>
                <w:szCs w:val="18"/>
              </w:rPr>
              <w:t>用锅炉，配套布袋等高效除尘设施，禁止掺烧煤炭、垃圾等其他物料。</w:t>
            </w:r>
          </w:p>
          <w:p w14:paraId="0BADB116">
            <w:pPr>
              <w:pStyle w:val="6"/>
              <w:spacing w:before="19" w:line="219" w:lineRule="auto"/>
              <w:ind w:left="49"/>
              <w:rPr>
                <w:rFonts w:ascii="Times New Roman" w:hAnsi="Times New Roman" w:eastAsia="Times New Roman" w:cs="Times New Roman"/>
                <w:sz w:val="18"/>
                <w:szCs w:val="18"/>
              </w:rPr>
            </w:pPr>
            <w:r>
              <w:rPr>
                <w:spacing w:val="-1"/>
                <w:sz w:val="18"/>
                <w:szCs w:val="18"/>
              </w:rPr>
              <w:t>机动车船大气污染控制要求</w:t>
            </w:r>
            <w:r>
              <w:rPr>
                <w:rFonts w:ascii="Times New Roman" w:hAnsi="Times New Roman" w:eastAsia="Times New Roman" w:cs="Times New Roman"/>
                <w:spacing w:val="-1"/>
                <w:sz w:val="18"/>
                <w:szCs w:val="18"/>
              </w:rPr>
              <w:t>/</w:t>
            </w:r>
          </w:p>
          <w:p w14:paraId="224A280B">
            <w:pPr>
              <w:pStyle w:val="6"/>
              <w:spacing w:before="22" w:line="214" w:lineRule="auto"/>
              <w:ind w:left="49"/>
              <w:rPr>
                <w:rFonts w:ascii="Times New Roman" w:hAnsi="Times New Roman" w:eastAsia="Times New Roman" w:cs="Times New Roman"/>
                <w:sz w:val="18"/>
                <w:szCs w:val="18"/>
              </w:rPr>
            </w:pPr>
            <w:r>
              <w:rPr>
                <w:spacing w:val="-1"/>
                <w:sz w:val="18"/>
                <w:szCs w:val="18"/>
              </w:rPr>
              <w:t>扬尘污染控制要求</w:t>
            </w:r>
            <w:r>
              <w:rPr>
                <w:rFonts w:ascii="Times New Roman" w:hAnsi="Times New Roman" w:eastAsia="Times New Roman" w:cs="Times New Roman"/>
                <w:spacing w:val="-1"/>
                <w:sz w:val="18"/>
                <w:szCs w:val="18"/>
              </w:rPr>
              <w:t>/</w:t>
            </w:r>
          </w:p>
        </w:tc>
        <w:tc>
          <w:tcPr>
            <w:tcW w:w="1695" w:type="dxa"/>
            <w:vAlign w:val="top"/>
          </w:tcPr>
          <w:p w14:paraId="24611321">
            <w:pPr>
              <w:spacing w:line="320" w:lineRule="auto"/>
              <w:rPr>
                <w:rFonts w:ascii="Arial"/>
                <w:sz w:val="21"/>
              </w:rPr>
            </w:pPr>
          </w:p>
          <w:p w14:paraId="3F97085A">
            <w:pPr>
              <w:pStyle w:val="6"/>
              <w:spacing w:before="58" w:line="235" w:lineRule="auto"/>
              <w:ind w:left="51" w:right="42" w:firstLine="50"/>
              <w:rPr>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21"/>
                <w:sz w:val="18"/>
                <w:szCs w:val="18"/>
              </w:rPr>
              <w:t xml:space="preserve"> </w:t>
            </w:r>
            <w:r>
              <w:rPr>
                <w:spacing w:val="-5"/>
                <w:sz w:val="18"/>
                <w:szCs w:val="18"/>
              </w:rPr>
              <w:t>、本项目涉及建设</w:t>
            </w:r>
            <w:r>
              <w:rPr>
                <w:sz w:val="18"/>
                <w:szCs w:val="18"/>
              </w:rPr>
              <w:t xml:space="preserve"> </w:t>
            </w:r>
            <w:r>
              <w:rPr>
                <w:spacing w:val="-3"/>
                <w:sz w:val="18"/>
                <w:szCs w:val="18"/>
              </w:rPr>
              <w:t>一台</w:t>
            </w:r>
            <w:r>
              <w:rPr>
                <w:spacing w:val="-44"/>
                <w:sz w:val="18"/>
                <w:szCs w:val="18"/>
              </w:rPr>
              <w:t xml:space="preserve"> </w:t>
            </w:r>
            <w:r>
              <w:rPr>
                <w:rFonts w:ascii="Times New Roman" w:hAnsi="Times New Roman" w:eastAsia="Times New Roman" w:cs="Times New Roman"/>
                <w:spacing w:val="-3"/>
                <w:sz w:val="18"/>
                <w:szCs w:val="18"/>
              </w:rPr>
              <w:t xml:space="preserve">8t/h </w:t>
            </w:r>
            <w:r>
              <w:rPr>
                <w:spacing w:val="-3"/>
                <w:sz w:val="18"/>
                <w:szCs w:val="18"/>
              </w:rPr>
              <w:t>的蒸汽备用</w:t>
            </w:r>
            <w:r>
              <w:rPr>
                <w:sz w:val="18"/>
                <w:szCs w:val="18"/>
              </w:rPr>
              <w:t xml:space="preserve"> </w:t>
            </w:r>
            <w:r>
              <w:rPr>
                <w:spacing w:val="-3"/>
                <w:sz w:val="18"/>
                <w:szCs w:val="18"/>
              </w:rPr>
              <w:t>锅炉，以城镇天然气</w:t>
            </w:r>
            <w:r>
              <w:rPr>
                <w:spacing w:val="2"/>
                <w:sz w:val="18"/>
                <w:szCs w:val="18"/>
              </w:rPr>
              <w:t xml:space="preserve"> </w:t>
            </w:r>
            <w:r>
              <w:rPr>
                <w:spacing w:val="-3"/>
                <w:sz w:val="18"/>
                <w:szCs w:val="18"/>
              </w:rPr>
              <w:t>为燃料，不属于使用</w:t>
            </w:r>
            <w:r>
              <w:rPr>
                <w:spacing w:val="2"/>
                <w:sz w:val="18"/>
                <w:szCs w:val="18"/>
              </w:rPr>
              <w:t xml:space="preserve"> </w:t>
            </w:r>
            <w:r>
              <w:rPr>
                <w:spacing w:val="-4"/>
                <w:sz w:val="18"/>
                <w:szCs w:val="18"/>
              </w:rPr>
              <w:t>燃煤等高污染燃料。</w:t>
            </w:r>
          </w:p>
          <w:p w14:paraId="7D5F7852">
            <w:pPr>
              <w:pStyle w:val="6"/>
              <w:spacing w:before="21" w:line="236" w:lineRule="auto"/>
              <w:ind w:left="46" w:right="42" w:firstLine="129"/>
              <w:rPr>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27"/>
                <w:sz w:val="18"/>
                <w:szCs w:val="18"/>
              </w:rPr>
              <w:t xml:space="preserve"> </w:t>
            </w:r>
            <w:r>
              <w:rPr>
                <w:spacing w:val="-3"/>
                <w:sz w:val="18"/>
                <w:szCs w:val="18"/>
              </w:rPr>
              <w:t>、项目涉及排放</w:t>
            </w:r>
            <w:r>
              <w:rPr>
                <w:sz w:val="18"/>
                <w:szCs w:val="18"/>
              </w:rPr>
              <w:t xml:space="preserve">  </w:t>
            </w:r>
            <w:r>
              <w:rPr>
                <w:rFonts w:ascii="Times New Roman" w:hAnsi="Times New Roman" w:eastAsia="Times New Roman" w:cs="Times New Roman"/>
                <w:spacing w:val="-8"/>
                <w:sz w:val="18"/>
                <w:szCs w:val="18"/>
              </w:rPr>
              <w:t>VOC</w:t>
            </w:r>
            <w:r>
              <w:rPr>
                <w:rFonts w:ascii="Times New Roman" w:hAnsi="Times New Roman" w:eastAsia="Times New Roman" w:cs="Times New Roman"/>
                <w:spacing w:val="-8"/>
                <w:sz w:val="11"/>
                <w:szCs w:val="11"/>
              </w:rPr>
              <w:t>s</w:t>
            </w:r>
            <w:r>
              <w:rPr>
                <w:spacing w:val="-8"/>
                <w:sz w:val="18"/>
                <w:szCs w:val="18"/>
              </w:rPr>
              <w:t>，配套有废气收</w:t>
            </w:r>
            <w:r>
              <w:rPr>
                <w:spacing w:val="5"/>
                <w:sz w:val="18"/>
                <w:szCs w:val="18"/>
              </w:rPr>
              <w:t xml:space="preserve"> </w:t>
            </w:r>
            <w:r>
              <w:rPr>
                <w:spacing w:val="-6"/>
                <w:sz w:val="18"/>
                <w:szCs w:val="18"/>
              </w:rPr>
              <w:t>集及“</w:t>
            </w:r>
            <w:r>
              <w:rPr>
                <w:rFonts w:ascii="Times New Roman" w:hAnsi="Times New Roman" w:eastAsia="Times New Roman" w:cs="Times New Roman"/>
                <w:spacing w:val="-6"/>
                <w:sz w:val="18"/>
                <w:szCs w:val="18"/>
              </w:rPr>
              <w:t xml:space="preserve">UV </w:t>
            </w:r>
            <w:r>
              <w:rPr>
                <w:spacing w:val="-6"/>
                <w:sz w:val="18"/>
                <w:szCs w:val="18"/>
              </w:rPr>
              <w:t>光解</w:t>
            </w:r>
            <w:r>
              <w:rPr>
                <w:rFonts w:ascii="Times New Roman" w:hAnsi="Times New Roman" w:eastAsia="Times New Roman" w:cs="Times New Roman"/>
                <w:spacing w:val="-6"/>
                <w:sz w:val="18"/>
                <w:szCs w:val="18"/>
              </w:rPr>
              <w:t>+</w:t>
            </w:r>
            <w:r>
              <w:rPr>
                <w:spacing w:val="-6"/>
                <w:sz w:val="18"/>
                <w:szCs w:val="18"/>
              </w:rPr>
              <w:t>两级</w:t>
            </w:r>
            <w:r>
              <w:rPr>
                <w:sz w:val="18"/>
                <w:szCs w:val="18"/>
              </w:rPr>
              <w:t xml:space="preserve"> </w:t>
            </w:r>
            <w:r>
              <w:rPr>
                <w:spacing w:val="-5"/>
                <w:sz w:val="18"/>
                <w:szCs w:val="18"/>
              </w:rPr>
              <w:t>活性炭吸附</w:t>
            </w:r>
            <w:r>
              <w:rPr>
                <w:spacing w:val="-65"/>
                <w:sz w:val="18"/>
                <w:szCs w:val="18"/>
              </w:rPr>
              <w:t xml:space="preserve"> </w:t>
            </w:r>
            <w:r>
              <w:rPr>
                <w:spacing w:val="-5"/>
                <w:sz w:val="18"/>
                <w:szCs w:val="18"/>
              </w:rPr>
              <w:t>”处理设</w:t>
            </w:r>
            <w:r>
              <w:rPr>
                <w:sz w:val="18"/>
                <w:szCs w:val="18"/>
              </w:rPr>
              <w:t xml:space="preserve"> </w:t>
            </w:r>
            <w:r>
              <w:rPr>
                <w:spacing w:val="-3"/>
                <w:sz w:val="18"/>
                <w:szCs w:val="18"/>
              </w:rPr>
              <w:t>施，能够降低污染物</w:t>
            </w:r>
            <w:r>
              <w:rPr>
                <w:spacing w:val="7"/>
                <w:sz w:val="18"/>
                <w:szCs w:val="18"/>
              </w:rPr>
              <w:t xml:space="preserve"> </w:t>
            </w:r>
            <w:r>
              <w:rPr>
                <w:spacing w:val="-3"/>
                <w:sz w:val="18"/>
                <w:szCs w:val="18"/>
              </w:rPr>
              <w:t>排放量，实现达标排</w:t>
            </w:r>
          </w:p>
          <w:p w14:paraId="389D0080">
            <w:pPr>
              <w:pStyle w:val="6"/>
              <w:spacing w:before="18" w:line="221" w:lineRule="auto"/>
              <w:ind w:left="673"/>
              <w:rPr>
                <w:sz w:val="18"/>
                <w:szCs w:val="18"/>
              </w:rPr>
            </w:pPr>
            <w:r>
              <w:rPr>
                <w:spacing w:val="-4"/>
                <w:sz w:val="18"/>
                <w:szCs w:val="18"/>
              </w:rPr>
              <w:t>放。</w:t>
            </w:r>
          </w:p>
        </w:tc>
        <w:tc>
          <w:tcPr>
            <w:tcW w:w="709" w:type="dxa"/>
            <w:vAlign w:val="top"/>
          </w:tcPr>
          <w:p w14:paraId="0E31B42E">
            <w:pPr>
              <w:spacing w:line="266" w:lineRule="auto"/>
              <w:rPr>
                <w:rFonts w:ascii="Arial"/>
                <w:sz w:val="21"/>
              </w:rPr>
            </w:pPr>
          </w:p>
          <w:p w14:paraId="6927029D">
            <w:pPr>
              <w:spacing w:line="266" w:lineRule="auto"/>
              <w:rPr>
                <w:rFonts w:ascii="Arial"/>
                <w:sz w:val="21"/>
              </w:rPr>
            </w:pPr>
          </w:p>
          <w:p w14:paraId="4BFA89EC">
            <w:pPr>
              <w:spacing w:line="266" w:lineRule="auto"/>
              <w:rPr>
                <w:rFonts w:ascii="Arial"/>
                <w:sz w:val="21"/>
              </w:rPr>
            </w:pPr>
          </w:p>
          <w:p w14:paraId="0D06DBD8">
            <w:pPr>
              <w:spacing w:line="266" w:lineRule="auto"/>
              <w:rPr>
                <w:rFonts w:ascii="Arial"/>
                <w:sz w:val="21"/>
              </w:rPr>
            </w:pPr>
          </w:p>
          <w:p w14:paraId="4D3A97F7">
            <w:pPr>
              <w:spacing w:line="266" w:lineRule="auto"/>
              <w:rPr>
                <w:rFonts w:ascii="Arial"/>
                <w:sz w:val="21"/>
              </w:rPr>
            </w:pPr>
          </w:p>
          <w:p w14:paraId="18C154D2">
            <w:pPr>
              <w:spacing w:line="267" w:lineRule="auto"/>
              <w:rPr>
                <w:rFonts w:ascii="Arial"/>
                <w:sz w:val="21"/>
              </w:rPr>
            </w:pPr>
          </w:p>
          <w:p w14:paraId="472922D0">
            <w:pPr>
              <w:pStyle w:val="6"/>
              <w:spacing w:before="58" w:line="219" w:lineRule="auto"/>
              <w:ind w:left="107"/>
              <w:rPr>
                <w:sz w:val="18"/>
                <w:szCs w:val="18"/>
              </w:rPr>
            </w:pPr>
            <w:r>
              <w:rPr>
                <w:spacing w:val="-5"/>
                <w:sz w:val="18"/>
                <w:szCs w:val="18"/>
              </w:rPr>
              <w:t>符合</w:t>
            </w:r>
          </w:p>
        </w:tc>
      </w:tr>
    </w:tbl>
    <w:p w14:paraId="3C5472F9">
      <w:pPr>
        <w:pStyle w:val="2"/>
      </w:pPr>
    </w:p>
    <w:p w14:paraId="20B1C6E1">
      <w:pPr>
        <w:sectPr>
          <w:footerReference r:id="rId19" w:type="default"/>
          <w:pgSz w:w="16839" w:h="11906"/>
          <w:pgMar w:top="1012" w:right="1681" w:bottom="1259" w:left="1680" w:header="0" w:footer="1080" w:gutter="0"/>
          <w:cols w:space="720" w:num="1"/>
        </w:sectPr>
      </w:pPr>
    </w:p>
    <w:p w14:paraId="3B040D42">
      <w:pPr>
        <w:spacing w:before="18"/>
      </w:pPr>
      <w:r>
        <w:drawing>
          <wp:anchor distT="0" distB="0" distL="0" distR="0" simplePos="0" relativeHeight="251674624" behindDoc="0" locked="0" layoutInCell="0" allowOverlap="1">
            <wp:simplePos x="0" y="0"/>
            <wp:positionH relativeFrom="page">
              <wp:posOffset>9526905</wp:posOffset>
            </wp:positionH>
            <wp:positionV relativeFrom="page">
              <wp:posOffset>984250</wp:posOffset>
            </wp:positionV>
            <wp:extent cx="6350" cy="53924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9"/>
                    <a:stretch>
                      <a:fillRect/>
                    </a:stretch>
                  </pic:blipFill>
                  <pic:spPr>
                    <a:xfrm>
                      <a:off x="0" y="0"/>
                      <a:ext cx="6350" cy="5392420"/>
                    </a:xfrm>
                    <a:prstGeom prst="rect">
                      <a:avLst/>
                    </a:prstGeom>
                  </pic:spPr>
                </pic:pic>
              </a:graphicData>
            </a:graphic>
          </wp:anchor>
        </w:drawing>
      </w:r>
    </w:p>
    <w:p w14:paraId="75C94154">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1315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1705" w:type="dxa"/>
            <w:vMerge w:val="restart"/>
            <w:tcBorders>
              <w:bottom w:val="nil"/>
            </w:tcBorders>
            <w:vAlign w:val="top"/>
          </w:tcPr>
          <w:p w14:paraId="2AC0CD4B">
            <w:pPr>
              <w:rPr>
                <w:rFonts w:ascii="Arial"/>
                <w:sz w:val="21"/>
              </w:rPr>
            </w:pPr>
          </w:p>
        </w:tc>
        <w:tc>
          <w:tcPr>
            <w:tcW w:w="143" w:type="dxa"/>
            <w:vMerge w:val="restart"/>
            <w:tcBorders>
              <w:bottom w:val="nil"/>
            </w:tcBorders>
            <w:vAlign w:val="top"/>
          </w:tcPr>
          <w:p w14:paraId="181CCE8F">
            <w:pPr>
              <w:rPr>
                <w:rFonts w:ascii="Arial"/>
                <w:sz w:val="21"/>
              </w:rPr>
            </w:pPr>
          </w:p>
        </w:tc>
        <w:tc>
          <w:tcPr>
            <w:tcW w:w="1011" w:type="dxa"/>
            <w:vMerge w:val="restart"/>
            <w:tcBorders>
              <w:bottom w:val="nil"/>
            </w:tcBorders>
            <w:vAlign w:val="top"/>
          </w:tcPr>
          <w:p w14:paraId="71950499">
            <w:pPr>
              <w:rPr>
                <w:rFonts w:ascii="Arial"/>
                <w:sz w:val="21"/>
              </w:rPr>
            </w:pPr>
          </w:p>
        </w:tc>
        <w:tc>
          <w:tcPr>
            <w:tcW w:w="886" w:type="dxa"/>
            <w:vMerge w:val="restart"/>
            <w:tcBorders>
              <w:bottom w:val="nil"/>
            </w:tcBorders>
            <w:vAlign w:val="top"/>
          </w:tcPr>
          <w:p w14:paraId="1BE03758">
            <w:pPr>
              <w:rPr>
                <w:rFonts w:ascii="Arial"/>
                <w:sz w:val="21"/>
              </w:rPr>
            </w:pPr>
          </w:p>
        </w:tc>
        <w:tc>
          <w:tcPr>
            <w:tcW w:w="879" w:type="dxa"/>
            <w:vAlign w:val="top"/>
          </w:tcPr>
          <w:p w14:paraId="0EAF2702">
            <w:pPr>
              <w:rPr>
                <w:rFonts w:ascii="Arial"/>
                <w:sz w:val="21"/>
              </w:rPr>
            </w:pPr>
          </w:p>
        </w:tc>
        <w:tc>
          <w:tcPr>
            <w:tcW w:w="6443" w:type="dxa"/>
            <w:vAlign w:val="top"/>
          </w:tcPr>
          <w:p w14:paraId="654C2801">
            <w:pPr>
              <w:pStyle w:val="6"/>
              <w:spacing w:before="43" w:line="229" w:lineRule="auto"/>
              <w:ind w:left="50" w:right="3463"/>
              <w:rPr>
                <w:sz w:val="18"/>
                <w:szCs w:val="18"/>
              </w:rPr>
            </w:pPr>
            <w:r>
              <w:rPr>
                <w:spacing w:val="-1"/>
                <w:sz w:val="18"/>
                <w:szCs w:val="18"/>
              </w:rPr>
              <w:t>农业生产经营活动大气污染控制要求</w:t>
            </w:r>
            <w:r>
              <w:rPr>
                <w:rFonts w:ascii="Times New Roman" w:hAnsi="Times New Roman" w:eastAsia="Times New Roman" w:cs="Times New Roman"/>
                <w:spacing w:val="-1"/>
                <w:sz w:val="18"/>
                <w:szCs w:val="18"/>
              </w:rPr>
              <w:t>/</w:t>
            </w:r>
            <w:r>
              <w:rPr>
                <w:rFonts w:ascii="Times New Roman" w:hAnsi="Times New Roman" w:eastAsia="Times New Roman" w:cs="Times New Roman"/>
                <w:spacing w:val="9"/>
                <w:sz w:val="18"/>
                <w:szCs w:val="18"/>
              </w:rPr>
              <w:t xml:space="preserve"> </w:t>
            </w:r>
            <w:r>
              <w:rPr>
                <w:spacing w:val="-1"/>
                <w:sz w:val="18"/>
                <w:szCs w:val="18"/>
              </w:rPr>
              <w:t>重点行业企业专项治理要求</w:t>
            </w:r>
          </w:p>
          <w:p w14:paraId="4395F059">
            <w:pPr>
              <w:pStyle w:val="6"/>
              <w:spacing w:before="16" w:line="236" w:lineRule="auto"/>
              <w:ind w:left="50"/>
              <w:jc w:val="both"/>
              <w:rPr>
                <w:sz w:val="18"/>
                <w:szCs w:val="18"/>
              </w:rPr>
            </w:pPr>
            <w:r>
              <w:rPr>
                <w:spacing w:val="1"/>
                <w:sz w:val="18"/>
                <w:szCs w:val="18"/>
              </w:rPr>
              <w:t>加快实施低</w:t>
            </w:r>
            <w:r>
              <w:rPr>
                <w:spacing w:val="-42"/>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含量原辅材料替代。持续开展</w:t>
            </w:r>
            <w:r>
              <w:rPr>
                <w:spacing w:val="-43"/>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治</w:t>
            </w:r>
            <w:r>
              <w:rPr>
                <w:sz w:val="18"/>
                <w:szCs w:val="18"/>
              </w:rPr>
              <w:t xml:space="preserve">理设施提级增效，对采 </w:t>
            </w:r>
            <w:r>
              <w:rPr>
                <w:spacing w:val="1"/>
                <w:sz w:val="18"/>
                <w:szCs w:val="18"/>
              </w:rPr>
              <w:t>用单一低温等离子、光氧化、光催化以及非水溶性</w:t>
            </w:r>
            <w:r>
              <w:rPr>
                <w:spacing w:val="-43"/>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z w:val="18"/>
                <w:szCs w:val="18"/>
              </w:rPr>
              <w:t xml:space="preserve">废气采用单一喷淋吸收 </w:t>
            </w:r>
            <w:r>
              <w:rPr>
                <w:spacing w:val="-3"/>
                <w:sz w:val="18"/>
                <w:szCs w:val="18"/>
              </w:rPr>
              <w:t>等治理技术且无法稳定达标的，加快推进升级改造。强化</w:t>
            </w:r>
            <w:r>
              <w:rPr>
                <w:spacing w:val="-26"/>
                <w:sz w:val="18"/>
                <w:szCs w:val="18"/>
              </w:rPr>
              <w:t xml:space="preserve"> </w:t>
            </w:r>
            <w:r>
              <w:rPr>
                <w:rFonts w:ascii="Times New Roman" w:hAnsi="Times New Roman" w:eastAsia="Times New Roman" w:cs="Times New Roman"/>
                <w:spacing w:val="-3"/>
                <w:sz w:val="18"/>
                <w:szCs w:val="18"/>
              </w:rPr>
              <w:t xml:space="preserve">VOCs </w:t>
            </w:r>
            <w:r>
              <w:rPr>
                <w:spacing w:val="-3"/>
                <w:sz w:val="18"/>
                <w:szCs w:val="18"/>
              </w:rPr>
              <w:t>无组织排放整治。</w:t>
            </w:r>
            <w:r>
              <w:rPr>
                <w:sz w:val="18"/>
                <w:szCs w:val="18"/>
              </w:rPr>
              <w:t xml:space="preserve"> </w:t>
            </w:r>
            <w:r>
              <w:rPr>
                <w:spacing w:val="1"/>
                <w:sz w:val="18"/>
                <w:szCs w:val="18"/>
              </w:rPr>
              <w:t>石化、化工等行业加强非正常工况废气排放管控。推</w:t>
            </w:r>
            <w:r>
              <w:rPr>
                <w:sz w:val="18"/>
                <w:szCs w:val="18"/>
              </w:rPr>
              <w:t>进涉</w:t>
            </w:r>
            <w:r>
              <w:rPr>
                <w:spacing w:val="-43"/>
                <w:sz w:val="18"/>
                <w:szCs w:val="18"/>
              </w:rPr>
              <w:t xml:space="preserve"> </w:t>
            </w:r>
            <w:r>
              <w:rPr>
                <w:rFonts w:ascii="Times New Roman" w:hAnsi="Times New Roman" w:eastAsia="Times New Roman" w:cs="Times New Roman"/>
                <w:sz w:val="18"/>
                <w:szCs w:val="18"/>
              </w:rPr>
              <w:t xml:space="preserve">VOCs </w:t>
            </w:r>
            <w:r>
              <w:rPr>
                <w:sz w:val="18"/>
                <w:szCs w:val="18"/>
              </w:rPr>
              <w:t>产业集群治理提 升</w:t>
            </w:r>
          </w:p>
          <w:p w14:paraId="5D59B338">
            <w:pPr>
              <w:pStyle w:val="6"/>
              <w:spacing w:before="17" w:line="207" w:lineRule="auto"/>
              <w:ind w:left="51"/>
              <w:rPr>
                <w:rFonts w:ascii="Times New Roman" w:hAnsi="Times New Roman" w:eastAsia="Times New Roman" w:cs="Times New Roman"/>
                <w:sz w:val="18"/>
                <w:szCs w:val="18"/>
              </w:rPr>
            </w:pPr>
            <w:r>
              <w:rPr>
                <w:spacing w:val="-1"/>
                <w:sz w:val="18"/>
                <w:szCs w:val="18"/>
              </w:rPr>
              <w:t>其他大气污染物排放管控要求</w:t>
            </w:r>
            <w:r>
              <w:rPr>
                <w:rFonts w:ascii="Times New Roman" w:hAnsi="Times New Roman" w:eastAsia="Times New Roman" w:cs="Times New Roman"/>
                <w:spacing w:val="-1"/>
                <w:sz w:val="18"/>
                <w:szCs w:val="18"/>
              </w:rPr>
              <w:t>/</w:t>
            </w:r>
          </w:p>
        </w:tc>
        <w:tc>
          <w:tcPr>
            <w:tcW w:w="1695" w:type="dxa"/>
            <w:vAlign w:val="top"/>
          </w:tcPr>
          <w:p w14:paraId="1BC5A991">
            <w:pPr>
              <w:rPr>
                <w:rFonts w:ascii="Arial"/>
                <w:sz w:val="21"/>
              </w:rPr>
            </w:pPr>
          </w:p>
        </w:tc>
        <w:tc>
          <w:tcPr>
            <w:tcW w:w="709" w:type="dxa"/>
            <w:vAlign w:val="top"/>
          </w:tcPr>
          <w:p w14:paraId="1A09F725">
            <w:pPr>
              <w:rPr>
                <w:rFonts w:ascii="Arial"/>
                <w:sz w:val="21"/>
              </w:rPr>
            </w:pPr>
          </w:p>
        </w:tc>
      </w:tr>
      <w:tr w14:paraId="7B161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vAlign w:val="top"/>
          </w:tcPr>
          <w:p w14:paraId="0E35DE37">
            <w:pPr>
              <w:rPr>
                <w:rFonts w:ascii="Arial"/>
                <w:sz w:val="21"/>
              </w:rPr>
            </w:pPr>
          </w:p>
        </w:tc>
        <w:tc>
          <w:tcPr>
            <w:tcW w:w="143" w:type="dxa"/>
            <w:vMerge w:val="continue"/>
            <w:tcBorders>
              <w:top w:val="nil"/>
              <w:bottom w:val="nil"/>
            </w:tcBorders>
            <w:vAlign w:val="top"/>
          </w:tcPr>
          <w:p w14:paraId="2C2701E2">
            <w:pPr>
              <w:rPr>
                <w:rFonts w:ascii="Arial"/>
                <w:sz w:val="21"/>
              </w:rPr>
            </w:pPr>
          </w:p>
        </w:tc>
        <w:tc>
          <w:tcPr>
            <w:tcW w:w="1011" w:type="dxa"/>
            <w:vMerge w:val="continue"/>
            <w:tcBorders>
              <w:top w:val="nil"/>
              <w:bottom w:val="nil"/>
            </w:tcBorders>
            <w:vAlign w:val="top"/>
          </w:tcPr>
          <w:p w14:paraId="28783E6A">
            <w:pPr>
              <w:rPr>
                <w:rFonts w:ascii="Arial"/>
                <w:sz w:val="21"/>
              </w:rPr>
            </w:pPr>
          </w:p>
        </w:tc>
        <w:tc>
          <w:tcPr>
            <w:tcW w:w="886" w:type="dxa"/>
            <w:vMerge w:val="continue"/>
            <w:tcBorders>
              <w:top w:val="nil"/>
              <w:bottom w:val="nil"/>
            </w:tcBorders>
            <w:vAlign w:val="top"/>
          </w:tcPr>
          <w:p w14:paraId="1F449946">
            <w:pPr>
              <w:rPr>
                <w:rFonts w:ascii="Arial"/>
                <w:sz w:val="21"/>
              </w:rPr>
            </w:pPr>
          </w:p>
        </w:tc>
        <w:tc>
          <w:tcPr>
            <w:tcW w:w="879" w:type="dxa"/>
            <w:vAlign w:val="top"/>
          </w:tcPr>
          <w:p w14:paraId="434DD851">
            <w:pPr>
              <w:pStyle w:val="6"/>
              <w:spacing w:before="28"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Merge w:val="restart"/>
            <w:tcBorders>
              <w:bottom w:val="nil"/>
            </w:tcBorders>
            <w:vAlign w:val="top"/>
          </w:tcPr>
          <w:p w14:paraId="586DCB6F">
            <w:pPr>
              <w:spacing w:line="354" w:lineRule="auto"/>
              <w:rPr>
                <w:rFonts w:ascii="Arial"/>
                <w:sz w:val="21"/>
              </w:rPr>
            </w:pPr>
          </w:p>
          <w:p w14:paraId="64573DC4">
            <w:pPr>
              <w:spacing w:before="52"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Merge w:val="restart"/>
            <w:tcBorders>
              <w:bottom w:val="nil"/>
            </w:tcBorders>
            <w:vAlign w:val="top"/>
          </w:tcPr>
          <w:p w14:paraId="35450D6B">
            <w:pPr>
              <w:spacing w:line="354" w:lineRule="auto"/>
              <w:rPr>
                <w:rFonts w:ascii="Arial"/>
                <w:sz w:val="21"/>
              </w:rPr>
            </w:pPr>
          </w:p>
          <w:p w14:paraId="6B92B322">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50C4B67">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E02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7E642948">
            <w:pPr>
              <w:rPr>
                <w:rFonts w:ascii="Arial"/>
                <w:sz w:val="21"/>
              </w:rPr>
            </w:pPr>
          </w:p>
        </w:tc>
        <w:tc>
          <w:tcPr>
            <w:tcW w:w="143" w:type="dxa"/>
            <w:vMerge w:val="continue"/>
            <w:tcBorders>
              <w:top w:val="nil"/>
              <w:bottom w:val="nil"/>
            </w:tcBorders>
            <w:vAlign w:val="top"/>
          </w:tcPr>
          <w:p w14:paraId="1D22E7E6">
            <w:pPr>
              <w:rPr>
                <w:rFonts w:ascii="Arial"/>
                <w:sz w:val="21"/>
              </w:rPr>
            </w:pPr>
          </w:p>
        </w:tc>
        <w:tc>
          <w:tcPr>
            <w:tcW w:w="1011" w:type="dxa"/>
            <w:vMerge w:val="continue"/>
            <w:tcBorders>
              <w:top w:val="nil"/>
            </w:tcBorders>
            <w:vAlign w:val="top"/>
          </w:tcPr>
          <w:p w14:paraId="78AF82FA">
            <w:pPr>
              <w:rPr>
                <w:rFonts w:ascii="Arial"/>
                <w:sz w:val="21"/>
              </w:rPr>
            </w:pPr>
          </w:p>
        </w:tc>
        <w:tc>
          <w:tcPr>
            <w:tcW w:w="886" w:type="dxa"/>
            <w:vMerge w:val="continue"/>
            <w:tcBorders>
              <w:top w:val="nil"/>
            </w:tcBorders>
            <w:vAlign w:val="top"/>
          </w:tcPr>
          <w:p w14:paraId="69CE5D33">
            <w:pPr>
              <w:rPr>
                <w:rFonts w:ascii="Arial"/>
                <w:sz w:val="21"/>
              </w:rPr>
            </w:pPr>
          </w:p>
        </w:tc>
        <w:tc>
          <w:tcPr>
            <w:tcW w:w="879" w:type="dxa"/>
            <w:vAlign w:val="top"/>
          </w:tcPr>
          <w:p w14:paraId="04724715">
            <w:pPr>
              <w:pStyle w:val="6"/>
              <w:spacing w:before="27" w:line="223"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Merge w:val="continue"/>
            <w:tcBorders>
              <w:top w:val="nil"/>
            </w:tcBorders>
            <w:vAlign w:val="top"/>
          </w:tcPr>
          <w:p w14:paraId="6614F703">
            <w:pPr>
              <w:rPr>
                <w:rFonts w:ascii="Arial"/>
                <w:sz w:val="21"/>
              </w:rPr>
            </w:pPr>
          </w:p>
        </w:tc>
        <w:tc>
          <w:tcPr>
            <w:tcW w:w="1695" w:type="dxa"/>
            <w:vMerge w:val="continue"/>
            <w:tcBorders>
              <w:top w:val="nil"/>
            </w:tcBorders>
            <w:vAlign w:val="top"/>
          </w:tcPr>
          <w:p w14:paraId="7BDD8EAE">
            <w:pPr>
              <w:rPr>
                <w:rFonts w:ascii="Arial"/>
                <w:sz w:val="21"/>
              </w:rPr>
            </w:pPr>
          </w:p>
        </w:tc>
        <w:tc>
          <w:tcPr>
            <w:tcW w:w="709" w:type="dxa"/>
            <w:vAlign w:val="top"/>
          </w:tcPr>
          <w:p w14:paraId="4B4EE93E">
            <w:pPr>
              <w:spacing w:before="170"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E3F0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705" w:type="dxa"/>
            <w:vMerge w:val="continue"/>
            <w:tcBorders>
              <w:top w:val="nil"/>
              <w:bottom w:val="nil"/>
            </w:tcBorders>
            <w:vAlign w:val="top"/>
          </w:tcPr>
          <w:p w14:paraId="3BD5B479">
            <w:pPr>
              <w:rPr>
                <w:rFonts w:ascii="Arial"/>
                <w:sz w:val="21"/>
              </w:rPr>
            </w:pPr>
          </w:p>
        </w:tc>
        <w:tc>
          <w:tcPr>
            <w:tcW w:w="143" w:type="dxa"/>
            <w:vMerge w:val="continue"/>
            <w:tcBorders>
              <w:top w:val="nil"/>
              <w:bottom w:val="nil"/>
            </w:tcBorders>
            <w:vAlign w:val="top"/>
          </w:tcPr>
          <w:p w14:paraId="422843B6">
            <w:pPr>
              <w:rPr>
                <w:rFonts w:ascii="Arial"/>
                <w:sz w:val="21"/>
              </w:rPr>
            </w:pPr>
          </w:p>
        </w:tc>
        <w:tc>
          <w:tcPr>
            <w:tcW w:w="1011" w:type="dxa"/>
            <w:vMerge w:val="restart"/>
            <w:tcBorders>
              <w:bottom w:val="nil"/>
            </w:tcBorders>
            <w:vAlign w:val="top"/>
          </w:tcPr>
          <w:p w14:paraId="6952A0E5">
            <w:pPr>
              <w:spacing w:line="260" w:lineRule="auto"/>
              <w:rPr>
                <w:rFonts w:ascii="Arial"/>
                <w:sz w:val="21"/>
              </w:rPr>
            </w:pPr>
          </w:p>
          <w:p w14:paraId="5299FB71">
            <w:pPr>
              <w:spacing w:line="260" w:lineRule="auto"/>
              <w:rPr>
                <w:rFonts w:ascii="Arial"/>
                <w:sz w:val="21"/>
              </w:rPr>
            </w:pPr>
          </w:p>
          <w:p w14:paraId="75501EE1">
            <w:pPr>
              <w:spacing w:line="260" w:lineRule="auto"/>
              <w:rPr>
                <w:rFonts w:ascii="Arial"/>
                <w:sz w:val="21"/>
              </w:rPr>
            </w:pPr>
          </w:p>
          <w:p w14:paraId="7C36D084">
            <w:pPr>
              <w:spacing w:line="260" w:lineRule="auto"/>
              <w:rPr>
                <w:rFonts w:ascii="Arial"/>
                <w:sz w:val="21"/>
              </w:rPr>
            </w:pPr>
          </w:p>
          <w:p w14:paraId="467292C9">
            <w:pPr>
              <w:spacing w:line="260" w:lineRule="auto"/>
              <w:rPr>
                <w:rFonts w:ascii="Arial"/>
                <w:sz w:val="21"/>
              </w:rPr>
            </w:pPr>
          </w:p>
          <w:p w14:paraId="40F27CFA">
            <w:pPr>
              <w:spacing w:line="260" w:lineRule="auto"/>
              <w:rPr>
                <w:rFonts w:ascii="Arial"/>
                <w:sz w:val="21"/>
              </w:rPr>
            </w:pPr>
          </w:p>
          <w:p w14:paraId="0AE38F8C">
            <w:pPr>
              <w:spacing w:line="261" w:lineRule="auto"/>
              <w:rPr>
                <w:rFonts w:ascii="Arial"/>
                <w:sz w:val="21"/>
              </w:rPr>
            </w:pPr>
          </w:p>
          <w:p w14:paraId="24BDCF07">
            <w:pPr>
              <w:spacing w:line="261" w:lineRule="auto"/>
              <w:rPr>
                <w:rFonts w:ascii="Arial"/>
                <w:sz w:val="21"/>
              </w:rPr>
            </w:pPr>
          </w:p>
          <w:p w14:paraId="38F0C47F">
            <w:pPr>
              <w:pStyle w:val="6"/>
              <w:spacing w:before="59" w:line="238" w:lineRule="auto"/>
              <w:ind w:left="46" w:right="46" w:firstLine="3"/>
              <w:rPr>
                <w:sz w:val="18"/>
                <w:szCs w:val="18"/>
              </w:rPr>
            </w:pPr>
            <w:r>
              <w:rPr>
                <w:spacing w:val="-2"/>
                <w:sz w:val="18"/>
                <w:szCs w:val="18"/>
              </w:rPr>
              <w:t>土地资源重</w:t>
            </w:r>
            <w:r>
              <w:rPr>
                <w:spacing w:val="1"/>
                <w:sz w:val="18"/>
                <w:szCs w:val="18"/>
              </w:rPr>
              <w:t xml:space="preserve"> </w:t>
            </w:r>
            <w:r>
              <w:rPr>
                <w:spacing w:val="2"/>
                <w:sz w:val="18"/>
                <w:szCs w:val="18"/>
              </w:rPr>
              <w:t>点管控区、</w:t>
            </w:r>
            <w:r>
              <w:rPr>
                <w:spacing w:val="1"/>
                <w:sz w:val="18"/>
                <w:szCs w:val="18"/>
              </w:rPr>
              <w:t xml:space="preserve"> </w:t>
            </w:r>
            <w:r>
              <w:rPr>
                <w:spacing w:val="-1"/>
                <w:sz w:val="18"/>
                <w:szCs w:val="18"/>
              </w:rPr>
              <w:t>YS51170225</w:t>
            </w:r>
            <w:r>
              <w:rPr>
                <w:spacing w:val="5"/>
                <w:sz w:val="18"/>
                <w:szCs w:val="18"/>
              </w:rPr>
              <w:t xml:space="preserve"> </w:t>
            </w:r>
            <w:r>
              <w:rPr>
                <w:spacing w:val="-10"/>
                <w:sz w:val="18"/>
                <w:szCs w:val="18"/>
              </w:rPr>
              <w:t>30001、通川</w:t>
            </w:r>
            <w:r>
              <w:rPr>
                <w:spacing w:val="1"/>
                <w:sz w:val="18"/>
                <w:szCs w:val="18"/>
              </w:rPr>
              <w:t xml:space="preserve"> </w:t>
            </w:r>
            <w:r>
              <w:rPr>
                <w:spacing w:val="-1"/>
                <w:sz w:val="18"/>
                <w:szCs w:val="18"/>
              </w:rPr>
              <w:t>区城镇开发</w:t>
            </w:r>
            <w:r>
              <w:rPr>
                <w:sz w:val="18"/>
                <w:szCs w:val="18"/>
              </w:rPr>
              <w:t xml:space="preserve"> </w:t>
            </w:r>
            <w:r>
              <w:rPr>
                <w:spacing w:val="-3"/>
                <w:sz w:val="18"/>
                <w:szCs w:val="18"/>
              </w:rPr>
              <w:t>边界</w:t>
            </w:r>
          </w:p>
        </w:tc>
        <w:tc>
          <w:tcPr>
            <w:tcW w:w="886" w:type="dxa"/>
            <w:vMerge w:val="restart"/>
            <w:tcBorders>
              <w:bottom w:val="nil"/>
            </w:tcBorders>
            <w:vAlign w:val="top"/>
          </w:tcPr>
          <w:p w14:paraId="3F14ACAC">
            <w:pPr>
              <w:spacing w:line="252" w:lineRule="auto"/>
              <w:rPr>
                <w:rFonts w:ascii="Arial"/>
                <w:sz w:val="21"/>
              </w:rPr>
            </w:pPr>
          </w:p>
          <w:p w14:paraId="37E793C6">
            <w:pPr>
              <w:spacing w:line="252" w:lineRule="auto"/>
              <w:rPr>
                <w:rFonts w:ascii="Arial"/>
                <w:sz w:val="21"/>
              </w:rPr>
            </w:pPr>
          </w:p>
          <w:p w14:paraId="394E7B72">
            <w:pPr>
              <w:spacing w:line="252" w:lineRule="auto"/>
              <w:rPr>
                <w:rFonts w:ascii="Arial"/>
                <w:sz w:val="21"/>
              </w:rPr>
            </w:pPr>
          </w:p>
          <w:p w14:paraId="75B9B6B7">
            <w:pPr>
              <w:spacing w:line="252" w:lineRule="auto"/>
              <w:rPr>
                <w:rFonts w:ascii="Arial"/>
                <w:sz w:val="21"/>
              </w:rPr>
            </w:pPr>
          </w:p>
          <w:p w14:paraId="21CE2139">
            <w:pPr>
              <w:spacing w:line="252" w:lineRule="auto"/>
              <w:rPr>
                <w:rFonts w:ascii="Arial"/>
                <w:sz w:val="21"/>
              </w:rPr>
            </w:pPr>
          </w:p>
          <w:p w14:paraId="548E1ED0">
            <w:pPr>
              <w:pStyle w:val="6"/>
              <w:spacing w:before="59" w:line="232"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062602E1">
            <w:pPr>
              <w:pStyle w:val="6"/>
              <w:spacing w:before="260"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54083CC6">
            <w:pPr>
              <w:pStyle w:val="6"/>
              <w:spacing w:before="28"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5A35D5B3">
            <w:pPr>
              <w:pStyle w:val="6"/>
              <w:spacing w:before="18"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17316827">
            <w:pPr>
              <w:spacing w:line="352" w:lineRule="auto"/>
              <w:rPr>
                <w:rFonts w:ascii="Arial"/>
                <w:sz w:val="21"/>
              </w:rPr>
            </w:pPr>
          </w:p>
          <w:p w14:paraId="55C3E8D2">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2563EA2F">
            <w:pPr>
              <w:spacing w:line="352" w:lineRule="auto"/>
              <w:rPr>
                <w:rFonts w:ascii="Arial"/>
                <w:sz w:val="21"/>
              </w:rPr>
            </w:pPr>
          </w:p>
          <w:p w14:paraId="33292EC1">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E04C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05" w:type="dxa"/>
            <w:vMerge w:val="continue"/>
            <w:tcBorders>
              <w:top w:val="nil"/>
              <w:bottom w:val="nil"/>
            </w:tcBorders>
            <w:vAlign w:val="top"/>
          </w:tcPr>
          <w:p w14:paraId="37AA5668">
            <w:pPr>
              <w:rPr>
                <w:rFonts w:ascii="Arial"/>
                <w:sz w:val="21"/>
              </w:rPr>
            </w:pPr>
          </w:p>
        </w:tc>
        <w:tc>
          <w:tcPr>
            <w:tcW w:w="143" w:type="dxa"/>
            <w:vMerge w:val="continue"/>
            <w:tcBorders>
              <w:top w:val="nil"/>
              <w:bottom w:val="nil"/>
            </w:tcBorders>
            <w:vAlign w:val="top"/>
          </w:tcPr>
          <w:p w14:paraId="23D5FE62">
            <w:pPr>
              <w:rPr>
                <w:rFonts w:ascii="Arial"/>
                <w:sz w:val="21"/>
              </w:rPr>
            </w:pPr>
          </w:p>
        </w:tc>
        <w:tc>
          <w:tcPr>
            <w:tcW w:w="1011" w:type="dxa"/>
            <w:vMerge w:val="continue"/>
            <w:tcBorders>
              <w:top w:val="nil"/>
              <w:bottom w:val="nil"/>
            </w:tcBorders>
            <w:vAlign w:val="top"/>
          </w:tcPr>
          <w:p w14:paraId="2FB025FD">
            <w:pPr>
              <w:rPr>
                <w:rFonts w:ascii="Arial"/>
                <w:sz w:val="21"/>
              </w:rPr>
            </w:pPr>
          </w:p>
        </w:tc>
        <w:tc>
          <w:tcPr>
            <w:tcW w:w="886" w:type="dxa"/>
            <w:vMerge w:val="continue"/>
            <w:tcBorders>
              <w:top w:val="nil"/>
              <w:bottom w:val="nil"/>
            </w:tcBorders>
            <w:vAlign w:val="top"/>
          </w:tcPr>
          <w:p w14:paraId="6126BDC8">
            <w:pPr>
              <w:rPr>
                <w:rFonts w:ascii="Arial"/>
                <w:sz w:val="21"/>
              </w:rPr>
            </w:pPr>
          </w:p>
        </w:tc>
        <w:tc>
          <w:tcPr>
            <w:tcW w:w="879" w:type="dxa"/>
            <w:vAlign w:val="top"/>
          </w:tcPr>
          <w:p w14:paraId="331D196A">
            <w:pPr>
              <w:pStyle w:val="6"/>
              <w:spacing w:before="145"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4FE2910B">
            <w:pPr>
              <w:pStyle w:val="6"/>
              <w:spacing w:before="30" w:line="219" w:lineRule="auto"/>
              <w:ind w:left="56"/>
              <w:rPr>
                <w:sz w:val="18"/>
                <w:szCs w:val="18"/>
              </w:rPr>
            </w:pPr>
            <w:r>
              <w:rPr>
                <w:spacing w:val="-2"/>
                <w:sz w:val="18"/>
                <w:szCs w:val="18"/>
              </w:rPr>
              <w:t>允许排放量要求暂无</w:t>
            </w:r>
          </w:p>
          <w:p w14:paraId="480474F8">
            <w:pPr>
              <w:pStyle w:val="6"/>
              <w:spacing w:before="19" w:line="219" w:lineRule="auto"/>
              <w:ind w:left="52"/>
              <w:rPr>
                <w:sz w:val="18"/>
                <w:szCs w:val="18"/>
              </w:rPr>
            </w:pPr>
            <w:r>
              <w:rPr>
                <w:spacing w:val="-1"/>
                <w:sz w:val="18"/>
                <w:szCs w:val="18"/>
              </w:rPr>
              <w:t>现有源提标升级改造暂无</w:t>
            </w:r>
          </w:p>
          <w:p w14:paraId="27184A69">
            <w:pPr>
              <w:pStyle w:val="6"/>
              <w:spacing w:before="19" w:line="203" w:lineRule="auto"/>
              <w:ind w:left="51"/>
              <w:rPr>
                <w:sz w:val="18"/>
                <w:szCs w:val="18"/>
              </w:rPr>
            </w:pPr>
            <w:r>
              <w:rPr>
                <w:spacing w:val="-1"/>
                <w:sz w:val="18"/>
                <w:szCs w:val="18"/>
              </w:rPr>
              <w:t>其他污染物排放管控要求暂无</w:t>
            </w:r>
          </w:p>
        </w:tc>
        <w:tc>
          <w:tcPr>
            <w:tcW w:w="1695" w:type="dxa"/>
            <w:vAlign w:val="top"/>
          </w:tcPr>
          <w:p w14:paraId="02D260E7">
            <w:pPr>
              <w:spacing w:before="288"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38A7C6AF">
            <w:pPr>
              <w:spacing w:before="288"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82B3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5CC6FABB">
            <w:pPr>
              <w:rPr>
                <w:rFonts w:ascii="Arial"/>
                <w:sz w:val="21"/>
              </w:rPr>
            </w:pPr>
          </w:p>
        </w:tc>
        <w:tc>
          <w:tcPr>
            <w:tcW w:w="143" w:type="dxa"/>
            <w:vMerge w:val="continue"/>
            <w:tcBorders>
              <w:top w:val="nil"/>
              <w:bottom w:val="nil"/>
            </w:tcBorders>
            <w:vAlign w:val="top"/>
          </w:tcPr>
          <w:p w14:paraId="5C7321FD">
            <w:pPr>
              <w:rPr>
                <w:rFonts w:ascii="Arial"/>
                <w:sz w:val="21"/>
              </w:rPr>
            </w:pPr>
          </w:p>
        </w:tc>
        <w:tc>
          <w:tcPr>
            <w:tcW w:w="1011" w:type="dxa"/>
            <w:vMerge w:val="continue"/>
            <w:tcBorders>
              <w:top w:val="nil"/>
              <w:bottom w:val="nil"/>
            </w:tcBorders>
            <w:vAlign w:val="top"/>
          </w:tcPr>
          <w:p w14:paraId="5120EECB">
            <w:pPr>
              <w:rPr>
                <w:rFonts w:ascii="Arial"/>
                <w:sz w:val="21"/>
              </w:rPr>
            </w:pPr>
          </w:p>
        </w:tc>
        <w:tc>
          <w:tcPr>
            <w:tcW w:w="886" w:type="dxa"/>
            <w:vMerge w:val="continue"/>
            <w:tcBorders>
              <w:top w:val="nil"/>
              <w:bottom w:val="nil"/>
            </w:tcBorders>
            <w:vAlign w:val="top"/>
          </w:tcPr>
          <w:p w14:paraId="3C80E0CE">
            <w:pPr>
              <w:rPr>
                <w:rFonts w:ascii="Arial"/>
                <w:sz w:val="21"/>
              </w:rPr>
            </w:pPr>
          </w:p>
        </w:tc>
        <w:tc>
          <w:tcPr>
            <w:tcW w:w="879" w:type="dxa"/>
            <w:vAlign w:val="top"/>
          </w:tcPr>
          <w:p w14:paraId="1EA00B58">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194D9634">
            <w:pPr>
              <w:pStyle w:val="6"/>
              <w:spacing w:before="29" w:line="220" w:lineRule="auto"/>
              <w:ind w:left="51"/>
              <w:rPr>
                <w:sz w:val="18"/>
                <w:szCs w:val="18"/>
              </w:rPr>
            </w:pPr>
            <w:r>
              <w:rPr>
                <w:spacing w:val="-1"/>
                <w:sz w:val="18"/>
                <w:szCs w:val="18"/>
              </w:rPr>
              <w:t>联防联控要求暂无</w:t>
            </w:r>
          </w:p>
          <w:p w14:paraId="769788F8">
            <w:pPr>
              <w:pStyle w:val="6"/>
              <w:spacing w:before="18" w:line="205" w:lineRule="auto"/>
              <w:ind w:left="51"/>
              <w:rPr>
                <w:sz w:val="18"/>
                <w:szCs w:val="18"/>
              </w:rPr>
            </w:pPr>
            <w:r>
              <w:rPr>
                <w:spacing w:val="-1"/>
                <w:sz w:val="18"/>
                <w:szCs w:val="18"/>
              </w:rPr>
              <w:t>其他环境风险防控要求暂无</w:t>
            </w:r>
          </w:p>
        </w:tc>
        <w:tc>
          <w:tcPr>
            <w:tcW w:w="1695" w:type="dxa"/>
            <w:vAlign w:val="top"/>
          </w:tcPr>
          <w:p w14:paraId="799069D6">
            <w:pPr>
              <w:spacing w:before="17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4F33904">
            <w:pPr>
              <w:spacing w:before="17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8BD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7774C8C2">
            <w:pPr>
              <w:rPr>
                <w:rFonts w:ascii="Arial"/>
                <w:sz w:val="21"/>
              </w:rPr>
            </w:pPr>
          </w:p>
        </w:tc>
        <w:tc>
          <w:tcPr>
            <w:tcW w:w="143" w:type="dxa"/>
            <w:vMerge w:val="continue"/>
            <w:tcBorders>
              <w:top w:val="nil"/>
              <w:bottom w:val="nil"/>
            </w:tcBorders>
            <w:vAlign w:val="top"/>
          </w:tcPr>
          <w:p w14:paraId="709E3F12">
            <w:pPr>
              <w:rPr>
                <w:rFonts w:ascii="Arial"/>
                <w:sz w:val="21"/>
              </w:rPr>
            </w:pPr>
          </w:p>
        </w:tc>
        <w:tc>
          <w:tcPr>
            <w:tcW w:w="1011" w:type="dxa"/>
            <w:vMerge w:val="continue"/>
            <w:tcBorders>
              <w:top w:val="nil"/>
              <w:bottom w:val="nil"/>
            </w:tcBorders>
            <w:vAlign w:val="top"/>
          </w:tcPr>
          <w:p w14:paraId="147FA3D8">
            <w:pPr>
              <w:rPr>
                <w:rFonts w:ascii="Arial"/>
                <w:sz w:val="21"/>
              </w:rPr>
            </w:pPr>
          </w:p>
        </w:tc>
        <w:tc>
          <w:tcPr>
            <w:tcW w:w="886" w:type="dxa"/>
            <w:vMerge w:val="continue"/>
            <w:tcBorders>
              <w:top w:val="nil"/>
            </w:tcBorders>
            <w:vAlign w:val="top"/>
          </w:tcPr>
          <w:p w14:paraId="2271335B">
            <w:pPr>
              <w:rPr>
                <w:rFonts w:ascii="Arial"/>
                <w:sz w:val="21"/>
              </w:rPr>
            </w:pPr>
          </w:p>
        </w:tc>
        <w:tc>
          <w:tcPr>
            <w:tcW w:w="879" w:type="dxa"/>
            <w:vAlign w:val="top"/>
          </w:tcPr>
          <w:p w14:paraId="55257073">
            <w:pPr>
              <w:spacing w:line="320" w:lineRule="auto"/>
              <w:rPr>
                <w:rFonts w:ascii="Arial"/>
                <w:sz w:val="21"/>
              </w:rPr>
            </w:pPr>
          </w:p>
          <w:p w14:paraId="5D9F437B">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2AE730D5">
            <w:pPr>
              <w:pStyle w:val="6"/>
              <w:spacing w:before="29"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0A038E81">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203E8B0F">
            <w:pPr>
              <w:pStyle w:val="6"/>
              <w:spacing w:before="18" w:line="203" w:lineRule="auto"/>
              <w:ind w:left="51"/>
              <w:rPr>
                <w:sz w:val="18"/>
                <w:szCs w:val="18"/>
              </w:rPr>
            </w:pPr>
            <w:r>
              <w:rPr>
                <w:spacing w:val="-1"/>
                <w:sz w:val="18"/>
                <w:szCs w:val="18"/>
              </w:rPr>
              <w:t>其他资源利用效率要求暂无</w:t>
            </w:r>
          </w:p>
        </w:tc>
        <w:tc>
          <w:tcPr>
            <w:tcW w:w="1695" w:type="dxa"/>
            <w:vAlign w:val="top"/>
          </w:tcPr>
          <w:p w14:paraId="6A38795A">
            <w:pPr>
              <w:spacing w:line="468" w:lineRule="auto"/>
              <w:rPr>
                <w:rFonts w:ascii="Arial"/>
                <w:sz w:val="21"/>
              </w:rPr>
            </w:pPr>
          </w:p>
          <w:p w14:paraId="41EE6D4D">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21712D6">
            <w:pPr>
              <w:spacing w:line="468" w:lineRule="auto"/>
              <w:rPr>
                <w:rFonts w:ascii="Arial"/>
                <w:sz w:val="21"/>
              </w:rPr>
            </w:pPr>
          </w:p>
          <w:p w14:paraId="6B2360E2">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1B24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705" w:type="dxa"/>
            <w:vMerge w:val="continue"/>
            <w:tcBorders>
              <w:top w:val="nil"/>
              <w:bottom w:val="nil"/>
            </w:tcBorders>
            <w:vAlign w:val="top"/>
          </w:tcPr>
          <w:p w14:paraId="3029F9B0">
            <w:pPr>
              <w:rPr>
                <w:rFonts w:ascii="Arial"/>
                <w:sz w:val="21"/>
              </w:rPr>
            </w:pPr>
          </w:p>
        </w:tc>
        <w:tc>
          <w:tcPr>
            <w:tcW w:w="143" w:type="dxa"/>
            <w:vMerge w:val="continue"/>
            <w:tcBorders>
              <w:top w:val="nil"/>
              <w:bottom w:val="nil"/>
            </w:tcBorders>
            <w:vAlign w:val="top"/>
          </w:tcPr>
          <w:p w14:paraId="5B50D4FB">
            <w:pPr>
              <w:rPr>
                <w:rFonts w:ascii="Arial"/>
                <w:sz w:val="21"/>
              </w:rPr>
            </w:pPr>
          </w:p>
        </w:tc>
        <w:tc>
          <w:tcPr>
            <w:tcW w:w="1011" w:type="dxa"/>
            <w:vMerge w:val="continue"/>
            <w:tcBorders>
              <w:top w:val="nil"/>
              <w:bottom w:val="nil"/>
            </w:tcBorders>
            <w:vAlign w:val="top"/>
          </w:tcPr>
          <w:p w14:paraId="44C1D879">
            <w:pPr>
              <w:rPr>
                <w:rFonts w:ascii="Arial"/>
                <w:sz w:val="21"/>
              </w:rPr>
            </w:pPr>
          </w:p>
        </w:tc>
        <w:tc>
          <w:tcPr>
            <w:tcW w:w="886" w:type="dxa"/>
            <w:vMerge w:val="restart"/>
            <w:tcBorders>
              <w:bottom w:val="nil"/>
            </w:tcBorders>
            <w:vAlign w:val="top"/>
          </w:tcPr>
          <w:p w14:paraId="2D29D4D6">
            <w:pPr>
              <w:spacing w:line="263" w:lineRule="auto"/>
              <w:rPr>
                <w:rFonts w:ascii="Arial"/>
                <w:sz w:val="21"/>
              </w:rPr>
            </w:pPr>
          </w:p>
          <w:p w14:paraId="2D46A19F">
            <w:pPr>
              <w:spacing w:line="263" w:lineRule="auto"/>
              <w:rPr>
                <w:rFonts w:ascii="Arial"/>
                <w:sz w:val="21"/>
              </w:rPr>
            </w:pPr>
          </w:p>
          <w:p w14:paraId="34309789">
            <w:pPr>
              <w:spacing w:line="263" w:lineRule="auto"/>
              <w:rPr>
                <w:rFonts w:ascii="Arial"/>
                <w:sz w:val="21"/>
              </w:rPr>
            </w:pPr>
          </w:p>
          <w:p w14:paraId="31B3BF4F">
            <w:pPr>
              <w:pStyle w:val="6"/>
              <w:spacing w:before="58" w:line="233" w:lineRule="auto"/>
              <w:ind w:left="50" w:right="118"/>
              <w:jc w:val="both"/>
              <w:rPr>
                <w:sz w:val="18"/>
                <w:szCs w:val="18"/>
              </w:rPr>
            </w:pPr>
            <w:r>
              <w:rPr>
                <w:spacing w:val="-3"/>
                <w:sz w:val="18"/>
                <w:szCs w:val="18"/>
              </w:rPr>
              <w:t>单元级清</w:t>
            </w:r>
            <w:r>
              <w:rPr>
                <w:spacing w:val="2"/>
                <w:sz w:val="18"/>
                <w:szCs w:val="18"/>
              </w:rPr>
              <w:t xml:space="preserve"> </w:t>
            </w:r>
            <w:r>
              <w:rPr>
                <w:spacing w:val="-3"/>
                <w:sz w:val="18"/>
                <w:szCs w:val="18"/>
              </w:rPr>
              <w:t>单管控要</w:t>
            </w:r>
            <w:r>
              <w:rPr>
                <w:spacing w:val="2"/>
                <w:sz w:val="18"/>
                <w:szCs w:val="18"/>
              </w:rPr>
              <w:t xml:space="preserve"> </w:t>
            </w:r>
            <w:r>
              <w:rPr>
                <w:sz w:val="18"/>
                <w:szCs w:val="18"/>
              </w:rPr>
              <w:t>求</w:t>
            </w:r>
          </w:p>
        </w:tc>
        <w:tc>
          <w:tcPr>
            <w:tcW w:w="879" w:type="dxa"/>
            <w:vAlign w:val="top"/>
          </w:tcPr>
          <w:p w14:paraId="2D9BE1EA">
            <w:pPr>
              <w:spacing w:line="334" w:lineRule="auto"/>
              <w:rPr>
                <w:rFonts w:ascii="Arial"/>
                <w:sz w:val="21"/>
              </w:rPr>
            </w:pPr>
          </w:p>
          <w:p w14:paraId="31D74B20">
            <w:pPr>
              <w:spacing w:line="334" w:lineRule="auto"/>
              <w:rPr>
                <w:rFonts w:ascii="Arial"/>
                <w:sz w:val="21"/>
              </w:rPr>
            </w:pPr>
          </w:p>
          <w:p w14:paraId="232CCBED">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4BDE1173">
            <w:pPr>
              <w:spacing w:line="435" w:lineRule="auto"/>
              <w:rPr>
                <w:rFonts w:ascii="Arial"/>
                <w:sz w:val="21"/>
              </w:rPr>
            </w:pPr>
          </w:p>
          <w:p w14:paraId="13619EF1">
            <w:pPr>
              <w:pStyle w:val="6"/>
              <w:spacing w:before="59" w:line="234" w:lineRule="auto"/>
              <w:ind w:left="50" w:right="51" w:firstLine="13"/>
              <w:rPr>
                <w:sz w:val="18"/>
                <w:szCs w:val="18"/>
              </w:rPr>
            </w:pPr>
            <w:r>
              <w:rPr>
                <w:sz w:val="18"/>
                <w:szCs w:val="18"/>
              </w:rPr>
              <w:t>1.以城镇开发建设现状为基础，综合考虑资源承载能力、人口分布、经济布</w:t>
            </w:r>
            <w:r>
              <w:rPr>
                <w:spacing w:val="-1"/>
                <w:sz w:val="18"/>
                <w:szCs w:val="18"/>
              </w:rPr>
              <w:t>局、</w:t>
            </w:r>
            <w:r>
              <w:rPr>
                <w:sz w:val="18"/>
                <w:szCs w:val="18"/>
              </w:rPr>
              <w:t xml:space="preserve"> 城乡统筹、城镇无序蔓延科学预留一定比例的留白区，为未</w:t>
            </w:r>
            <w:r>
              <w:rPr>
                <w:spacing w:val="-1"/>
                <w:sz w:val="18"/>
                <w:szCs w:val="18"/>
              </w:rPr>
              <w:t>来发展留有开发空间</w:t>
            </w:r>
            <w:r>
              <w:rPr>
                <w:sz w:val="18"/>
                <w:szCs w:val="18"/>
              </w:rPr>
              <w:t xml:space="preserve"> </w:t>
            </w:r>
            <w:r>
              <w:rPr>
                <w:spacing w:val="-1"/>
                <w:sz w:val="18"/>
                <w:szCs w:val="18"/>
              </w:rPr>
              <w:t>城镇建设和发展不得违法违规侵占河道、湖面、滩地</w:t>
            </w:r>
            <w:r>
              <w:rPr>
                <w:spacing w:val="-19"/>
                <w:sz w:val="18"/>
                <w:szCs w:val="18"/>
              </w:rPr>
              <w:t xml:space="preserve"> </w:t>
            </w:r>
            <w:r>
              <w:rPr>
                <w:spacing w:val="-1"/>
                <w:sz w:val="18"/>
                <w:szCs w:val="18"/>
              </w:rPr>
              <w:t>2.城镇开发边界调整报国土</w:t>
            </w:r>
            <w:r>
              <w:rPr>
                <w:sz w:val="18"/>
                <w:szCs w:val="18"/>
              </w:rPr>
              <w:t xml:space="preserve"> </w:t>
            </w:r>
            <w:r>
              <w:rPr>
                <w:spacing w:val="-1"/>
                <w:sz w:val="18"/>
                <w:szCs w:val="18"/>
              </w:rPr>
              <w:t>空间规划原审批机关审批</w:t>
            </w:r>
          </w:p>
        </w:tc>
        <w:tc>
          <w:tcPr>
            <w:tcW w:w="1695" w:type="dxa"/>
            <w:vAlign w:val="top"/>
          </w:tcPr>
          <w:p w14:paraId="52A381A4">
            <w:pPr>
              <w:pStyle w:val="6"/>
              <w:spacing w:before="32" w:line="234" w:lineRule="auto"/>
              <w:ind w:left="57" w:right="42" w:firstLine="76"/>
              <w:rPr>
                <w:sz w:val="18"/>
                <w:szCs w:val="18"/>
              </w:rPr>
            </w:pPr>
            <w:r>
              <w:rPr>
                <w:spacing w:val="-1"/>
                <w:sz w:val="18"/>
                <w:szCs w:val="18"/>
              </w:rPr>
              <w:t>本项目位于东岳新</w:t>
            </w:r>
            <w:r>
              <w:rPr>
                <w:sz w:val="18"/>
                <w:szCs w:val="18"/>
              </w:rPr>
              <w:t xml:space="preserve">  </w:t>
            </w:r>
            <w:r>
              <w:rPr>
                <w:spacing w:val="-4"/>
                <w:sz w:val="18"/>
                <w:szCs w:val="18"/>
              </w:rPr>
              <w:t>型工业集聚区范围，</w:t>
            </w:r>
            <w:r>
              <w:rPr>
                <w:spacing w:val="5"/>
                <w:sz w:val="18"/>
                <w:szCs w:val="18"/>
              </w:rPr>
              <w:t xml:space="preserve"> </w:t>
            </w:r>
            <w:r>
              <w:rPr>
                <w:spacing w:val="8"/>
                <w:sz w:val="18"/>
                <w:szCs w:val="18"/>
              </w:rPr>
              <w:t>属于城镇开发边界</w:t>
            </w:r>
            <w:r>
              <w:rPr>
                <w:spacing w:val="1"/>
                <w:sz w:val="18"/>
                <w:szCs w:val="18"/>
              </w:rPr>
              <w:t xml:space="preserve">  </w:t>
            </w:r>
            <w:r>
              <w:rPr>
                <w:spacing w:val="-4"/>
                <w:sz w:val="18"/>
                <w:szCs w:val="18"/>
              </w:rPr>
              <w:t>以内。项目新增占地</w:t>
            </w:r>
          </w:p>
          <w:p w14:paraId="5946D54A">
            <w:pPr>
              <w:pStyle w:val="6"/>
              <w:spacing w:before="19" w:line="230" w:lineRule="auto"/>
              <w:ind w:left="71" w:right="42" w:firstLine="80"/>
              <w:rPr>
                <w:sz w:val="18"/>
                <w:szCs w:val="18"/>
              </w:rPr>
            </w:pPr>
            <w:r>
              <w:rPr>
                <w:spacing w:val="-4"/>
                <w:sz w:val="18"/>
                <w:szCs w:val="18"/>
              </w:rPr>
              <w:t>已取得当地管理部</w:t>
            </w:r>
            <w:r>
              <w:rPr>
                <w:spacing w:val="2"/>
                <w:sz w:val="18"/>
                <w:szCs w:val="18"/>
              </w:rPr>
              <w:t xml:space="preserve">  </w:t>
            </w:r>
            <w:r>
              <w:rPr>
                <w:spacing w:val="-5"/>
                <w:sz w:val="18"/>
                <w:szCs w:val="18"/>
              </w:rPr>
              <w:t>门同意，现已上报区</w:t>
            </w:r>
          </w:p>
          <w:p w14:paraId="02BBB567">
            <w:pPr>
              <w:pStyle w:val="6"/>
              <w:spacing w:before="18" w:line="221" w:lineRule="auto"/>
              <w:ind w:left="225" w:right="42" w:hanging="144"/>
              <w:rPr>
                <w:sz w:val="18"/>
                <w:szCs w:val="18"/>
              </w:rPr>
            </w:pPr>
            <w:r>
              <w:rPr>
                <w:spacing w:val="-6"/>
                <w:sz w:val="18"/>
                <w:szCs w:val="18"/>
              </w:rPr>
              <w:t>自规部门，正在办理</w:t>
            </w:r>
            <w:r>
              <w:rPr>
                <w:sz w:val="18"/>
                <w:szCs w:val="18"/>
              </w:rPr>
              <w:t xml:space="preserve"> </w:t>
            </w:r>
            <w:r>
              <w:rPr>
                <w:spacing w:val="-2"/>
                <w:sz w:val="18"/>
                <w:szCs w:val="18"/>
              </w:rPr>
              <w:t>土地使用手续。</w:t>
            </w:r>
          </w:p>
        </w:tc>
        <w:tc>
          <w:tcPr>
            <w:tcW w:w="709" w:type="dxa"/>
            <w:vAlign w:val="top"/>
          </w:tcPr>
          <w:p w14:paraId="19E27AA2">
            <w:pPr>
              <w:spacing w:line="273" w:lineRule="auto"/>
              <w:rPr>
                <w:rFonts w:ascii="Arial"/>
                <w:sz w:val="21"/>
              </w:rPr>
            </w:pPr>
          </w:p>
          <w:p w14:paraId="0B7D9621">
            <w:pPr>
              <w:spacing w:line="273" w:lineRule="auto"/>
              <w:rPr>
                <w:rFonts w:ascii="Arial"/>
                <w:sz w:val="21"/>
              </w:rPr>
            </w:pPr>
          </w:p>
          <w:p w14:paraId="4C7BB6D8">
            <w:pPr>
              <w:spacing w:line="273" w:lineRule="auto"/>
              <w:rPr>
                <w:rFonts w:ascii="Arial"/>
                <w:sz w:val="21"/>
              </w:rPr>
            </w:pPr>
          </w:p>
          <w:p w14:paraId="53019F0A">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21B9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tcBorders>
            <w:vAlign w:val="top"/>
          </w:tcPr>
          <w:p w14:paraId="7BF0D5C4">
            <w:pPr>
              <w:rPr>
                <w:rFonts w:ascii="Arial"/>
                <w:sz w:val="21"/>
              </w:rPr>
            </w:pPr>
          </w:p>
        </w:tc>
        <w:tc>
          <w:tcPr>
            <w:tcW w:w="143" w:type="dxa"/>
            <w:vMerge w:val="continue"/>
            <w:tcBorders>
              <w:top w:val="nil"/>
            </w:tcBorders>
            <w:vAlign w:val="top"/>
          </w:tcPr>
          <w:p w14:paraId="7C8170A5">
            <w:pPr>
              <w:rPr>
                <w:rFonts w:ascii="Arial"/>
                <w:sz w:val="21"/>
              </w:rPr>
            </w:pPr>
          </w:p>
        </w:tc>
        <w:tc>
          <w:tcPr>
            <w:tcW w:w="1011" w:type="dxa"/>
            <w:vMerge w:val="continue"/>
            <w:tcBorders>
              <w:top w:val="nil"/>
            </w:tcBorders>
            <w:vAlign w:val="top"/>
          </w:tcPr>
          <w:p w14:paraId="0D12D658">
            <w:pPr>
              <w:rPr>
                <w:rFonts w:ascii="Arial"/>
                <w:sz w:val="21"/>
              </w:rPr>
            </w:pPr>
          </w:p>
        </w:tc>
        <w:tc>
          <w:tcPr>
            <w:tcW w:w="886" w:type="dxa"/>
            <w:vMerge w:val="continue"/>
            <w:tcBorders>
              <w:top w:val="nil"/>
            </w:tcBorders>
            <w:vAlign w:val="top"/>
          </w:tcPr>
          <w:p w14:paraId="63DAA700">
            <w:pPr>
              <w:rPr>
                <w:rFonts w:ascii="Arial"/>
                <w:sz w:val="21"/>
              </w:rPr>
            </w:pPr>
          </w:p>
        </w:tc>
        <w:tc>
          <w:tcPr>
            <w:tcW w:w="879" w:type="dxa"/>
            <w:vAlign w:val="top"/>
          </w:tcPr>
          <w:p w14:paraId="6C10E566">
            <w:pPr>
              <w:pStyle w:val="6"/>
              <w:spacing w:before="31" w:line="227"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1CDF7565">
            <w:pPr>
              <w:spacing w:before="175"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5E5F6C91">
            <w:pPr>
              <w:spacing w:before="175"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78C5D85">
            <w:pPr>
              <w:spacing w:before="175"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777581C3">
      <w:pPr>
        <w:pStyle w:val="2"/>
      </w:pPr>
    </w:p>
    <w:p w14:paraId="0DB7385C">
      <w:pPr>
        <w:sectPr>
          <w:footerReference r:id="rId20" w:type="default"/>
          <w:pgSz w:w="16839" w:h="11906"/>
          <w:pgMar w:top="1012" w:right="1681" w:bottom="1260" w:left="1680" w:header="0" w:footer="1080" w:gutter="0"/>
          <w:cols w:space="720" w:num="1"/>
        </w:sectPr>
      </w:pPr>
    </w:p>
    <w:p w14:paraId="6D605A55">
      <w:pPr>
        <w:spacing w:before="18"/>
      </w:pPr>
      <w:r>
        <w:pict>
          <v:shape id="_x0000_s1031" o:spid="_x0000_s1031" style="position:absolute;left:0pt;margin-left:750.15pt;margin-top:77.5pt;height:343.55pt;width:0.5pt;mso-position-horizontal-relative:page;mso-position-vertical-relative:page;z-index:251675648;mso-width-relative:page;mso-height-relative:page;" filled="f" stroked="t" coordsize="10,6870" o:allowincell="f" path="m4,0l4,6870e">
            <v:fill on="f" focussize="0,0"/>
            <v:stroke weight="0.48pt" color="#000000" miterlimit="2" joinstyle="bevel"/>
            <v:imagedata o:title=""/>
            <o:lock v:ext="edit"/>
          </v:shape>
        </w:pict>
      </w:r>
    </w:p>
    <w:p w14:paraId="557C5793">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3A7B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restart"/>
            <w:tcBorders>
              <w:bottom w:val="nil"/>
            </w:tcBorders>
            <w:vAlign w:val="top"/>
          </w:tcPr>
          <w:p w14:paraId="0705BB33">
            <w:pPr>
              <w:rPr>
                <w:rFonts w:ascii="Arial"/>
                <w:sz w:val="21"/>
              </w:rPr>
            </w:pPr>
          </w:p>
        </w:tc>
        <w:tc>
          <w:tcPr>
            <w:tcW w:w="143" w:type="dxa"/>
            <w:vMerge w:val="restart"/>
            <w:tcBorders>
              <w:bottom w:val="nil"/>
            </w:tcBorders>
            <w:vAlign w:val="top"/>
          </w:tcPr>
          <w:p w14:paraId="02EE7250">
            <w:pPr>
              <w:rPr>
                <w:rFonts w:ascii="Arial"/>
                <w:sz w:val="21"/>
              </w:rPr>
            </w:pPr>
          </w:p>
        </w:tc>
        <w:tc>
          <w:tcPr>
            <w:tcW w:w="1011" w:type="dxa"/>
            <w:vMerge w:val="restart"/>
            <w:tcBorders>
              <w:bottom w:val="nil"/>
            </w:tcBorders>
            <w:vAlign w:val="top"/>
          </w:tcPr>
          <w:p w14:paraId="153DCD12">
            <w:pPr>
              <w:rPr>
                <w:rFonts w:ascii="Arial"/>
                <w:sz w:val="21"/>
              </w:rPr>
            </w:pPr>
          </w:p>
        </w:tc>
        <w:tc>
          <w:tcPr>
            <w:tcW w:w="886" w:type="dxa"/>
            <w:vMerge w:val="restart"/>
            <w:tcBorders>
              <w:bottom w:val="nil"/>
            </w:tcBorders>
            <w:vAlign w:val="top"/>
          </w:tcPr>
          <w:p w14:paraId="09810AE3">
            <w:pPr>
              <w:rPr>
                <w:rFonts w:ascii="Arial"/>
                <w:sz w:val="21"/>
              </w:rPr>
            </w:pPr>
          </w:p>
        </w:tc>
        <w:tc>
          <w:tcPr>
            <w:tcW w:w="879" w:type="dxa"/>
            <w:vAlign w:val="top"/>
          </w:tcPr>
          <w:p w14:paraId="1D359AC7">
            <w:pPr>
              <w:pStyle w:val="6"/>
              <w:spacing w:before="43"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3EA77569">
            <w:pPr>
              <w:spacing w:before="186"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15DD8D98">
            <w:pPr>
              <w:spacing w:before="1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4E57C037">
            <w:pPr>
              <w:spacing w:before="1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1291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705" w:type="dxa"/>
            <w:vMerge w:val="continue"/>
            <w:tcBorders>
              <w:top w:val="nil"/>
              <w:bottom w:val="nil"/>
            </w:tcBorders>
            <w:vAlign w:val="top"/>
          </w:tcPr>
          <w:p w14:paraId="0903116F">
            <w:pPr>
              <w:rPr>
                <w:rFonts w:ascii="Arial"/>
                <w:sz w:val="21"/>
              </w:rPr>
            </w:pPr>
          </w:p>
        </w:tc>
        <w:tc>
          <w:tcPr>
            <w:tcW w:w="143" w:type="dxa"/>
            <w:vMerge w:val="continue"/>
            <w:tcBorders>
              <w:top w:val="nil"/>
              <w:bottom w:val="nil"/>
            </w:tcBorders>
            <w:vAlign w:val="top"/>
          </w:tcPr>
          <w:p w14:paraId="22D481A7">
            <w:pPr>
              <w:rPr>
                <w:rFonts w:ascii="Arial"/>
                <w:sz w:val="21"/>
              </w:rPr>
            </w:pPr>
          </w:p>
        </w:tc>
        <w:tc>
          <w:tcPr>
            <w:tcW w:w="1011" w:type="dxa"/>
            <w:vMerge w:val="continue"/>
            <w:tcBorders>
              <w:top w:val="nil"/>
            </w:tcBorders>
            <w:vAlign w:val="top"/>
          </w:tcPr>
          <w:p w14:paraId="04713E6F">
            <w:pPr>
              <w:rPr>
                <w:rFonts w:ascii="Arial"/>
                <w:sz w:val="21"/>
              </w:rPr>
            </w:pPr>
          </w:p>
        </w:tc>
        <w:tc>
          <w:tcPr>
            <w:tcW w:w="886" w:type="dxa"/>
            <w:vMerge w:val="continue"/>
            <w:tcBorders>
              <w:top w:val="nil"/>
            </w:tcBorders>
            <w:vAlign w:val="top"/>
          </w:tcPr>
          <w:p w14:paraId="15AF1BBB">
            <w:pPr>
              <w:rPr>
                <w:rFonts w:ascii="Arial"/>
                <w:sz w:val="21"/>
              </w:rPr>
            </w:pPr>
          </w:p>
        </w:tc>
        <w:tc>
          <w:tcPr>
            <w:tcW w:w="879" w:type="dxa"/>
            <w:vAlign w:val="top"/>
          </w:tcPr>
          <w:p w14:paraId="28570B0E">
            <w:pPr>
              <w:pStyle w:val="6"/>
              <w:spacing w:before="260"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4BC50024">
            <w:pPr>
              <w:pStyle w:val="6"/>
              <w:spacing w:before="27" w:line="219" w:lineRule="auto"/>
              <w:rPr>
                <w:sz w:val="18"/>
                <w:szCs w:val="18"/>
              </w:rPr>
            </w:pPr>
            <w:r>
              <w:rPr>
                <w:spacing w:val="-2"/>
                <w:sz w:val="18"/>
                <w:szCs w:val="18"/>
              </w:rPr>
              <w:t>土地资源开发效率要求</w:t>
            </w:r>
          </w:p>
          <w:p w14:paraId="5BF8F596">
            <w:pPr>
              <w:pStyle w:val="6"/>
              <w:spacing w:before="19" w:line="229" w:lineRule="auto"/>
              <w:ind w:left="6" w:right="1625" w:hanging="6"/>
              <w:rPr>
                <w:sz w:val="18"/>
                <w:szCs w:val="18"/>
              </w:rPr>
            </w:pPr>
            <w:r>
              <w:rPr>
                <w:spacing w:val="-2"/>
                <w:sz w:val="18"/>
                <w:szCs w:val="18"/>
              </w:rPr>
              <w:t>土地资源开发利用量不得超过土地资源利用上线控制性指标。</w:t>
            </w:r>
            <w:r>
              <w:rPr>
                <w:spacing w:val="5"/>
                <w:sz w:val="18"/>
                <w:szCs w:val="18"/>
              </w:rPr>
              <w:t xml:space="preserve"> </w:t>
            </w:r>
            <w:r>
              <w:rPr>
                <w:spacing w:val="-2"/>
                <w:sz w:val="18"/>
                <w:szCs w:val="18"/>
              </w:rPr>
              <w:t>能源资源开发效率要求</w:t>
            </w:r>
          </w:p>
          <w:p w14:paraId="1604CA19">
            <w:pPr>
              <w:pStyle w:val="6"/>
              <w:spacing w:before="21" w:line="205" w:lineRule="auto"/>
              <w:rPr>
                <w:sz w:val="18"/>
                <w:szCs w:val="18"/>
              </w:rPr>
            </w:pPr>
            <w:r>
              <w:rPr>
                <w:spacing w:val="-2"/>
                <w:sz w:val="18"/>
                <w:szCs w:val="18"/>
              </w:rPr>
              <w:t>其他资源开发效率要求</w:t>
            </w:r>
          </w:p>
        </w:tc>
        <w:tc>
          <w:tcPr>
            <w:tcW w:w="1695" w:type="dxa"/>
            <w:vAlign w:val="top"/>
          </w:tcPr>
          <w:p w14:paraId="53CB3C8C">
            <w:pPr>
              <w:spacing w:line="349" w:lineRule="auto"/>
              <w:rPr>
                <w:rFonts w:ascii="Arial"/>
                <w:sz w:val="21"/>
              </w:rPr>
            </w:pPr>
          </w:p>
          <w:p w14:paraId="27208F22">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3164F82">
            <w:pPr>
              <w:spacing w:line="349" w:lineRule="auto"/>
              <w:rPr>
                <w:rFonts w:ascii="Arial"/>
                <w:sz w:val="21"/>
              </w:rPr>
            </w:pPr>
          </w:p>
          <w:p w14:paraId="166301B9">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D97C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705" w:type="dxa"/>
            <w:vMerge w:val="continue"/>
            <w:tcBorders>
              <w:top w:val="nil"/>
              <w:bottom w:val="nil"/>
            </w:tcBorders>
            <w:vAlign w:val="top"/>
          </w:tcPr>
          <w:p w14:paraId="3BA1BFFB">
            <w:pPr>
              <w:rPr>
                <w:rFonts w:ascii="Arial"/>
                <w:sz w:val="21"/>
              </w:rPr>
            </w:pPr>
          </w:p>
        </w:tc>
        <w:tc>
          <w:tcPr>
            <w:tcW w:w="143" w:type="dxa"/>
            <w:vMerge w:val="continue"/>
            <w:tcBorders>
              <w:top w:val="nil"/>
              <w:bottom w:val="nil"/>
            </w:tcBorders>
            <w:vAlign w:val="top"/>
          </w:tcPr>
          <w:p w14:paraId="1F3B71F5">
            <w:pPr>
              <w:rPr>
                <w:rFonts w:ascii="Arial"/>
                <w:sz w:val="21"/>
              </w:rPr>
            </w:pPr>
          </w:p>
        </w:tc>
        <w:tc>
          <w:tcPr>
            <w:tcW w:w="1011" w:type="dxa"/>
            <w:vMerge w:val="restart"/>
            <w:tcBorders>
              <w:bottom w:val="nil"/>
            </w:tcBorders>
            <w:vAlign w:val="top"/>
          </w:tcPr>
          <w:p w14:paraId="41A28686">
            <w:pPr>
              <w:spacing w:line="247" w:lineRule="auto"/>
              <w:rPr>
                <w:rFonts w:ascii="Arial"/>
                <w:sz w:val="21"/>
              </w:rPr>
            </w:pPr>
          </w:p>
          <w:p w14:paraId="201CCE29">
            <w:pPr>
              <w:spacing w:line="247" w:lineRule="auto"/>
              <w:rPr>
                <w:rFonts w:ascii="Arial"/>
                <w:sz w:val="21"/>
              </w:rPr>
            </w:pPr>
          </w:p>
          <w:p w14:paraId="01EA8911">
            <w:pPr>
              <w:spacing w:line="247" w:lineRule="auto"/>
              <w:rPr>
                <w:rFonts w:ascii="Arial"/>
                <w:sz w:val="21"/>
              </w:rPr>
            </w:pPr>
          </w:p>
          <w:p w14:paraId="5464C6F0">
            <w:pPr>
              <w:spacing w:line="247" w:lineRule="auto"/>
              <w:rPr>
                <w:rFonts w:ascii="Arial"/>
                <w:sz w:val="21"/>
              </w:rPr>
            </w:pPr>
          </w:p>
          <w:p w14:paraId="7C632A8F">
            <w:pPr>
              <w:spacing w:line="247" w:lineRule="auto"/>
              <w:rPr>
                <w:rFonts w:ascii="Arial"/>
                <w:sz w:val="21"/>
              </w:rPr>
            </w:pPr>
          </w:p>
          <w:p w14:paraId="129A97F7">
            <w:pPr>
              <w:spacing w:line="247" w:lineRule="auto"/>
              <w:rPr>
                <w:rFonts w:ascii="Arial"/>
                <w:sz w:val="21"/>
              </w:rPr>
            </w:pPr>
          </w:p>
          <w:p w14:paraId="755C8C8F">
            <w:pPr>
              <w:spacing w:line="247" w:lineRule="auto"/>
              <w:rPr>
                <w:rFonts w:ascii="Arial"/>
                <w:sz w:val="21"/>
              </w:rPr>
            </w:pPr>
          </w:p>
          <w:p w14:paraId="4A2932F8">
            <w:pPr>
              <w:spacing w:line="247" w:lineRule="auto"/>
              <w:rPr>
                <w:rFonts w:ascii="Arial"/>
                <w:sz w:val="21"/>
              </w:rPr>
            </w:pPr>
          </w:p>
          <w:p w14:paraId="1B0E71F5">
            <w:pPr>
              <w:pStyle w:val="6"/>
              <w:spacing w:before="58" w:line="238" w:lineRule="auto"/>
              <w:ind w:left="46" w:right="46" w:firstLine="32"/>
              <w:rPr>
                <w:sz w:val="18"/>
                <w:szCs w:val="18"/>
              </w:rPr>
            </w:pPr>
            <w:r>
              <w:rPr>
                <w:spacing w:val="-8"/>
                <w:sz w:val="18"/>
                <w:szCs w:val="18"/>
              </w:rPr>
              <w:t>自然资源重</w:t>
            </w:r>
            <w:r>
              <w:rPr>
                <w:spacing w:val="2"/>
                <w:sz w:val="18"/>
                <w:szCs w:val="18"/>
              </w:rPr>
              <w:t xml:space="preserve"> 点管控区、</w:t>
            </w:r>
            <w:r>
              <w:rPr>
                <w:spacing w:val="1"/>
                <w:sz w:val="18"/>
                <w:szCs w:val="18"/>
              </w:rPr>
              <w:t xml:space="preserve"> </w:t>
            </w:r>
            <w:r>
              <w:rPr>
                <w:spacing w:val="-1"/>
                <w:sz w:val="18"/>
                <w:szCs w:val="18"/>
              </w:rPr>
              <w:t>YS51170225</w:t>
            </w:r>
            <w:r>
              <w:rPr>
                <w:spacing w:val="5"/>
                <w:sz w:val="18"/>
                <w:szCs w:val="18"/>
              </w:rPr>
              <w:t xml:space="preserve"> </w:t>
            </w:r>
            <w:r>
              <w:rPr>
                <w:spacing w:val="-10"/>
                <w:sz w:val="18"/>
                <w:szCs w:val="18"/>
              </w:rPr>
              <w:t>50001、通川</w:t>
            </w:r>
            <w:r>
              <w:rPr>
                <w:spacing w:val="1"/>
                <w:sz w:val="18"/>
                <w:szCs w:val="18"/>
              </w:rPr>
              <w:t xml:space="preserve"> </w:t>
            </w:r>
            <w:r>
              <w:rPr>
                <w:spacing w:val="-1"/>
                <w:sz w:val="18"/>
                <w:szCs w:val="18"/>
              </w:rPr>
              <w:t>区自然资源</w:t>
            </w:r>
            <w:r>
              <w:rPr>
                <w:sz w:val="18"/>
                <w:szCs w:val="18"/>
              </w:rPr>
              <w:t xml:space="preserve"> </w:t>
            </w:r>
            <w:r>
              <w:rPr>
                <w:spacing w:val="-1"/>
                <w:sz w:val="18"/>
                <w:szCs w:val="18"/>
              </w:rPr>
              <w:t>重点管控区</w:t>
            </w:r>
          </w:p>
        </w:tc>
        <w:tc>
          <w:tcPr>
            <w:tcW w:w="886" w:type="dxa"/>
            <w:vMerge w:val="restart"/>
            <w:tcBorders>
              <w:bottom w:val="nil"/>
            </w:tcBorders>
            <w:vAlign w:val="top"/>
          </w:tcPr>
          <w:p w14:paraId="795449DD">
            <w:pPr>
              <w:spacing w:line="252" w:lineRule="auto"/>
              <w:rPr>
                <w:rFonts w:ascii="Arial"/>
                <w:sz w:val="21"/>
              </w:rPr>
            </w:pPr>
          </w:p>
          <w:p w14:paraId="5D30A761">
            <w:pPr>
              <w:spacing w:line="252" w:lineRule="auto"/>
              <w:rPr>
                <w:rFonts w:ascii="Arial"/>
                <w:sz w:val="21"/>
              </w:rPr>
            </w:pPr>
          </w:p>
          <w:p w14:paraId="35477FAD">
            <w:pPr>
              <w:spacing w:line="252" w:lineRule="auto"/>
              <w:rPr>
                <w:rFonts w:ascii="Arial"/>
                <w:sz w:val="21"/>
              </w:rPr>
            </w:pPr>
          </w:p>
          <w:p w14:paraId="57B0E0A5">
            <w:pPr>
              <w:spacing w:line="252" w:lineRule="auto"/>
              <w:rPr>
                <w:rFonts w:ascii="Arial"/>
                <w:sz w:val="21"/>
              </w:rPr>
            </w:pPr>
          </w:p>
          <w:p w14:paraId="15ED7034">
            <w:pPr>
              <w:spacing w:line="252" w:lineRule="auto"/>
              <w:rPr>
                <w:rFonts w:ascii="Arial"/>
                <w:sz w:val="21"/>
              </w:rPr>
            </w:pPr>
          </w:p>
          <w:p w14:paraId="655CED27">
            <w:pPr>
              <w:pStyle w:val="6"/>
              <w:spacing w:before="59" w:line="232"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071E7096">
            <w:pPr>
              <w:pStyle w:val="6"/>
              <w:spacing w:before="260"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1F4A6454">
            <w:pPr>
              <w:pStyle w:val="6"/>
              <w:spacing w:before="28"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11A6F6AA">
            <w:pPr>
              <w:pStyle w:val="6"/>
              <w:spacing w:before="19" w:line="222"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4E01559A">
            <w:pPr>
              <w:spacing w:line="351" w:lineRule="auto"/>
              <w:rPr>
                <w:rFonts w:ascii="Arial"/>
                <w:sz w:val="21"/>
              </w:rPr>
            </w:pPr>
          </w:p>
          <w:p w14:paraId="5C15E7FB">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B84C03D">
            <w:pPr>
              <w:spacing w:line="351" w:lineRule="auto"/>
              <w:rPr>
                <w:rFonts w:ascii="Arial"/>
                <w:sz w:val="21"/>
              </w:rPr>
            </w:pPr>
          </w:p>
          <w:p w14:paraId="1C6ECC7D">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7F2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14:paraId="7193E2BA">
            <w:pPr>
              <w:rPr>
                <w:rFonts w:ascii="Arial"/>
                <w:sz w:val="21"/>
              </w:rPr>
            </w:pPr>
          </w:p>
        </w:tc>
        <w:tc>
          <w:tcPr>
            <w:tcW w:w="143" w:type="dxa"/>
            <w:vMerge w:val="continue"/>
            <w:tcBorders>
              <w:top w:val="nil"/>
              <w:bottom w:val="nil"/>
            </w:tcBorders>
            <w:vAlign w:val="top"/>
          </w:tcPr>
          <w:p w14:paraId="731C2150">
            <w:pPr>
              <w:rPr>
                <w:rFonts w:ascii="Arial"/>
                <w:sz w:val="21"/>
              </w:rPr>
            </w:pPr>
          </w:p>
        </w:tc>
        <w:tc>
          <w:tcPr>
            <w:tcW w:w="1011" w:type="dxa"/>
            <w:vMerge w:val="continue"/>
            <w:tcBorders>
              <w:top w:val="nil"/>
              <w:bottom w:val="nil"/>
            </w:tcBorders>
            <w:vAlign w:val="top"/>
          </w:tcPr>
          <w:p w14:paraId="34AA2CC2">
            <w:pPr>
              <w:rPr>
                <w:rFonts w:ascii="Arial"/>
                <w:sz w:val="21"/>
              </w:rPr>
            </w:pPr>
          </w:p>
        </w:tc>
        <w:tc>
          <w:tcPr>
            <w:tcW w:w="886" w:type="dxa"/>
            <w:vMerge w:val="continue"/>
            <w:tcBorders>
              <w:top w:val="nil"/>
              <w:bottom w:val="nil"/>
            </w:tcBorders>
            <w:vAlign w:val="top"/>
          </w:tcPr>
          <w:p w14:paraId="29B26254">
            <w:pPr>
              <w:rPr>
                <w:rFonts w:ascii="Arial"/>
                <w:sz w:val="21"/>
              </w:rPr>
            </w:pPr>
          </w:p>
        </w:tc>
        <w:tc>
          <w:tcPr>
            <w:tcW w:w="879" w:type="dxa"/>
            <w:vAlign w:val="top"/>
          </w:tcPr>
          <w:p w14:paraId="7B21743A">
            <w:pPr>
              <w:pStyle w:val="6"/>
              <w:spacing w:before="146"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4EC8AD3C">
            <w:pPr>
              <w:pStyle w:val="6"/>
              <w:spacing w:before="31" w:line="219" w:lineRule="auto"/>
              <w:ind w:left="56"/>
              <w:rPr>
                <w:sz w:val="18"/>
                <w:szCs w:val="18"/>
              </w:rPr>
            </w:pPr>
            <w:r>
              <w:rPr>
                <w:spacing w:val="-2"/>
                <w:sz w:val="18"/>
                <w:szCs w:val="18"/>
              </w:rPr>
              <w:t>允许排放量要求暂无</w:t>
            </w:r>
          </w:p>
          <w:p w14:paraId="237B082A">
            <w:pPr>
              <w:pStyle w:val="6"/>
              <w:spacing w:before="19" w:line="219" w:lineRule="auto"/>
              <w:ind w:left="52"/>
              <w:rPr>
                <w:sz w:val="18"/>
                <w:szCs w:val="18"/>
              </w:rPr>
            </w:pPr>
            <w:r>
              <w:rPr>
                <w:spacing w:val="-1"/>
                <w:sz w:val="18"/>
                <w:szCs w:val="18"/>
              </w:rPr>
              <w:t>现有源提标升级改造暂无</w:t>
            </w:r>
          </w:p>
          <w:p w14:paraId="74A55881">
            <w:pPr>
              <w:pStyle w:val="6"/>
              <w:spacing w:before="19" w:line="203" w:lineRule="auto"/>
              <w:ind w:left="51"/>
              <w:rPr>
                <w:sz w:val="18"/>
                <w:szCs w:val="18"/>
              </w:rPr>
            </w:pPr>
            <w:r>
              <w:rPr>
                <w:spacing w:val="-1"/>
                <w:sz w:val="18"/>
                <w:szCs w:val="18"/>
              </w:rPr>
              <w:t>其他污染物排放管控要求暂无</w:t>
            </w:r>
          </w:p>
        </w:tc>
        <w:tc>
          <w:tcPr>
            <w:tcW w:w="1695" w:type="dxa"/>
            <w:vAlign w:val="top"/>
          </w:tcPr>
          <w:p w14:paraId="19507A88">
            <w:pPr>
              <w:spacing w:before="289"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73F56234">
            <w:pPr>
              <w:spacing w:before="289"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9C05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43227D87">
            <w:pPr>
              <w:rPr>
                <w:rFonts w:ascii="Arial"/>
                <w:sz w:val="21"/>
              </w:rPr>
            </w:pPr>
          </w:p>
        </w:tc>
        <w:tc>
          <w:tcPr>
            <w:tcW w:w="143" w:type="dxa"/>
            <w:vMerge w:val="continue"/>
            <w:tcBorders>
              <w:top w:val="nil"/>
              <w:bottom w:val="nil"/>
            </w:tcBorders>
            <w:vAlign w:val="top"/>
          </w:tcPr>
          <w:p w14:paraId="67EC6AD5">
            <w:pPr>
              <w:rPr>
                <w:rFonts w:ascii="Arial"/>
                <w:sz w:val="21"/>
              </w:rPr>
            </w:pPr>
          </w:p>
        </w:tc>
        <w:tc>
          <w:tcPr>
            <w:tcW w:w="1011" w:type="dxa"/>
            <w:vMerge w:val="continue"/>
            <w:tcBorders>
              <w:top w:val="nil"/>
              <w:bottom w:val="nil"/>
            </w:tcBorders>
            <w:vAlign w:val="top"/>
          </w:tcPr>
          <w:p w14:paraId="77ADD3F5">
            <w:pPr>
              <w:rPr>
                <w:rFonts w:ascii="Arial"/>
                <w:sz w:val="21"/>
              </w:rPr>
            </w:pPr>
          </w:p>
        </w:tc>
        <w:tc>
          <w:tcPr>
            <w:tcW w:w="886" w:type="dxa"/>
            <w:vMerge w:val="continue"/>
            <w:tcBorders>
              <w:top w:val="nil"/>
              <w:bottom w:val="nil"/>
            </w:tcBorders>
            <w:vAlign w:val="top"/>
          </w:tcPr>
          <w:p w14:paraId="63F994B8">
            <w:pPr>
              <w:rPr>
                <w:rFonts w:ascii="Arial"/>
                <w:sz w:val="21"/>
              </w:rPr>
            </w:pPr>
          </w:p>
        </w:tc>
        <w:tc>
          <w:tcPr>
            <w:tcW w:w="879" w:type="dxa"/>
            <w:vAlign w:val="top"/>
          </w:tcPr>
          <w:p w14:paraId="5A1903C4">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36C56FC6">
            <w:pPr>
              <w:pStyle w:val="6"/>
              <w:spacing w:before="29" w:line="220" w:lineRule="auto"/>
              <w:ind w:left="51"/>
              <w:rPr>
                <w:sz w:val="18"/>
                <w:szCs w:val="18"/>
              </w:rPr>
            </w:pPr>
            <w:r>
              <w:rPr>
                <w:spacing w:val="-1"/>
                <w:sz w:val="18"/>
                <w:szCs w:val="18"/>
              </w:rPr>
              <w:t>联防联控要求暂无</w:t>
            </w:r>
          </w:p>
          <w:p w14:paraId="2B62319D">
            <w:pPr>
              <w:pStyle w:val="6"/>
              <w:spacing w:before="20" w:line="203" w:lineRule="auto"/>
              <w:ind w:left="51"/>
              <w:rPr>
                <w:sz w:val="18"/>
                <w:szCs w:val="18"/>
              </w:rPr>
            </w:pPr>
            <w:r>
              <w:rPr>
                <w:spacing w:val="-1"/>
                <w:sz w:val="18"/>
                <w:szCs w:val="18"/>
              </w:rPr>
              <w:t>其他环境风险防控要求暂无</w:t>
            </w:r>
          </w:p>
        </w:tc>
        <w:tc>
          <w:tcPr>
            <w:tcW w:w="1695" w:type="dxa"/>
            <w:vAlign w:val="top"/>
          </w:tcPr>
          <w:p w14:paraId="47B6CC4B">
            <w:pPr>
              <w:spacing w:before="17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1263C2E">
            <w:pPr>
              <w:spacing w:before="17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5F51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115D189A">
            <w:pPr>
              <w:rPr>
                <w:rFonts w:ascii="Arial"/>
                <w:sz w:val="21"/>
              </w:rPr>
            </w:pPr>
          </w:p>
        </w:tc>
        <w:tc>
          <w:tcPr>
            <w:tcW w:w="143" w:type="dxa"/>
            <w:vMerge w:val="continue"/>
            <w:tcBorders>
              <w:top w:val="nil"/>
              <w:bottom w:val="nil"/>
            </w:tcBorders>
            <w:vAlign w:val="top"/>
          </w:tcPr>
          <w:p w14:paraId="1D2407FF">
            <w:pPr>
              <w:rPr>
                <w:rFonts w:ascii="Arial"/>
                <w:sz w:val="21"/>
              </w:rPr>
            </w:pPr>
          </w:p>
        </w:tc>
        <w:tc>
          <w:tcPr>
            <w:tcW w:w="1011" w:type="dxa"/>
            <w:vMerge w:val="continue"/>
            <w:tcBorders>
              <w:top w:val="nil"/>
              <w:bottom w:val="nil"/>
            </w:tcBorders>
            <w:vAlign w:val="top"/>
          </w:tcPr>
          <w:p w14:paraId="034D8A08">
            <w:pPr>
              <w:rPr>
                <w:rFonts w:ascii="Arial"/>
                <w:sz w:val="21"/>
              </w:rPr>
            </w:pPr>
          </w:p>
        </w:tc>
        <w:tc>
          <w:tcPr>
            <w:tcW w:w="886" w:type="dxa"/>
            <w:vMerge w:val="continue"/>
            <w:tcBorders>
              <w:top w:val="nil"/>
            </w:tcBorders>
            <w:vAlign w:val="top"/>
          </w:tcPr>
          <w:p w14:paraId="0BEB7FA3">
            <w:pPr>
              <w:rPr>
                <w:rFonts w:ascii="Arial"/>
                <w:sz w:val="21"/>
              </w:rPr>
            </w:pPr>
          </w:p>
        </w:tc>
        <w:tc>
          <w:tcPr>
            <w:tcW w:w="879" w:type="dxa"/>
            <w:vAlign w:val="top"/>
          </w:tcPr>
          <w:p w14:paraId="6A626E30">
            <w:pPr>
              <w:spacing w:line="319" w:lineRule="auto"/>
              <w:rPr>
                <w:rFonts w:ascii="Arial"/>
                <w:sz w:val="21"/>
              </w:rPr>
            </w:pPr>
          </w:p>
          <w:p w14:paraId="4B5EF79A">
            <w:pPr>
              <w:pStyle w:val="6"/>
              <w:spacing w:before="59"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7A07F7EC">
            <w:pPr>
              <w:pStyle w:val="6"/>
              <w:spacing w:before="29"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7BF4F087">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13DAE387">
            <w:pPr>
              <w:pStyle w:val="6"/>
              <w:spacing w:before="18" w:line="203" w:lineRule="auto"/>
              <w:ind w:left="51"/>
              <w:rPr>
                <w:sz w:val="18"/>
                <w:szCs w:val="18"/>
              </w:rPr>
            </w:pPr>
            <w:r>
              <w:rPr>
                <w:spacing w:val="-1"/>
                <w:sz w:val="18"/>
                <w:szCs w:val="18"/>
              </w:rPr>
              <w:t>其他资源利用效率要求暂无</w:t>
            </w:r>
          </w:p>
        </w:tc>
        <w:tc>
          <w:tcPr>
            <w:tcW w:w="1695" w:type="dxa"/>
            <w:vAlign w:val="top"/>
          </w:tcPr>
          <w:p w14:paraId="02AB0E7F">
            <w:pPr>
              <w:spacing w:line="468" w:lineRule="auto"/>
              <w:rPr>
                <w:rFonts w:ascii="Arial"/>
                <w:sz w:val="21"/>
              </w:rPr>
            </w:pPr>
          </w:p>
          <w:p w14:paraId="28C38ADB">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3440A1F5">
            <w:pPr>
              <w:spacing w:line="468" w:lineRule="auto"/>
              <w:rPr>
                <w:rFonts w:ascii="Arial"/>
                <w:sz w:val="21"/>
              </w:rPr>
            </w:pPr>
          </w:p>
          <w:p w14:paraId="4BE409CF">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FD4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04995383">
            <w:pPr>
              <w:rPr>
                <w:rFonts w:ascii="Arial"/>
                <w:sz w:val="21"/>
              </w:rPr>
            </w:pPr>
          </w:p>
        </w:tc>
        <w:tc>
          <w:tcPr>
            <w:tcW w:w="143" w:type="dxa"/>
            <w:vMerge w:val="continue"/>
            <w:tcBorders>
              <w:top w:val="nil"/>
              <w:bottom w:val="nil"/>
            </w:tcBorders>
            <w:vAlign w:val="top"/>
          </w:tcPr>
          <w:p w14:paraId="46E11FD4">
            <w:pPr>
              <w:rPr>
                <w:rFonts w:ascii="Arial"/>
                <w:sz w:val="21"/>
              </w:rPr>
            </w:pPr>
          </w:p>
        </w:tc>
        <w:tc>
          <w:tcPr>
            <w:tcW w:w="1011" w:type="dxa"/>
            <w:vMerge w:val="continue"/>
            <w:tcBorders>
              <w:top w:val="nil"/>
              <w:bottom w:val="nil"/>
            </w:tcBorders>
            <w:vAlign w:val="top"/>
          </w:tcPr>
          <w:p w14:paraId="3B9A6129">
            <w:pPr>
              <w:rPr>
                <w:rFonts w:ascii="Arial"/>
                <w:sz w:val="21"/>
              </w:rPr>
            </w:pPr>
          </w:p>
        </w:tc>
        <w:tc>
          <w:tcPr>
            <w:tcW w:w="886" w:type="dxa"/>
            <w:vMerge w:val="restart"/>
            <w:tcBorders>
              <w:bottom w:val="nil"/>
            </w:tcBorders>
            <w:vAlign w:val="top"/>
          </w:tcPr>
          <w:p w14:paraId="44EDA622">
            <w:pPr>
              <w:spacing w:line="340" w:lineRule="auto"/>
              <w:rPr>
                <w:rFonts w:ascii="Arial"/>
                <w:sz w:val="21"/>
              </w:rPr>
            </w:pPr>
          </w:p>
          <w:p w14:paraId="7983FCBF">
            <w:pPr>
              <w:spacing w:line="341" w:lineRule="auto"/>
              <w:rPr>
                <w:rFonts w:ascii="Arial"/>
                <w:sz w:val="21"/>
              </w:rPr>
            </w:pPr>
          </w:p>
          <w:p w14:paraId="55A122AD">
            <w:pPr>
              <w:pStyle w:val="6"/>
              <w:spacing w:before="59" w:line="233" w:lineRule="auto"/>
              <w:ind w:left="50" w:right="118"/>
              <w:jc w:val="both"/>
              <w:rPr>
                <w:sz w:val="18"/>
                <w:szCs w:val="18"/>
              </w:rPr>
            </w:pPr>
            <w:r>
              <w:rPr>
                <w:spacing w:val="-3"/>
                <w:sz w:val="18"/>
                <w:szCs w:val="18"/>
              </w:rPr>
              <w:t>单元级清</w:t>
            </w:r>
            <w:r>
              <w:rPr>
                <w:spacing w:val="2"/>
                <w:sz w:val="18"/>
                <w:szCs w:val="18"/>
              </w:rPr>
              <w:t xml:space="preserve"> </w:t>
            </w:r>
            <w:r>
              <w:rPr>
                <w:spacing w:val="-3"/>
                <w:sz w:val="18"/>
                <w:szCs w:val="18"/>
              </w:rPr>
              <w:t>单管控要</w:t>
            </w:r>
            <w:r>
              <w:rPr>
                <w:spacing w:val="2"/>
                <w:sz w:val="18"/>
                <w:szCs w:val="18"/>
              </w:rPr>
              <w:t xml:space="preserve"> </w:t>
            </w:r>
            <w:r>
              <w:rPr>
                <w:sz w:val="18"/>
                <w:szCs w:val="18"/>
              </w:rPr>
              <w:t>求</w:t>
            </w:r>
          </w:p>
        </w:tc>
        <w:tc>
          <w:tcPr>
            <w:tcW w:w="879" w:type="dxa"/>
            <w:vAlign w:val="top"/>
          </w:tcPr>
          <w:p w14:paraId="55732869">
            <w:pPr>
              <w:pStyle w:val="6"/>
              <w:spacing w:before="33" w:line="220"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2BC186C7">
            <w:pPr>
              <w:spacing w:before="175"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37072E71">
            <w:pPr>
              <w:spacing w:before="175"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2AAFD2B9">
            <w:pPr>
              <w:spacing w:before="175"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53B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7E8F2BD8">
            <w:pPr>
              <w:rPr>
                <w:rFonts w:ascii="Arial"/>
                <w:sz w:val="21"/>
              </w:rPr>
            </w:pPr>
          </w:p>
        </w:tc>
        <w:tc>
          <w:tcPr>
            <w:tcW w:w="143" w:type="dxa"/>
            <w:vMerge w:val="continue"/>
            <w:tcBorders>
              <w:top w:val="nil"/>
              <w:bottom w:val="nil"/>
            </w:tcBorders>
            <w:vAlign w:val="top"/>
          </w:tcPr>
          <w:p w14:paraId="5AE48216">
            <w:pPr>
              <w:rPr>
                <w:rFonts w:ascii="Arial"/>
                <w:sz w:val="21"/>
              </w:rPr>
            </w:pPr>
          </w:p>
        </w:tc>
        <w:tc>
          <w:tcPr>
            <w:tcW w:w="1011" w:type="dxa"/>
            <w:vMerge w:val="continue"/>
            <w:tcBorders>
              <w:top w:val="nil"/>
              <w:bottom w:val="nil"/>
            </w:tcBorders>
            <w:vAlign w:val="top"/>
          </w:tcPr>
          <w:p w14:paraId="38D9ACD5">
            <w:pPr>
              <w:rPr>
                <w:rFonts w:ascii="Arial"/>
                <w:sz w:val="21"/>
              </w:rPr>
            </w:pPr>
          </w:p>
        </w:tc>
        <w:tc>
          <w:tcPr>
            <w:tcW w:w="886" w:type="dxa"/>
            <w:vMerge w:val="continue"/>
            <w:tcBorders>
              <w:top w:val="nil"/>
              <w:bottom w:val="nil"/>
            </w:tcBorders>
            <w:vAlign w:val="top"/>
          </w:tcPr>
          <w:p w14:paraId="7ADA4227">
            <w:pPr>
              <w:rPr>
                <w:rFonts w:ascii="Arial"/>
                <w:sz w:val="21"/>
              </w:rPr>
            </w:pPr>
          </w:p>
        </w:tc>
        <w:tc>
          <w:tcPr>
            <w:tcW w:w="879" w:type="dxa"/>
            <w:vAlign w:val="top"/>
          </w:tcPr>
          <w:p w14:paraId="22D9E2FF">
            <w:pPr>
              <w:pStyle w:val="6"/>
              <w:spacing w:before="31" w:line="221"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1BF6BED6">
            <w:pPr>
              <w:spacing w:before="173"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354781FA">
            <w:pPr>
              <w:spacing w:before="173"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69B1AABE">
            <w:pPr>
              <w:spacing w:before="173"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2978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vAlign w:val="top"/>
          </w:tcPr>
          <w:p w14:paraId="5F1A2D18">
            <w:pPr>
              <w:rPr>
                <w:rFonts w:ascii="Arial"/>
                <w:sz w:val="21"/>
              </w:rPr>
            </w:pPr>
          </w:p>
        </w:tc>
        <w:tc>
          <w:tcPr>
            <w:tcW w:w="143" w:type="dxa"/>
            <w:vMerge w:val="continue"/>
            <w:tcBorders>
              <w:top w:val="nil"/>
              <w:bottom w:val="nil"/>
            </w:tcBorders>
            <w:vAlign w:val="top"/>
          </w:tcPr>
          <w:p w14:paraId="2BD9D90C">
            <w:pPr>
              <w:rPr>
                <w:rFonts w:ascii="Arial"/>
                <w:sz w:val="21"/>
              </w:rPr>
            </w:pPr>
          </w:p>
        </w:tc>
        <w:tc>
          <w:tcPr>
            <w:tcW w:w="1011" w:type="dxa"/>
            <w:vMerge w:val="continue"/>
            <w:tcBorders>
              <w:top w:val="nil"/>
              <w:bottom w:val="nil"/>
            </w:tcBorders>
            <w:vAlign w:val="top"/>
          </w:tcPr>
          <w:p w14:paraId="37F7B076">
            <w:pPr>
              <w:rPr>
                <w:rFonts w:ascii="Arial"/>
                <w:sz w:val="21"/>
              </w:rPr>
            </w:pPr>
          </w:p>
        </w:tc>
        <w:tc>
          <w:tcPr>
            <w:tcW w:w="886" w:type="dxa"/>
            <w:vMerge w:val="continue"/>
            <w:tcBorders>
              <w:top w:val="nil"/>
              <w:bottom w:val="nil"/>
            </w:tcBorders>
            <w:vAlign w:val="top"/>
          </w:tcPr>
          <w:p w14:paraId="5457A15E">
            <w:pPr>
              <w:rPr>
                <w:rFonts w:ascii="Arial"/>
                <w:sz w:val="21"/>
              </w:rPr>
            </w:pPr>
          </w:p>
        </w:tc>
        <w:tc>
          <w:tcPr>
            <w:tcW w:w="879" w:type="dxa"/>
            <w:vAlign w:val="top"/>
          </w:tcPr>
          <w:p w14:paraId="4D087F44">
            <w:pPr>
              <w:pStyle w:val="6"/>
              <w:spacing w:before="30" w:line="221"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61A06CAD">
            <w:pPr>
              <w:spacing w:before="174"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6C0DDC3C">
            <w:pPr>
              <w:spacing w:before="174"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12FB3DCF">
            <w:pPr>
              <w:spacing w:before="174"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B1A2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5" w:type="dxa"/>
            <w:vMerge w:val="continue"/>
            <w:tcBorders>
              <w:top w:val="nil"/>
              <w:bottom w:val="nil"/>
            </w:tcBorders>
            <w:vAlign w:val="top"/>
          </w:tcPr>
          <w:p w14:paraId="729D2AA2">
            <w:pPr>
              <w:rPr>
                <w:rFonts w:ascii="Arial"/>
                <w:sz w:val="21"/>
              </w:rPr>
            </w:pPr>
          </w:p>
        </w:tc>
        <w:tc>
          <w:tcPr>
            <w:tcW w:w="143" w:type="dxa"/>
            <w:vMerge w:val="continue"/>
            <w:tcBorders>
              <w:top w:val="nil"/>
              <w:bottom w:val="nil"/>
            </w:tcBorders>
            <w:vAlign w:val="top"/>
          </w:tcPr>
          <w:p w14:paraId="169BD497">
            <w:pPr>
              <w:rPr>
                <w:rFonts w:ascii="Arial"/>
                <w:sz w:val="21"/>
              </w:rPr>
            </w:pPr>
          </w:p>
        </w:tc>
        <w:tc>
          <w:tcPr>
            <w:tcW w:w="1011" w:type="dxa"/>
            <w:vMerge w:val="continue"/>
            <w:tcBorders>
              <w:top w:val="nil"/>
            </w:tcBorders>
            <w:vAlign w:val="top"/>
          </w:tcPr>
          <w:p w14:paraId="26908646">
            <w:pPr>
              <w:rPr>
                <w:rFonts w:ascii="Arial"/>
                <w:sz w:val="21"/>
              </w:rPr>
            </w:pPr>
          </w:p>
        </w:tc>
        <w:tc>
          <w:tcPr>
            <w:tcW w:w="886" w:type="dxa"/>
            <w:vMerge w:val="continue"/>
            <w:tcBorders>
              <w:top w:val="nil"/>
            </w:tcBorders>
            <w:vAlign w:val="top"/>
          </w:tcPr>
          <w:p w14:paraId="382E698C">
            <w:pPr>
              <w:rPr>
                <w:rFonts w:ascii="Arial"/>
                <w:sz w:val="21"/>
              </w:rPr>
            </w:pPr>
          </w:p>
        </w:tc>
        <w:tc>
          <w:tcPr>
            <w:tcW w:w="879" w:type="dxa"/>
            <w:vAlign w:val="top"/>
          </w:tcPr>
          <w:p w14:paraId="6245B585">
            <w:pPr>
              <w:pStyle w:val="6"/>
              <w:spacing w:before="147"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29DA75D6">
            <w:pPr>
              <w:pStyle w:val="6"/>
              <w:spacing w:before="32" w:line="227" w:lineRule="auto"/>
              <w:ind w:right="4654"/>
              <w:jc w:val="both"/>
              <w:rPr>
                <w:sz w:val="18"/>
                <w:szCs w:val="18"/>
              </w:rPr>
            </w:pPr>
            <w:r>
              <w:rPr>
                <w:spacing w:val="-2"/>
                <w:sz w:val="18"/>
                <w:szCs w:val="18"/>
              </w:rPr>
              <w:t>土地资源开发效率要求</w:t>
            </w:r>
            <w:r>
              <w:rPr>
                <w:spacing w:val="2"/>
                <w:sz w:val="18"/>
                <w:szCs w:val="18"/>
              </w:rPr>
              <w:t xml:space="preserve"> </w:t>
            </w:r>
            <w:r>
              <w:rPr>
                <w:spacing w:val="-2"/>
                <w:sz w:val="18"/>
                <w:szCs w:val="18"/>
              </w:rPr>
              <w:t>能源资源开发效率要求</w:t>
            </w:r>
            <w:r>
              <w:rPr>
                <w:spacing w:val="2"/>
                <w:sz w:val="18"/>
                <w:szCs w:val="18"/>
              </w:rPr>
              <w:t xml:space="preserve"> </w:t>
            </w:r>
            <w:r>
              <w:rPr>
                <w:spacing w:val="-2"/>
                <w:sz w:val="18"/>
                <w:szCs w:val="18"/>
              </w:rPr>
              <w:t>其他资源开发效率要求</w:t>
            </w:r>
          </w:p>
        </w:tc>
        <w:tc>
          <w:tcPr>
            <w:tcW w:w="1695" w:type="dxa"/>
            <w:vAlign w:val="top"/>
          </w:tcPr>
          <w:p w14:paraId="07B37C2C">
            <w:pPr>
              <w:rPr>
                <w:rFonts w:ascii="Arial"/>
                <w:sz w:val="21"/>
              </w:rPr>
            </w:pPr>
          </w:p>
          <w:p w14:paraId="314B59DA">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E7DCCD1">
            <w:pPr>
              <w:rPr>
                <w:rFonts w:ascii="Arial"/>
                <w:sz w:val="21"/>
              </w:rPr>
            </w:pPr>
          </w:p>
          <w:p w14:paraId="2EB2E44E">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88DC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05" w:type="dxa"/>
            <w:vMerge w:val="continue"/>
            <w:tcBorders>
              <w:top w:val="nil"/>
            </w:tcBorders>
            <w:vAlign w:val="top"/>
          </w:tcPr>
          <w:p w14:paraId="5DBBF10C">
            <w:pPr>
              <w:rPr>
                <w:rFonts w:ascii="Arial"/>
                <w:sz w:val="21"/>
              </w:rPr>
            </w:pPr>
          </w:p>
        </w:tc>
        <w:tc>
          <w:tcPr>
            <w:tcW w:w="11766" w:type="dxa"/>
            <w:gridSpan w:val="7"/>
            <w:vAlign w:val="top"/>
          </w:tcPr>
          <w:p w14:paraId="140F990E">
            <w:pPr>
              <w:pStyle w:val="6"/>
              <w:spacing w:before="143" w:line="227" w:lineRule="auto"/>
              <w:ind w:left="533"/>
              <w:rPr>
                <w:sz w:val="20"/>
                <w:szCs w:val="20"/>
              </w:rPr>
            </w:pPr>
            <w:r>
              <w:rPr>
                <w:spacing w:val="8"/>
                <w:sz w:val="20"/>
                <w:szCs w:val="20"/>
              </w:rPr>
              <w:t>本项目的建设符合“三线一单</w:t>
            </w:r>
            <w:r>
              <w:rPr>
                <w:spacing w:val="-66"/>
                <w:sz w:val="20"/>
                <w:szCs w:val="20"/>
              </w:rPr>
              <w:t xml:space="preserve"> </w:t>
            </w:r>
            <w:r>
              <w:rPr>
                <w:spacing w:val="8"/>
                <w:sz w:val="20"/>
                <w:szCs w:val="20"/>
              </w:rPr>
              <w:t>”管控机制要求，项目建设可行。</w:t>
            </w:r>
          </w:p>
        </w:tc>
      </w:tr>
    </w:tbl>
    <w:p w14:paraId="0BF4B766">
      <w:pPr>
        <w:pStyle w:val="2"/>
      </w:pPr>
    </w:p>
    <w:p w14:paraId="58CEF90E">
      <w:pPr>
        <w:sectPr>
          <w:footerReference r:id="rId21" w:type="default"/>
          <w:pgSz w:w="16839" w:h="11906"/>
          <w:pgMar w:top="1012" w:right="1681" w:bottom="1259" w:left="1680" w:header="0" w:footer="1080" w:gutter="0"/>
          <w:cols w:space="720" w:num="1"/>
        </w:sectPr>
      </w:pPr>
    </w:p>
    <w:p w14:paraId="4DE1FA12">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1F337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97" w:hRule="atLeast"/>
        </w:trPr>
        <w:tc>
          <w:tcPr>
            <w:tcW w:w="1829" w:type="dxa"/>
            <w:vAlign w:val="top"/>
          </w:tcPr>
          <w:p w14:paraId="2279537C">
            <w:pPr>
              <w:spacing w:line="243" w:lineRule="auto"/>
              <w:rPr>
                <w:rFonts w:ascii="Arial"/>
                <w:sz w:val="21"/>
              </w:rPr>
            </w:pPr>
          </w:p>
          <w:p w14:paraId="7BE44A3F">
            <w:pPr>
              <w:spacing w:line="243" w:lineRule="auto"/>
              <w:rPr>
                <w:rFonts w:ascii="Arial"/>
                <w:sz w:val="21"/>
              </w:rPr>
            </w:pPr>
          </w:p>
          <w:p w14:paraId="231E4132">
            <w:pPr>
              <w:spacing w:line="243" w:lineRule="auto"/>
              <w:rPr>
                <w:rFonts w:ascii="Arial"/>
                <w:sz w:val="21"/>
              </w:rPr>
            </w:pPr>
          </w:p>
          <w:p w14:paraId="1179B55C">
            <w:pPr>
              <w:spacing w:line="243" w:lineRule="auto"/>
              <w:rPr>
                <w:rFonts w:ascii="Arial"/>
                <w:sz w:val="21"/>
              </w:rPr>
            </w:pPr>
          </w:p>
          <w:p w14:paraId="7CD380DE">
            <w:pPr>
              <w:spacing w:line="243" w:lineRule="auto"/>
              <w:rPr>
                <w:rFonts w:ascii="Arial"/>
                <w:sz w:val="21"/>
              </w:rPr>
            </w:pPr>
          </w:p>
          <w:p w14:paraId="738B83F5">
            <w:pPr>
              <w:spacing w:line="243" w:lineRule="auto"/>
              <w:rPr>
                <w:rFonts w:ascii="Arial"/>
                <w:sz w:val="21"/>
              </w:rPr>
            </w:pPr>
          </w:p>
          <w:p w14:paraId="7D010C43">
            <w:pPr>
              <w:spacing w:line="243" w:lineRule="auto"/>
              <w:rPr>
                <w:rFonts w:ascii="Arial"/>
                <w:sz w:val="21"/>
              </w:rPr>
            </w:pPr>
          </w:p>
          <w:p w14:paraId="352D4CF1">
            <w:pPr>
              <w:spacing w:line="243" w:lineRule="auto"/>
              <w:rPr>
                <w:rFonts w:ascii="Arial"/>
                <w:sz w:val="21"/>
              </w:rPr>
            </w:pPr>
          </w:p>
          <w:p w14:paraId="527D08DD">
            <w:pPr>
              <w:spacing w:line="243" w:lineRule="auto"/>
              <w:rPr>
                <w:rFonts w:ascii="Arial"/>
                <w:sz w:val="21"/>
              </w:rPr>
            </w:pPr>
          </w:p>
          <w:p w14:paraId="7AD6F657">
            <w:pPr>
              <w:spacing w:line="243" w:lineRule="auto"/>
              <w:rPr>
                <w:rFonts w:ascii="Arial"/>
                <w:sz w:val="21"/>
              </w:rPr>
            </w:pPr>
          </w:p>
          <w:p w14:paraId="20658F1B">
            <w:pPr>
              <w:spacing w:line="243" w:lineRule="auto"/>
              <w:rPr>
                <w:rFonts w:ascii="Arial"/>
                <w:sz w:val="21"/>
              </w:rPr>
            </w:pPr>
          </w:p>
          <w:p w14:paraId="01DAB3B1">
            <w:pPr>
              <w:spacing w:line="244" w:lineRule="auto"/>
              <w:rPr>
                <w:rFonts w:ascii="Arial"/>
                <w:sz w:val="21"/>
              </w:rPr>
            </w:pPr>
          </w:p>
          <w:p w14:paraId="6E7FEAC5">
            <w:pPr>
              <w:spacing w:line="244" w:lineRule="auto"/>
              <w:rPr>
                <w:rFonts w:ascii="Arial"/>
                <w:sz w:val="21"/>
              </w:rPr>
            </w:pPr>
          </w:p>
          <w:p w14:paraId="2A7EA14D">
            <w:pPr>
              <w:spacing w:line="244" w:lineRule="auto"/>
              <w:rPr>
                <w:rFonts w:ascii="Arial"/>
                <w:sz w:val="21"/>
              </w:rPr>
            </w:pPr>
          </w:p>
          <w:p w14:paraId="70BCB4BD">
            <w:pPr>
              <w:spacing w:line="244" w:lineRule="auto"/>
              <w:rPr>
                <w:rFonts w:ascii="Arial"/>
                <w:sz w:val="21"/>
              </w:rPr>
            </w:pPr>
          </w:p>
          <w:p w14:paraId="1E403F28">
            <w:pPr>
              <w:spacing w:line="244" w:lineRule="auto"/>
              <w:rPr>
                <w:rFonts w:ascii="Arial"/>
                <w:sz w:val="21"/>
              </w:rPr>
            </w:pPr>
          </w:p>
          <w:p w14:paraId="3A849D3A">
            <w:pPr>
              <w:spacing w:line="244" w:lineRule="auto"/>
              <w:rPr>
                <w:rFonts w:ascii="Arial"/>
                <w:sz w:val="21"/>
              </w:rPr>
            </w:pPr>
          </w:p>
          <w:p w14:paraId="5A657227">
            <w:pPr>
              <w:spacing w:line="244" w:lineRule="auto"/>
              <w:rPr>
                <w:rFonts w:ascii="Arial"/>
                <w:sz w:val="21"/>
              </w:rPr>
            </w:pPr>
          </w:p>
          <w:p w14:paraId="195CA5DF">
            <w:pPr>
              <w:spacing w:line="244" w:lineRule="auto"/>
              <w:rPr>
                <w:rFonts w:ascii="Arial"/>
                <w:sz w:val="21"/>
              </w:rPr>
            </w:pPr>
          </w:p>
          <w:p w14:paraId="5BD8E259">
            <w:pPr>
              <w:spacing w:line="244" w:lineRule="auto"/>
              <w:rPr>
                <w:rFonts w:ascii="Arial"/>
                <w:sz w:val="21"/>
              </w:rPr>
            </w:pPr>
          </w:p>
          <w:p w14:paraId="6EDAC1CF">
            <w:pPr>
              <w:spacing w:line="244" w:lineRule="auto"/>
              <w:rPr>
                <w:rFonts w:ascii="Arial"/>
                <w:sz w:val="21"/>
              </w:rPr>
            </w:pPr>
          </w:p>
          <w:p w14:paraId="525EBB08">
            <w:pPr>
              <w:spacing w:line="244" w:lineRule="auto"/>
              <w:rPr>
                <w:rFonts w:ascii="Arial"/>
                <w:sz w:val="21"/>
              </w:rPr>
            </w:pPr>
          </w:p>
          <w:p w14:paraId="508A1891">
            <w:pPr>
              <w:spacing w:line="244" w:lineRule="auto"/>
              <w:rPr>
                <w:rFonts w:ascii="Arial"/>
                <w:sz w:val="21"/>
              </w:rPr>
            </w:pPr>
          </w:p>
          <w:p w14:paraId="3020AF13">
            <w:pPr>
              <w:spacing w:line="244" w:lineRule="auto"/>
              <w:rPr>
                <w:rFonts w:ascii="Arial"/>
                <w:sz w:val="21"/>
              </w:rPr>
            </w:pPr>
          </w:p>
          <w:p w14:paraId="1FFCB1EB">
            <w:pPr>
              <w:pStyle w:val="6"/>
              <w:spacing w:before="65" w:line="228" w:lineRule="auto"/>
              <w:ind w:left="116"/>
              <w:rPr>
                <w:sz w:val="20"/>
                <w:szCs w:val="20"/>
              </w:rPr>
            </w:pPr>
            <w:r>
              <w:rPr>
                <w:spacing w:val="8"/>
                <w:sz w:val="20"/>
                <w:szCs w:val="20"/>
              </w:rPr>
              <w:t>其他符合性分析</w:t>
            </w:r>
          </w:p>
        </w:tc>
        <w:tc>
          <w:tcPr>
            <w:tcW w:w="6985" w:type="dxa"/>
            <w:vAlign w:val="top"/>
          </w:tcPr>
          <w:p w14:paraId="4DDB8ADC">
            <w:pPr>
              <w:spacing w:before="136" w:line="222" w:lineRule="auto"/>
              <w:ind w:left="91"/>
              <w:rPr>
                <w:rFonts w:ascii="黑体" w:hAnsi="黑体" w:eastAsia="黑体" w:cs="黑体"/>
                <w:sz w:val="22"/>
                <w:szCs w:val="22"/>
              </w:rPr>
            </w:pPr>
            <w:r>
              <w:rPr>
                <w:rFonts w:ascii="黑体" w:hAnsi="黑体" w:eastAsia="黑体" w:cs="黑体"/>
                <w:spacing w:val="-1"/>
                <w:sz w:val="22"/>
                <w:szCs w:val="22"/>
              </w:rPr>
              <w:t>4、用地规划的符合性分析</w:t>
            </w:r>
          </w:p>
          <w:p w14:paraId="0BC6BC53">
            <w:pPr>
              <w:pStyle w:val="6"/>
              <w:spacing w:before="134" w:line="329" w:lineRule="auto"/>
              <w:ind w:left="100" w:right="87" w:firstLine="436"/>
            </w:pPr>
            <w:r>
              <w:rPr>
                <w:spacing w:val="-1"/>
              </w:rPr>
              <w:t>本项目为非金属矿物制品制造项目，位于通川区东岳新型工业集聚</w:t>
            </w:r>
            <w:r>
              <w:rPr>
                <w:spacing w:val="1"/>
              </w:rPr>
              <w:t xml:space="preserve"> </w:t>
            </w:r>
            <w:r>
              <w:rPr>
                <w:spacing w:val="5"/>
              </w:rPr>
              <w:t>区，根据通川区</w:t>
            </w:r>
            <w:r>
              <w:rPr>
                <w:spacing w:val="5"/>
                <w:sz w:val="20"/>
                <w:szCs w:val="20"/>
              </w:rPr>
              <w:t>东岳新型工业集聚区土地利用规划，</w:t>
            </w:r>
            <w:r>
              <w:rPr>
                <w:spacing w:val="4"/>
                <w:sz w:val="20"/>
                <w:szCs w:val="20"/>
              </w:rPr>
              <w:t>本项目占</w:t>
            </w:r>
            <w:r>
              <w:rPr>
                <w:spacing w:val="4"/>
              </w:rPr>
              <w:t>用地范围属</w:t>
            </w:r>
            <w:r>
              <w:t xml:space="preserve"> </w:t>
            </w:r>
            <w:r>
              <w:rPr>
                <w:spacing w:val="-1"/>
              </w:rPr>
              <w:t>于规划的二类工业用地。本项目为非金属矿物制品制造项目，属于工业</w:t>
            </w:r>
            <w:r>
              <w:t xml:space="preserve"> </w:t>
            </w:r>
            <w:r>
              <w:rPr>
                <w:spacing w:val="-1"/>
              </w:rPr>
              <w:t>项目。因此，本项目用地符合规划要求。</w:t>
            </w:r>
          </w:p>
          <w:p w14:paraId="19444983">
            <w:pPr>
              <w:pStyle w:val="6"/>
              <w:spacing w:before="33" w:line="321" w:lineRule="auto"/>
              <w:ind w:left="102" w:right="291" w:firstLine="434"/>
            </w:pPr>
            <w:r>
              <w:rPr>
                <w:spacing w:val="-1"/>
              </w:rPr>
              <w:t>本项目用地已取得通川区东岳新型工业集聚区建设工作指挥部同</w:t>
            </w:r>
            <w:r>
              <w:rPr>
                <w:spacing w:val="18"/>
              </w:rPr>
              <w:t xml:space="preserve"> </w:t>
            </w:r>
            <w:r>
              <w:rPr>
                <w:spacing w:val="-3"/>
              </w:rPr>
              <w:t>意。</w:t>
            </w:r>
            <w:r>
              <w:rPr>
                <w:spacing w:val="-47"/>
              </w:rPr>
              <w:t xml:space="preserve"> </w:t>
            </w:r>
            <w:r>
              <w:rPr>
                <w:spacing w:val="-3"/>
              </w:rPr>
              <w:t>目前，正在由区自然资源局按程序完善相关用地手续。</w:t>
            </w:r>
          </w:p>
          <w:p w14:paraId="22202139">
            <w:pPr>
              <w:spacing w:before="34" w:line="222" w:lineRule="auto"/>
              <w:ind w:left="91"/>
              <w:rPr>
                <w:rFonts w:ascii="黑体" w:hAnsi="黑体" w:eastAsia="黑体" w:cs="黑体"/>
                <w:sz w:val="22"/>
                <w:szCs w:val="22"/>
              </w:rPr>
            </w:pPr>
            <w:r>
              <w:rPr>
                <w:rFonts w:ascii="黑体" w:hAnsi="黑体" w:eastAsia="黑体" w:cs="黑体"/>
                <w:sz w:val="22"/>
                <w:szCs w:val="22"/>
              </w:rPr>
              <w:t>5、与长江保护法、嘉陵江流域保护条例的</w:t>
            </w:r>
            <w:r>
              <w:rPr>
                <w:rFonts w:ascii="黑体" w:hAnsi="黑体" w:eastAsia="黑体" w:cs="黑体"/>
                <w:spacing w:val="-1"/>
                <w:sz w:val="22"/>
                <w:szCs w:val="22"/>
              </w:rPr>
              <w:t>符合性分析</w:t>
            </w:r>
          </w:p>
          <w:p w14:paraId="49A02BB1">
            <w:pPr>
              <w:pStyle w:val="6"/>
              <w:spacing w:before="137" w:line="326" w:lineRule="auto"/>
              <w:ind w:left="97" w:right="89" w:firstLine="475"/>
            </w:pPr>
            <w:r>
              <w:rPr>
                <w:spacing w:val="-2"/>
              </w:rPr>
              <w:t>自</w:t>
            </w:r>
            <w:r>
              <w:rPr>
                <w:rFonts w:ascii="Times New Roman" w:hAnsi="Times New Roman" w:eastAsia="Times New Roman" w:cs="Times New Roman"/>
                <w:spacing w:val="-2"/>
              </w:rPr>
              <w:t>2021</w:t>
            </w:r>
            <w:r>
              <w:rPr>
                <w:spacing w:val="-2"/>
              </w:rPr>
              <w:t>年</w:t>
            </w:r>
            <w:r>
              <w:rPr>
                <w:rFonts w:ascii="Times New Roman" w:hAnsi="Times New Roman" w:eastAsia="Times New Roman" w:cs="Times New Roman"/>
                <w:spacing w:val="-2"/>
              </w:rPr>
              <w:t>3</w:t>
            </w:r>
            <w:r>
              <w:rPr>
                <w:spacing w:val="-2"/>
              </w:rPr>
              <w:t>月</w:t>
            </w:r>
            <w:r>
              <w:rPr>
                <w:rFonts w:ascii="Times New Roman" w:hAnsi="Times New Roman" w:eastAsia="Times New Roman" w:cs="Times New Roman"/>
                <w:spacing w:val="-2"/>
              </w:rPr>
              <w:t>1</w:t>
            </w:r>
            <w:r>
              <w:rPr>
                <w:spacing w:val="-2"/>
              </w:rPr>
              <w:t>日起施行的《中华人民共和国长江保护法》，是为了</w:t>
            </w:r>
            <w:r>
              <w:t xml:space="preserve"> </w:t>
            </w:r>
            <w:r>
              <w:rPr>
                <w:spacing w:val="-1"/>
              </w:rPr>
              <w:t>加强长江流域生态环境保护和修复，促进资源合理高效利用，保障生态</w:t>
            </w:r>
            <w:r>
              <w:rPr>
                <w:spacing w:val="3"/>
              </w:rPr>
              <w:t xml:space="preserve"> </w:t>
            </w:r>
            <w:r>
              <w:rPr>
                <w:spacing w:val="-1"/>
              </w:rPr>
              <w:t>安全，实现人与自然和谐共生、中华民族永续发展制定的法律。</w:t>
            </w:r>
          </w:p>
          <w:p w14:paraId="0F40AFB3">
            <w:pPr>
              <w:pStyle w:val="6"/>
              <w:spacing w:before="32" w:line="321" w:lineRule="auto"/>
              <w:ind w:left="100" w:right="291" w:firstLine="431"/>
            </w:pPr>
            <w:r>
              <w:rPr>
                <w:rFonts w:ascii="Times New Roman" w:hAnsi="Times New Roman" w:eastAsia="Times New Roman" w:cs="Times New Roman"/>
              </w:rPr>
              <w:t>2021</w:t>
            </w:r>
            <w:r>
              <w:t>年</w:t>
            </w:r>
            <w:r>
              <w:rPr>
                <w:rFonts w:ascii="Times New Roman" w:hAnsi="Times New Roman" w:eastAsia="Times New Roman" w:cs="Times New Roman"/>
              </w:rPr>
              <w:t>11</w:t>
            </w:r>
            <w:r>
              <w:t>月</w:t>
            </w:r>
            <w:r>
              <w:rPr>
                <w:rFonts w:ascii="Times New Roman" w:hAnsi="Times New Roman" w:eastAsia="Times New Roman" w:cs="Times New Roman"/>
              </w:rPr>
              <w:t>25</w:t>
            </w:r>
            <w:r>
              <w:t>日四川省第十三届人民代表大会常务委</w:t>
            </w:r>
            <w:r>
              <w:rPr>
                <w:spacing w:val="-1"/>
              </w:rPr>
              <w:t>员会第三十</w:t>
            </w:r>
            <w:r>
              <w:t xml:space="preserve"> </w:t>
            </w:r>
            <w:r>
              <w:rPr>
                <w:spacing w:val="-1"/>
              </w:rPr>
              <w:t>一会议通过了《四川省嘉陵江流域生态环境保护条例》。</w:t>
            </w:r>
          </w:p>
          <w:p w14:paraId="65ADBCFF">
            <w:pPr>
              <w:pStyle w:val="6"/>
              <w:spacing w:before="35" w:line="219" w:lineRule="auto"/>
              <w:ind w:left="527"/>
            </w:pPr>
            <w:r>
              <w:t>本项目与长江保护法及嘉陵江流域保护条例</w:t>
            </w:r>
            <w:r>
              <w:rPr>
                <w:spacing w:val="-1"/>
              </w:rPr>
              <w:t>的符合性分析见下表。</w:t>
            </w:r>
          </w:p>
          <w:p w14:paraId="413999C8">
            <w:pPr>
              <w:pStyle w:val="6"/>
              <w:spacing w:before="93" w:line="219" w:lineRule="auto"/>
              <w:ind w:left="687"/>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1-5      </w:t>
            </w:r>
            <w:r>
              <w:rPr>
                <w:b/>
                <w:bCs/>
                <w:spacing w:val="-2"/>
                <w:sz w:val="18"/>
                <w:szCs w:val="18"/>
              </w:rPr>
              <w:t>本项目与“长江保护法及嘉陵江流域保护条例</w:t>
            </w:r>
            <w:r>
              <w:rPr>
                <w:spacing w:val="-66"/>
                <w:sz w:val="18"/>
                <w:szCs w:val="18"/>
              </w:rPr>
              <w:t xml:space="preserve"> </w:t>
            </w:r>
            <w:r>
              <w:rPr>
                <w:b/>
                <w:bCs/>
                <w:spacing w:val="-3"/>
                <w:sz w:val="18"/>
                <w:szCs w:val="18"/>
              </w:rPr>
              <w:t>”的符合性分析</w:t>
            </w:r>
          </w:p>
          <w:p w14:paraId="16667775">
            <w:pPr>
              <w:spacing w:line="16" w:lineRule="auto"/>
              <w:rPr>
                <w:rFonts w:ascii="Arial"/>
                <w:sz w:val="2"/>
              </w:rPr>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319"/>
              <w:gridCol w:w="2042"/>
              <w:gridCol w:w="713"/>
            </w:tblGrid>
            <w:tr w14:paraId="370D2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88" w:type="dxa"/>
                  <w:vAlign w:val="top"/>
                </w:tcPr>
                <w:p w14:paraId="71AC9553">
                  <w:pPr>
                    <w:pStyle w:val="6"/>
                    <w:spacing w:before="42" w:line="202" w:lineRule="auto"/>
                    <w:ind w:left="167"/>
                    <w:rPr>
                      <w:sz w:val="18"/>
                      <w:szCs w:val="18"/>
                    </w:rPr>
                  </w:pPr>
                  <w:r>
                    <w:rPr>
                      <w:b/>
                      <w:bCs/>
                      <w:spacing w:val="-6"/>
                      <w:sz w:val="18"/>
                      <w:szCs w:val="18"/>
                    </w:rPr>
                    <w:t>序号</w:t>
                  </w:r>
                </w:p>
              </w:tc>
              <w:tc>
                <w:tcPr>
                  <w:tcW w:w="3319" w:type="dxa"/>
                  <w:vAlign w:val="top"/>
                </w:tcPr>
                <w:p w14:paraId="629D3208">
                  <w:pPr>
                    <w:pStyle w:val="6"/>
                    <w:spacing w:before="42" w:line="202" w:lineRule="auto"/>
                    <w:ind w:left="1305"/>
                    <w:rPr>
                      <w:sz w:val="18"/>
                      <w:szCs w:val="18"/>
                    </w:rPr>
                  </w:pPr>
                  <w:r>
                    <w:rPr>
                      <w:b/>
                      <w:bCs/>
                      <w:spacing w:val="-5"/>
                      <w:sz w:val="18"/>
                      <w:szCs w:val="18"/>
                    </w:rPr>
                    <w:t>原文内容</w:t>
                  </w:r>
                </w:p>
              </w:tc>
              <w:tc>
                <w:tcPr>
                  <w:tcW w:w="2042" w:type="dxa"/>
                  <w:vAlign w:val="top"/>
                </w:tcPr>
                <w:p w14:paraId="73B71D0A">
                  <w:pPr>
                    <w:pStyle w:val="6"/>
                    <w:spacing w:before="42" w:line="202" w:lineRule="auto"/>
                    <w:ind w:left="575"/>
                    <w:rPr>
                      <w:sz w:val="18"/>
                      <w:szCs w:val="18"/>
                    </w:rPr>
                  </w:pPr>
                  <w:r>
                    <w:rPr>
                      <w:b/>
                      <w:bCs/>
                      <w:spacing w:val="-3"/>
                      <w:sz w:val="18"/>
                      <w:szCs w:val="18"/>
                    </w:rPr>
                    <w:t>本项目情况</w:t>
                  </w:r>
                </w:p>
              </w:tc>
              <w:tc>
                <w:tcPr>
                  <w:tcW w:w="713" w:type="dxa"/>
                  <w:vAlign w:val="top"/>
                </w:tcPr>
                <w:p w14:paraId="04A7197C">
                  <w:pPr>
                    <w:pStyle w:val="6"/>
                    <w:spacing w:before="42" w:line="202" w:lineRule="auto"/>
                    <w:ind w:left="91"/>
                    <w:rPr>
                      <w:sz w:val="18"/>
                      <w:szCs w:val="18"/>
                    </w:rPr>
                  </w:pPr>
                  <w:r>
                    <w:rPr>
                      <w:b/>
                      <w:bCs/>
                      <w:spacing w:val="-4"/>
                      <w:sz w:val="18"/>
                      <w:szCs w:val="18"/>
                    </w:rPr>
                    <w:t>符合性</w:t>
                  </w:r>
                </w:p>
              </w:tc>
            </w:tr>
            <w:tr w14:paraId="68A54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688" w:type="dxa"/>
                  <w:vAlign w:val="top"/>
                </w:tcPr>
                <w:p w14:paraId="57A9D097">
                  <w:pPr>
                    <w:pStyle w:val="6"/>
                    <w:spacing w:before="107" w:line="128" w:lineRule="exact"/>
                    <w:ind w:left="259"/>
                    <w:rPr>
                      <w:sz w:val="18"/>
                      <w:szCs w:val="18"/>
                    </w:rPr>
                  </w:pPr>
                  <w:r>
                    <w:rPr>
                      <w:b/>
                      <w:bCs/>
                      <w:spacing w:val="-2"/>
                      <w:position w:val="-4"/>
                      <w:sz w:val="18"/>
                      <w:szCs w:val="18"/>
                    </w:rPr>
                    <w:t>一</w:t>
                  </w:r>
                </w:p>
              </w:tc>
              <w:tc>
                <w:tcPr>
                  <w:tcW w:w="6074" w:type="dxa"/>
                  <w:gridSpan w:val="3"/>
                  <w:vAlign w:val="top"/>
                </w:tcPr>
                <w:p w14:paraId="2A855E0E">
                  <w:pPr>
                    <w:pStyle w:val="6"/>
                    <w:spacing w:before="40" w:line="200" w:lineRule="auto"/>
                    <w:ind w:left="1611"/>
                    <w:rPr>
                      <w:sz w:val="18"/>
                      <w:szCs w:val="18"/>
                    </w:rPr>
                  </w:pPr>
                  <w:r>
                    <w:rPr>
                      <w:b/>
                      <w:bCs/>
                      <w:spacing w:val="-3"/>
                      <w:sz w:val="18"/>
                      <w:szCs w:val="18"/>
                    </w:rPr>
                    <w:t>中华人民共和国长江保护法（节选）</w:t>
                  </w:r>
                </w:p>
              </w:tc>
            </w:tr>
            <w:tr w14:paraId="0AEF3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88" w:type="dxa"/>
                  <w:vAlign w:val="top"/>
                </w:tcPr>
                <w:p w14:paraId="53377007">
                  <w:pPr>
                    <w:spacing w:line="243" w:lineRule="auto"/>
                    <w:rPr>
                      <w:rFonts w:ascii="Arial"/>
                      <w:sz w:val="21"/>
                    </w:rPr>
                  </w:pPr>
                </w:p>
                <w:p w14:paraId="33C2A523">
                  <w:pPr>
                    <w:spacing w:line="244" w:lineRule="auto"/>
                    <w:rPr>
                      <w:rFonts w:ascii="Arial"/>
                      <w:sz w:val="21"/>
                    </w:rPr>
                  </w:pPr>
                </w:p>
                <w:p w14:paraId="37965E79">
                  <w:pPr>
                    <w:spacing w:line="244" w:lineRule="auto"/>
                    <w:rPr>
                      <w:rFonts w:ascii="Arial"/>
                      <w:sz w:val="21"/>
                    </w:rPr>
                  </w:pPr>
                </w:p>
                <w:p w14:paraId="13DA7211">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319" w:type="dxa"/>
                  <w:vAlign w:val="top"/>
                </w:tcPr>
                <w:p w14:paraId="56926F0B">
                  <w:pPr>
                    <w:spacing w:line="340" w:lineRule="auto"/>
                    <w:rPr>
                      <w:rFonts w:ascii="Arial"/>
                      <w:sz w:val="21"/>
                    </w:rPr>
                  </w:pPr>
                </w:p>
                <w:p w14:paraId="5DC6271C">
                  <w:pPr>
                    <w:pStyle w:val="6"/>
                    <w:spacing w:before="58" w:line="239" w:lineRule="auto"/>
                    <w:ind w:left="67" w:right="63"/>
                    <w:jc w:val="both"/>
                    <w:rPr>
                      <w:sz w:val="18"/>
                      <w:szCs w:val="18"/>
                    </w:rPr>
                  </w:pPr>
                  <w:r>
                    <w:rPr>
                      <w:spacing w:val="-1"/>
                      <w:sz w:val="18"/>
                      <w:szCs w:val="18"/>
                    </w:rPr>
                    <w:t>第二十一条 长江流域水质超标的水功能</w:t>
                  </w:r>
                  <w:r>
                    <w:rPr>
                      <w:spacing w:val="11"/>
                      <w:sz w:val="18"/>
                      <w:szCs w:val="18"/>
                    </w:rPr>
                    <w:t xml:space="preserve"> </w:t>
                  </w:r>
                  <w:r>
                    <w:rPr>
                      <w:spacing w:val="-4"/>
                      <w:sz w:val="18"/>
                      <w:szCs w:val="18"/>
                    </w:rPr>
                    <w:t>区，应当实施更严格的污染物排放总量削</w:t>
                  </w:r>
                  <w:r>
                    <w:rPr>
                      <w:spacing w:val="13"/>
                      <w:sz w:val="18"/>
                      <w:szCs w:val="18"/>
                    </w:rPr>
                    <w:t xml:space="preserve"> </w:t>
                  </w:r>
                  <w:r>
                    <w:rPr>
                      <w:spacing w:val="-4"/>
                      <w:sz w:val="18"/>
                      <w:szCs w:val="18"/>
                    </w:rPr>
                    <w:t>减要求。企业事业单位应当按照要求，采</w:t>
                  </w:r>
                  <w:r>
                    <w:rPr>
                      <w:spacing w:val="13"/>
                      <w:sz w:val="18"/>
                      <w:szCs w:val="18"/>
                    </w:rPr>
                    <w:t xml:space="preserve"> </w:t>
                  </w:r>
                  <w:r>
                    <w:rPr>
                      <w:spacing w:val="-1"/>
                      <w:sz w:val="18"/>
                      <w:szCs w:val="18"/>
                    </w:rPr>
                    <w:t>取污染物排放总量控制措施。</w:t>
                  </w:r>
                </w:p>
              </w:tc>
              <w:tc>
                <w:tcPr>
                  <w:tcW w:w="2042" w:type="dxa"/>
                  <w:vAlign w:val="top"/>
                </w:tcPr>
                <w:p w14:paraId="0D1F36FD">
                  <w:pPr>
                    <w:pStyle w:val="6"/>
                    <w:spacing w:before="41" w:line="239" w:lineRule="auto"/>
                    <w:ind w:left="69" w:right="60" w:firstLine="1"/>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2"/>
                      <w:sz w:val="18"/>
                      <w:szCs w:val="18"/>
                    </w:rPr>
                    <w:t xml:space="preserve"> </w:t>
                  </w:r>
                  <w:r>
                    <w:rPr>
                      <w:spacing w:val="-1"/>
                      <w:sz w:val="18"/>
                      <w:szCs w:val="18"/>
                    </w:rPr>
                    <w:t>污水定期拉运进入东岳</w:t>
                  </w:r>
                  <w:r>
                    <w:rPr>
                      <w:spacing w:val="1"/>
                      <w:sz w:val="18"/>
                      <w:szCs w:val="18"/>
                    </w:rPr>
                    <w:t xml:space="preserve">  </w:t>
                  </w:r>
                  <w:r>
                    <w:rPr>
                      <w:spacing w:val="-7"/>
                      <w:sz w:val="18"/>
                      <w:szCs w:val="18"/>
                    </w:rPr>
                    <w:t>场镇污水处理厂处理，其</w:t>
                  </w:r>
                  <w:r>
                    <w:rPr>
                      <w:spacing w:val="2"/>
                      <w:sz w:val="18"/>
                      <w:szCs w:val="18"/>
                    </w:rPr>
                    <w:t xml:space="preserve"> </w:t>
                  </w:r>
                  <w:r>
                    <w:rPr>
                      <w:spacing w:val="-1"/>
                      <w:sz w:val="18"/>
                      <w:szCs w:val="18"/>
                    </w:rPr>
                    <w:t>废水污染物排放总量控</w:t>
                  </w:r>
                  <w:r>
                    <w:rPr>
                      <w:spacing w:val="1"/>
                      <w:sz w:val="18"/>
                      <w:szCs w:val="18"/>
                    </w:rPr>
                    <w:t xml:space="preserve">  </w:t>
                  </w:r>
                  <w:r>
                    <w:rPr>
                      <w:spacing w:val="-1"/>
                      <w:sz w:val="18"/>
                      <w:szCs w:val="18"/>
                    </w:rPr>
                    <w:t>制纳入集中式污水处理</w:t>
                  </w:r>
                  <w:r>
                    <w:rPr>
                      <w:spacing w:val="1"/>
                      <w:sz w:val="18"/>
                      <w:szCs w:val="18"/>
                    </w:rPr>
                    <w:t xml:space="preserve">  </w:t>
                  </w:r>
                  <w:r>
                    <w:rPr>
                      <w:spacing w:val="-2"/>
                      <w:sz w:val="18"/>
                      <w:szCs w:val="18"/>
                    </w:rPr>
                    <w:t>厂总量指标</w:t>
                  </w:r>
                </w:p>
              </w:tc>
              <w:tc>
                <w:tcPr>
                  <w:tcW w:w="713" w:type="dxa"/>
                  <w:vAlign w:val="top"/>
                </w:tcPr>
                <w:p w14:paraId="5881A7BB">
                  <w:pPr>
                    <w:spacing w:line="348" w:lineRule="auto"/>
                    <w:rPr>
                      <w:rFonts w:ascii="Arial"/>
                      <w:sz w:val="21"/>
                    </w:rPr>
                  </w:pPr>
                </w:p>
                <w:p w14:paraId="4B85FDB9">
                  <w:pPr>
                    <w:spacing w:line="348" w:lineRule="auto"/>
                    <w:rPr>
                      <w:rFonts w:ascii="Arial"/>
                      <w:sz w:val="21"/>
                    </w:rPr>
                  </w:pPr>
                </w:p>
                <w:p w14:paraId="6131C458">
                  <w:pPr>
                    <w:pStyle w:val="6"/>
                    <w:spacing w:before="58" w:line="219" w:lineRule="auto"/>
                    <w:ind w:left="182"/>
                    <w:rPr>
                      <w:sz w:val="18"/>
                      <w:szCs w:val="18"/>
                    </w:rPr>
                  </w:pPr>
                  <w:r>
                    <w:rPr>
                      <w:spacing w:val="-5"/>
                      <w:sz w:val="18"/>
                      <w:szCs w:val="18"/>
                    </w:rPr>
                    <w:t>符合</w:t>
                  </w:r>
                </w:p>
              </w:tc>
            </w:tr>
            <w:tr w14:paraId="151D5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8" w:type="dxa"/>
                  <w:vAlign w:val="top"/>
                </w:tcPr>
                <w:p w14:paraId="7557EAFF">
                  <w:pPr>
                    <w:spacing w:line="306" w:lineRule="auto"/>
                    <w:rPr>
                      <w:rFonts w:ascii="Arial"/>
                      <w:sz w:val="21"/>
                    </w:rPr>
                  </w:pPr>
                </w:p>
                <w:p w14:paraId="1D4F51D8">
                  <w:pPr>
                    <w:spacing w:line="306" w:lineRule="auto"/>
                    <w:rPr>
                      <w:rFonts w:ascii="Arial"/>
                      <w:sz w:val="21"/>
                    </w:rPr>
                  </w:pPr>
                </w:p>
                <w:p w14:paraId="1E17DC94">
                  <w:pPr>
                    <w:spacing w:before="51"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14:paraId="0E4DA083">
                  <w:pPr>
                    <w:pStyle w:val="6"/>
                    <w:spacing w:before="41" w:line="238" w:lineRule="auto"/>
                    <w:ind w:left="67" w:right="44"/>
                    <w:rPr>
                      <w:sz w:val="18"/>
                      <w:szCs w:val="18"/>
                    </w:rPr>
                  </w:pPr>
                  <w:r>
                    <w:rPr>
                      <w:spacing w:val="-1"/>
                      <w:sz w:val="18"/>
                      <w:szCs w:val="18"/>
                    </w:rPr>
                    <w:t>第二十二条 长江流域产业结构和布局应</w:t>
                  </w:r>
                  <w:r>
                    <w:rPr>
                      <w:spacing w:val="11"/>
                      <w:sz w:val="18"/>
                      <w:szCs w:val="18"/>
                    </w:rPr>
                    <w:t xml:space="preserve"> </w:t>
                  </w:r>
                  <w:r>
                    <w:rPr>
                      <w:spacing w:val="-1"/>
                      <w:sz w:val="18"/>
                      <w:szCs w:val="18"/>
                    </w:rPr>
                    <w:t>当与长江流域生态系统和资源环境承载</w:t>
                  </w:r>
                  <w:r>
                    <w:rPr>
                      <w:spacing w:val="4"/>
                      <w:sz w:val="18"/>
                      <w:szCs w:val="18"/>
                    </w:rPr>
                    <w:t xml:space="preserve">  </w:t>
                  </w:r>
                  <w:r>
                    <w:rPr>
                      <w:spacing w:val="-4"/>
                      <w:sz w:val="18"/>
                      <w:szCs w:val="18"/>
                    </w:rPr>
                    <w:t>能力相适应。禁止在长江流域重点生态功</w:t>
                  </w:r>
                  <w:r>
                    <w:rPr>
                      <w:spacing w:val="13"/>
                      <w:sz w:val="18"/>
                      <w:szCs w:val="18"/>
                    </w:rPr>
                    <w:t xml:space="preserve"> </w:t>
                  </w:r>
                  <w:r>
                    <w:rPr>
                      <w:spacing w:val="-3"/>
                      <w:sz w:val="18"/>
                      <w:szCs w:val="18"/>
                    </w:rPr>
                    <w:t>能区布局对生态系统有严重影响的产业。</w:t>
                  </w:r>
                  <w:r>
                    <w:rPr>
                      <w:spacing w:val="14"/>
                      <w:sz w:val="18"/>
                      <w:szCs w:val="18"/>
                    </w:rPr>
                    <w:t xml:space="preserve"> </w:t>
                  </w:r>
                  <w:r>
                    <w:rPr>
                      <w:spacing w:val="-1"/>
                      <w:sz w:val="18"/>
                      <w:szCs w:val="18"/>
                    </w:rPr>
                    <w:t>禁止重污染企业和项目向长江中上游转</w:t>
                  </w:r>
                  <w:r>
                    <w:rPr>
                      <w:spacing w:val="4"/>
                      <w:sz w:val="18"/>
                      <w:szCs w:val="18"/>
                    </w:rPr>
                    <w:t xml:space="preserve">  </w:t>
                  </w:r>
                  <w:r>
                    <w:rPr>
                      <w:spacing w:val="-4"/>
                      <w:sz w:val="18"/>
                      <w:szCs w:val="18"/>
                    </w:rPr>
                    <w:t>移。</w:t>
                  </w:r>
                </w:p>
              </w:tc>
              <w:tc>
                <w:tcPr>
                  <w:tcW w:w="2042" w:type="dxa"/>
                  <w:vAlign w:val="top"/>
                </w:tcPr>
                <w:p w14:paraId="6D5FE35F">
                  <w:pPr>
                    <w:pStyle w:val="6"/>
                    <w:spacing w:before="160" w:line="241" w:lineRule="auto"/>
                    <w:ind w:left="70" w:right="60" w:firstLine="2"/>
                    <w:rPr>
                      <w:sz w:val="18"/>
                      <w:szCs w:val="18"/>
                    </w:rPr>
                  </w:pPr>
                  <w:r>
                    <w:rPr>
                      <w:spacing w:val="-1"/>
                      <w:sz w:val="18"/>
                      <w:szCs w:val="18"/>
                    </w:rPr>
                    <w:t>项目所在地不属于长江</w:t>
                  </w:r>
                  <w:r>
                    <w:rPr>
                      <w:sz w:val="18"/>
                      <w:szCs w:val="18"/>
                    </w:rPr>
                    <w:t xml:space="preserve">  </w:t>
                  </w:r>
                  <w:r>
                    <w:rPr>
                      <w:spacing w:val="-7"/>
                      <w:sz w:val="18"/>
                      <w:szCs w:val="18"/>
                    </w:rPr>
                    <w:t>流域重点生态功能区，对</w:t>
                  </w:r>
                  <w:r>
                    <w:rPr>
                      <w:spacing w:val="1"/>
                      <w:sz w:val="18"/>
                      <w:szCs w:val="18"/>
                    </w:rPr>
                    <w:t xml:space="preserve"> </w:t>
                  </w:r>
                  <w:r>
                    <w:rPr>
                      <w:spacing w:val="-1"/>
                      <w:sz w:val="18"/>
                      <w:szCs w:val="18"/>
                    </w:rPr>
                    <w:t>生态系统不会造成严重</w:t>
                  </w:r>
                  <w:r>
                    <w:rPr>
                      <w:sz w:val="18"/>
                      <w:szCs w:val="18"/>
                    </w:rPr>
                    <w:t xml:space="preserve">  </w:t>
                  </w:r>
                  <w:r>
                    <w:rPr>
                      <w:spacing w:val="-7"/>
                      <w:sz w:val="18"/>
                      <w:szCs w:val="18"/>
                    </w:rPr>
                    <w:t>影响，也不属于重污染项</w:t>
                  </w:r>
                  <w:r>
                    <w:rPr>
                      <w:spacing w:val="1"/>
                      <w:sz w:val="18"/>
                      <w:szCs w:val="18"/>
                    </w:rPr>
                    <w:t xml:space="preserve"> </w:t>
                  </w:r>
                  <w:r>
                    <w:rPr>
                      <w:spacing w:val="-4"/>
                      <w:sz w:val="18"/>
                      <w:szCs w:val="18"/>
                    </w:rPr>
                    <w:t>目。</w:t>
                  </w:r>
                </w:p>
              </w:tc>
              <w:tc>
                <w:tcPr>
                  <w:tcW w:w="713" w:type="dxa"/>
                  <w:vAlign w:val="top"/>
                </w:tcPr>
                <w:p w14:paraId="026AB884">
                  <w:pPr>
                    <w:spacing w:line="288" w:lineRule="auto"/>
                    <w:rPr>
                      <w:rFonts w:ascii="Arial"/>
                      <w:sz w:val="21"/>
                    </w:rPr>
                  </w:pPr>
                </w:p>
                <w:p w14:paraId="78BCD6EB">
                  <w:pPr>
                    <w:spacing w:line="288" w:lineRule="auto"/>
                    <w:rPr>
                      <w:rFonts w:ascii="Arial"/>
                      <w:sz w:val="21"/>
                    </w:rPr>
                  </w:pPr>
                </w:p>
                <w:p w14:paraId="3E366901">
                  <w:pPr>
                    <w:pStyle w:val="6"/>
                    <w:spacing w:before="59" w:line="219" w:lineRule="auto"/>
                    <w:ind w:left="182"/>
                    <w:rPr>
                      <w:sz w:val="18"/>
                      <w:szCs w:val="18"/>
                    </w:rPr>
                  </w:pPr>
                  <w:r>
                    <w:rPr>
                      <w:spacing w:val="-5"/>
                      <w:sz w:val="18"/>
                      <w:szCs w:val="18"/>
                    </w:rPr>
                    <w:t>符合</w:t>
                  </w:r>
                </w:p>
              </w:tc>
            </w:tr>
            <w:tr w14:paraId="2A324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688" w:type="dxa"/>
                  <w:vAlign w:val="top"/>
                </w:tcPr>
                <w:p w14:paraId="4826A1E9">
                  <w:pPr>
                    <w:spacing w:line="306" w:lineRule="auto"/>
                    <w:rPr>
                      <w:rFonts w:ascii="Arial"/>
                      <w:sz w:val="21"/>
                    </w:rPr>
                  </w:pPr>
                </w:p>
                <w:p w14:paraId="7D3CC0B5">
                  <w:pPr>
                    <w:spacing w:line="307" w:lineRule="auto"/>
                    <w:rPr>
                      <w:rFonts w:ascii="Arial"/>
                      <w:sz w:val="21"/>
                    </w:rPr>
                  </w:pPr>
                </w:p>
                <w:p w14:paraId="0A1FC4D8">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14:paraId="4DE7AFD9">
                  <w:pPr>
                    <w:pStyle w:val="6"/>
                    <w:spacing w:before="40" w:line="238" w:lineRule="auto"/>
                    <w:ind w:left="67" w:right="3"/>
                    <w:jc w:val="both"/>
                    <w:rPr>
                      <w:sz w:val="18"/>
                      <w:szCs w:val="18"/>
                    </w:rPr>
                  </w:pPr>
                  <w:r>
                    <w:rPr>
                      <w:spacing w:val="-5"/>
                      <w:sz w:val="18"/>
                      <w:szCs w:val="18"/>
                    </w:rPr>
                    <w:t>第二十六条 禁止在长江干支流岸线一公</w:t>
                  </w:r>
                  <w:r>
                    <w:rPr>
                      <w:spacing w:val="5"/>
                      <w:sz w:val="18"/>
                      <w:szCs w:val="18"/>
                    </w:rPr>
                    <w:t xml:space="preserve">   </w:t>
                  </w:r>
                  <w:r>
                    <w:rPr>
                      <w:spacing w:val="-10"/>
                      <w:sz w:val="18"/>
                      <w:szCs w:val="18"/>
                    </w:rPr>
                    <w:t>里范围内新建、扩建化工园区和化工项目。</w:t>
                  </w:r>
                  <w:r>
                    <w:rPr>
                      <w:spacing w:val="11"/>
                      <w:sz w:val="18"/>
                      <w:szCs w:val="18"/>
                    </w:rPr>
                    <w:t xml:space="preserve"> </w:t>
                  </w:r>
                  <w:r>
                    <w:rPr>
                      <w:spacing w:val="-5"/>
                      <w:sz w:val="18"/>
                      <w:szCs w:val="18"/>
                    </w:rPr>
                    <w:t>禁止在长江干流岸线三公里范围内和重要</w:t>
                  </w:r>
                  <w:r>
                    <w:rPr>
                      <w:spacing w:val="7"/>
                      <w:sz w:val="18"/>
                      <w:szCs w:val="18"/>
                    </w:rPr>
                    <w:t xml:space="preserve">  </w:t>
                  </w:r>
                  <w:r>
                    <w:rPr>
                      <w:spacing w:val="-5"/>
                      <w:sz w:val="18"/>
                      <w:szCs w:val="18"/>
                    </w:rPr>
                    <w:t>支流岸线一公里范围内新建、改建、扩建</w:t>
                  </w:r>
                  <w:r>
                    <w:rPr>
                      <w:spacing w:val="7"/>
                      <w:sz w:val="18"/>
                      <w:szCs w:val="18"/>
                    </w:rPr>
                    <w:t xml:space="preserve">  </w:t>
                  </w:r>
                  <w:r>
                    <w:rPr>
                      <w:spacing w:val="-5"/>
                      <w:sz w:val="18"/>
                      <w:szCs w:val="18"/>
                    </w:rPr>
                    <w:t>尾矿库；但是以提升安全、生态环境保护</w:t>
                  </w:r>
                  <w:r>
                    <w:rPr>
                      <w:spacing w:val="7"/>
                      <w:sz w:val="18"/>
                      <w:szCs w:val="18"/>
                    </w:rPr>
                    <w:t xml:space="preserve">  </w:t>
                  </w:r>
                  <w:r>
                    <w:rPr>
                      <w:spacing w:val="-4"/>
                      <w:sz w:val="18"/>
                      <w:szCs w:val="18"/>
                    </w:rPr>
                    <w:t>水平为目的的改建除外。</w:t>
                  </w:r>
                </w:p>
              </w:tc>
              <w:tc>
                <w:tcPr>
                  <w:tcW w:w="2042" w:type="dxa"/>
                  <w:vAlign w:val="top"/>
                </w:tcPr>
                <w:p w14:paraId="589574C0">
                  <w:pPr>
                    <w:pStyle w:val="6"/>
                    <w:spacing w:before="156" w:line="241" w:lineRule="auto"/>
                    <w:ind w:left="70" w:right="60"/>
                    <w:rPr>
                      <w:sz w:val="18"/>
                      <w:szCs w:val="18"/>
                    </w:rPr>
                  </w:pPr>
                  <w:r>
                    <w:rPr>
                      <w:spacing w:val="-1"/>
                      <w:sz w:val="18"/>
                      <w:szCs w:val="18"/>
                    </w:rPr>
                    <w:t>本项目不属于化工项目</w:t>
                  </w:r>
                  <w:r>
                    <w:rPr>
                      <w:sz w:val="18"/>
                      <w:szCs w:val="18"/>
                    </w:rPr>
                    <w:t xml:space="preserve">  </w:t>
                  </w:r>
                  <w:r>
                    <w:rPr>
                      <w:spacing w:val="-7"/>
                      <w:sz w:val="18"/>
                      <w:szCs w:val="18"/>
                    </w:rPr>
                    <w:t>或尾矿库项目，占地区域</w:t>
                  </w:r>
                  <w:r>
                    <w:rPr>
                      <w:spacing w:val="1"/>
                      <w:sz w:val="18"/>
                      <w:szCs w:val="18"/>
                    </w:rPr>
                    <w:t xml:space="preserve"> </w:t>
                  </w:r>
                  <w:r>
                    <w:rPr>
                      <w:spacing w:val="-1"/>
                      <w:sz w:val="18"/>
                      <w:szCs w:val="18"/>
                    </w:rPr>
                    <w:t>也不在长江干流岸线三</w:t>
                  </w:r>
                  <w:r>
                    <w:rPr>
                      <w:sz w:val="18"/>
                      <w:szCs w:val="18"/>
                    </w:rPr>
                    <w:t xml:space="preserve">  </w:t>
                  </w:r>
                  <w:r>
                    <w:rPr>
                      <w:spacing w:val="-1"/>
                      <w:sz w:val="18"/>
                      <w:szCs w:val="18"/>
                    </w:rPr>
                    <w:t>公里范围内和重要支流</w:t>
                  </w:r>
                  <w:r>
                    <w:rPr>
                      <w:sz w:val="18"/>
                      <w:szCs w:val="18"/>
                    </w:rPr>
                    <w:t xml:space="preserve">  </w:t>
                  </w:r>
                  <w:r>
                    <w:rPr>
                      <w:spacing w:val="-1"/>
                      <w:sz w:val="18"/>
                      <w:szCs w:val="18"/>
                    </w:rPr>
                    <w:t>岸线一公里范围内。</w:t>
                  </w:r>
                </w:p>
              </w:tc>
              <w:tc>
                <w:tcPr>
                  <w:tcW w:w="713" w:type="dxa"/>
                  <w:vAlign w:val="top"/>
                </w:tcPr>
                <w:p w14:paraId="669C84E1">
                  <w:pPr>
                    <w:spacing w:line="288" w:lineRule="auto"/>
                    <w:rPr>
                      <w:rFonts w:ascii="Arial"/>
                      <w:sz w:val="21"/>
                    </w:rPr>
                  </w:pPr>
                </w:p>
                <w:p w14:paraId="1A9DCF03">
                  <w:pPr>
                    <w:spacing w:line="288" w:lineRule="auto"/>
                    <w:rPr>
                      <w:rFonts w:ascii="Arial"/>
                      <w:sz w:val="21"/>
                    </w:rPr>
                  </w:pPr>
                </w:p>
                <w:p w14:paraId="2320ACCA">
                  <w:pPr>
                    <w:pStyle w:val="6"/>
                    <w:spacing w:before="58" w:line="219" w:lineRule="auto"/>
                    <w:ind w:left="182"/>
                    <w:rPr>
                      <w:sz w:val="18"/>
                      <w:szCs w:val="18"/>
                    </w:rPr>
                  </w:pPr>
                  <w:r>
                    <w:rPr>
                      <w:spacing w:val="-5"/>
                      <w:sz w:val="18"/>
                      <w:szCs w:val="18"/>
                    </w:rPr>
                    <w:t>符合</w:t>
                  </w:r>
                </w:p>
              </w:tc>
            </w:tr>
            <w:tr w14:paraId="16710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88" w:type="dxa"/>
                  <w:vAlign w:val="top"/>
                </w:tcPr>
                <w:p w14:paraId="77683858">
                  <w:pPr>
                    <w:spacing w:line="256" w:lineRule="auto"/>
                    <w:rPr>
                      <w:rFonts w:ascii="Arial"/>
                      <w:sz w:val="21"/>
                    </w:rPr>
                  </w:pPr>
                </w:p>
                <w:p w14:paraId="56019685">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vAlign w:val="top"/>
                </w:tcPr>
                <w:p w14:paraId="56C40ED9">
                  <w:pPr>
                    <w:pStyle w:val="6"/>
                    <w:spacing w:before="38" w:line="231" w:lineRule="auto"/>
                    <w:ind w:left="68" w:right="58" w:hanging="1"/>
                    <w:jc w:val="both"/>
                    <w:rPr>
                      <w:sz w:val="18"/>
                      <w:szCs w:val="18"/>
                    </w:rPr>
                  </w:pPr>
                  <w:r>
                    <w:rPr>
                      <w:spacing w:val="-8"/>
                      <w:sz w:val="18"/>
                      <w:szCs w:val="18"/>
                    </w:rPr>
                    <w:t>第三十八条 加强对高耗水行业、重点用水</w:t>
                  </w:r>
                  <w:r>
                    <w:rPr>
                      <w:spacing w:val="8"/>
                      <w:sz w:val="18"/>
                      <w:szCs w:val="18"/>
                    </w:rPr>
                    <w:t xml:space="preserve"> </w:t>
                  </w:r>
                  <w:r>
                    <w:rPr>
                      <w:spacing w:val="-5"/>
                      <w:sz w:val="18"/>
                      <w:szCs w:val="18"/>
                    </w:rPr>
                    <w:t>单位的用水定额管理，严格控制高耗水项</w:t>
                  </w:r>
                  <w:r>
                    <w:rPr>
                      <w:spacing w:val="13"/>
                      <w:sz w:val="18"/>
                      <w:szCs w:val="18"/>
                    </w:rPr>
                    <w:t xml:space="preserve"> </w:t>
                  </w:r>
                  <w:r>
                    <w:rPr>
                      <w:spacing w:val="-4"/>
                      <w:sz w:val="18"/>
                      <w:szCs w:val="18"/>
                    </w:rPr>
                    <w:t>目建设。</w:t>
                  </w:r>
                </w:p>
              </w:tc>
              <w:tc>
                <w:tcPr>
                  <w:tcW w:w="2042" w:type="dxa"/>
                  <w:vAlign w:val="top"/>
                </w:tcPr>
                <w:p w14:paraId="1BFAF170">
                  <w:pPr>
                    <w:pStyle w:val="6"/>
                    <w:spacing w:before="158" w:line="234" w:lineRule="auto"/>
                    <w:ind w:left="104" w:right="173" w:hanging="33"/>
                    <w:rPr>
                      <w:sz w:val="18"/>
                      <w:szCs w:val="18"/>
                    </w:rPr>
                  </w:pPr>
                  <w:r>
                    <w:rPr>
                      <w:spacing w:val="-1"/>
                      <w:sz w:val="18"/>
                      <w:szCs w:val="18"/>
                    </w:rPr>
                    <w:t>本项目不属于高耗水项</w:t>
                  </w:r>
                  <w:r>
                    <w:rPr>
                      <w:spacing w:val="1"/>
                      <w:sz w:val="18"/>
                      <w:szCs w:val="18"/>
                    </w:rPr>
                    <w:t xml:space="preserve"> </w:t>
                  </w:r>
                  <w:r>
                    <w:rPr>
                      <w:spacing w:val="-21"/>
                      <w:sz w:val="18"/>
                      <w:szCs w:val="18"/>
                    </w:rPr>
                    <w:t>目。</w:t>
                  </w:r>
                </w:p>
              </w:tc>
              <w:tc>
                <w:tcPr>
                  <w:tcW w:w="713" w:type="dxa"/>
                  <w:vAlign w:val="top"/>
                </w:tcPr>
                <w:p w14:paraId="7229D945">
                  <w:pPr>
                    <w:pStyle w:val="6"/>
                    <w:spacing w:before="278" w:line="219" w:lineRule="auto"/>
                    <w:ind w:left="182"/>
                    <w:rPr>
                      <w:sz w:val="18"/>
                      <w:szCs w:val="18"/>
                    </w:rPr>
                  </w:pPr>
                  <w:r>
                    <w:rPr>
                      <w:spacing w:val="-5"/>
                      <w:sz w:val="18"/>
                      <w:szCs w:val="18"/>
                    </w:rPr>
                    <w:t>符合</w:t>
                  </w:r>
                </w:p>
              </w:tc>
            </w:tr>
            <w:tr w14:paraId="59855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688" w:type="dxa"/>
                  <w:vAlign w:val="top"/>
                </w:tcPr>
                <w:p w14:paraId="6D202E83">
                  <w:pPr>
                    <w:pStyle w:val="6"/>
                    <w:spacing w:before="72" w:line="167" w:lineRule="auto"/>
                    <w:ind w:left="261"/>
                    <w:rPr>
                      <w:sz w:val="18"/>
                      <w:szCs w:val="18"/>
                    </w:rPr>
                  </w:pPr>
                  <w:r>
                    <w:rPr>
                      <w:sz w:val="18"/>
                      <w:szCs w:val="18"/>
                    </w:rPr>
                    <w:t>二</w:t>
                  </w:r>
                </w:p>
              </w:tc>
              <w:tc>
                <w:tcPr>
                  <w:tcW w:w="6074" w:type="dxa"/>
                  <w:gridSpan w:val="3"/>
                  <w:vAlign w:val="top"/>
                </w:tcPr>
                <w:p w14:paraId="61794992">
                  <w:pPr>
                    <w:pStyle w:val="6"/>
                    <w:spacing w:before="39" w:line="201" w:lineRule="auto"/>
                    <w:ind w:left="1505"/>
                    <w:rPr>
                      <w:sz w:val="18"/>
                      <w:szCs w:val="18"/>
                    </w:rPr>
                  </w:pPr>
                  <w:r>
                    <w:rPr>
                      <w:b/>
                      <w:bCs/>
                      <w:spacing w:val="-2"/>
                      <w:sz w:val="18"/>
                      <w:szCs w:val="18"/>
                    </w:rPr>
                    <w:t>嘉陵江流域生态环境保护条例（节选）</w:t>
                  </w:r>
                </w:p>
              </w:tc>
            </w:tr>
            <w:tr w14:paraId="110E1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88" w:type="dxa"/>
                  <w:tcBorders>
                    <w:bottom w:val="nil"/>
                  </w:tcBorders>
                  <w:vAlign w:val="top"/>
                </w:tcPr>
                <w:p w14:paraId="0049C886">
                  <w:pPr>
                    <w:spacing w:line="247" w:lineRule="auto"/>
                    <w:rPr>
                      <w:rFonts w:ascii="Arial"/>
                      <w:sz w:val="21"/>
                    </w:rPr>
                  </w:pPr>
                </w:p>
                <w:p w14:paraId="3F33AE24">
                  <w:pPr>
                    <w:spacing w:line="247" w:lineRule="auto"/>
                    <w:rPr>
                      <w:rFonts w:ascii="Arial"/>
                      <w:sz w:val="21"/>
                    </w:rPr>
                  </w:pPr>
                </w:p>
                <w:p w14:paraId="0BC8170D">
                  <w:pPr>
                    <w:spacing w:before="51" w:line="188"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319" w:type="dxa"/>
                  <w:tcBorders>
                    <w:bottom w:val="nil"/>
                  </w:tcBorders>
                  <w:vAlign w:val="top"/>
                </w:tcPr>
                <w:p w14:paraId="68864D60">
                  <w:pPr>
                    <w:pStyle w:val="6"/>
                    <w:spacing w:before="41" w:line="237" w:lineRule="auto"/>
                    <w:ind w:left="67" w:right="80"/>
                    <w:jc w:val="both"/>
                    <w:rPr>
                      <w:sz w:val="18"/>
                      <w:szCs w:val="18"/>
                    </w:rPr>
                  </w:pPr>
                  <w:r>
                    <w:rPr>
                      <w:spacing w:val="-5"/>
                      <w:sz w:val="18"/>
                      <w:szCs w:val="18"/>
                    </w:rPr>
                    <w:t>第十九条 嘉陵江流域实行重点水污染物</w:t>
                  </w:r>
                  <w:r>
                    <w:rPr>
                      <w:spacing w:val="7"/>
                      <w:sz w:val="18"/>
                      <w:szCs w:val="18"/>
                    </w:rPr>
                    <w:t xml:space="preserve">  </w:t>
                  </w:r>
                  <w:r>
                    <w:rPr>
                      <w:spacing w:val="-5"/>
                      <w:sz w:val="18"/>
                      <w:szCs w:val="18"/>
                    </w:rPr>
                    <w:t>排放总量控制制度。对可能超过重点水污</w:t>
                  </w:r>
                  <w:r>
                    <w:rPr>
                      <w:spacing w:val="14"/>
                      <w:sz w:val="18"/>
                      <w:szCs w:val="18"/>
                    </w:rPr>
                    <w:t xml:space="preserve"> </w:t>
                  </w:r>
                  <w:r>
                    <w:rPr>
                      <w:spacing w:val="-5"/>
                      <w:sz w:val="18"/>
                      <w:szCs w:val="18"/>
                    </w:rPr>
                    <w:t>染物排放总量控制指标或者未完成水污染</w:t>
                  </w:r>
                  <w:r>
                    <w:rPr>
                      <w:spacing w:val="14"/>
                      <w:sz w:val="18"/>
                      <w:szCs w:val="18"/>
                    </w:rPr>
                    <w:t xml:space="preserve"> </w:t>
                  </w:r>
                  <w:r>
                    <w:rPr>
                      <w:spacing w:val="-5"/>
                      <w:sz w:val="18"/>
                      <w:szCs w:val="18"/>
                    </w:rPr>
                    <w:t>防治年度目标的区域，省人民政府生态环</w:t>
                  </w:r>
                  <w:r>
                    <w:rPr>
                      <w:spacing w:val="14"/>
                      <w:sz w:val="18"/>
                      <w:szCs w:val="18"/>
                    </w:rPr>
                    <w:t xml:space="preserve"> </w:t>
                  </w:r>
                  <w:r>
                    <w:rPr>
                      <w:spacing w:val="-5"/>
                      <w:sz w:val="18"/>
                      <w:szCs w:val="18"/>
                    </w:rPr>
                    <w:t>境主管部门应当约谈该地区人民政府的分</w:t>
                  </w:r>
                </w:p>
              </w:tc>
              <w:tc>
                <w:tcPr>
                  <w:tcW w:w="2042" w:type="dxa"/>
                  <w:tcBorders>
                    <w:bottom w:val="nil"/>
                  </w:tcBorders>
                  <w:vAlign w:val="top"/>
                </w:tcPr>
                <w:p w14:paraId="26BBF58F">
                  <w:pPr>
                    <w:pStyle w:val="6"/>
                    <w:spacing w:before="41" w:line="237" w:lineRule="auto"/>
                    <w:ind w:left="69" w:right="60" w:firstLine="1"/>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2"/>
                      <w:sz w:val="18"/>
                      <w:szCs w:val="18"/>
                    </w:rPr>
                    <w:t xml:space="preserve"> </w:t>
                  </w:r>
                  <w:r>
                    <w:rPr>
                      <w:spacing w:val="-1"/>
                      <w:sz w:val="18"/>
                      <w:szCs w:val="18"/>
                    </w:rPr>
                    <w:t>污水定期拉运进入东岳</w:t>
                  </w:r>
                  <w:r>
                    <w:rPr>
                      <w:spacing w:val="1"/>
                      <w:sz w:val="18"/>
                      <w:szCs w:val="18"/>
                    </w:rPr>
                    <w:t xml:space="preserve">  </w:t>
                  </w:r>
                  <w:r>
                    <w:rPr>
                      <w:spacing w:val="-7"/>
                      <w:sz w:val="18"/>
                      <w:szCs w:val="18"/>
                    </w:rPr>
                    <w:t>场镇污水处理厂处理，不</w:t>
                  </w:r>
                  <w:r>
                    <w:rPr>
                      <w:spacing w:val="2"/>
                      <w:sz w:val="18"/>
                      <w:szCs w:val="18"/>
                    </w:rPr>
                    <w:t xml:space="preserve"> </w:t>
                  </w:r>
                  <w:r>
                    <w:rPr>
                      <w:spacing w:val="-1"/>
                      <w:sz w:val="18"/>
                      <w:szCs w:val="18"/>
                    </w:rPr>
                    <w:t>涉及废水直排。</w:t>
                  </w:r>
                </w:p>
              </w:tc>
              <w:tc>
                <w:tcPr>
                  <w:tcW w:w="713" w:type="dxa"/>
                  <w:tcBorders>
                    <w:bottom w:val="nil"/>
                  </w:tcBorders>
                  <w:vAlign w:val="top"/>
                </w:tcPr>
                <w:p w14:paraId="09D5564C">
                  <w:pPr>
                    <w:spacing w:line="458" w:lineRule="auto"/>
                    <w:rPr>
                      <w:rFonts w:ascii="Arial"/>
                      <w:sz w:val="21"/>
                    </w:rPr>
                  </w:pPr>
                </w:p>
                <w:p w14:paraId="3F2B9BBE">
                  <w:pPr>
                    <w:pStyle w:val="6"/>
                    <w:spacing w:before="59" w:line="219" w:lineRule="auto"/>
                    <w:ind w:left="182"/>
                    <w:rPr>
                      <w:sz w:val="18"/>
                      <w:szCs w:val="18"/>
                    </w:rPr>
                  </w:pPr>
                  <w:r>
                    <w:rPr>
                      <w:spacing w:val="-5"/>
                      <w:sz w:val="18"/>
                      <w:szCs w:val="18"/>
                    </w:rPr>
                    <w:t>符合</w:t>
                  </w:r>
                </w:p>
              </w:tc>
            </w:tr>
          </w:tbl>
          <w:p w14:paraId="7A0A92A1">
            <w:pPr>
              <w:spacing w:line="14" w:lineRule="auto"/>
              <w:rPr>
                <w:rFonts w:ascii="Arial"/>
                <w:sz w:val="2"/>
              </w:rPr>
            </w:pPr>
          </w:p>
        </w:tc>
      </w:tr>
    </w:tbl>
    <w:p w14:paraId="6F9801B3">
      <w:pPr>
        <w:pStyle w:val="2"/>
      </w:pPr>
    </w:p>
    <w:p w14:paraId="7C4BB87F">
      <w:pPr>
        <w:sectPr>
          <w:footerReference r:id="rId22" w:type="default"/>
          <w:pgSz w:w="11906" w:h="16839"/>
          <w:pgMar w:top="1431" w:right="1543" w:bottom="1260" w:left="1537" w:header="0" w:footer="1080" w:gutter="0"/>
          <w:cols w:space="720" w:num="1"/>
        </w:sectPr>
      </w:pPr>
    </w:p>
    <w:p w14:paraId="5E14C626">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0A242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7" w:hRule="atLeast"/>
        </w:trPr>
        <w:tc>
          <w:tcPr>
            <w:tcW w:w="1829" w:type="dxa"/>
            <w:vAlign w:val="top"/>
          </w:tcPr>
          <w:p w14:paraId="509F5BDB">
            <w:pPr>
              <w:spacing w:line="243" w:lineRule="auto"/>
              <w:rPr>
                <w:rFonts w:ascii="Arial"/>
                <w:sz w:val="21"/>
              </w:rPr>
            </w:pPr>
          </w:p>
          <w:p w14:paraId="43BD9E36">
            <w:pPr>
              <w:spacing w:line="243" w:lineRule="auto"/>
              <w:rPr>
                <w:rFonts w:ascii="Arial"/>
                <w:sz w:val="21"/>
              </w:rPr>
            </w:pPr>
          </w:p>
          <w:p w14:paraId="0F91C49D">
            <w:pPr>
              <w:spacing w:line="243" w:lineRule="auto"/>
              <w:rPr>
                <w:rFonts w:ascii="Arial"/>
                <w:sz w:val="21"/>
              </w:rPr>
            </w:pPr>
          </w:p>
          <w:p w14:paraId="5DEB76CA">
            <w:pPr>
              <w:spacing w:line="243" w:lineRule="auto"/>
              <w:rPr>
                <w:rFonts w:ascii="Arial"/>
                <w:sz w:val="21"/>
              </w:rPr>
            </w:pPr>
          </w:p>
          <w:p w14:paraId="736689C4">
            <w:pPr>
              <w:spacing w:line="243" w:lineRule="auto"/>
              <w:rPr>
                <w:rFonts w:ascii="Arial"/>
                <w:sz w:val="21"/>
              </w:rPr>
            </w:pPr>
          </w:p>
          <w:p w14:paraId="725ECFE9">
            <w:pPr>
              <w:spacing w:line="243" w:lineRule="auto"/>
              <w:rPr>
                <w:rFonts w:ascii="Arial"/>
                <w:sz w:val="21"/>
              </w:rPr>
            </w:pPr>
          </w:p>
          <w:p w14:paraId="71F7A6A4">
            <w:pPr>
              <w:spacing w:line="243" w:lineRule="auto"/>
              <w:rPr>
                <w:rFonts w:ascii="Arial"/>
                <w:sz w:val="21"/>
              </w:rPr>
            </w:pPr>
          </w:p>
          <w:p w14:paraId="0C278BAB">
            <w:pPr>
              <w:spacing w:line="243" w:lineRule="auto"/>
              <w:rPr>
                <w:rFonts w:ascii="Arial"/>
                <w:sz w:val="21"/>
              </w:rPr>
            </w:pPr>
          </w:p>
          <w:p w14:paraId="408F59F1">
            <w:pPr>
              <w:spacing w:line="243" w:lineRule="auto"/>
              <w:rPr>
                <w:rFonts w:ascii="Arial"/>
                <w:sz w:val="21"/>
              </w:rPr>
            </w:pPr>
          </w:p>
          <w:p w14:paraId="2A4EECEB">
            <w:pPr>
              <w:spacing w:line="243" w:lineRule="auto"/>
              <w:rPr>
                <w:rFonts w:ascii="Arial"/>
                <w:sz w:val="21"/>
              </w:rPr>
            </w:pPr>
          </w:p>
          <w:p w14:paraId="00AC89F1">
            <w:pPr>
              <w:spacing w:line="243" w:lineRule="auto"/>
              <w:rPr>
                <w:rFonts w:ascii="Arial"/>
                <w:sz w:val="21"/>
              </w:rPr>
            </w:pPr>
          </w:p>
          <w:p w14:paraId="5FD8F424">
            <w:pPr>
              <w:spacing w:line="244" w:lineRule="auto"/>
              <w:rPr>
                <w:rFonts w:ascii="Arial"/>
                <w:sz w:val="21"/>
              </w:rPr>
            </w:pPr>
          </w:p>
          <w:p w14:paraId="78466DF1">
            <w:pPr>
              <w:spacing w:line="244" w:lineRule="auto"/>
              <w:rPr>
                <w:rFonts w:ascii="Arial"/>
                <w:sz w:val="21"/>
              </w:rPr>
            </w:pPr>
          </w:p>
          <w:p w14:paraId="53598D8A">
            <w:pPr>
              <w:spacing w:line="244" w:lineRule="auto"/>
              <w:rPr>
                <w:rFonts w:ascii="Arial"/>
                <w:sz w:val="21"/>
              </w:rPr>
            </w:pPr>
          </w:p>
          <w:p w14:paraId="767F32DD">
            <w:pPr>
              <w:spacing w:line="244" w:lineRule="auto"/>
              <w:rPr>
                <w:rFonts w:ascii="Arial"/>
                <w:sz w:val="21"/>
              </w:rPr>
            </w:pPr>
          </w:p>
          <w:p w14:paraId="60B3A02D">
            <w:pPr>
              <w:spacing w:line="244" w:lineRule="auto"/>
              <w:rPr>
                <w:rFonts w:ascii="Arial"/>
                <w:sz w:val="21"/>
              </w:rPr>
            </w:pPr>
          </w:p>
          <w:p w14:paraId="080B5DDD">
            <w:pPr>
              <w:spacing w:line="244" w:lineRule="auto"/>
              <w:rPr>
                <w:rFonts w:ascii="Arial"/>
                <w:sz w:val="21"/>
              </w:rPr>
            </w:pPr>
          </w:p>
          <w:p w14:paraId="784DCE33">
            <w:pPr>
              <w:spacing w:line="244" w:lineRule="auto"/>
              <w:rPr>
                <w:rFonts w:ascii="Arial"/>
                <w:sz w:val="21"/>
              </w:rPr>
            </w:pPr>
          </w:p>
          <w:p w14:paraId="612154B9">
            <w:pPr>
              <w:spacing w:line="244" w:lineRule="auto"/>
              <w:rPr>
                <w:rFonts w:ascii="Arial"/>
                <w:sz w:val="21"/>
              </w:rPr>
            </w:pPr>
          </w:p>
          <w:p w14:paraId="6E43E6B8">
            <w:pPr>
              <w:spacing w:line="244" w:lineRule="auto"/>
              <w:rPr>
                <w:rFonts w:ascii="Arial"/>
                <w:sz w:val="21"/>
              </w:rPr>
            </w:pPr>
          </w:p>
          <w:p w14:paraId="71C02CC1">
            <w:pPr>
              <w:spacing w:line="244" w:lineRule="auto"/>
              <w:rPr>
                <w:rFonts w:ascii="Arial"/>
                <w:sz w:val="21"/>
              </w:rPr>
            </w:pPr>
          </w:p>
          <w:p w14:paraId="6A50A97A">
            <w:pPr>
              <w:spacing w:line="244" w:lineRule="auto"/>
              <w:rPr>
                <w:rFonts w:ascii="Arial"/>
                <w:sz w:val="21"/>
              </w:rPr>
            </w:pPr>
          </w:p>
          <w:p w14:paraId="1A3EF6C1">
            <w:pPr>
              <w:spacing w:line="244" w:lineRule="auto"/>
              <w:rPr>
                <w:rFonts w:ascii="Arial"/>
                <w:sz w:val="21"/>
              </w:rPr>
            </w:pPr>
          </w:p>
          <w:p w14:paraId="3B36CD33">
            <w:pPr>
              <w:spacing w:line="244" w:lineRule="auto"/>
              <w:rPr>
                <w:rFonts w:ascii="Arial"/>
                <w:sz w:val="21"/>
              </w:rPr>
            </w:pPr>
          </w:p>
          <w:p w14:paraId="2591F932">
            <w:pPr>
              <w:pStyle w:val="6"/>
              <w:spacing w:before="65" w:line="228" w:lineRule="auto"/>
              <w:ind w:left="193"/>
              <w:rPr>
                <w:sz w:val="20"/>
                <w:szCs w:val="20"/>
              </w:rPr>
            </w:pPr>
            <w:r>
              <w:rPr>
                <w:spacing w:val="8"/>
                <w:sz w:val="20"/>
                <w:szCs w:val="20"/>
              </w:rPr>
              <w:t>其他符合性分析</w:t>
            </w:r>
          </w:p>
        </w:tc>
        <w:tc>
          <w:tcPr>
            <w:tcW w:w="6985" w:type="dxa"/>
            <w:vAlign w:val="top"/>
          </w:tcPr>
          <w:p w14:paraId="7D607897">
            <w:pPr>
              <w:spacing w:line="52" w:lineRule="auto"/>
              <w:rPr>
                <w:rFonts w:ascii="Arial"/>
                <w:sz w:val="2"/>
              </w:rPr>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319"/>
              <w:gridCol w:w="2042"/>
              <w:gridCol w:w="713"/>
            </w:tblGrid>
            <w:tr w14:paraId="07DD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688" w:type="dxa"/>
                  <w:tcBorders>
                    <w:top w:val="nil"/>
                  </w:tcBorders>
                  <w:vAlign w:val="top"/>
                </w:tcPr>
                <w:p w14:paraId="33C568B8">
                  <w:pPr>
                    <w:rPr>
                      <w:rFonts w:ascii="Arial"/>
                      <w:sz w:val="21"/>
                    </w:rPr>
                  </w:pPr>
                </w:p>
              </w:tc>
              <w:tc>
                <w:tcPr>
                  <w:tcW w:w="3319" w:type="dxa"/>
                  <w:tcBorders>
                    <w:top w:val="nil"/>
                  </w:tcBorders>
                  <w:vAlign w:val="top"/>
                </w:tcPr>
                <w:p w14:paraId="1285CBE6">
                  <w:pPr>
                    <w:pStyle w:val="6"/>
                    <w:spacing w:before="51" w:line="241" w:lineRule="auto"/>
                    <w:ind w:left="67" w:right="80" w:firstLine="5"/>
                    <w:rPr>
                      <w:sz w:val="18"/>
                      <w:szCs w:val="18"/>
                    </w:rPr>
                  </w:pPr>
                  <w:r>
                    <w:rPr>
                      <w:spacing w:val="-5"/>
                      <w:sz w:val="18"/>
                      <w:szCs w:val="18"/>
                    </w:rPr>
                    <w:t>管负责人。对超过重点水污染物排放总量</w:t>
                  </w:r>
                  <w:r>
                    <w:rPr>
                      <w:spacing w:val="10"/>
                      <w:sz w:val="18"/>
                      <w:szCs w:val="18"/>
                    </w:rPr>
                    <w:t xml:space="preserve"> </w:t>
                  </w:r>
                  <w:r>
                    <w:rPr>
                      <w:spacing w:val="-5"/>
                      <w:sz w:val="18"/>
                      <w:szCs w:val="18"/>
                    </w:rPr>
                    <w:t>控制指标或者未完成水环境质量改善目标</w:t>
                  </w:r>
                  <w:r>
                    <w:rPr>
                      <w:spacing w:val="15"/>
                      <w:sz w:val="18"/>
                      <w:szCs w:val="18"/>
                    </w:rPr>
                    <w:t xml:space="preserve"> </w:t>
                  </w:r>
                  <w:r>
                    <w:rPr>
                      <w:spacing w:val="-5"/>
                      <w:sz w:val="18"/>
                      <w:szCs w:val="18"/>
                    </w:rPr>
                    <w:t>的区域，省人民政府生态环境主管部门应</w:t>
                  </w:r>
                  <w:r>
                    <w:rPr>
                      <w:spacing w:val="15"/>
                      <w:sz w:val="18"/>
                      <w:szCs w:val="18"/>
                    </w:rPr>
                    <w:t xml:space="preserve"> </w:t>
                  </w:r>
                  <w:r>
                    <w:rPr>
                      <w:spacing w:val="-5"/>
                      <w:sz w:val="18"/>
                      <w:szCs w:val="18"/>
                    </w:rPr>
                    <w:t>当会同有关部门约谈该地区人民政府的主</w:t>
                  </w:r>
                  <w:r>
                    <w:rPr>
                      <w:spacing w:val="15"/>
                      <w:sz w:val="18"/>
                      <w:szCs w:val="18"/>
                    </w:rPr>
                    <w:t xml:space="preserve"> </w:t>
                  </w:r>
                  <w:r>
                    <w:rPr>
                      <w:spacing w:val="-5"/>
                      <w:sz w:val="18"/>
                      <w:szCs w:val="18"/>
                    </w:rPr>
                    <w:t>要负责人，并暂停审批新增重点水污染物</w:t>
                  </w:r>
                  <w:r>
                    <w:rPr>
                      <w:spacing w:val="15"/>
                      <w:sz w:val="18"/>
                      <w:szCs w:val="18"/>
                    </w:rPr>
                    <w:t xml:space="preserve"> </w:t>
                  </w:r>
                  <w:r>
                    <w:rPr>
                      <w:spacing w:val="-4"/>
                      <w:sz w:val="18"/>
                      <w:szCs w:val="18"/>
                    </w:rPr>
                    <w:t>排放总量的建设项目的环境影响评价文</w:t>
                  </w:r>
                </w:p>
                <w:p w14:paraId="6055CE8F">
                  <w:pPr>
                    <w:pStyle w:val="6"/>
                    <w:spacing w:before="27" w:line="201" w:lineRule="auto"/>
                    <w:ind w:left="67"/>
                    <w:rPr>
                      <w:sz w:val="18"/>
                      <w:szCs w:val="18"/>
                    </w:rPr>
                  </w:pPr>
                  <w:r>
                    <w:rPr>
                      <w:spacing w:val="-4"/>
                      <w:sz w:val="18"/>
                      <w:szCs w:val="18"/>
                    </w:rPr>
                    <w:t>件。约谈情况应当向社会公开。</w:t>
                  </w:r>
                </w:p>
              </w:tc>
              <w:tc>
                <w:tcPr>
                  <w:tcW w:w="2042" w:type="dxa"/>
                  <w:tcBorders>
                    <w:top w:val="nil"/>
                  </w:tcBorders>
                  <w:vAlign w:val="top"/>
                </w:tcPr>
                <w:p w14:paraId="6F339091">
                  <w:pPr>
                    <w:rPr>
                      <w:rFonts w:ascii="Arial"/>
                      <w:sz w:val="21"/>
                    </w:rPr>
                  </w:pPr>
                </w:p>
              </w:tc>
              <w:tc>
                <w:tcPr>
                  <w:tcW w:w="713" w:type="dxa"/>
                  <w:tcBorders>
                    <w:top w:val="nil"/>
                  </w:tcBorders>
                  <w:vAlign w:val="top"/>
                </w:tcPr>
                <w:p w14:paraId="4D3535C1">
                  <w:pPr>
                    <w:rPr>
                      <w:rFonts w:ascii="Arial"/>
                      <w:sz w:val="21"/>
                    </w:rPr>
                  </w:pPr>
                </w:p>
              </w:tc>
            </w:tr>
            <w:tr w14:paraId="1B9A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688" w:type="dxa"/>
                  <w:vAlign w:val="top"/>
                </w:tcPr>
                <w:p w14:paraId="1787629E">
                  <w:pPr>
                    <w:rPr>
                      <w:rFonts w:ascii="Arial"/>
                      <w:sz w:val="21"/>
                    </w:rPr>
                  </w:pPr>
                </w:p>
                <w:p w14:paraId="23AED430">
                  <w:pPr>
                    <w:rPr>
                      <w:rFonts w:ascii="Arial"/>
                      <w:sz w:val="21"/>
                    </w:rPr>
                  </w:pPr>
                </w:p>
                <w:p w14:paraId="46BC3A7D">
                  <w:pPr>
                    <w:rPr>
                      <w:rFonts w:ascii="Arial"/>
                      <w:sz w:val="21"/>
                    </w:rPr>
                  </w:pPr>
                </w:p>
                <w:p w14:paraId="0299C242">
                  <w:pPr>
                    <w:rPr>
                      <w:rFonts w:ascii="Arial"/>
                      <w:sz w:val="21"/>
                    </w:rPr>
                  </w:pPr>
                </w:p>
                <w:p w14:paraId="5D42C643">
                  <w:pPr>
                    <w:spacing w:line="241" w:lineRule="auto"/>
                    <w:rPr>
                      <w:rFonts w:ascii="Arial"/>
                      <w:sz w:val="21"/>
                    </w:rPr>
                  </w:pPr>
                </w:p>
                <w:p w14:paraId="0973C964">
                  <w:pPr>
                    <w:spacing w:line="241" w:lineRule="auto"/>
                    <w:rPr>
                      <w:rFonts w:ascii="Arial"/>
                      <w:sz w:val="21"/>
                    </w:rPr>
                  </w:pPr>
                </w:p>
                <w:p w14:paraId="33E1FF48">
                  <w:pPr>
                    <w:spacing w:line="241" w:lineRule="auto"/>
                    <w:rPr>
                      <w:rFonts w:ascii="Arial"/>
                      <w:sz w:val="21"/>
                    </w:rPr>
                  </w:pPr>
                </w:p>
                <w:p w14:paraId="2D61A855">
                  <w:pPr>
                    <w:spacing w:line="241" w:lineRule="auto"/>
                    <w:rPr>
                      <w:rFonts w:ascii="Arial"/>
                      <w:sz w:val="21"/>
                    </w:rPr>
                  </w:pPr>
                </w:p>
                <w:p w14:paraId="0470D8D5">
                  <w:pPr>
                    <w:spacing w:line="241" w:lineRule="auto"/>
                    <w:rPr>
                      <w:rFonts w:ascii="Arial"/>
                      <w:sz w:val="21"/>
                    </w:rPr>
                  </w:pPr>
                </w:p>
                <w:p w14:paraId="08AC9BB5">
                  <w:pPr>
                    <w:spacing w:before="51"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14:paraId="72BD9B33">
                  <w:pPr>
                    <w:pStyle w:val="6"/>
                    <w:spacing w:before="32" w:line="244" w:lineRule="auto"/>
                    <w:ind w:left="67" w:right="80"/>
                    <w:rPr>
                      <w:sz w:val="18"/>
                      <w:szCs w:val="18"/>
                    </w:rPr>
                  </w:pPr>
                  <w:r>
                    <w:rPr>
                      <w:spacing w:val="-5"/>
                      <w:sz w:val="18"/>
                      <w:szCs w:val="18"/>
                    </w:rPr>
                    <w:t>第六十七条 嘉陵江流域县级以上地方人</w:t>
                  </w:r>
                  <w:r>
                    <w:rPr>
                      <w:spacing w:val="7"/>
                      <w:sz w:val="18"/>
                      <w:szCs w:val="18"/>
                    </w:rPr>
                    <w:t xml:space="preserve">  </w:t>
                  </w:r>
                  <w:r>
                    <w:rPr>
                      <w:spacing w:val="-5"/>
                      <w:sz w:val="18"/>
                      <w:szCs w:val="18"/>
                    </w:rPr>
                    <w:t>民政府应当根据国土空间规划和本行政区</w:t>
                  </w:r>
                  <w:r>
                    <w:rPr>
                      <w:spacing w:val="15"/>
                      <w:sz w:val="18"/>
                      <w:szCs w:val="18"/>
                    </w:rPr>
                    <w:t xml:space="preserve"> </w:t>
                  </w:r>
                  <w:r>
                    <w:rPr>
                      <w:spacing w:val="-5"/>
                      <w:sz w:val="18"/>
                      <w:szCs w:val="18"/>
                    </w:rPr>
                    <w:t>域的资源环境承载能力与水环境质量改善</w:t>
                  </w:r>
                  <w:r>
                    <w:rPr>
                      <w:spacing w:val="15"/>
                      <w:sz w:val="18"/>
                      <w:szCs w:val="18"/>
                    </w:rPr>
                    <w:t xml:space="preserve"> </w:t>
                  </w:r>
                  <w:r>
                    <w:rPr>
                      <w:spacing w:val="-5"/>
                      <w:sz w:val="18"/>
                      <w:szCs w:val="18"/>
                    </w:rPr>
                    <w:t>目标等要求，合理规划工业布局，引导现</w:t>
                  </w:r>
                  <w:r>
                    <w:rPr>
                      <w:spacing w:val="15"/>
                      <w:sz w:val="18"/>
                      <w:szCs w:val="18"/>
                    </w:rPr>
                    <w:t xml:space="preserve"> </w:t>
                  </w:r>
                  <w:r>
                    <w:rPr>
                      <w:spacing w:val="-5"/>
                      <w:sz w:val="18"/>
                      <w:szCs w:val="18"/>
                    </w:rPr>
                    <w:t>有工业企业入驻工业集聚区。新建排放重</w:t>
                  </w:r>
                  <w:r>
                    <w:rPr>
                      <w:spacing w:val="15"/>
                      <w:sz w:val="18"/>
                      <w:szCs w:val="18"/>
                    </w:rPr>
                    <w:t xml:space="preserve"> </w:t>
                  </w:r>
                  <w:r>
                    <w:rPr>
                      <w:spacing w:val="-5"/>
                      <w:sz w:val="18"/>
                      <w:szCs w:val="18"/>
                    </w:rPr>
                    <w:t>点水污染物的工业项目原则上进入符合相</w:t>
                  </w:r>
                  <w:r>
                    <w:rPr>
                      <w:spacing w:val="15"/>
                      <w:sz w:val="18"/>
                      <w:szCs w:val="18"/>
                    </w:rPr>
                    <w:t xml:space="preserve"> </w:t>
                  </w:r>
                  <w:r>
                    <w:rPr>
                      <w:spacing w:val="-5"/>
                      <w:sz w:val="18"/>
                      <w:szCs w:val="18"/>
                    </w:rPr>
                    <w:t>关规划的工业集聚区。逐步减少在工业集</w:t>
                  </w:r>
                  <w:r>
                    <w:rPr>
                      <w:spacing w:val="15"/>
                      <w:sz w:val="18"/>
                      <w:szCs w:val="18"/>
                    </w:rPr>
                    <w:t xml:space="preserve"> </w:t>
                  </w:r>
                  <w:r>
                    <w:rPr>
                      <w:spacing w:val="-5"/>
                      <w:sz w:val="18"/>
                      <w:szCs w:val="18"/>
                    </w:rPr>
                    <w:t>聚区以外排放工业废水的工业企业，并将</w:t>
                  </w:r>
                  <w:r>
                    <w:rPr>
                      <w:spacing w:val="15"/>
                      <w:sz w:val="18"/>
                      <w:szCs w:val="18"/>
                    </w:rPr>
                    <w:t xml:space="preserve"> </w:t>
                  </w:r>
                  <w:r>
                    <w:rPr>
                      <w:spacing w:val="-5"/>
                      <w:sz w:val="18"/>
                      <w:szCs w:val="18"/>
                    </w:rPr>
                    <w:t>有关工作情况纳入环境保护目标责任制范</w:t>
                  </w:r>
                  <w:r>
                    <w:rPr>
                      <w:spacing w:val="15"/>
                      <w:sz w:val="18"/>
                      <w:szCs w:val="18"/>
                    </w:rPr>
                    <w:t xml:space="preserve"> </w:t>
                  </w:r>
                  <w:r>
                    <w:rPr>
                      <w:spacing w:val="-5"/>
                      <w:sz w:val="18"/>
                      <w:szCs w:val="18"/>
                    </w:rPr>
                    <w:t>围。禁止在合规园区外新建、扩建钢铁、</w:t>
                  </w:r>
                  <w:r>
                    <w:rPr>
                      <w:spacing w:val="15"/>
                      <w:sz w:val="18"/>
                      <w:szCs w:val="18"/>
                    </w:rPr>
                    <w:t xml:space="preserve"> </w:t>
                  </w:r>
                  <w:r>
                    <w:rPr>
                      <w:spacing w:val="-5"/>
                      <w:sz w:val="18"/>
                      <w:szCs w:val="18"/>
                    </w:rPr>
                    <w:t>石化化工、焦化、建材、有色金属等高污</w:t>
                  </w:r>
                  <w:r>
                    <w:rPr>
                      <w:spacing w:val="15"/>
                      <w:sz w:val="18"/>
                      <w:szCs w:val="18"/>
                    </w:rPr>
                    <w:t xml:space="preserve"> </w:t>
                  </w:r>
                  <w:r>
                    <w:rPr>
                      <w:spacing w:val="-5"/>
                      <w:sz w:val="18"/>
                      <w:szCs w:val="18"/>
                    </w:rPr>
                    <w:t>染项目。工业集聚区管理机构应当建设污</w:t>
                  </w:r>
                  <w:r>
                    <w:rPr>
                      <w:spacing w:val="15"/>
                      <w:sz w:val="18"/>
                      <w:szCs w:val="18"/>
                    </w:rPr>
                    <w:t xml:space="preserve"> </w:t>
                  </w:r>
                  <w:r>
                    <w:rPr>
                      <w:spacing w:val="-5"/>
                      <w:sz w:val="18"/>
                      <w:szCs w:val="18"/>
                    </w:rPr>
                    <w:t>水集中处理设施和配套管网，实行雨污分</w:t>
                  </w:r>
                  <w:r>
                    <w:rPr>
                      <w:spacing w:val="15"/>
                      <w:sz w:val="18"/>
                      <w:szCs w:val="18"/>
                    </w:rPr>
                    <w:t xml:space="preserve"> </w:t>
                  </w:r>
                  <w:r>
                    <w:rPr>
                      <w:spacing w:val="-5"/>
                      <w:sz w:val="18"/>
                      <w:szCs w:val="18"/>
                    </w:rPr>
                    <w:t>流，实现废水分类收集、分质处理。污水</w:t>
                  </w:r>
                  <w:r>
                    <w:rPr>
                      <w:spacing w:val="15"/>
                      <w:sz w:val="18"/>
                      <w:szCs w:val="18"/>
                    </w:rPr>
                    <w:t xml:space="preserve"> </w:t>
                  </w:r>
                  <w:r>
                    <w:rPr>
                      <w:spacing w:val="-5"/>
                      <w:sz w:val="18"/>
                      <w:szCs w:val="18"/>
                    </w:rPr>
                    <w:t>集中处理设施应当安装自动监控系统，并</w:t>
                  </w:r>
                  <w:r>
                    <w:rPr>
                      <w:spacing w:val="15"/>
                      <w:sz w:val="18"/>
                      <w:szCs w:val="18"/>
                    </w:rPr>
                    <w:t xml:space="preserve"> </w:t>
                  </w:r>
                  <w:r>
                    <w:rPr>
                      <w:spacing w:val="-5"/>
                      <w:sz w:val="18"/>
                      <w:szCs w:val="18"/>
                    </w:rPr>
                    <w:t>与生态环境主管部门的监控设备联网。排</w:t>
                  </w:r>
                  <w:r>
                    <w:rPr>
                      <w:spacing w:val="15"/>
                      <w:sz w:val="18"/>
                      <w:szCs w:val="18"/>
                    </w:rPr>
                    <w:t xml:space="preserve"> </w:t>
                  </w:r>
                  <w:r>
                    <w:rPr>
                      <w:spacing w:val="-5"/>
                      <w:sz w:val="18"/>
                      <w:szCs w:val="18"/>
                    </w:rPr>
                    <w:t>污单位对污水进行预处理后向污水集中处</w:t>
                  </w:r>
                  <w:r>
                    <w:rPr>
                      <w:spacing w:val="15"/>
                      <w:sz w:val="18"/>
                      <w:szCs w:val="18"/>
                    </w:rPr>
                    <w:t xml:space="preserve"> </w:t>
                  </w:r>
                  <w:r>
                    <w:rPr>
                      <w:spacing w:val="-5"/>
                      <w:sz w:val="18"/>
                      <w:szCs w:val="18"/>
                    </w:rPr>
                    <w:t>理设施排放的，应当符合污水集中处理设</w:t>
                  </w:r>
                  <w:r>
                    <w:rPr>
                      <w:spacing w:val="15"/>
                      <w:sz w:val="18"/>
                      <w:szCs w:val="18"/>
                    </w:rPr>
                    <w:t xml:space="preserve"> </w:t>
                  </w:r>
                  <w:r>
                    <w:rPr>
                      <w:spacing w:val="-4"/>
                      <w:sz w:val="18"/>
                      <w:szCs w:val="18"/>
                    </w:rPr>
                    <w:t>施的接纳标准。</w:t>
                  </w:r>
                </w:p>
              </w:tc>
              <w:tc>
                <w:tcPr>
                  <w:tcW w:w="2042" w:type="dxa"/>
                  <w:vAlign w:val="top"/>
                </w:tcPr>
                <w:p w14:paraId="1C2D4758">
                  <w:pPr>
                    <w:spacing w:line="274" w:lineRule="auto"/>
                    <w:rPr>
                      <w:rFonts w:ascii="Arial"/>
                      <w:sz w:val="21"/>
                    </w:rPr>
                  </w:pPr>
                </w:p>
                <w:p w14:paraId="139093C4">
                  <w:pPr>
                    <w:spacing w:line="275" w:lineRule="auto"/>
                    <w:rPr>
                      <w:rFonts w:ascii="Arial"/>
                      <w:sz w:val="21"/>
                    </w:rPr>
                  </w:pPr>
                </w:p>
                <w:p w14:paraId="5026A376">
                  <w:pPr>
                    <w:spacing w:line="275" w:lineRule="auto"/>
                    <w:rPr>
                      <w:rFonts w:ascii="Arial"/>
                      <w:sz w:val="21"/>
                    </w:rPr>
                  </w:pPr>
                </w:p>
                <w:p w14:paraId="3F4E9B96">
                  <w:pPr>
                    <w:spacing w:line="275" w:lineRule="auto"/>
                    <w:rPr>
                      <w:rFonts w:ascii="Arial"/>
                      <w:sz w:val="21"/>
                    </w:rPr>
                  </w:pPr>
                </w:p>
                <w:p w14:paraId="1E225BAD">
                  <w:pPr>
                    <w:spacing w:line="275" w:lineRule="auto"/>
                    <w:rPr>
                      <w:rFonts w:ascii="Arial"/>
                      <w:sz w:val="21"/>
                    </w:rPr>
                  </w:pPr>
                </w:p>
                <w:p w14:paraId="183A8A3C">
                  <w:pPr>
                    <w:spacing w:line="275" w:lineRule="auto"/>
                    <w:rPr>
                      <w:rFonts w:ascii="Arial"/>
                      <w:sz w:val="21"/>
                    </w:rPr>
                  </w:pPr>
                </w:p>
                <w:p w14:paraId="1C40123A">
                  <w:pPr>
                    <w:pStyle w:val="6"/>
                    <w:spacing w:before="58" w:line="241" w:lineRule="auto"/>
                    <w:ind w:left="70" w:right="38"/>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1"/>
                      <w:sz w:val="18"/>
                      <w:szCs w:val="18"/>
                    </w:rPr>
                    <w:t xml:space="preserve"> </w:t>
                  </w:r>
                  <w:r>
                    <w:rPr>
                      <w:spacing w:val="-1"/>
                      <w:sz w:val="18"/>
                      <w:szCs w:val="18"/>
                    </w:rPr>
                    <w:t>污水经定期拉运进入东</w:t>
                  </w:r>
                  <w:r>
                    <w:rPr>
                      <w:sz w:val="18"/>
                      <w:szCs w:val="18"/>
                    </w:rPr>
                    <w:t xml:space="preserve">  </w:t>
                  </w:r>
                  <w:r>
                    <w:rPr>
                      <w:spacing w:val="-5"/>
                      <w:sz w:val="18"/>
                      <w:szCs w:val="18"/>
                    </w:rPr>
                    <w:t>岳场镇污水处理厂处理，</w:t>
                  </w:r>
                  <w:r>
                    <w:rPr>
                      <w:spacing w:val="1"/>
                      <w:sz w:val="18"/>
                      <w:szCs w:val="18"/>
                    </w:rPr>
                    <w:t xml:space="preserve"> </w:t>
                  </w:r>
                  <w:r>
                    <w:rPr>
                      <w:spacing w:val="-1"/>
                      <w:sz w:val="18"/>
                      <w:szCs w:val="18"/>
                    </w:rPr>
                    <w:t>不涉及废水直排。</w:t>
                  </w:r>
                </w:p>
              </w:tc>
              <w:tc>
                <w:tcPr>
                  <w:tcW w:w="713" w:type="dxa"/>
                  <w:vAlign w:val="top"/>
                </w:tcPr>
                <w:p w14:paraId="49818D97">
                  <w:pPr>
                    <w:spacing w:line="265" w:lineRule="auto"/>
                    <w:rPr>
                      <w:rFonts w:ascii="Arial"/>
                      <w:sz w:val="21"/>
                    </w:rPr>
                  </w:pPr>
                </w:p>
                <w:p w14:paraId="68DE010A">
                  <w:pPr>
                    <w:spacing w:line="266" w:lineRule="auto"/>
                    <w:rPr>
                      <w:rFonts w:ascii="Arial"/>
                      <w:sz w:val="21"/>
                    </w:rPr>
                  </w:pPr>
                </w:p>
                <w:p w14:paraId="319F785A">
                  <w:pPr>
                    <w:spacing w:line="266" w:lineRule="auto"/>
                    <w:rPr>
                      <w:rFonts w:ascii="Arial"/>
                      <w:sz w:val="21"/>
                    </w:rPr>
                  </w:pPr>
                </w:p>
                <w:p w14:paraId="48C9BE55">
                  <w:pPr>
                    <w:spacing w:line="266" w:lineRule="auto"/>
                    <w:rPr>
                      <w:rFonts w:ascii="Arial"/>
                      <w:sz w:val="21"/>
                    </w:rPr>
                  </w:pPr>
                </w:p>
                <w:p w14:paraId="4F50DB79">
                  <w:pPr>
                    <w:spacing w:line="266" w:lineRule="auto"/>
                    <w:rPr>
                      <w:rFonts w:ascii="Arial"/>
                      <w:sz w:val="21"/>
                    </w:rPr>
                  </w:pPr>
                </w:p>
                <w:p w14:paraId="0335F0F9">
                  <w:pPr>
                    <w:spacing w:line="266" w:lineRule="auto"/>
                    <w:rPr>
                      <w:rFonts w:ascii="Arial"/>
                      <w:sz w:val="21"/>
                    </w:rPr>
                  </w:pPr>
                </w:p>
                <w:p w14:paraId="73677070">
                  <w:pPr>
                    <w:spacing w:line="266" w:lineRule="auto"/>
                    <w:rPr>
                      <w:rFonts w:ascii="Arial"/>
                      <w:sz w:val="21"/>
                    </w:rPr>
                  </w:pPr>
                </w:p>
                <w:p w14:paraId="7BB90556">
                  <w:pPr>
                    <w:spacing w:line="266" w:lineRule="auto"/>
                    <w:rPr>
                      <w:rFonts w:ascii="Arial"/>
                      <w:sz w:val="21"/>
                    </w:rPr>
                  </w:pPr>
                </w:p>
                <w:p w14:paraId="2495ABAC">
                  <w:pPr>
                    <w:pStyle w:val="6"/>
                    <w:spacing w:before="58" w:line="219" w:lineRule="auto"/>
                    <w:ind w:left="182"/>
                    <w:rPr>
                      <w:sz w:val="18"/>
                      <w:szCs w:val="18"/>
                    </w:rPr>
                  </w:pPr>
                  <w:r>
                    <w:rPr>
                      <w:spacing w:val="-5"/>
                      <w:sz w:val="18"/>
                      <w:szCs w:val="18"/>
                    </w:rPr>
                    <w:t>符合</w:t>
                  </w:r>
                </w:p>
              </w:tc>
            </w:tr>
            <w:tr w14:paraId="0F29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8" w:type="dxa"/>
                  <w:vAlign w:val="top"/>
                </w:tcPr>
                <w:p w14:paraId="72926B71">
                  <w:pPr>
                    <w:spacing w:line="248" w:lineRule="auto"/>
                    <w:rPr>
                      <w:rFonts w:ascii="Arial"/>
                      <w:sz w:val="21"/>
                    </w:rPr>
                  </w:pPr>
                </w:p>
                <w:p w14:paraId="3AF3AF1F">
                  <w:pPr>
                    <w:spacing w:line="248" w:lineRule="auto"/>
                    <w:rPr>
                      <w:rFonts w:ascii="Arial"/>
                      <w:sz w:val="21"/>
                    </w:rPr>
                  </w:pPr>
                </w:p>
                <w:p w14:paraId="421E0EB7">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14:paraId="035D6BF0">
                  <w:pPr>
                    <w:pStyle w:val="6"/>
                    <w:spacing w:before="38" w:line="237" w:lineRule="auto"/>
                    <w:ind w:left="67" w:right="80"/>
                    <w:jc w:val="both"/>
                    <w:rPr>
                      <w:sz w:val="18"/>
                      <w:szCs w:val="18"/>
                    </w:rPr>
                  </w:pPr>
                  <w:r>
                    <w:rPr>
                      <w:spacing w:val="-5"/>
                      <w:sz w:val="18"/>
                      <w:szCs w:val="18"/>
                    </w:rPr>
                    <w:t>第七十七条 嘉陵江流域产业结构和布局</w:t>
                  </w:r>
                  <w:r>
                    <w:rPr>
                      <w:spacing w:val="7"/>
                      <w:sz w:val="18"/>
                      <w:szCs w:val="18"/>
                    </w:rPr>
                    <w:t xml:space="preserve">  </w:t>
                  </w:r>
                  <w:r>
                    <w:rPr>
                      <w:spacing w:val="-5"/>
                      <w:sz w:val="18"/>
                      <w:szCs w:val="18"/>
                    </w:rPr>
                    <w:t>应当与流域生态系统和资源环境承载能力</w:t>
                  </w:r>
                  <w:r>
                    <w:rPr>
                      <w:spacing w:val="14"/>
                      <w:sz w:val="18"/>
                      <w:szCs w:val="18"/>
                    </w:rPr>
                    <w:t xml:space="preserve"> </w:t>
                  </w:r>
                  <w:r>
                    <w:rPr>
                      <w:spacing w:val="-5"/>
                      <w:sz w:val="18"/>
                      <w:szCs w:val="18"/>
                    </w:rPr>
                    <w:t>相适应。禁止在嘉陵江流域重点生态功能</w:t>
                  </w:r>
                  <w:r>
                    <w:rPr>
                      <w:spacing w:val="14"/>
                      <w:sz w:val="18"/>
                      <w:szCs w:val="18"/>
                    </w:rPr>
                    <w:t xml:space="preserve"> </w:t>
                  </w:r>
                  <w:r>
                    <w:rPr>
                      <w:spacing w:val="-5"/>
                      <w:sz w:val="18"/>
                      <w:szCs w:val="18"/>
                    </w:rPr>
                    <w:t>区布局对生态系统有严重影响的产业。禁</w:t>
                  </w:r>
                  <w:r>
                    <w:rPr>
                      <w:spacing w:val="14"/>
                      <w:sz w:val="18"/>
                      <w:szCs w:val="18"/>
                    </w:rPr>
                    <w:t xml:space="preserve"> </w:t>
                  </w:r>
                  <w:r>
                    <w:rPr>
                      <w:spacing w:val="-4"/>
                      <w:sz w:val="18"/>
                      <w:szCs w:val="18"/>
                    </w:rPr>
                    <w:t>止重污染企业和项目向嘉陵江流域转移。</w:t>
                  </w:r>
                </w:p>
              </w:tc>
              <w:tc>
                <w:tcPr>
                  <w:tcW w:w="2042" w:type="dxa"/>
                  <w:vAlign w:val="top"/>
                </w:tcPr>
                <w:p w14:paraId="3EF260D1">
                  <w:pPr>
                    <w:pStyle w:val="6"/>
                    <w:spacing w:before="279" w:line="238" w:lineRule="auto"/>
                    <w:ind w:left="73" w:right="60" w:hanging="2"/>
                    <w:rPr>
                      <w:sz w:val="18"/>
                      <w:szCs w:val="18"/>
                    </w:rPr>
                  </w:pPr>
                  <w:r>
                    <w:rPr>
                      <w:spacing w:val="-1"/>
                      <w:sz w:val="18"/>
                      <w:szCs w:val="18"/>
                    </w:rPr>
                    <w:t>本项目为非金属矿物制</w:t>
                  </w:r>
                  <w:r>
                    <w:rPr>
                      <w:sz w:val="18"/>
                      <w:szCs w:val="18"/>
                    </w:rPr>
                    <w:t xml:space="preserve">  </w:t>
                  </w:r>
                  <w:r>
                    <w:rPr>
                      <w:spacing w:val="-8"/>
                      <w:sz w:val="18"/>
                      <w:szCs w:val="18"/>
                    </w:rPr>
                    <w:t>品制造项目，不属于重污</w:t>
                  </w:r>
                  <w:r>
                    <w:rPr>
                      <w:spacing w:val="9"/>
                      <w:sz w:val="18"/>
                      <w:szCs w:val="18"/>
                    </w:rPr>
                    <w:t xml:space="preserve"> </w:t>
                  </w:r>
                  <w:r>
                    <w:rPr>
                      <w:spacing w:val="-2"/>
                      <w:sz w:val="18"/>
                      <w:szCs w:val="18"/>
                    </w:rPr>
                    <w:t>染企业和项目。</w:t>
                  </w:r>
                </w:p>
              </w:tc>
              <w:tc>
                <w:tcPr>
                  <w:tcW w:w="713" w:type="dxa"/>
                  <w:vAlign w:val="top"/>
                </w:tcPr>
                <w:p w14:paraId="3BC0C803">
                  <w:pPr>
                    <w:spacing w:line="459" w:lineRule="auto"/>
                    <w:rPr>
                      <w:rFonts w:ascii="Arial"/>
                      <w:sz w:val="21"/>
                    </w:rPr>
                  </w:pPr>
                </w:p>
                <w:p w14:paraId="5C5B73D2">
                  <w:pPr>
                    <w:pStyle w:val="6"/>
                    <w:spacing w:before="58" w:line="219" w:lineRule="auto"/>
                    <w:ind w:left="182"/>
                    <w:rPr>
                      <w:sz w:val="18"/>
                      <w:szCs w:val="18"/>
                    </w:rPr>
                  </w:pPr>
                  <w:r>
                    <w:rPr>
                      <w:spacing w:val="-5"/>
                      <w:sz w:val="18"/>
                      <w:szCs w:val="18"/>
                    </w:rPr>
                    <w:t>符合</w:t>
                  </w:r>
                </w:p>
              </w:tc>
            </w:tr>
            <w:tr w14:paraId="38877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88" w:type="dxa"/>
                  <w:vAlign w:val="top"/>
                </w:tcPr>
                <w:p w14:paraId="45108993">
                  <w:pPr>
                    <w:spacing w:line="285" w:lineRule="auto"/>
                    <w:rPr>
                      <w:rFonts w:ascii="Arial"/>
                      <w:sz w:val="21"/>
                    </w:rPr>
                  </w:pPr>
                </w:p>
                <w:p w14:paraId="41ECE119">
                  <w:pPr>
                    <w:spacing w:line="285" w:lineRule="auto"/>
                    <w:rPr>
                      <w:rFonts w:ascii="Arial"/>
                      <w:sz w:val="21"/>
                    </w:rPr>
                  </w:pPr>
                </w:p>
                <w:p w14:paraId="2A4A3660">
                  <w:pPr>
                    <w:spacing w:line="285" w:lineRule="auto"/>
                    <w:rPr>
                      <w:rFonts w:ascii="Arial"/>
                      <w:sz w:val="21"/>
                    </w:rPr>
                  </w:pPr>
                </w:p>
                <w:p w14:paraId="252CB24A">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vAlign w:val="top"/>
                </w:tcPr>
                <w:p w14:paraId="3119626F">
                  <w:pPr>
                    <w:pStyle w:val="6"/>
                    <w:spacing w:before="42"/>
                    <w:ind w:left="67" w:right="17"/>
                    <w:rPr>
                      <w:sz w:val="18"/>
                      <w:szCs w:val="18"/>
                    </w:rPr>
                  </w:pPr>
                  <w:r>
                    <w:rPr>
                      <w:spacing w:val="-5"/>
                      <w:sz w:val="18"/>
                      <w:szCs w:val="18"/>
                    </w:rPr>
                    <w:t>第七十八条 嘉陵江流域县级以上地方人</w:t>
                  </w:r>
                  <w:r>
                    <w:rPr>
                      <w:spacing w:val="7"/>
                      <w:sz w:val="18"/>
                      <w:szCs w:val="18"/>
                    </w:rPr>
                    <w:t xml:space="preserve">  </w:t>
                  </w:r>
                  <w:r>
                    <w:rPr>
                      <w:spacing w:val="-4"/>
                      <w:sz w:val="18"/>
                      <w:szCs w:val="18"/>
                    </w:rPr>
                    <w:t>民政府应当推动能源、钢铁、有色金属、</w:t>
                  </w:r>
                  <w:r>
                    <w:rPr>
                      <w:spacing w:val="16"/>
                      <w:sz w:val="18"/>
                      <w:szCs w:val="18"/>
                    </w:rPr>
                    <w:t xml:space="preserve"> </w:t>
                  </w:r>
                  <w:r>
                    <w:rPr>
                      <w:spacing w:val="-5"/>
                      <w:sz w:val="18"/>
                      <w:szCs w:val="18"/>
                    </w:rPr>
                    <w:t>石化化工、建材、交通、建筑等行业和领</w:t>
                  </w:r>
                  <w:r>
                    <w:rPr>
                      <w:spacing w:val="14"/>
                      <w:sz w:val="18"/>
                      <w:szCs w:val="18"/>
                    </w:rPr>
                    <w:t xml:space="preserve"> </w:t>
                  </w:r>
                  <w:r>
                    <w:rPr>
                      <w:spacing w:val="-11"/>
                      <w:sz w:val="18"/>
                      <w:szCs w:val="18"/>
                    </w:rPr>
                    <w:t>域低碳转型，倡导绿色低碳生产生活方式，</w:t>
                  </w:r>
                  <w:r>
                    <w:rPr>
                      <w:spacing w:val="16"/>
                      <w:sz w:val="18"/>
                      <w:szCs w:val="18"/>
                    </w:rPr>
                    <w:t xml:space="preserve"> </w:t>
                  </w:r>
                  <w:r>
                    <w:rPr>
                      <w:spacing w:val="-5"/>
                      <w:sz w:val="18"/>
                      <w:szCs w:val="18"/>
                    </w:rPr>
                    <w:t>按照国家规定实行碳排放强度和总量控制</w:t>
                  </w:r>
                  <w:r>
                    <w:rPr>
                      <w:spacing w:val="14"/>
                      <w:sz w:val="18"/>
                      <w:szCs w:val="18"/>
                    </w:rPr>
                    <w:t xml:space="preserve"> </w:t>
                  </w:r>
                  <w:r>
                    <w:rPr>
                      <w:spacing w:val="-5"/>
                      <w:sz w:val="18"/>
                      <w:szCs w:val="18"/>
                    </w:rPr>
                    <w:t>制度，控制二氧化碳、甲烷等温室气体排</w:t>
                  </w:r>
                  <w:r>
                    <w:rPr>
                      <w:spacing w:val="14"/>
                      <w:sz w:val="18"/>
                      <w:szCs w:val="18"/>
                    </w:rPr>
                    <w:t xml:space="preserve"> </w:t>
                  </w:r>
                  <w:r>
                    <w:rPr>
                      <w:spacing w:val="-5"/>
                      <w:sz w:val="18"/>
                      <w:szCs w:val="18"/>
                    </w:rPr>
                    <w:t>放，加强气候变化影响风险评估，主动适</w:t>
                  </w:r>
                  <w:r>
                    <w:rPr>
                      <w:spacing w:val="14"/>
                      <w:sz w:val="18"/>
                      <w:szCs w:val="18"/>
                    </w:rPr>
                    <w:t xml:space="preserve"> </w:t>
                  </w:r>
                  <w:r>
                    <w:rPr>
                      <w:spacing w:val="-4"/>
                      <w:sz w:val="18"/>
                      <w:szCs w:val="18"/>
                    </w:rPr>
                    <w:t>应气候变化，提升生态系统碳汇增量。</w:t>
                  </w:r>
                </w:p>
              </w:tc>
              <w:tc>
                <w:tcPr>
                  <w:tcW w:w="2042" w:type="dxa"/>
                  <w:vAlign w:val="top"/>
                </w:tcPr>
                <w:p w14:paraId="573310AE">
                  <w:pPr>
                    <w:spacing w:line="461" w:lineRule="auto"/>
                    <w:rPr>
                      <w:rFonts w:ascii="Arial"/>
                      <w:sz w:val="21"/>
                    </w:rPr>
                  </w:pPr>
                </w:p>
                <w:p w14:paraId="37F0CF41">
                  <w:pPr>
                    <w:pStyle w:val="6"/>
                    <w:spacing w:before="59"/>
                    <w:ind w:left="70" w:right="173"/>
                    <w:jc w:val="both"/>
                    <w:rPr>
                      <w:sz w:val="18"/>
                      <w:szCs w:val="18"/>
                    </w:rPr>
                  </w:pPr>
                  <w:r>
                    <w:rPr>
                      <w:spacing w:val="-1"/>
                      <w:sz w:val="18"/>
                      <w:szCs w:val="18"/>
                    </w:rPr>
                    <w:t>本项目为非金属矿物制</w:t>
                  </w:r>
                  <w:r>
                    <w:rPr>
                      <w:spacing w:val="1"/>
                      <w:sz w:val="18"/>
                      <w:szCs w:val="18"/>
                    </w:rPr>
                    <w:t xml:space="preserve"> </w:t>
                  </w:r>
                  <w:r>
                    <w:rPr>
                      <w:spacing w:val="-2"/>
                      <w:sz w:val="18"/>
                      <w:szCs w:val="18"/>
                    </w:rPr>
                    <w:t>品制造项目，无二氧化</w:t>
                  </w:r>
                  <w:r>
                    <w:rPr>
                      <w:spacing w:val="4"/>
                      <w:sz w:val="18"/>
                      <w:szCs w:val="18"/>
                    </w:rPr>
                    <w:t xml:space="preserve"> </w:t>
                  </w:r>
                  <w:r>
                    <w:rPr>
                      <w:spacing w:val="-5"/>
                      <w:sz w:val="18"/>
                      <w:szCs w:val="18"/>
                    </w:rPr>
                    <w:t>碳、甲烷等温室气体排</w:t>
                  </w:r>
                  <w:r>
                    <w:rPr>
                      <w:spacing w:val="5"/>
                      <w:sz w:val="18"/>
                      <w:szCs w:val="18"/>
                    </w:rPr>
                    <w:t xml:space="preserve"> </w:t>
                  </w:r>
                  <w:r>
                    <w:rPr>
                      <w:spacing w:val="-4"/>
                      <w:sz w:val="18"/>
                      <w:szCs w:val="18"/>
                    </w:rPr>
                    <w:t>放。</w:t>
                  </w:r>
                </w:p>
              </w:tc>
              <w:tc>
                <w:tcPr>
                  <w:tcW w:w="713" w:type="dxa"/>
                  <w:vAlign w:val="top"/>
                </w:tcPr>
                <w:p w14:paraId="5C090AA7">
                  <w:pPr>
                    <w:spacing w:line="273" w:lineRule="auto"/>
                    <w:rPr>
                      <w:rFonts w:ascii="Arial"/>
                      <w:sz w:val="21"/>
                    </w:rPr>
                  </w:pPr>
                </w:p>
                <w:p w14:paraId="768ED989">
                  <w:pPr>
                    <w:spacing w:line="273" w:lineRule="auto"/>
                    <w:rPr>
                      <w:rFonts w:ascii="Arial"/>
                      <w:sz w:val="21"/>
                    </w:rPr>
                  </w:pPr>
                </w:p>
                <w:p w14:paraId="0549FD02">
                  <w:pPr>
                    <w:spacing w:line="274" w:lineRule="auto"/>
                    <w:rPr>
                      <w:rFonts w:ascii="Arial"/>
                      <w:sz w:val="21"/>
                    </w:rPr>
                  </w:pPr>
                </w:p>
                <w:p w14:paraId="43BC0D07">
                  <w:pPr>
                    <w:pStyle w:val="6"/>
                    <w:spacing w:before="58" w:line="219" w:lineRule="auto"/>
                    <w:ind w:left="182"/>
                    <w:rPr>
                      <w:sz w:val="18"/>
                      <w:szCs w:val="18"/>
                    </w:rPr>
                  </w:pPr>
                  <w:r>
                    <w:rPr>
                      <w:spacing w:val="-5"/>
                      <w:sz w:val="18"/>
                      <w:szCs w:val="18"/>
                    </w:rPr>
                    <w:t>符合</w:t>
                  </w:r>
                </w:p>
              </w:tc>
            </w:tr>
            <w:tr w14:paraId="00324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688" w:type="dxa"/>
                  <w:vAlign w:val="top"/>
                </w:tcPr>
                <w:p w14:paraId="1E919E5C">
                  <w:pPr>
                    <w:spacing w:line="286" w:lineRule="auto"/>
                    <w:rPr>
                      <w:rFonts w:ascii="Arial"/>
                      <w:sz w:val="21"/>
                    </w:rPr>
                  </w:pPr>
                </w:p>
                <w:p w14:paraId="3DDCF76B">
                  <w:pPr>
                    <w:spacing w:line="286" w:lineRule="auto"/>
                    <w:rPr>
                      <w:rFonts w:ascii="Arial"/>
                      <w:sz w:val="21"/>
                    </w:rPr>
                  </w:pPr>
                </w:p>
                <w:p w14:paraId="2625D558">
                  <w:pPr>
                    <w:spacing w:line="286" w:lineRule="auto"/>
                    <w:rPr>
                      <w:rFonts w:ascii="Arial"/>
                      <w:sz w:val="21"/>
                    </w:rPr>
                  </w:pPr>
                </w:p>
                <w:p w14:paraId="2FA7FD94">
                  <w:pPr>
                    <w:spacing w:before="52" w:line="185"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319" w:type="dxa"/>
                  <w:vAlign w:val="top"/>
                </w:tcPr>
                <w:p w14:paraId="18377714">
                  <w:pPr>
                    <w:spacing w:line="343" w:lineRule="auto"/>
                    <w:rPr>
                      <w:rFonts w:ascii="Arial"/>
                      <w:sz w:val="21"/>
                    </w:rPr>
                  </w:pPr>
                </w:p>
                <w:p w14:paraId="3453248E">
                  <w:pPr>
                    <w:pStyle w:val="6"/>
                    <w:spacing w:before="59" w:line="241" w:lineRule="auto"/>
                    <w:ind w:left="67" w:right="80"/>
                    <w:jc w:val="both"/>
                    <w:rPr>
                      <w:sz w:val="18"/>
                      <w:szCs w:val="18"/>
                    </w:rPr>
                  </w:pPr>
                  <w:r>
                    <w:rPr>
                      <w:spacing w:val="-5"/>
                      <w:sz w:val="18"/>
                      <w:szCs w:val="18"/>
                    </w:rPr>
                    <w:t>第八十条 嘉陵江流域县级以上地方人民</w:t>
                  </w:r>
                  <w:r>
                    <w:rPr>
                      <w:spacing w:val="7"/>
                      <w:sz w:val="18"/>
                      <w:szCs w:val="18"/>
                    </w:rPr>
                    <w:t xml:space="preserve">  </w:t>
                  </w:r>
                  <w:r>
                    <w:rPr>
                      <w:spacing w:val="-5"/>
                      <w:sz w:val="18"/>
                      <w:szCs w:val="18"/>
                    </w:rPr>
                    <w:t>政府应当依法依规限期淘汰严重污染水环</w:t>
                  </w:r>
                  <w:r>
                    <w:rPr>
                      <w:spacing w:val="15"/>
                      <w:sz w:val="18"/>
                      <w:szCs w:val="18"/>
                    </w:rPr>
                    <w:t xml:space="preserve"> </w:t>
                  </w:r>
                  <w:r>
                    <w:rPr>
                      <w:spacing w:val="-5"/>
                      <w:sz w:val="18"/>
                      <w:szCs w:val="18"/>
                    </w:rPr>
                    <w:t>境的落后工艺和设备。限期禁止生产、销</w:t>
                  </w:r>
                  <w:r>
                    <w:rPr>
                      <w:spacing w:val="15"/>
                      <w:sz w:val="18"/>
                      <w:szCs w:val="18"/>
                    </w:rPr>
                    <w:t xml:space="preserve"> </w:t>
                  </w:r>
                  <w:r>
                    <w:rPr>
                      <w:spacing w:val="-5"/>
                      <w:sz w:val="18"/>
                      <w:szCs w:val="18"/>
                    </w:rPr>
                    <w:t>售、进口、使用、转让严重污染水环境的</w:t>
                  </w:r>
                  <w:r>
                    <w:rPr>
                      <w:spacing w:val="15"/>
                      <w:sz w:val="18"/>
                      <w:szCs w:val="18"/>
                    </w:rPr>
                    <w:t xml:space="preserve"> </w:t>
                  </w:r>
                  <w:r>
                    <w:rPr>
                      <w:spacing w:val="-4"/>
                      <w:sz w:val="18"/>
                      <w:szCs w:val="18"/>
                    </w:rPr>
                    <w:t>工艺和设备。</w:t>
                  </w:r>
                </w:p>
              </w:tc>
              <w:tc>
                <w:tcPr>
                  <w:tcW w:w="2042" w:type="dxa"/>
                  <w:vAlign w:val="top"/>
                </w:tcPr>
                <w:p w14:paraId="5A4ADBEE">
                  <w:pPr>
                    <w:pStyle w:val="6"/>
                    <w:spacing w:before="47"/>
                    <w:ind w:left="71" w:right="24"/>
                    <w:rPr>
                      <w:sz w:val="18"/>
                      <w:szCs w:val="18"/>
                    </w:rPr>
                  </w:pPr>
                  <w:r>
                    <w:rPr>
                      <w:spacing w:val="-1"/>
                      <w:sz w:val="18"/>
                      <w:szCs w:val="18"/>
                    </w:rPr>
                    <w:t>本项目为非金属矿物制</w:t>
                  </w:r>
                  <w:r>
                    <w:rPr>
                      <w:sz w:val="18"/>
                      <w:szCs w:val="18"/>
                    </w:rPr>
                    <w:t xml:space="preserve">  </w:t>
                  </w:r>
                  <w:r>
                    <w:rPr>
                      <w:spacing w:val="-7"/>
                      <w:sz w:val="18"/>
                      <w:szCs w:val="18"/>
                    </w:rPr>
                    <w:t>品制造项目，不涉及使用</w:t>
                  </w:r>
                  <w:r>
                    <w:rPr>
                      <w:spacing w:val="1"/>
                      <w:sz w:val="18"/>
                      <w:szCs w:val="18"/>
                    </w:rPr>
                    <w:t xml:space="preserve"> </w:t>
                  </w:r>
                  <w:r>
                    <w:rPr>
                      <w:spacing w:val="-5"/>
                      <w:sz w:val="18"/>
                      <w:szCs w:val="18"/>
                    </w:rPr>
                    <w:t>严重污染水环境的落后</w:t>
                  </w:r>
                  <w:r>
                    <w:rPr>
                      <w:spacing w:val="1"/>
                      <w:sz w:val="18"/>
                      <w:szCs w:val="18"/>
                    </w:rPr>
                    <w:t xml:space="preserve">   </w:t>
                  </w:r>
                  <w:r>
                    <w:rPr>
                      <w:spacing w:val="-7"/>
                      <w:sz w:val="18"/>
                      <w:szCs w:val="18"/>
                    </w:rPr>
                    <w:t>工艺和设备。生产废水经</w:t>
                  </w:r>
                  <w:r>
                    <w:rPr>
                      <w:spacing w:val="1"/>
                      <w:sz w:val="18"/>
                      <w:szCs w:val="18"/>
                    </w:rPr>
                    <w:t xml:space="preserve"> </w:t>
                  </w:r>
                  <w:r>
                    <w:rPr>
                      <w:spacing w:val="-4"/>
                      <w:sz w:val="18"/>
                      <w:szCs w:val="18"/>
                    </w:rPr>
                    <w:t>处理后循环回用不外排。</w:t>
                  </w:r>
                  <w:r>
                    <w:rPr>
                      <w:spacing w:val="4"/>
                      <w:sz w:val="18"/>
                      <w:szCs w:val="18"/>
                    </w:rPr>
                    <w:t xml:space="preserve"> </w:t>
                  </w:r>
                  <w:r>
                    <w:rPr>
                      <w:spacing w:val="-1"/>
                      <w:sz w:val="18"/>
                      <w:szCs w:val="18"/>
                    </w:rPr>
                    <w:t>生活污水定期拉运进入</w:t>
                  </w:r>
                  <w:r>
                    <w:rPr>
                      <w:sz w:val="18"/>
                      <w:szCs w:val="18"/>
                    </w:rPr>
                    <w:t xml:space="preserve">  </w:t>
                  </w:r>
                  <w:r>
                    <w:rPr>
                      <w:spacing w:val="-1"/>
                      <w:sz w:val="18"/>
                      <w:szCs w:val="18"/>
                    </w:rPr>
                    <w:t>东岳场镇污水处理厂处</w:t>
                  </w:r>
                  <w:r>
                    <w:rPr>
                      <w:sz w:val="18"/>
                      <w:szCs w:val="18"/>
                    </w:rPr>
                    <w:t xml:space="preserve">  </w:t>
                  </w:r>
                  <w:r>
                    <w:rPr>
                      <w:spacing w:val="-1"/>
                      <w:sz w:val="18"/>
                      <w:szCs w:val="18"/>
                    </w:rPr>
                    <w:t>理，实现达标排放。</w:t>
                  </w:r>
                </w:p>
              </w:tc>
              <w:tc>
                <w:tcPr>
                  <w:tcW w:w="713" w:type="dxa"/>
                  <w:vAlign w:val="top"/>
                </w:tcPr>
                <w:p w14:paraId="2534AF0D">
                  <w:pPr>
                    <w:spacing w:line="273" w:lineRule="auto"/>
                    <w:rPr>
                      <w:rFonts w:ascii="Arial"/>
                      <w:sz w:val="21"/>
                    </w:rPr>
                  </w:pPr>
                </w:p>
                <w:p w14:paraId="2CFB1629">
                  <w:pPr>
                    <w:spacing w:line="273" w:lineRule="auto"/>
                    <w:rPr>
                      <w:rFonts w:ascii="Arial"/>
                      <w:sz w:val="21"/>
                    </w:rPr>
                  </w:pPr>
                </w:p>
                <w:p w14:paraId="65B774AC">
                  <w:pPr>
                    <w:spacing w:line="274" w:lineRule="auto"/>
                    <w:rPr>
                      <w:rFonts w:ascii="Arial"/>
                      <w:sz w:val="21"/>
                    </w:rPr>
                  </w:pPr>
                </w:p>
                <w:p w14:paraId="35410CEF">
                  <w:pPr>
                    <w:pStyle w:val="6"/>
                    <w:spacing w:before="59" w:line="219" w:lineRule="auto"/>
                    <w:ind w:left="182"/>
                    <w:rPr>
                      <w:sz w:val="18"/>
                      <w:szCs w:val="18"/>
                    </w:rPr>
                  </w:pPr>
                  <w:r>
                    <w:rPr>
                      <w:spacing w:val="-5"/>
                      <w:sz w:val="18"/>
                      <w:szCs w:val="18"/>
                    </w:rPr>
                    <w:t>符合</w:t>
                  </w:r>
                </w:p>
              </w:tc>
            </w:tr>
          </w:tbl>
          <w:p w14:paraId="085EA225">
            <w:pPr>
              <w:spacing w:before="141" w:line="352" w:lineRule="auto"/>
              <w:ind w:left="97" w:right="121" w:hanging="2"/>
              <w:rPr>
                <w:rFonts w:ascii="黑体" w:hAnsi="黑体" w:eastAsia="黑体" w:cs="黑体"/>
                <w:sz w:val="20"/>
                <w:szCs w:val="20"/>
              </w:rPr>
            </w:pPr>
            <w:r>
              <w:rPr>
                <w:rFonts w:ascii="黑体" w:hAnsi="黑体" w:eastAsia="黑体" w:cs="黑体"/>
                <w:spacing w:val="9"/>
                <w:sz w:val="20"/>
                <w:szCs w:val="20"/>
              </w:rPr>
              <w:t>6、与《四川省、重庆市长江经济带发展负面清</w:t>
            </w:r>
            <w:r>
              <w:rPr>
                <w:rFonts w:ascii="黑体" w:hAnsi="黑体" w:eastAsia="黑体" w:cs="黑体"/>
                <w:spacing w:val="8"/>
                <w:sz w:val="20"/>
                <w:szCs w:val="20"/>
              </w:rPr>
              <w:t>单实施细则(试行，2022</w:t>
            </w:r>
            <w:r>
              <w:rPr>
                <w:rFonts w:ascii="黑体" w:hAnsi="黑体" w:eastAsia="黑体" w:cs="黑体"/>
                <w:spacing w:val="-39"/>
                <w:sz w:val="20"/>
                <w:szCs w:val="20"/>
              </w:rPr>
              <w:t xml:space="preserve"> </w:t>
            </w:r>
            <w:r>
              <w:rPr>
                <w:rFonts w:ascii="黑体" w:hAnsi="黑体" w:eastAsia="黑体" w:cs="黑体"/>
                <w:spacing w:val="8"/>
                <w:sz w:val="20"/>
                <w:szCs w:val="20"/>
              </w:rPr>
              <w:t>年</w:t>
            </w:r>
            <w:r>
              <w:rPr>
                <w:rFonts w:ascii="黑体" w:hAnsi="黑体" w:eastAsia="黑体" w:cs="黑体"/>
                <w:sz w:val="20"/>
                <w:szCs w:val="20"/>
              </w:rPr>
              <w:t xml:space="preserve"> </w:t>
            </w:r>
            <w:r>
              <w:rPr>
                <w:rFonts w:ascii="黑体" w:hAnsi="黑体" w:eastAsia="黑体" w:cs="黑体"/>
                <w:spacing w:val="-9"/>
                <w:sz w:val="20"/>
                <w:szCs w:val="20"/>
              </w:rPr>
              <w:t>版）》</w:t>
            </w:r>
            <w:r>
              <w:rPr>
                <w:rFonts w:ascii="黑体" w:hAnsi="黑体" w:eastAsia="黑体" w:cs="黑体"/>
                <w:spacing w:val="-47"/>
                <w:sz w:val="20"/>
                <w:szCs w:val="20"/>
              </w:rPr>
              <w:t xml:space="preserve"> </w:t>
            </w:r>
            <w:r>
              <w:rPr>
                <w:rFonts w:ascii="黑体" w:hAnsi="黑体" w:eastAsia="黑体" w:cs="黑体"/>
                <w:spacing w:val="-9"/>
                <w:sz w:val="20"/>
                <w:szCs w:val="20"/>
              </w:rPr>
              <w:t>的符合性分析</w:t>
            </w:r>
          </w:p>
          <w:p w14:paraId="0312D819">
            <w:pPr>
              <w:pStyle w:val="6"/>
              <w:spacing w:before="29" w:line="299" w:lineRule="auto"/>
              <w:ind w:left="97" w:right="89" w:firstLine="459"/>
            </w:pPr>
            <w:r>
              <w:rPr>
                <w:spacing w:val="-2"/>
              </w:rPr>
              <w:t>四川省推动长江经济带发展领导小组办公室、重庆市推动长江经济</w:t>
            </w:r>
            <w:r>
              <w:rPr>
                <w:spacing w:val="10"/>
              </w:rPr>
              <w:t xml:space="preserve"> </w:t>
            </w:r>
            <w:r>
              <w:rPr>
                <w:spacing w:val="-1"/>
              </w:rPr>
              <w:t>带发展领导小组办公室于</w:t>
            </w:r>
            <w:r>
              <w:rPr>
                <w:rFonts w:ascii="Times New Roman" w:hAnsi="Times New Roman" w:eastAsia="Times New Roman" w:cs="Times New Roman"/>
                <w:spacing w:val="-1"/>
              </w:rPr>
              <w:t>2022</w:t>
            </w:r>
            <w:r>
              <w:rPr>
                <w:spacing w:val="-1"/>
              </w:rPr>
              <w:t>年</w:t>
            </w:r>
            <w:r>
              <w:rPr>
                <w:rFonts w:ascii="Times New Roman" w:hAnsi="Times New Roman" w:eastAsia="Times New Roman" w:cs="Times New Roman"/>
                <w:spacing w:val="-1"/>
              </w:rPr>
              <w:t>8</w:t>
            </w:r>
            <w:r>
              <w:rPr>
                <w:spacing w:val="-1"/>
              </w:rPr>
              <w:t>月</w:t>
            </w:r>
            <w:r>
              <w:rPr>
                <w:rFonts w:ascii="Times New Roman" w:hAnsi="Times New Roman" w:eastAsia="Times New Roman" w:cs="Times New Roman"/>
                <w:spacing w:val="-1"/>
              </w:rPr>
              <w:t>25</w:t>
            </w:r>
            <w:r>
              <w:rPr>
                <w:spacing w:val="-1"/>
              </w:rPr>
              <w:t>日，发布了《关于印发&lt;四川省、</w:t>
            </w:r>
            <w:r>
              <w:rPr>
                <w:spacing w:val="6"/>
              </w:rPr>
              <w:t xml:space="preserve"> </w:t>
            </w:r>
            <w:r>
              <w:rPr>
                <w:spacing w:val="-1"/>
              </w:rPr>
              <w:t>重庆市长江经济带发展负面清单实施细则</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2022</w:t>
            </w:r>
            <w:r>
              <w:rPr>
                <w:spacing w:val="-1"/>
              </w:rPr>
              <w:t>年版）</w:t>
            </w:r>
            <w:r>
              <w:rPr>
                <w:rFonts w:ascii="Times New Roman" w:hAnsi="Times New Roman" w:eastAsia="Times New Roman" w:cs="Times New Roman"/>
                <w:spacing w:val="-2"/>
              </w:rPr>
              <w:t>&gt;</w:t>
            </w:r>
            <w:r>
              <w:rPr>
                <w:rFonts w:ascii="Times New Roman" w:hAnsi="Times New Roman" w:eastAsia="Times New Roman" w:cs="Times New Roman"/>
                <w:spacing w:val="-28"/>
              </w:rPr>
              <w:t xml:space="preserve"> </w:t>
            </w:r>
            <w:r>
              <w:rPr>
                <w:spacing w:val="-2"/>
              </w:rPr>
              <w:t>的通知》</w:t>
            </w:r>
          </w:p>
        </w:tc>
      </w:tr>
    </w:tbl>
    <w:p w14:paraId="1A94EB52">
      <w:pPr>
        <w:pStyle w:val="2"/>
      </w:pPr>
    </w:p>
    <w:p w14:paraId="2FD2E08A">
      <w:pPr>
        <w:sectPr>
          <w:footerReference r:id="rId23" w:type="default"/>
          <w:pgSz w:w="11906" w:h="16839"/>
          <w:pgMar w:top="1431" w:right="1532" w:bottom="1260" w:left="1543" w:header="0" w:footer="1080" w:gutter="0"/>
          <w:cols w:space="720" w:num="1"/>
        </w:sectPr>
      </w:pPr>
    </w:p>
    <w:p w14:paraId="66C7A1F7">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5DF4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9" w:hRule="atLeast"/>
        </w:trPr>
        <w:tc>
          <w:tcPr>
            <w:tcW w:w="1829" w:type="dxa"/>
            <w:vAlign w:val="top"/>
          </w:tcPr>
          <w:p w14:paraId="679632CD">
            <w:pPr>
              <w:spacing w:line="243" w:lineRule="auto"/>
              <w:rPr>
                <w:rFonts w:ascii="Arial"/>
                <w:sz w:val="21"/>
              </w:rPr>
            </w:pPr>
          </w:p>
          <w:p w14:paraId="4D69FCCC">
            <w:pPr>
              <w:spacing w:line="243" w:lineRule="auto"/>
              <w:rPr>
                <w:rFonts w:ascii="Arial"/>
                <w:sz w:val="21"/>
              </w:rPr>
            </w:pPr>
          </w:p>
          <w:p w14:paraId="2595A034">
            <w:pPr>
              <w:spacing w:line="243" w:lineRule="auto"/>
              <w:rPr>
                <w:rFonts w:ascii="Arial"/>
                <w:sz w:val="21"/>
              </w:rPr>
            </w:pPr>
          </w:p>
          <w:p w14:paraId="7BFA2377">
            <w:pPr>
              <w:spacing w:line="243" w:lineRule="auto"/>
              <w:rPr>
                <w:rFonts w:ascii="Arial"/>
                <w:sz w:val="21"/>
              </w:rPr>
            </w:pPr>
          </w:p>
          <w:p w14:paraId="36A7F6EF">
            <w:pPr>
              <w:spacing w:line="243" w:lineRule="auto"/>
              <w:rPr>
                <w:rFonts w:ascii="Arial"/>
                <w:sz w:val="21"/>
              </w:rPr>
            </w:pPr>
          </w:p>
          <w:p w14:paraId="143F9352">
            <w:pPr>
              <w:spacing w:line="243" w:lineRule="auto"/>
              <w:rPr>
                <w:rFonts w:ascii="Arial"/>
                <w:sz w:val="21"/>
              </w:rPr>
            </w:pPr>
          </w:p>
          <w:p w14:paraId="6A0F7A83">
            <w:pPr>
              <w:spacing w:line="243" w:lineRule="auto"/>
              <w:rPr>
                <w:rFonts w:ascii="Arial"/>
                <w:sz w:val="21"/>
              </w:rPr>
            </w:pPr>
          </w:p>
          <w:p w14:paraId="35C9FDEE">
            <w:pPr>
              <w:spacing w:line="243" w:lineRule="auto"/>
              <w:rPr>
                <w:rFonts w:ascii="Arial"/>
                <w:sz w:val="21"/>
              </w:rPr>
            </w:pPr>
          </w:p>
          <w:p w14:paraId="6FBEFA3F">
            <w:pPr>
              <w:spacing w:line="243" w:lineRule="auto"/>
              <w:rPr>
                <w:rFonts w:ascii="Arial"/>
                <w:sz w:val="21"/>
              </w:rPr>
            </w:pPr>
          </w:p>
          <w:p w14:paraId="4AB1B3F3">
            <w:pPr>
              <w:spacing w:line="243" w:lineRule="auto"/>
              <w:rPr>
                <w:rFonts w:ascii="Arial"/>
                <w:sz w:val="21"/>
              </w:rPr>
            </w:pPr>
          </w:p>
          <w:p w14:paraId="21621DAC">
            <w:pPr>
              <w:spacing w:line="243" w:lineRule="auto"/>
              <w:rPr>
                <w:rFonts w:ascii="Arial"/>
                <w:sz w:val="21"/>
              </w:rPr>
            </w:pPr>
          </w:p>
          <w:p w14:paraId="294864DA">
            <w:pPr>
              <w:spacing w:line="244" w:lineRule="auto"/>
              <w:rPr>
                <w:rFonts w:ascii="Arial"/>
                <w:sz w:val="21"/>
              </w:rPr>
            </w:pPr>
          </w:p>
          <w:p w14:paraId="6938DB29">
            <w:pPr>
              <w:spacing w:line="244" w:lineRule="auto"/>
              <w:rPr>
                <w:rFonts w:ascii="Arial"/>
                <w:sz w:val="21"/>
              </w:rPr>
            </w:pPr>
          </w:p>
          <w:p w14:paraId="063BC151">
            <w:pPr>
              <w:spacing w:line="244" w:lineRule="auto"/>
              <w:rPr>
                <w:rFonts w:ascii="Arial"/>
                <w:sz w:val="21"/>
              </w:rPr>
            </w:pPr>
          </w:p>
          <w:p w14:paraId="2005140C">
            <w:pPr>
              <w:spacing w:line="244" w:lineRule="auto"/>
              <w:rPr>
                <w:rFonts w:ascii="Arial"/>
                <w:sz w:val="21"/>
              </w:rPr>
            </w:pPr>
          </w:p>
          <w:p w14:paraId="33DF315F">
            <w:pPr>
              <w:spacing w:line="244" w:lineRule="auto"/>
              <w:rPr>
                <w:rFonts w:ascii="Arial"/>
                <w:sz w:val="21"/>
              </w:rPr>
            </w:pPr>
          </w:p>
          <w:p w14:paraId="31038499">
            <w:pPr>
              <w:spacing w:line="244" w:lineRule="auto"/>
              <w:rPr>
                <w:rFonts w:ascii="Arial"/>
                <w:sz w:val="21"/>
              </w:rPr>
            </w:pPr>
          </w:p>
          <w:p w14:paraId="208B0D0B">
            <w:pPr>
              <w:spacing w:line="244" w:lineRule="auto"/>
              <w:rPr>
                <w:rFonts w:ascii="Arial"/>
                <w:sz w:val="21"/>
              </w:rPr>
            </w:pPr>
          </w:p>
          <w:p w14:paraId="3974D149">
            <w:pPr>
              <w:spacing w:line="244" w:lineRule="auto"/>
              <w:rPr>
                <w:rFonts w:ascii="Arial"/>
                <w:sz w:val="21"/>
              </w:rPr>
            </w:pPr>
          </w:p>
          <w:p w14:paraId="1DB6B648">
            <w:pPr>
              <w:spacing w:line="244" w:lineRule="auto"/>
              <w:rPr>
                <w:rFonts w:ascii="Arial"/>
                <w:sz w:val="21"/>
              </w:rPr>
            </w:pPr>
          </w:p>
          <w:p w14:paraId="5C5D429F">
            <w:pPr>
              <w:spacing w:line="244" w:lineRule="auto"/>
              <w:rPr>
                <w:rFonts w:ascii="Arial"/>
                <w:sz w:val="21"/>
              </w:rPr>
            </w:pPr>
          </w:p>
          <w:p w14:paraId="3751F60D">
            <w:pPr>
              <w:spacing w:line="244" w:lineRule="auto"/>
              <w:rPr>
                <w:rFonts w:ascii="Arial"/>
                <w:sz w:val="21"/>
              </w:rPr>
            </w:pPr>
          </w:p>
          <w:p w14:paraId="3263783B">
            <w:pPr>
              <w:spacing w:line="244" w:lineRule="auto"/>
              <w:rPr>
                <w:rFonts w:ascii="Arial"/>
                <w:sz w:val="21"/>
              </w:rPr>
            </w:pPr>
          </w:p>
          <w:p w14:paraId="5BC95E58">
            <w:pPr>
              <w:spacing w:line="244" w:lineRule="auto"/>
              <w:rPr>
                <w:rFonts w:ascii="Arial"/>
                <w:sz w:val="21"/>
              </w:rPr>
            </w:pPr>
          </w:p>
          <w:p w14:paraId="7C020054">
            <w:pPr>
              <w:pStyle w:val="6"/>
              <w:spacing w:before="65" w:line="228" w:lineRule="auto"/>
              <w:ind w:left="193"/>
              <w:rPr>
                <w:sz w:val="20"/>
                <w:szCs w:val="20"/>
              </w:rPr>
            </w:pPr>
            <w:r>
              <w:rPr>
                <w:spacing w:val="8"/>
                <w:sz w:val="20"/>
                <w:szCs w:val="20"/>
              </w:rPr>
              <w:t>其他符合性分析</w:t>
            </w:r>
          </w:p>
        </w:tc>
        <w:tc>
          <w:tcPr>
            <w:tcW w:w="6985" w:type="dxa"/>
            <w:vAlign w:val="top"/>
          </w:tcPr>
          <w:p w14:paraId="20EBA210">
            <w:pPr>
              <w:pStyle w:val="6"/>
              <w:spacing w:before="135" w:line="317" w:lineRule="auto"/>
              <w:ind w:left="98" w:right="181" w:firstLine="4"/>
            </w:pPr>
            <w:r>
              <w:rPr>
                <w:spacing w:val="-4"/>
              </w:rPr>
              <w:t>（川长江办〔</w:t>
            </w:r>
            <w:r>
              <w:rPr>
                <w:rFonts w:ascii="Times New Roman" w:hAnsi="Times New Roman" w:eastAsia="Times New Roman" w:cs="Times New Roman"/>
                <w:spacing w:val="-4"/>
              </w:rPr>
              <w:t>2022</w:t>
            </w:r>
            <w:r>
              <w:rPr>
                <w:spacing w:val="-4"/>
              </w:rPr>
              <w:t>〕</w:t>
            </w:r>
            <w:r>
              <w:rPr>
                <w:rFonts w:ascii="Times New Roman" w:hAnsi="Times New Roman" w:eastAsia="Times New Roman" w:cs="Times New Roman"/>
                <w:spacing w:val="-4"/>
              </w:rPr>
              <w:t>17</w:t>
            </w:r>
            <w:r>
              <w:rPr>
                <w:spacing w:val="-4"/>
              </w:rPr>
              <w:t>号）。本项目与《四川省、重庆市长江经济带发</w:t>
            </w:r>
            <w:r>
              <w:rPr>
                <w:spacing w:val="10"/>
              </w:rPr>
              <w:t xml:space="preserve"> </w:t>
            </w:r>
            <w:r>
              <w:rPr>
                <w:spacing w:val="-4"/>
              </w:rPr>
              <w:t>展负面清单实施细则</w:t>
            </w:r>
            <w:r>
              <w:rPr>
                <w:rFonts w:ascii="Times New Roman" w:hAnsi="Times New Roman" w:eastAsia="Times New Roman" w:cs="Times New Roman"/>
                <w:spacing w:val="-4"/>
              </w:rPr>
              <w:t>(</w:t>
            </w:r>
            <w:r>
              <w:rPr>
                <w:spacing w:val="-4"/>
              </w:rPr>
              <w:t>试行，</w:t>
            </w:r>
            <w:r>
              <w:rPr>
                <w:rFonts w:ascii="Times New Roman" w:hAnsi="Times New Roman" w:eastAsia="Times New Roman" w:cs="Times New Roman"/>
                <w:spacing w:val="-4"/>
              </w:rPr>
              <w:t>2022</w:t>
            </w:r>
            <w:r>
              <w:rPr>
                <w:spacing w:val="-4"/>
              </w:rPr>
              <w:t>年版）》的符合性分析见下表。</w:t>
            </w:r>
          </w:p>
          <w:p w14:paraId="18049C57">
            <w:pPr>
              <w:pStyle w:val="6"/>
              <w:spacing w:line="219" w:lineRule="auto"/>
              <w:ind w:left="1071"/>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1-6            </w:t>
            </w:r>
            <w:r>
              <w:rPr>
                <w:b/>
                <w:bCs/>
                <w:spacing w:val="-2"/>
                <w:sz w:val="18"/>
                <w:szCs w:val="18"/>
              </w:rPr>
              <w:t>项目与“川长江办〔2022〕17</w:t>
            </w:r>
            <w:r>
              <w:rPr>
                <w:spacing w:val="-34"/>
                <w:sz w:val="18"/>
                <w:szCs w:val="18"/>
              </w:rPr>
              <w:t xml:space="preserve"> </w:t>
            </w:r>
            <w:r>
              <w:rPr>
                <w:b/>
                <w:bCs/>
                <w:spacing w:val="-2"/>
                <w:sz w:val="18"/>
                <w:szCs w:val="18"/>
              </w:rPr>
              <w:t>号</w:t>
            </w:r>
            <w:r>
              <w:rPr>
                <w:spacing w:val="-66"/>
                <w:sz w:val="18"/>
                <w:szCs w:val="18"/>
              </w:rPr>
              <w:t xml:space="preserve"> </w:t>
            </w:r>
            <w:r>
              <w:rPr>
                <w:b/>
                <w:bCs/>
                <w:spacing w:val="-3"/>
                <w:sz w:val="18"/>
                <w:szCs w:val="18"/>
              </w:rPr>
              <w:t>”的符合性分析</w:t>
            </w:r>
          </w:p>
          <w:tbl>
            <w:tblPr>
              <w:tblStyle w:val="5"/>
              <w:tblW w:w="678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801"/>
              <w:gridCol w:w="1821"/>
              <w:gridCol w:w="712"/>
            </w:tblGrid>
            <w:tr w14:paraId="7F29D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449" w:type="dxa"/>
                  <w:vAlign w:val="top"/>
                </w:tcPr>
                <w:p w14:paraId="7C0655FD">
                  <w:pPr>
                    <w:pStyle w:val="6"/>
                    <w:spacing w:before="33" w:line="205" w:lineRule="auto"/>
                    <w:ind w:left="47"/>
                    <w:rPr>
                      <w:sz w:val="18"/>
                      <w:szCs w:val="18"/>
                    </w:rPr>
                  </w:pPr>
                  <w:r>
                    <w:rPr>
                      <w:b/>
                      <w:bCs/>
                      <w:spacing w:val="-6"/>
                      <w:sz w:val="18"/>
                      <w:szCs w:val="18"/>
                    </w:rPr>
                    <w:t>序号</w:t>
                  </w:r>
                </w:p>
              </w:tc>
              <w:tc>
                <w:tcPr>
                  <w:tcW w:w="3801" w:type="dxa"/>
                  <w:vAlign w:val="top"/>
                </w:tcPr>
                <w:p w14:paraId="4DA651AD">
                  <w:pPr>
                    <w:pStyle w:val="6"/>
                    <w:spacing w:before="33" w:line="205" w:lineRule="auto"/>
                    <w:ind w:left="1006"/>
                    <w:rPr>
                      <w:sz w:val="18"/>
                      <w:szCs w:val="18"/>
                    </w:rPr>
                  </w:pPr>
                  <w:r>
                    <w:rPr>
                      <w:b/>
                      <w:bCs/>
                      <w:spacing w:val="-3"/>
                      <w:sz w:val="18"/>
                      <w:szCs w:val="18"/>
                    </w:rPr>
                    <w:t>《负面清单》原文内容</w:t>
                  </w:r>
                </w:p>
              </w:tc>
              <w:tc>
                <w:tcPr>
                  <w:tcW w:w="1821" w:type="dxa"/>
                  <w:vAlign w:val="top"/>
                </w:tcPr>
                <w:p w14:paraId="43364CD1">
                  <w:pPr>
                    <w:pStyle w:val="6"/>
                    <w:spacing w:before="33" w:line="205" w:lineRule="auto"/>
                    <w:ind w:left="466"/>
                    <w:rPr>
                      <w:sz w:val="18"/>
                      <w:szCs w:val="18"/>
                    </w:rPr>
                  </w:pPr>
                  <w:r>
                    <w:rPr>
                      <w:b/>
                      <w:bCs/>
                      <w:spacing w:val="-3"/>
                      <w:sz w:val="18"/>
                      <w:szCs w:val="18"/>
                    </w:rPr>
                    <w:t>本项目情况</w:t>
                  </w:r>
                </w:p>
              </w:tc>
              <w:tc>
                <w:tcPr>
                  <w:tcW w:w="712" w:type="dxa"/>
                  <w:vAlign w:val="top"/>
                </w:tcPr>
                <w:p w14:paraId="0C3D099D">
                  <w:pPr>
                    <w:pStyle w:val="6"/>
                    <w:spacing w:before="33" w:line="205" w:lineRule="auto"/>
                    <w:ind w:left="91"/>
                    <w:rPr>
                      <w:sz w:val="18"/>
                      <w:szCs w:val="18"/>
                    </w:rPr>
                  </w:pPr>
                  <w:r>
                    <w:rPr>
                      <w:b/>
                      <w:bCs/>
                      <w:spacing w:val="-4"/>
                      <w:sz w:val="18"/>
                      <w:szCs w:val="18"/>
                    </w:rPr>
                    <w:t>符合性</w:t>
                  </w:r>
                </w:p>
              </w:tc>
            </w:tr>
            <w:tr w14:paraId="0C617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49" w:type="dxa"/>
                  <w:vAlign w:val="top"/>
                </w:tcPr>
                <w:p w14:paraId="599A6705">
                  <w:pPr>
                    <w:spacing w:line="352" w:lineRule="auto"/>
                    <w:rPr>
                      <w:rFonts w:ascii="Arial"/>
                      <w:sz w:val="21"/>
                    </w:rPr>
                  </w:pPr>
                </w:p>
                <w:p w14:paraId="5A508B9B">
                  <w:pPr>
                    <w:spacing w:before="52"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01" w:type="dxa"/>
                  <w:vAlign w:val="top"/>
                </w:tcPr>
                <w:p w14:paraId="5431B9F6">
                  <w:pPr>
                    <w:pStyle w:val="6"/>
                    <w:spacing w:before="28" w:line="231" w:lineRule="auto"/>
                    <w:jc w:val="both"/>
                    <w:rPr>
                      <w:sz w:val="18"/>
                      <w:szCs w:val="18"/>
                    </w:rPr>
                  </w:pPr>
                  <w:r>
                    <w:rPr>
                      <w:spacing w:val="-4"/>
                      <w:sz w:val="18"/>
                      <w:szCs w:val="18"/>
                    </w:rPr>
                    <w:t>第七条 禁止在自然保护区核心区、缓冲区的岸线</w:t>
                  </w:r>
                  <w:r>
                    <w:rPr>
                      <w:spacing w:val="12"/>
                      <w:sz w:val="18"/>
                      <w:szCs w:val="18"/>
                    </w:rPr>
                    <w:t xml:space="preserve"> </w:t>
                  </w:r>
                  <w:r>
                    <w:rPr>
                      <w:spacing w:val="-2"/>
                      <w:sz w:val="18"/>
                      <w:szCs w:val="18"/>
                    </w:rPr>
                    <w:t>和河段范围内投资建设旅游和生产经营项目。自</w:t>
                  </w:r>
                  <w:r>
                    <w:rPr>
                      <w:spacing w:val="8"/>
                      <w:sz w:val="18"/>
                      <w:szCs w:val="18"/>
                    </w:rPr>
                    <w:t xml:space="preserve"> </w:t>
                  </w:r>
                  <w:r>
                    <w:rPr>
                      <w:spacing w:val="-2"/>
                      <w:sz w:val="18"/>
                      <w:szCs w:val="18"/>
                    </w:rPr>
                    <w:t>然保护区的内部未分区的，依照核心区和缓冲区</w:t>
                  </w:r>
                  <w:r>
                    <w:rPr>
                      <w:spacing w:val="8"/>
                      <w:sz w:val="18"/>
                      <w:szCs w:val="18"/>
                    </w:rPr>
                    <w:t xml:space="preserve"> </w:t>
                  </w:r>
                  <w:r>
                    <w:rPr>
                      <w:spacing w:val="-3"/>
                      <w:sz w:val="18"/>
                      <w:szCs w:val="18"/>
                    </w:rPr>
                    <w:t>的规定管控。</w:t>
                  </w:r>
                </w:p>
              </w:tc>
              <w:tc>
                <w:tcPr>
                  <w:tcW w:w="1821" w:type="dxa"/>
                  <w:vAlign w:val="top"/>
                </w:tcPr>
                <w:p w14:paraId="42EE5AA1">
                  <w:pPr>
                    <w:pStyle w:val="6"/>
                    <w:spacing w:before="28" w:line="231" w:lineRule="auto"/>
                    <w:ind w:right="30" w:firstLine="2"/>
                    <w:jc w:val="both"/>
                    <w:rPr>
                      <w:sz w:val="18"/>
                      <w:szCs w:val="18"/>
                    </w:rPr>
                  </w:pPr>
                  <w:r>
                    <w:rPr>
                      <w:spacing w:val="-2"/>
                      <w:sz w:val="18"/>
                      <w:szCs w:val="18"/>
                    </w:rPr>
                    <w:t>项目位于达州市通川区</w:t>
                  </w:r>
                  <w:r>
                    <w:rPr>
                      <w:spacing w:val="2"/>
                      <w:sz w:val="18"/>
                      <w:szCs w:val="18"/>
                    </w:rPr>
                    <w:t xml:space="preserve"> </w:t>
                  </w:r>
                  <w:r>
                    <w:rPr>
                      <w:spacing w:val="-2"/>
                      <w:sz w:val="18"/>
                      <w:szCs w:val="18"/>
                    </w:rPr>
                    <w:t>东岳镇有力村，建设区</w:t>
                  </w:r>
                  <w:r>
                    <w:rPr>
                      <w:spacing w:val="4"/>
                      <w:sz w:val="18"/>
                      <w:szCs w:val="18"/>
                    </w:rPr>
                    <w:t xml:space="preserve"> </w:t>
                  </w:r>
                  <w:r>
                    <w:rPr>
                      <w:spacing w:val="-2"/>
                      <w:sz w:val="18"/>
                      <w:szCs w:val="18"/>
                    </w:rPr>
                    <w:t>域不属于自然保护区等</w:t>
                  </w:r>
                  <w:r>
                    <w:rPr>
                      <w:spacing w:val="4"/>
                      <w:sz w:val="18"/>
                      <w:szCs w:val="18"/>
                    </w:rPr>
                    <w:t xml:space="preserve"> </w:t>
                  </w:r>
                  <w:r>
                    <w:rPr>
                      <w:spacing w:val="-2"/>
                      <w:sz w:val="18"/>
                      <w:szCs w:val="18"/>
                    </w:rPr>
                    <w:t>生态敏感区。</w:t>
                  </w:r>
                </w:p>
              </w:tc>
              <w:tc>
                <w:tcPr>
                  <w:tcW w:w="712" w:type="dxa"/>
                  <w:vAlign w:val="top"/>
                </w:tcPr>
                <w:p w14:paraId="530556A8">
                  <w:pPr>
                    <w:spacing w:line="315" w:lineRule="auto"/>
                    <w:rPr>
                      <w:rFonts w:ascii="Arial"/>
                      <w:sz w:val="21"/>
                    </w:rPr>
                  </w:pPr>
                </w:p>
                <w:p w14:paraId="0B17584A">
                  <w:pPr>
                    <w:pStyle w:val="6"/>
                    <w:spacing w:before="58" w:line="219" w:lineRule="auto"/>
                    <w:ind w:left="182"/>
                    <w:rPr>
                      <w:sz w:val="18"/>
                      <w:szCs w:val="18"/>
                    </w:rPr>
                  </w:pPr>
                  <w:r>
                    <w:rPr>
                      <w:spacing w:val="-5"/>
                      <w:sz w:val="18"/>
                      <w:szCs w:val="18"/>
                    </w:rPr>
                    <w:t>符合</w:t>
                  </w:r>
                </w:p>
              </w:tc>
            </w:tr>
            <w:tr w14:paraId="71495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7C1D9285">
                  <w:pPr>
                    <w:spacing w:line="354" w:lineRule="auto"/>
                    <w:rPr>
                      <w:rFonts w:ascii="Arial"/>
                      <w:sz w:val="21"/>
                    </w:rPr>
                  </w:pPr>
                </w:p>
                <w:p w14:paraId="60C6CE09">
                  <w:pPr>
                    <w:spacing w:before="52"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01" w:type="dxa"/>
                  <w:vAlign w:val="top"/>
                </w:tcPr>
                <w:p w14:paraId="7FA630F0">
                  <w:pPr>
                    <w:pStyle w:val="6"/>
                    <w:spacing w:before="144" w:line="232" w:lineRule="auto"/>
                    <w:rPr>
                      <w:sz w:val="18"/>
                      <w:szCs w:val="18"/>
                    </w:rPr>
                  </w:pPr>
                  <w:r>
                    <w:rPr>
                      <w:spacing w:val="-4"/>
                      <w:sz w:val="18"/>
                      <w:szCs w:val="18"/>
                    </w:rPr>
                    <w:t>第九条 禁止在饮用水水源准保护区的岸线和河</w:t>
                  </w:r>
                  <w:r>
                    <w:rPr>
                      <w:spacing w:val="3"/>
                      <w:sz w:val="18"/>
                      <w:szCs w:val="18"/>
                    </w:rPr>
                    <w:t xml:space="preserve">   </w:t>
                  </w:r>
                  <w:r>
                    <w:rPr>
                      <w:spacing w:val="-8"/>
                      <w:sz w:val="18"/>
                      <w:szCs w:val="18"/>
                    </w:rPr>
                    <w:t>段范围内新建、扩建对水体污染严重的建设项目，</w:t>
                  </w:r>
                  <w:r>
                    <w:rPr>
                      <w:spacing w:val="10"/>
                      <w:sz w:val="18"/>
                      <w:szCs w:val="18"/>
                    </w:rPr>
                    <w:t xml:space="preserve"> </w:t>
                  </w:r>
                  <w:r>
                    <w:rPr>
                      <w:spacing w:val="-4"/>
                      <w:sz w:val="18"/>
                      <w:szCs w:val="18"/>
                    </w:rPr>
                    <w:t>禁止改建增加排污量的建设项目。</w:t>
                  </w:r>
                </w:p>
              </w:tc>
              <w:tc>
                <w:tcPr>
                  <w:tcW w:w="1821" w:type="dxa"/>
                  <w:vAlign w:val="top"/>
                </w:tcPr>
                <w:p w14:paraId="5D407837">
                  <w:pPr>
                    <w:pStyle w:val="6"/>
                    <w:spacing w:before="27" w:line="231" w:lineRule="auto"/>
                    <w:ind w:right="30" w:firstLine="3"/>
                    <w:jc w:val="both"/>
                    <w:rPr>
                      <w:sz w:val="18"/>
                      <w:szCs w:val="18"/>
                    </w:rPr>
                  </w:pPr>
                  <w:r>
                    <w:rPr>
                      <w:spacing w:val="-2"/>
                      <w:sz w:val="18"/>
                      <w:szCs w:val="18"/>
                    </w:rPr>
                    <w:t>项目附近地表水体为西</w:t>
                  </w:r>
                  <w:r>
                    <w:rPr>
                      <w:spacing w:val="1"/>
                      <w:sz w:val="18"/>
                      <w:szCs w:val="18"/>
                    </w:rPr>
                    <w:t xml:space="preserve"> </w:t>
                  </w:r>
                  <w:r>
                    <w:rPr>
                      <w:spacing w:val="-4"/>
                      <w:sz w:val="18"/>
                      <w:szCs w:val="18"/>
                    </w:rPr>
                    <w:t>面相距约</w:t>
                  </w:r>
                  <w:r>
                    <w:rPr>
                      <w:spacing w:val="-36"/>
                      <w:sz w:val="18"/>
                      <w:szCs w:val="18"/>
                    </w:rPr>
                    <w:t xml:space="preserve"> </w:t>
                  </w:r>
                  <w:r>
                    <w:rPr>
                      <w:spacing w:val="-4"/>
                      <w:sz w:val="18"/>
                      <w:szCs w:val="18"/>
                    </w:rPr>
                    <w:t>220m</w:t>
                  </w:r>
                  <w:r>
                    <w:rPr>
                      <w:spacing w:val="-24"/>
                      <w:sz w:val="18"/>
                      <w:szCs w:val="18"/>
                    </w:rPr>
                    <w:t xml:space="preserve"> </w:t>
                  </w:r>
                  <w:r>
                    <w:rPr>
                      <w:spacing w:val="-4"/>
                      <w:sz w:val="18"/>
                      <w:szCs w:val="18"/>
                    </w:rPr>
                    <w:t>的双龙</w:t>
                  </w:r>
                  <w:r>
                    <w:rPr>
                      <w:sz w:val="18"/>
                      <w:szCs w:val="18"/>
                    </w:rPr>
                    <w:t xml:space="preserve">  </w:t>
                  </w:r>
                  <w:r>
                    <w:rPr>
                      <w:spacing w:val="-2"/>
                      <w:sz w:val="18"/>
                      <w:szCs w:val="18"/>
                    </w:rPr>
                    <w:t>河，建设区域不属于饮</w:t>
                  </w:r>
                  <w:r>
                    <w:rPr>
                      <w:spacing w:val="4"/>
                      <w:sz w:val="18"/>
                      <w:szCs w:val="18"/>
                    </w:rPr>
                    <w:t xml:space="preserve"> </w:t>
                  </w:r>
                  <w:r>
                    <w:rPr>
                      <w:spacing w:val="-2"/>
                      <w:sz w:val="18"/>
                      <w:szCs w:val="18"/>
                    </w:rPr>
                    <w:t>用水源保护区范围</w:t>
                  </w:r>
                </w:p>
              </w:tc>
              <w:tc>
                <w:tcPr>
                  <w:tcW w:w="712" w:type="dxa"/>
                  <w:vAlign w:val="top"/>
                </w:tcPr>
                <w:p w14:paraId="7F29A691">
                  <w:pPr>
                    <w:spacing w:line="316" w:lineRule="auto"/>
                    <w:rPr>
                      <w:rFonts w:ascii="Arial"/>
                      <w:sz w:val="21"/>
                    </w:rPr>
                  </w:pPr>
                </w:p>
                <w:p w14:paraId="776AC7EC">
                  <w:pPr>
                    <w:pStyle w:val="6"/>
                    <w:spacing w:before="59" w:line="219" w:lineRule="auto"/>
                    <w:ind w:left="182"/>
                    <w:rPr>
                      <w:sz w:val="18"/>
                      <w:szCs w:val="18"/>
                    </w:rPr>
                  </w:pPr>
                  <w:r>
                    <w:rPr>
                      <w:spacing w:val="-5"/>
                      <w:sz w:val="18"/>
                      <w:szCs w:val="18"/>
                    </w:rPr>
                    <w:t>符合</w:t>
                  </w:r>
                </w:p>
              </w:tc>
            </w:tr>
            <w:tr w14:paraId="45C4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9" w:type="dxa"/>
                  <w:vAlign w:val="top"/>
                </w:tcPr>
                <w:p w14:paraId="74D9B465">
                  <w:pPr>
                    <w:spacing w:before="173" w:line="188"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01" w:type="dxa"/>
                  <w:vAlign w:val="top"/>
                </w:tcPr>
                <w:p w14:paraId="5ABAE420">
                  <w:pPr>
                    <w:pStyle w:val="6"/>
                    <w:spacing w:before="27" w:line="223" w:lineRule="auto"/>
                    <w:ind w:left="2" w:hanging="2"/>
                    <w:rPr>
                      <w:sz w:val="18"/>
                      <w:szCs w:val="18"/>
                    </w:rPr>
                  </w:pPr>
                  <w:r>
                    <w:rPr>
                      <w:spacing w:val="-4"/>
                      <w:sz w:val="18"/>
                      <w:szCs w:val="18"/>
                    </w:rPr>
                    <w:t>第十八条 禁止在长江干支流、重要湖泊岸线一公</w:t>
                  </w:r>
                  <w:r>
                    <w:rPr>
                      <w:spacing w:val="12"/>
                      <w:sz w:val="18"/>
                      <w:szCs w:val="18"/>
                    </w:rPr>
                    <w:t xml:space="preserve"> </w:t>
                  </w:r>
                  <w:r>
                    <w:rPr>
                      <w:spacing w:val="-2"/>
                      <w:sz w:val="18"/>
                      <w:szCs w:val="18"/>
                    </w:rPr>
                    <w:t>里范围内新建、扩建化工园区和化工项目。</w:t>
                  </w:r>
                </w:p>
              </w:tc>
              <w:tc>
                <w:tcPr>
                  <w:tcW w:w="1821" w:type="dxa"/>
                  <w:vAlign w:val="top"/>
                </w:tcPr>
                <w:p w14:paraId="5924650D">
                  <w:pPr>
                    <w:pStyle w:val="6"/>
                    <w:spacing w:before="143" w:line="219" w:lineRule="auto"/>
                    <w:rPr>
                      <w:sz w:val="18"/>
                      <w:szCs w:val="18"/>
                    </w:rPr>
                  </w:pPr>
                  <w:r>
                    <w:rPr>
                      <w:spacing w:val="-2"/>
                      <w:sz w:val="18"/>
                      <w:szCs w:val="18"/>
                    </w:rPr>
                    <w:t>本项目不属于化工项目</w:t>
                  </w:r>
                </w:p>
              </w:tc>
              <w:tc>
                <w:tcPr>
                  <w:tcW w:w="712" w:type="dxa"/>
                  <w:vAlign w:val="top"/>
                </w:tcPr>
                <w:p w14:paraId="4B40C7B7">
                  <w:pPr>
                    <w:pStyle w:val="6"/>
                    <w:spacing w:before="144" w:line="219" w:lineRule="auto"/>
                    <w:ind w:left="182"/>
                    <w:rPr>
                      <w:sz w:val="18"/>
                      <w:szCs w:val="18"/>
                    </w:rPr>
                  </w:pPr>
                  <w:r>
                    <w:rPr>
                      <w:spacing w:val="-5"/>
                      <w:sz w:val="18"/>
                      <w:szCs w:val="18"/>
                    </w:rPr>
                    <w:t>符合</w:t>
                  </w:r>
                </w:p>
              </w:tc>
            </w:tr>
            <w:tr w14:paraId="4A4F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4FF380C2">
                  <w:pPr>
                    <w:spacing w:line="352" w:lineRule="auto"/>
                    <w:rPr>
                      <w:rFonts w:ascii="Arial"/>
                      <w:sz w:val="21"/>
                    </w:rPr>
                  </w:pPr>
                </w:p>
                <w:p w14:paraId="2B3175CD">
                  <w:pPr>
                    <w:spacing w:before="5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01" w:type="dxa"/>
                  <w:vAlign w:val="top"/>
                </w:tcPr>
                <w:p w14:paraId="545EF026">
                  <w:pPr>
                    <w:pStyle w:val="6"/>
                    <w:spacing w:before="27" w:line="231" w:lineRule="auto"/>
                    <w:ind w:right="33"/>
                    <w:jc w:val="both"/>
                    <w:rPr>
                      <w:sz w:val="18"/>
                      <w:szCs w:val="18"/>
                    </w:rPr>
                  </w:pPr>
                  <w:r>
                    <w:rPr>
                      <w:spacing w:val="-1"/>
                      <w:sz w:val="18"/>
                      <w:szCs w:val="18"/>
                    </w:rPr>
                    <w:t>第十九条 禁止在长江干流岸线三公里范围内和</w:t>
                  </w:r>
                  <w:r>
                    <w:rPr>
                      <w:spacing w:val="1"/>
                      <w:sz w:val="18"/>
                      <w:szCs w:val="18"/>
                    </w:rPr>
                    <w:t xml:space="preserve">  </w:t>
                  </w:r>
                  <w:r>
                    <w:rPr>
                      <w:spacing w:val="-1"/>
                      <w:sz w:val="18"/>
                      <w:szCs w:val="18"/>
                    </w:rPr>
                    <w:t>重要支流岸线一公里范围内新建、改建、扩建尾</w:t>
                  </w:r>
                  <w:r>
                    <w:rPr>
                      <w:spacing w:val="2"/>
                      <w:sz w:val="18"/>
                      <w:szCs w:val="18"/>
                    </w:rPr>
                    <w:t xml:space="preserve"> </w:t>
                  </w:r>
                  <w:r>
                    <w:rPr>
                      <w:spacing w:val="-1"/>
                      <w:sz w:val="18"/>
                      <w:szCs w:val="18"/>
                    </w:rPr>
                    <w:t>矿库、冶炼渣库、磷石膏库，以提升安全、生态</w:t>
                  </w:r>
                  <w:r>
                    <w:rPr>
                      <w:spacing w:val="2"/>
                      <w:sz w:val="18"/>
                      <w:szCs w:val="18"/>
                    </w:rPr>
                    <w:t xml:space="preserve"> </w:t>
                  </w:r>
                  <w:r>
                    <w:rPr>
                      <w:spacing w:val="-1"/>
                      <w:sz w:val="18"/>
                      <w:szCs w:val="18"/>
                    </w:rPr>
                    <w:t>环境保护水平为目的的改建除外。</w:t>
                  </w:r>
                </w:p>
              </w:tc>
              <w:tc>
                <w:tcPr>
                  <w:tcW w:w="1821" w:type="dxa"/>
                  <w:vAlign w:val="top"/>
                </w:tcPr>
                <w:p w14:paraId="1FBF2930">
                  <w:pPr>
                    <w:pStyle w:val="6"/>
                    <w:spacing w:before="27" w:line="231" w:lineRule="auto"/>
                    <w:ind w:right="30"/>
                    <w:rPr>
                      <w:sz w:val="18"/>
                      <w:szCs w:val="18"/>
                    </w:rPr>
                  </w:pPr>
                  <w:r>
                    <w:rPr>
                      <w:spacing w:val="-2"/>
                      <w:sz w:val="18"/>
                      <w:szCs w:val="18"/>
                    </w:rPr>
                    <w:t>本项目为非金属矿物制</w:t>
                  </w:r>
                  <w:r>
                    <w:rPr>
                      <w:spacing w:val="4"/>
                      <w:sz w:val="18"/>
                      <w:szCs w:val="18"/>
                    </w:rPr>
                    <w:t xml:space="preserve"> </w:t>
                  </w:r>
                  <w:r>
                    <w:rPr>
                      <w:spacing w:val="-2"/>
                      <w:sz w:val="18"/>
                      <w:szCs w:val="18"/>
                    </w:rPr>
                    <w:t>品制造项目，不涉及建</w:t>
                  </w:r>
                  <w:r>
                    <w:rPr>
                      <w:spacing w:val="4"/>
                      <w:sz w:val="18"/>
                      <w:szCs w:val="18"/>
                    </w:rPr>
                    <w:t xml:space="preserve"> </w:t>
                  </w:r>
                  <w:r>
                    <w:rPr>
                      <w:spacing w:val="-2"/>
                      <w:sz w:val="18"/>
                      <w:szCs w:val="18"/>
                    </w:rPr>
                    <w:t>设尾矿库、冶炼渣库、</w:t>
                  </w:r>
                  <w:r>
                    <w:rPr>
                      <w:spacing w:val="4"/>
                      <w:sz w:val="18"/>
                      <w:szCs w:val="18"/>
                    </w:rPr>
                    <w:t xml:space="preserve"> </w:t>
                  </w:r>
                  <w:r>
                    <w:rPr>
                      <w:spacing w:val="-2"/>
                      <w:sz w:val="18"/>
                      <w:szCs w:val="18"/>
                    </w:rPr>
                    <w:t>磷石膏库等</w:t>
                  </w:r>
                </w:p>
              </w:tc>
              <w:tc>
                <w:tcPr>
                  <w:tcW w:w="712" w:type="dxa"/>
                  <w:vAlign w:val="top"/>
                </w:tcPr>
                <w:p w14:paraId="1DA10890">
                  <w:pPr>
                    <w:spacing w:line="315" w:lineRule="auto"/>
                    <w:rPr>
                      <w:rFonts w:ascii="Arial"/>
                      <w:sz w:val="21"/>
                    </w:rPr>
                  </w:pPr>
                </w:p>
                <w:p w14:paraId="005DE23E">
                  <w:pPr>
                    <w:pStyle w:val="6"/>
                    <w:spacing w:before="58" w:line="219" w:lineRule="auto"/>
                    <w:ind w:left="182"/>
                    <w:rPr>
                      <w:sz w:val="18"/>
                      <w:szCs w:val="18"/>
                    </w:rPr>
                  </w:pPr>
                  <w:r>
                    <w:rPr>
                      <w:spacing w:val="-5"/>
                      <w:sz w:val="18"/>
                      <w:szCs w:val="18"/>
                    </w:rPr>
                    <w:t>符合</w:t>
                  </w:r>
                </w:p>
              </w:tc>
            </w:tr>
            <w:tr w14:paraId="2EBE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49" w:type="dxa"/>
                  <w:vAlign w:val="top"/>
                </w:tcPr>
                <w:p w14:paraId="2F43AAAA">
                  <w:pPr>
                    <w:spacing w:line="357" w:lineRule="auto"/>
                    <w:rPr>
                      <w:rFonts w:ascii="Arial"/>
                      <w:sz w:val="21"/>
                    </w:rPr>
                  </w:pPr>
                </w:p>
                <w:p w14:paraId="306E5204">
                  <w:pPr>
                    <w:spacing w:before="52" w:line="185"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01" w:type="dxa"/>
                  <w:vAlign w:val="top"/>
                </w:tcPr>
                <w:p w14:paraId="45EABA55">
                  <w:pPr>
                    <w:pStyle w:val="6"/>
                    <w:spacing w:before="143" w:line="233" w:lineRule="auto"/>
                    <w:ind w:right="33"/>
                    <w:rPr>
                      <w:sz w:val="18"/>
                      <w:szCs w:val="18"/>
                    </w:rPr>
                  </w:pPr>
                  <w:r>
                    <w:rPr>
                      <w:spacing w:val="-1"/>
                      <w:sz w:val="18"/>
                      <w:szCs w:val="18"/>
                    </w:rPr>
                    <w:t>第二十一条禁止在合规园区外新建、扩建钢铁、</w:t>
                  </w:r>
                  <w:r>
                    <w:rPr>
                      <w:spacing w:val="2"/>
                      <w:sz w:val="18"/>
                      <w:szCs w:val="18"/>
                    </w:rPr>
                    <w:t xml:space="preserve"> </w:t>
                  </w:r>
                  <w:r>
                    <w:rPr>
                      <w:spacing w:val="-1"/>
                      <w:sz w:val="18"/>
                      <w:szCs w:val="18"/>
                    </w:rPr>
                    <w:t>石化、化工、焦化、建材、有色、制浆造纸等高</w:t>
                  </w:r>
                  <w:r>
                    <w:rPr>
                      <w:spacing w:val="2"/>
                      <w:sz w:val="18"/>
                      <w:szCs w:val="18"/>
                    </w:rPr>
                    <w:t xml:space="preserve"> </w:t>
                  </w:r>
                  <w:r>
                    <w:rPr>
                      <w:spacing w:val="-2"/>
                      <w:sz w:val="18"/>
                      <w:szCs w:val="18"/>
                    </w:rPr>
                    <w:t>污染项目。</w:t>
                  </w:r>
                </w:p>
              </w:tc>
              <w:tc>
                <w:tcPr>
                  <w:tcW w:w="1821" w:type="dxa"/>
                  <w:vAlign w:val="top"/>
                </w:tcPr>
                <w:p w14:paraId="63AA5765">
                  <w:pPr>
                    <w:pStyle w:val="6"/>
                    <w:spacing w:before="26" w:line="231" w:lineRule="auto"/>
                    <w:jc w:val="both"/>
                    <w:rPr>
                      <w:sz w:val="18"/>
                      <w:szCs w:val="18"/>
                    </w:rPr>
                  </w:pPr>
                  <w:r>
                    <w:rPr>
                      <w:spacing w:val="-9"/>
                      <w:sz w:val="18"/>
                      <w:szCs w:val="18"/>
                    </w:rPr>
                    <w:t>本项目不属于钢铁、石</w:t>
                  </w:r>
                  <w:r>
                    <w:rPr>
                      <w:spacing w:val="1"/>
                      <w:sz w:val="18"/>
                      <w:szCs w:val="18"/>
                    </w:rPr>
                    <w:t xml:space="preserve">  </w:t>
                  </w:r>
                  <w:r>
                    <w:rPr>
                      <w:spacing w:val="-15"/>
                      <w:sz w:val="18"/>
                      <w:szCs w:val="18"/>
                    </w:rPr>
                    <w:t>化、化工、焦化、建材、</w:t>
                  </w:r>
                  <w:r>
                    <w:rPr>
                      <w:sz w:val="18"/>
                      <w:szCs w:val="18"/>
                    </w:rPr>
                    <w:t xml:space="preserve"> </w:t>
                  </w:r>
                  <w:r>
                    <w:rPr>
                      <w:spacing w:val="-9"/>
                      <w:sz w:val="18"/>
                      <w:szCs w:val="18"/>
                    </w:rPr>
                    <w:t>有色、制浆造纸等高污</w:t>
                  </w:r>
                  <w:r>
                    <w:rPr>
                      <w:spacing w:val="1"/>
                      <w:sz w:val="18"/>
                      <w:szCs w:val="18"/>
                    </w:rPr>
                    <w:t xml:space="preserve">  </w:t>
                  </w:r>
                  <w:r>
                    <w:rPr>
                      <w:spacing w:val="-8"/>
                      <w:sz w:val="18"/>
                      <w:szCs w:val="18"/>
                    </w:rPr>
                    <w:t>染项目</w:t>
                  </w:r>
                </w:p>
              </w:tc>
              <w:tc>
                <w:tcPr>
                  <w:tcW w:w="712" w:type="dxa"/>
                  <w:vAlign w:val="top"/>
                </w:tcPr>
                <w:p w14:paraId="666E05F2">
                  <w:pPr>
                    <w:spacing w:line="317" w:lineRule="auto"/>
                    <w:rPr>
                      <w:rFonts w:ascii="Arial"/>
                      <w:sz w:val="21"/>
                    </w:rPr>
                  </w:pPr>
                </w:p>
                <w:p w14:paraId="2A186DE8">
                  <w:pPr>
                    <w:pStyle w:val="6"/>
                    <w:spacing w:before="59" w:line="219" w:lineRule="auto"/>
                    <w:ind w:left="182"/>
                    <w:rPr>
                      <w:sz w:val="18"/>
                      <w:szCs w:val="18"/>
                    </w:rPr>
                  </w:pPr>
                  <w:r>
                    <w:rPr>
                      <w:spacing w:val="-5"/>
                      <w:sz w:val="18"/>
                      <w:szCs w:val="18"/>
                    </w:rPr>
                    <w:t>符合</w:t>
                  </w:r>
                </w:p>
              </w:tc>
            </w:tr>
            <w:tr w14:paraId="115B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449" w:type="dxa"/>
                  <w:vAlign w:val="top"/>
                </w:tcPr>
                <w:p w14:paraId="440B84DC">
                  <w:pPr>
                    <w:spacing w:line="473" w:lineRule="auto"/>
                    <w:rPr>
                      <w:rFonts w:ascii="Arial"/>
                      <w:sz w:val="21"/>
                    </w:rPr>
                  </w:pPr>
                </w:p>
                <w:p w14:paraId="48438942">
                  <w:pPr>
                    <w:spacing w:before="51"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01" w:type="dxa"/>
                  <w:vAlign w:val="top"/>
                </w:tcPr>
                <w:p w14:paraId="364E108E">
                  <w:pPr>
                    <w:pStyle w:val="6"/>
                    <w:spacing w:before="31" w:line="232" w:lineRule="auto"/>
                    <w:ind w:left="2" w:hanging="2"/>
                    <w:jc w:val="both"/>
                    <w:rPr>
                      <w:sz w:val="18"/>
                      <w:szCs w:val="18"/>
                    </w:rPr>
                  </w:pPr>
                  <w:r>
                    <w:rPr>
                      <w:spacing w:val="-6"/>
                      <w:sz w:val="18"/>
                      <w:szCs w:val="18"/>
                    </w:rPr>
                    <w:t>第二十三条 禁止新建、扩建法律法规和相关政策</w:t>
                  </w:r>
                  <w:r>
                    <w:rPr>
                      <w:spacing w:val="11"/>
                      <w:sz w:val="18"/>
                      <w:szCs w:val="18"/>
                    </w:rPr>
                    <w:t xml:space="preserve"> </w:t>
                  </w:r>
                  <w:r>
                    <w:rPr>
                      <w:spacing w:val="-4"/>
                      <w:sz w:val="18"/>
                      <w:szCs w:val="18"/>
                    </w:rPr>
                    <w:t>明令禁止的落后产能项目。对《产业结构调整指</w:t>
                  </w:r>
                  <w:r>
                    <w:rPr>
                      <w:spacing w:val="1"/>
                      <w:sz w:val="18"/>
                      <w:szCs w:val="18"/>
                    </w:rPr>
                    <w:t xml:space="preserve">  </w:t>
                  </w:r>
                  <w:r>
                    <w:rPr>
                      <w:spacing w:val="-4"/>
                      <w:sz w:val="18"/>
                      <w:szCs w:val="18"/>
                    </w:rPr>
                    <w:t>导目录》中淘汰类项目，禁止投资</w:t>
                  </w:r>
                  <w:r>
                    <w:rPr>
                      <w:rFonts w:ascii="Times New Roman" w:hAnsi="Times New Roman" w:eastAsia="Times New Roman" w:cs="Times New Roman"/>
                      <w:spacing w:val="-4"/>
                      <w:sz w:val="18"/>
                      <w:szCs w:val="18"/>
                    </w:rPr>
                    <w:t>;</w:t>
                  </w:r>
                  <w:r>
                    <w:rPr>
                      <w:spacing w:val="-4"/>
                      <w:sz w:val="18"/>
                      <w:szCs w:val="18"/>
                    </w:rPr>
                    <w:t>限制类的新建</w:t>
                  </w:r>
                  <w:r>
                    <w:rPr>
                      <w:spacing w:val="4"/>
                      <w:sz w:val="18"/>
                      <w:szCs w:val="18"/>
                    </w:rPr>
                    <w:t xml:space="preserve"> </w:t>
                  </w:r>
                  <w:r>
                    <w:rPr>
                      <w:spacing w:val="-8"/>
                      <w:sz w:val="18"/>
                      <w:szCs w:val="18"/>
                    </w:rPr>
                    <w:t>项目，禁止投资，对属于限制类的现有生产能力，</w:t>
                  </w:r>
                  <w:r>
                    <w:rPr>
                      <w:spacing w:val="8"/>
                      <w:sz w:val="18"/>
                      <w:szCs w:val="18"/>
                    </w:rPr>
                    <w:t xml:space="preserve"> </w:t>
                  </w:r>
                  <w:r>
                    <w:rPr>
                      <w:spacing w:val="-4"/>
                      <w:sz w:val="18"/>
                      <w:szCs w:val="18"/>
                    </w:rPr>
                    <w:t>允许企业在一定期限内采取措施改造升级。</w:t>
                  </w:r>
                </w:p>
              </w:tc>
              <w:tc>
                <w:tcPr>
                  <w:tcW w:w="1821" w:type="dxa"/>
                  <w:vAlign w:val="top"/>
                </w:tcPr>
                <w:p w14:paraId="608EA4A0">
                  <w:pPr>
                    <w:pStyle w:val="6"/>
                    <w:spacing w:before="29" w:line="233" w:lineRule="auto"/>
                    <w:ind w:right="30" w:firstLine="1"/>
                    <w:jc w:val="both"/>
                    <w:rPr>
                      <w:sz w:val="18"/>
                      <w:szCs w:val="18"/>
                    </w:rPr>
                  </w:pPr>
                  <w:r>
                    <w:rPr>
                      <w:spacing w:val="-2"/>
                      <w:sz w:val="18"/>
                      <w:szCs w:val="18"/>
                    </w:rPr>
                    <w:t>本项目符合国家现行产</w:t>
                  </w:r>
                  <w:r>
                    <w:rPr>
                      <w:spacing w:val="3"/>
                      <w:sz w:val="18"/>
                      <w:szCs w:val="18"/>
                    </w:rPr>
                    <w:t xml:space="preserve"> </w:t>
                  </w:r>
                  <w:r>
                    <w:rPr>
                      <w:spacing w:val="-2"/>
                      <w:sz w:val="18"/>
                      <w:szCs w:val="18"/>
                    </w:rPr>
                    <w:t>业政策，已取得投资备</w:t>
                  </w:r>
                  <w:r>
                    <w:rPr>
                      <w:spacing w:val="4"/>
                      <w:sz w:val="18"/>
                      <w:szCs w:val="18"/>
                    </w:rPr>
                    <w:t xml:space="preserve"> </w:t>
                  </w:r>
                  <w:r>
                    <w:rPr>
                      <w:spacing w:val="-3"/>
                      <w:sz w:val="18"/>
                      <w:szCs w:val="18"/>
                    </w:rPr>
                    <w:t>案手续。</w:t>
                  </w:r>
                </w:p>
              </w:tc>
              <w:tc>
                <w:tcPr>
                  <w:tcW w:w="712" w:type="dxa"/>
                  <w:vAlign w:val="top"/>
                </w:tcPr>
                <w:p w14:paraId="53E25FDB">
                  <w:pPr>
                    <w:spacing w:line="435" w:lineRule="auto"/>
                    <w:rPr>
                      <w:rFonts w:ascii="Arial"/>
                      <w:sz w:val="21"/>
                    </w:rPr>
                  </w:pPr>
                </w:p>
                <w:p w14:paraId="276492E1">
                  <w:pPr>
                    <w:pStyle w:val="6"/>
                    <w:spacing w:before="59" w:line="219" w:lineRule="auto"/>
                    <w:ind w:left="182"/>
                    <w:rPr>
                      <w:sz w:val="18"/>
                      <w:szCs w:val="18"/>
                    </w:rPr>
                  </w:pPr>
                  <w:r>
                    <w:rPr>
                      <w:spacing w:val="-5"/>
                      <w:sz w:val="18"/>
                      <w:szCs w:val="18"/>
                    </w:rPr>
                    <w:t>符合</w:t>
                  </w:r>
                </w:p>
              </w:tc>
            </w:tr>
            <w:tr w14:paraId="43EB1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49" w:type="dxa"/>
                  <w:vAlign w:val="top"/>
                </w:tcPr>
                <w:p w14:paraId="5EFB1124">
                  <w:pPr>
                    <w:spacing w:line="360" w:lineRule="auto"/>
                    <w:rPr>
                      <w:rFonts w:ascii="Arial"/>
                      <w:sz w:val="21"/>
                    </w:rPr>
                  </w:pPr>
                </w:p>
                <w:p w14:paraId="6640F5D9">
                  <w:pPr>
                    <w:spacing w:before="52" w:line="185"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01" w:type="dxa"/>
                  <w:vAlign w:val="top"/>
                </w:tcPr>
                <w:p w14:paraId="3DA5F7DE">
                  <w:pPr>
                    <w:pStyle w:val="6"/>
                    <w:spacing w:before="30" w:line="230" w:lineRule="auto"/>
                    <w:jc w:val="both"/>
                    <w:rPr>
                      <w:sz w:val="18"/>
                      <w:szCs w:val="18"/>
                    </w:rPr>
                  </w:pPr>
                  <w:r>
                    <w:rPr>
                      <w:spacing w:val="-4"/>
                      <w:sz w:val="18"/>
                      <w:szCs w:val="18"/>
                    </w:rPr>
                    <w:t>第二十四条 禁止新建、扩建不符合国家产能置换</w:t>
                  </w:r>
                  <w:r>
                    <w:rPr>
                      <w:spacing w:val="12"/>
                      <w:sz w:val="18"/>
                      <w:szCs w:val="18"/>
                    </w:rPr>
                    <w:t xml:space="preserve"> </w:t>
                  </w:r>
                  <w:r>
                    <w:rPr>
                      <w:spacing w:val="-2"/>
                      <w:sz w:val="18"/>
                      <w:szCs w:val="18"/>
                    </w:rPr>
                    <w:t>要求的严重过剩产能行业的项目。对于不符合国</w:t>
                  </w:r>
                  <w:r>
                    <w:rPr>
                      <w:spacing w:val="9"/>
                      <w:sz w:val="18"/>
                      <w:szCs w:val="18"/>
                    </w:rPr>
                    <w:t xml:space="preserve"> </w:t>
                  </w:r>
                  <w:r>
                    <w:rPr>
                      <w:spacing w:val="-2"/>
                      <w:sz w:val="18"/>
                      <w:szCs w:val="18"/>
                    </w:rPr>
                    <w:t>家产能置换要求的严重过剩产能行业，不得以其</w:t>
                  </w:r>
                  <w:r>
                    <w:rPr>
                      <w:spacing w:val="9"/>
                      <w:sz w:val="18"/>
                      <w:szCs w:val="18"/>
                    </w:rPr>
                    <w:t xml:space="preserve"> </w:t>
                  </w:r>
                  <w:r>
                    <w:rPr>
                      <w:spacing w:val="-2"/>
                      <w:sz w:val="18"/>
                      <w:szCs w:val="18"/>
                    </w:rPr>
                    <w:t>他任何名义、任何方式备案新增产能项目。</w:t>
                  </w:r>
                </w:p>
              </w:tc>
              <w:tc>
                <w:tcPr>
                  <w:tcW w:w="1821" w:type="dxa"/>
                  <w:vAlign w:val="top"/>
                </w:tcPr>
                <w:p w14:paraId="66460E43">
                  <w:pPr>
                    <w:pStyle w:val="6"/>
                    <w:spacing w:before="30" w:line="230" w:lineRule="auto"/>
                    <w:ind w:right="30"/>
                    <w:jc w:val="both"/>
                    <w:rPr>
                      <w:sz w:val="18"/>
                      <w:szCs w:val="18"/>
                    </w:rPr>
                  </w:pPr>
                  <w:r>
                    <w:rPr>
                      <w:spacing w:val="-2"/>
                      <w:sz w:val="18"/>
                      <w:szCs w:val="18"/>
                    </w:rPr>
                    <w:t>本项目为非金属矿物制</w:t>
                  </w:r>
                  <w:r>
                    <w:rPr>
                      <w:spacing w:val="4"/>
                      <w:sz w:val="18"/>
                      <w:szCs w:val="18"/>
                    </w:rPr>
                    <w:t xml:space="preserve"> </w:t>
                  </w:r>
                  <w:r>
                    <w:rPr>
                      <w:spacing w:val="-2"/>
                      <w:sz w:val="18"/>
                      <w:szCs w:val="18"/>
                    </w:rPr>
                    <w:t>品制造项目，不属于国</w:t>
                  </w:r>
                  <w:r>
                    <w:rPr>
                      <w:spacing w:val="4"/>
                      <w:sz w:val="18"/>
                      <w:szCs w:val="18"/>
                    </w:rPr>
                    <w:t xml:space="preserve"> </w:t>
                  </w:r>
                  <w:r>
                    <w:rPr>
                      <w:spacing w:val="-2"/>
                      <w:sz w:val="18"/>
                      <w:szCs w:val="18"/>
                    </w:rPr>
                    <w:t>家产能置换要求的严重</w:t>
                  </w:r>
                  <w:r>
                    <w:rPr>
                      <w:spacing w:val="4"/>
                      <w:sz w:val="18"/>
                      <w:szCs w:val="18"/>
                    </w:rPr>
                    <w:t xml:space="preserve"> </w:t>
                  </w:r>
                  <w:r>
                    <w:rPr>
                      <w:spacing w:val="-2"/>
                      <w:sz w:val="18"/>
                      <w:szCs w:val="18"/>
                    </w:rPr>
                    <w:t>过剩产能行业的项目</w:t>
                  </w:r>
                </w:p>
              </w:tc>
              <w:tc>
                <w:tcPr>
                  <w:tcW w:w="712" w:type="dxa"/>
                  <w:vAlign w:val="top"/>
                </w:tcPr>
                <w:p w14:paraId="37E44C4F">
                  <w:pPr>
                    <w:spacing w:line="320" w:lineRule="auto"/>
                    <w:rPr>
                      <w:rFonts w:ascii="Arial"/>
                      <w:sz w:val="21"/>
                    </w:rPr>
                  </w:pPr>
                </w:p>
                <w:p w14:paraId="0F528CCD">
                  <w:pPr>
                    <w:pStyle w:val="6"/>
                    <w:spacing w:before="58" w:line="219" w:lineRule="auto"/>
                    <w:ind w:left="182"/>
                    <w:rPr>
                      <w:sz w:val="18"/>
                      <w:szCs w:val="18"/>
                    </w:rPr>
                  </w:pPr>
                  <w:r>
                    <w:rPr>
                      <w:spacing w:val="-5"/>
                      <w:sz w:val="18"/>
                      <w:szCs w:val="18"/>
                    </w:rPr>
                    <w:t>符合</w:t>
                  </w:r>
                </w:p>
              </w:tc>
            </w:tr>
            <w:tr w14:paraId="3FDB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49" w:type="dxa"/>
                  <w:vAlign w:val="top"/>
                </w:tcPr>
                <w:p w14:paraId="5809DD53">
                  <w:pPr>
                    <w:spacing w:line="242" w:lineRule="auto"/>
                    <w:rPr>
                      <w:rFonts w:ascii="Arial"/>
                      <w:sz w:val="21"/>
                    </w:rPr>
                  </w:pPr>
                </w:p>
                <w:p w14:paraId="11A72F6B">
                  <w:pPr>
                    <w:spacing w:before="51" w:line="188" w:lineRule="auto"/>
                    <w:ind w:left="1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01" w:type="dxa"/>
                  <w:vAlign w:val="top"/>
                </w:tcPr>
                <w:p w14:paraId="0E59A3C1">
                  <w:pPr>
                    <w:pStyle w:val="6"/>
                    <w:spacing w:before="148" w:line="229" w:lineRule="auto"/>
                    <w:ind w:left="6" w:right="121" w:hanging="7"/>
                    <w:rPr>
                      <w:sz w:val="18"/>
                      <w:szCs w:val="18"/>
                    </w:rPr>
                  </w:pPr>
                  <w:r>
                    <w:rPr>
                      <w:spacing w:val="-1"/>
                      <w:sz w:val="18"/>
                      <w:szCs w:val="18"/>
                    </w:rPr>
                    <w:t>第二十六条 禁止新建、扩建不符合要求的高耗</w:t>
                  </w:r>
                  <w:r>
                    <w:rPr>
                      <w:spacing w:val="4"/>
                      <w:sz w:val="18"/>
                      <w:szCs w:val="18"/>
                    </w:rPr>
                    <w:t xml:space="preserve"> </w:t>
                  </w:r>
                  <w:r>
                    <w:rPr>
                      <w:spacing w:val="-2"/>
                      <w:sz w:val="18"/>
                      <w:szCs w:val="18"/>
                    </w:rPr>
                    <w:t>能、高排放、低水平项目。</w:t>
                  </w:r>
                </w:p>
              </w:tc>
              <w:tc>
                <w:tcPr>
                  <w:tcW w:w="1821" w:type="dxa"/>
                  <w:vAlign w:val="top"/>
                </w:tcPr>
                <w:p w14:paraId="3E9A7694">
                  <w:pPr>
                    <w:pStyle w:val="6"/>
                    <w:spacing w:before="30" w:line="229" w:lineRule="auto"/>
                    <w:ind w:left="1" w:hanging="1"/>
                    <w:jc w:val="both"/>
                    <w:rPr>
                      <w:sz w:val="18"/>
                      <w:szCs w:val="18"/>
                    </w:rPr>
                  </w:pPr>
                  <w:r>
                    <w:rPr>
                      <w:spacing w:val="-5"/>
                      <w:sz w:val="18"/>
                      <w:szCs w:val="18"/>
                    </w:rPr>
                    <w:t>项目营运期耗能主要为</w:t>
                  </w:r>
                  <w:r>
                    <w:rPr>
                      <w:spacing w:val="5"/>
                      <w:sz w:val="18"/>
                      <w:szCs w:val="18"/>
                    </w:rPr>
                    <w:t xml:space="preserve"> </w:t>
                  </w:r>
                  <w:r>
                    <w:rPr>
                      <w:spacing w:val="-10"/>
                      <w:sz w:val="18"/>
                      <w:szCs w:val="18"/>
                    </w:rPr>
                    <w:t>电能</w:t>
                  </w:r>
                  <w:r>
                    <w:rPr>
                      <w:spacing w:val="-39"/>
                      <w:sz w:val="18"/>
                      <w:szCs w:val="18"/>
                    </w:rPr>
                    <w:t>，</w:t>
                  </w:r>
                  <w:r>
                    <w:rPr>
                      <w:spacing w:val="-10"/>
                      <w:sz w:val="18"/>
                      <w:szCs w:val="18"/>
                    </w:rPr>
                    <w:t>不属于高耗能、</w:t>
                  </w:r>
                  <w:r>
                    <w:rPr>
                      <w:spacing w:val="1"/>
                      <w:sz w:val="18"/>
                      <w:szCs w:val="18"/>
                    </w:rPr>
                    <w:t xml:space="preserve"> </w:t>
                  </w:r>
                  <w:r>
                    <w:rPr>
                      <w:spacing w:val="-5"/>
                      <w:sz w:val="18"/>
                      <w:szCs w:val="18"/>
                    </w:rPr>
                    <w:t>高排放、低水平项目</w:t>
                  </w:r>
                </w:p>
              </w:tc>
              <w:tc>
                <w:tcPr>
                  <w:tcW w:w="712" w:type="dxa"/>
                  <w:vAlign w:val="top"/>
                </w:tcPr>
                <w:p w14:paraId="422AB3CE">
                  <w:pPr>
                    <w:pStyle w:val="6"/>
                    <w:spacing w:before="266" w:line="219" w:lineRule="auto"/>
                    <w:ind w:left="182"/>
                    <w:rPr>
                      <w:sz w:val="18"/>
                      <w:szCs w:val="18"/>
                    </w:rPr>
                  </w:pPr>
                  <w:r>
                    <w:rPr>
                      <w:spacing w:val="-5"/>
                      <w:sz w:val="18"/>
                      <w:szCs w:val="18"/>
                    </w:rPr>
                    <w:t>符合</w:t>
                  </w:r>
                </w:p>
              </w:tc>
            </w:tr>
          </w:tbl>
          <w:p w14:paraId="09AD824B">
            <w:pPr>
              <w:spacing w:before="140" w:line="229" w:lineRule="auto"/>
              <w:ind w:left="96"/>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13"/>
                <w:sz w:val="20"/>
                <w:szCs w:val="20"/>
              </w:rPr>
              <w:t xml:space="preserve"> </w:t>
            </w:r>
            <w:r>
              <w:rPr>
                <w:rFonts w:ascii="黑体" w:hAnsi="黑体" w:eastAsia="黑体" w:cs="黑体"/>
                <w:spacing w:val="7"/>
                <w:sz w:val="20"/>
                <w:szCs w:val="20"/>
              </w:rPr>
              <w:t>、与污染防治相关法律法规符合性分析</w:t>
            </w:r>
          </w:p>
          <w:p w14:paraId="0A1ED0F9">
            <w:pPr>
              <w:pStyle w:val="6"/>
              <w:spacing w:before="149" w:line="227" w:lineRule="auto"/>
              <w:ind w:left="517"/>
              <w:rPr>
                <w:sz w:val="20"/>
                <w:szCs w:val="20"/>
              </w:rPr>
            </w:pPr>
            <w:r>
              <w:rPr>
                <w:spacing w:val="9"/>
                <w:sz w:val="20"/>
                <w:szCs w:val="20"/>
              </w:rPr>
              <w:t>本项目与污染防治相关法律法规符合性分析见下表。</w:t>
            </w:r>
          </w:p>
          <w:p w14:paraId="161E50E0">
            <w:pPr>
              <w:pStyle w:val="6"/>
              <w:spacing w:before="149" w:line="219" w:lineRule="auto"/>
              <w:ind w:left="1275"/>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1-7        </w:t>
            </w:r>
            <w:r>
              <w:rPr>
                <w:b/>
                <w:bCs/>
                <w:spacing w:val="-1"/>
                <w:sz w:val="18"/>
                <w:szCs w:val="18"/>
              </w:rPr>
              <w:t>项目与其他相关</w:t>
            </w:r>
            <w:r>
              <w:rPr>
                <w:b/>
                <w:bCs/>
                <w:spacing w:val="-2"/>
                <w:sz w:val="18"/>
                <w:szCs w:val="18"/>
              </w:rPr>
              <w:t>规划、法律、法规符合性分析</w:t>
            </w:r>
          </w:p>
          <w:p w14:paraId="1C93913F">
            <w:pPr>
              <w:spacing w:line="144" w:lineRule="auto"/>
              <w:rPr>
                <w:rFonts w:ascii="Arial"/>
                <w:sz w:val="2"/>
              </w:rPr>
            </w:pPr>
          </w:p>
          <w:tbl>
            <w:tblPr>
              <w:tblStyle w:val="5"/>
              <w:tblW w:w="6723"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2966"/>
              <w:gridCol w:w="1699"/>
              <w:gridCol w:w="695"/>
            </w:tblGrid>
            <w:tr w14:paraId="0CDE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63" w:type="dxa"/>
                  <w:vAlign w:val="top"/>
                </w:tcPr>
                <w:p w14:paraId="2A3546CA">
                  <w:pPr>
                    <w:pStyle w:val="6"/>
                    <w:spacing w:before="32" w:line="205" w:lineRule="auto"/>
                    <w:ind w:left="51"/>
                    <w:rPr>
                      <w:sz w:val="18"/>
                      <w:szCs w:val="18"/>
                    </w:rPr>
                  </w:pPr>
                  <w:r>
                    <w:rPr>
                      <w:b/>
                      <w:bCs/>
                      <w:spacing w:val="-3"/>
                      <w:sz w:val="18"/>
                      <w:szCs w:val="18"/>
                    </w:rPr>
                    <w:t>法规政策、规划</w:t>
                  </w:r>
                </w:p>
              </w:tc>
              <w:tc>
                <w:tcPr>
                  <w:tcW w:w="2966" w:type="dxa"/>
                  <w:vAlign w:val="top"/>
                </w:tcPr>
                <w:p w14:paraId="5E770640">
                  <w:pPr>
                    <w:pStyle w:val="6"/>
                    <w:spacing w:before="32" w:line="205" w:lineRule="auto"/>
                    <w:ind w:left="1121"/>
                    <w:rPr>
                      <w:sz w:val="18"/>
                      <w:szCs w:val="18"/>
                    </w:rPr>
                  </w:pPr>
                  <w:r>
                    <w:rPr>
                      <w:b/>
                      <w:bCs/>
                      <w:spacing w:val="-4"/>
                      <w:sz w:val="18"/>
                      <w:szCs w:val="18"/>
                    </w:rPr>
                    <w:t>规划要求</w:t>
                  </w:r>
                </w:p>
              </w:tc>
              <w:tc>
                <w:tcPr>
                  <w:tcW w:w="1699" w:type="dxa"/>
                  <w:vAlign w:val="top"/>
                </w:tcPr>
                <w:p w14:paraId="1B617D60">
                  <w:pPr>
                    <w:pStyle w:val="6"/>
                    <w:spacing w:before="32" w:line="205" w:lineRule="auto"/>
                    <w:ind w:left="399"/>
                    <w:rPr>
                      <w:sz w:val="18"/>
                      <w:szCs w:val="18"/>
                    </w:rPr>
                  </w:pPr>
                  <w:r>
                    <w:rPr>
                      <w:b/>
                      <w:bCs/>
                      <w:spacing w:val="-3"/>
                      <w:sz w:val="18"/>
                      <w:szCs w:val="18"/>
                    </w:rPr>
                    <w:t>本项目情况</w:t>
                  </w:r>
                </w:p>
              </w:tc>
              <w:tc>
                <w:tcPr>
                  <w:tcW w:w="695" w:type="dxa"/>
                  <w:vAlign w:val="top"/>
                </w:tcPr>
                <w:p w14:paraId="09C27BF9">
                  <w:pPr>
                    <w:pStyle w:val="6"/>
                    <w:spacing w:before="32" w:line="205" w:lineRule="auto"/>
                    <w:ind w:left="79"/>
                    <w:rPr>
                      <w:sz w:val="18"/>
                      <w:szCs w:val="18"/>
                    </w:rPr>
                  </w:pPr>
                  <w:r>
                    <w:rPr>
                      <w:b/>
                      <w:bCs/>
                      <w:spacing w:val="-4"/>
                      <w:sz w:val="18"/>
                      <w:szCs w:val="18"/>
                    </w:rPr>
                    <w:t>符合性</w:t>
                  </w:r>
                </w:p>
              </w:tc>
            </w:tr>
            <w:tr w14:paraId="0FF4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1363" w:type="dxa"/>
                  <w:vMerge w:val="restart"/>
                  <w:tcBorders>
                    <w:bottom w:val="nil"/>
                  </w:tcBorders>
                  <w:vAlign w:val="top"/>
                </w:tcPr>
                <w:p w14:paraId="15179562">
                  <w:pPr>
                    <w:spacing w:line="272" w:lineRule="auto"/>
                    <w:rPr>
                      <w:rFonts w:ascii="Arial"/>
                      <w:sz w:val="21"/>
                    </w:rPr>
                  </w:pPr>
                </w:p>
                <w:p w14:paraId="33BECC2E">
                  <w:pPr>
                    <w:spacing w:line="272" w:lineRule="auto"/>
                    <w:rPr>
                      <w:rFonts w:ascii="Arial"/>
                      <w:sz w:val="21"/>
                    </w:rPr>
                  </w:pPr>
                </w:p>
                <w:p w14:paraId="287F140B">
                  <w:pPr>
                    <w:spacing w:line="273" w:lineRule="auto"/>
                    <w:rPr>
                      <w:rFonts w:ascii="Arial"/>
                      <w:sz w:val="21"/>
                    </w:rPr>
                  </w:pPr>
                </w:p>
                <w:p w14:paraId="4EA3F6F0">
                  <w:pPr>
                    <w:spacing w:line="273" w:lineRule="auto"/>
                    <w:rPr>
                      <w:rFonts w:ascii="Arial"/>
                      <w:sz w:val="21"/>
                    </w:rPr>
                  </w:pPr>
                </w:p>
                <w:p w14:paraId="2C45921B">
                  <w:pPr>
                    <w:spacing w:line="273" w:lineRule="auto"/>
                    <w:rPr>
                      <w:rFonts w:ascii="Arial"/>
                      <w:sz w:val="21"/>
                    </w:rPr>
                  </w:pPr>
                </w:p>
                <w:p w14:paraId="6BD9CF4E">
                  <w:pPr>
                    <w:pStyle w:val="6"/>
                    <w:spacing w:before="59" w:line="232" w:lineRule="auto"/>
                    <w:ind w:left="46" w:firstLine="2"/>
                    <w:jc w:val="both"/>
                    <w:rPr>
                      <w:sz w:val="18"/>
                      <w:szCs w:val="18"/>
                    </w:rPr>
                  </w:pPr>
                  <w:r>
                    <w:rPr>
                      <w:spacing w:val="-4"/>
                      <w:sz w:val="18"/>
                      <w:szCs w:val="18"/>
                    </w:rPr>
                    <w:t>《大气污染防治</w:t>
                  </w:r>
                  <w:r>
                    <w:rPr>
                      <w:spacing w:val="1"/>
                      <w:sz w:val="18"/>
                      <w:szCs w:val="18"/>
                    </w:rPr>
                    <w:t xml:space="preserve">  </w:t>
                  </w:r>
                  <w:r>
                    <w:rPr>
                      <w:spacing w:val="-3"/>
                      <w:sz w:val="18"/>
                      <w:szCs w:val="18"/>
                    </w:rPr>
                    <w:t>行动计划》（国</w:t>
                  </w:r>
                  <w:r>
                    <w:rPr>
                      <w:sz w:val="18"/>
                      <w:szCs w:val="18"/>
                    </w:rPr>
                    <w:t xml:space="preserve">  </w:t>
                  </w:r>
                  <w:r>
                    <w:rPr>
                      <w:spacing w:val="-21"/>
                      <w:sz w:val="18"/>
                      <w:szCs w:val="18"/>
                    </w:rPr>
                    <w:t>发〔2013〕37</w:t>
                  </w:r>
                  <w:r>
                    <w:rPr>
                      <w:spacing w:val="11"/>
                      <w:sz w:val="18"/>
                      <w:szCs w:val="18"/>
                    </w:rPr>
                    <w:t xml:space="preserve"> </w:t>
                  </w:r>
                  <w:r>
                    <w:rPr>
                      <w:spacing w:val="-21"/>
                      <w:sz w:val="18"/>
                      <w:szCs w:val="18"/>
                    </w:rPr>
                    <w:t>号）</w:t>
                  </w:r>
                </w:p>
              </w:tc>
              <w:tc>
                <w:tcPr>
                  <w:tcW w:w="2966" w:type="dxa"/>
                  <w:vAlign w:val="top"/>
                </w:tcPr>
                <w:p w14:paraId="3107717E">
                  <w:pPr>
                    <w:pStyle w:val="6"/>
                    <w:spacing w:before="29" w:line="236" w:lineRule="auto"/>
                    <w:ind w:left="38" w:firstLine="9"/>
                    <w:jc w:val="both"/>
                    <w:rPr>
                      <w:sz w:val="18"/>
                      <w:szCs w:val="18"/>
                    </w:rPr>
                  </w:pPr>
                  <w:r>
                    <w:rPr>
                      <w:spacing w:val="-1"/>
                      <w:sz w:val="18"/>
                      <w:szCs w:val="18"/>
                    </w:rPr>
                    <w:t>（一）加强工业企业大气污染综合治</w:t>
                  </w:r>
                  <w:r>
                    <w:rPr>
                      <w:spacing w:val="1"/>
                      <w:sz w:val="18"/>
                      <w:szCs w:val="18"/>
                    </w:rPr>
                    <w:t xml:space="preserve"> </w:t>
                  </w:r>
                  <w:r>
                    <w:rPr>
                      <w:spacing w:val="-1"/>
                      <w:sz w:val="18"/>
                      <w:szCs w:val="18"/>
                    </w:rPr>
                    <w:t>理。全面整治燃煤小锅炉。加快推进</w:t>
                  </w:r>
                  <w:r>
                    <w:rPr>
                      <w:spacing w:val="11"/>
                      <w:sz w:val="18"/>
                      <w:szCs w:val="18"/>
                    </w:rPr>
                    <w:t xml:space="preserve"> </w:t>
                  </w:r>
                  <w:r>
                    <w:rPr>
                      <w:spacing w:val="-4"/>
                      <w:sz w:val="18"/>
                      <w:szCs w:val="18"/>
                    </w:rPr>
                    <w:t>集中供热、</w:t>
                  </w:r>
                  <w:r>
                    <w:rPr>
                      <w:rFonts w:ascii="Arial" w:hAnsi="Arial" w:eastAsia="Arial" w:cs="Arial"/>
                      <w:spacing w:val="-4"/>
                      <w:sz w:val="18"/>
                      <w:szCs w:val="18"/>
                    </w:rPr>
                    <w:t>“</w:t>
                  </w:r>
                  <w:r>
                    <w:rPr>
                      <w:spacing w:val="-4"/>
                      <w:sz w:val="18"/>
                      <w:szCs w:val="18"/>
                    </w:rPr>
                    <w:t>煤改气</w:t>
                  </w:r>
                  <w:r>
                    <w:rPr>
                      <w:rFonts w:ascii="Arial" w:hAnsi="Arial" w:eastAsia="Arial" w:cs="Arial"/>
                      <w:spacing w:val="-4"/>
                      <w:sz w:val="18"/>
                      <w:szCs w:val="18"/>
                    </w:rPr>
                    <w:t>”</w:t>
                  </w:r>
                  <w:r>
                    <w:rPr>
                      <w:spacing w:val="-4"/>
                      <w:sz w:val="18"/>
                      <w:szCs w:val="18"/>
                    </w:rPr>
                    <w:t>、</w:t>
                  </w:r>
                  <w:r>
                    <w:rPr>
                      <w:rFonts w:ascii="Arial" w:hAnsi="Arial" w:eastAsia="Arial" w:cs="Arial"/>
                      <w:spacing w:val="-4"/>
                      <w:sz w:val="18"/>
                      <w:szCs w:val="18"/>
                    </w:rPr>
                    <w:t>“</w:t>
                  </w:r>
                  <w:r>
                    <w:rPr>
                      <w:spacing w:val="-4"/>
                      <w:sz w:val="18"/>
                      <w:szCs w:val="18"/>
                    </w:rPr>
                    <w:t>煤改电</w:t>
                  </w:r>
                  <w:r>
                    <w:rPr>
                      <w:rFonts w:ascii="Arial" w:hAnsi="Arial" w:eastAsia="Arial" w:cs="Arial"/>
                      <w:spacing w:val="-4"/>
                      <w:sz w:val="18"/>
                      <w:szCs w:val="18"/>
                    </w:rPr>
                    <w:t>”</w:t>
                  </w:r>
                  <w:r>
                    <w:rPr>
                      <w:spacing w:val="-4"/>
                      <w:sz w:val="18"/>
                      <w:szCs w:val="18"/>
                    </w:rPr>
                    <w:t>工程建</w:t>
                  </w:r>
                  <w:r>
                    <w:rPr>
                      <w:spacing w:val="13"/>
                      <w:sz w:val="18"/>
                      <w:szCs w:val="18"/>
                    </w:rPr>
                    <w:t xml:space="preserve"> </w:t>
                  </w:r>
                  <w:r>
                    <w:rPr>
                      <w:spacing w:val="-6"/>
                      <w:sz w:val="18"/>
                      <w:szCs w:val="18"/>
                    </w:rPr>
                    <w:t>设，到</w:t>
                  </w:r>
                  <w:r>
                    <w:rPr>
                      <w:spacing w:val="-26"/>
                      <w:sz w:val="18"/>
                      <w:szCs w:val="18"/>
                    </w:rPr>
                    <w:t xml:space="preserve"> </w:t>
                  </w:r>
                  <w:r>
                    <w:rPr>
                      <w:rFonts w:ascii="Arial" w:hAnsi="Arial" w:eastAsia="Arial" w:cs="Arial"/>
                      <w:spacing w:val="-6"/>
                      <w:sz w:val="18"/>
                      <w:szCs w:val="18"/>
                    </w:rPr>
                    <w:t xml:space="preserve">2017 </w:t>
                  </w:r>
                  <w:r>
                    <w:rPr>
                      <w:spacing w:val="-6"/>
                      <w:sz w:val="18"/>
                      <w:szCs w:val="18"/>
                    </w:rPr>
                    <w:t>年，除必要保留的以外，</w:t>
                  </w:r>
                  <w:r>
                    <w:rPr>
                      <w:sz w:val="18"/>
                      <w:szCs w:val="18"/>
                    </w:rPr>
                    <w:t xml:space="preserve"> </w:t>
                  </w:r>
                  <w:r>
                    <w:rPr>
                      <w:spacing w:val="-1"/>
                      <w:sz w:val="18"/>
                      <w:szCs w:val="18"/>
                    </w:rPr>
                    <w:t>地级及以上城市建成区基本淘汰每小</w:t>
                  </w:r>
                  <w:r>
                    <w:rPr>
                      <w:spacing w:val="11"/>
                      <w:sz w:val="18"/>
                      <w:szCs w:val="18"/>
                    </w:rPr>
                    <w:t xml:space="preserve"> </w:t>
                  </w:r>
                  <w:r>
                    <w:rPr>
                      <w:spacing w:val="2"/>
                      <w:sz w:val="18"/>
                      <w:szCs w:val="18"/>
                    </w:rPr>
                    <w:t>时</w:t>
                  </w:r>
                  <w:r>
                    <w:rPr>
                      <w:spacing w:val="-17"/>
                      <w:sz w:val="18"/>
                      <w:szCs w:val="18"/>
                    </w:rPr>
                    <w:t xml:space="preserve"> </w:t>
                  </w:r>
                  <w:r>
                    <w:rPr>
                      <w:rFonts w:ascii="Arial" w:hAnsi="Arial" w:eastAsia="Arial" w:cs="Arial"/>
                      <w:spacing w:val="2"/>
                      <w:sz w:val="18"/>
                      <w:szCs w:val="18"/>
                    </w:rPr>
                    <w:t xml:space="preserve">10 </w:t>
                  </w:r>
                  <w:r>
                    <w:rPr>
                      <w:spacing w:val="2"/>
                      <w:sz w:val="18"/>
                      <w:szCs w:val="18"/>
                    </w:rPr>
                    <w:t>蒸吨及以下的燃煤锅炉，禁止</w:t>
                  </w:r>
                  <w:r>
                    <w:rPr>
                      <w:sz w:val="18"/>
                      <w:szCs w:val="18"/>
                    </w:rPr>
                    <w:t xml:space="preserve"> </w:t>
                  </w:r>
                  <w:r>
                    <w:rPr>
                      <w:spacing w:val="-4"/>
                      <w:sz w:val="18"/>
                      <w:szCs w:val="18"/>
                    </w:rPr>
                    <w:t>新建每小时</w:t>
                  </w:r>
                  <w:r>
                    <w:rPr>
                      <w:spacing w:val="-47"/>
                      <w:sz w:val="18"/>
                      <w:szCs w:val="18"/>
                    </w:rPr>
                    <w:t xml:space="preserve"> </w:t>
                  </w:r>
                  <w:r>
                    <w:rPr>
                      <w:rFonts w:ascii="Arial" w:hAnsi="Arial" w:eastAsia="Arial" w:cs="Arial"/>
                      <w:spacing w:val="-4"/>
                      <w:sz w:val="18"/>
                      <w:szCs w:val="18"/>
                    </w:rPr>
                    <w:t xml:space="preserve">20 </w:t>
                  </w:r>
                  <w:bookmarkStart w:id="0" w:name="_GoBack"/>
                  <w:bookmarkEnd w:id="0"/>
                  <w:r>
                    <w:rPr>
                      <w:spacing w:val="-4"/>
                      <w:sz w:val="18"/>
                      <w:szCs w:val="18"/>
                    </w:rPr>
                    <w:t>蒸吨以下的燃煤锅炉；</w:t>
                  </w:r>
                  <w:r>
                    <w:rPr>
                      <w:sz w:val="18"/>
                      <w:szCs w:val="18"/>
                    </w:rPr>
                    <w:t xml:space="preserve"> </w:t>
                  </w:r>
                  <w:r>
                    <w:rPr>
                      <w:spacing w:val="5"/>
                      <w:sz w:val="18"/>
                      <w:szCs w:val="18"/>
                    </w:rPr>
                    <w:t>其他地区原则上不再新建每小时</w:t>
                  </w:r>
                  <w:r>
                    <w:rPr>
                      <w:spacing w:val="-14"/>
                      <w:sz w:val="18"/>
                      <w:szCs w:val="18"/>
                    </w:rPr>
                    <w:t xml:space="preserve"> </w:t>
                  </w:r>
                  <w:r>
                    <w:rPr>
                      <w:rFonts w:ascii="Arial" w:hAnsi="Arial" w:eastAsia="Arial" w:cs="Arial"/>
                      <w:spacing w:val="5"/>
                      <w:sz w:val="18"/>
                      <w:szCs w:val="18"/>
                    </w:rPr>
                    <w:t>10</w:t>
                  </w:r>
                  <w:r>
                    <w:rPr>
                      <w:rFonts w:ascii="Arial" w:hAnsi="Arial" w:eastAsia="Arial" w:cs="Arial"/>
                      <w:sz w:val="18"/>
                      <w:szCs w:val="18"/>
                    </w:rPr>
                    <w:t xml:space="preserve">  </w:t>
                  </w:r>
                  <w:r>
                    <w:rPr>
                      <w:spacing w:val="-1"/>
                      <w:sz w:val="18"/>
                      <w:szCs w:val="18"/>
                    </w:rPr>
                    <w:t>蒸吨以下的燃煤锅炉。在供热供气管</w:t>
                  </w:r>
                  <w:r>
                    <w:rPr>
                      <w:spacing w:val="11"/>
                      <w:sz w:val="18"/>
                      <w:szCs w:val="18"/>
                    </w:rPr>
                    <w:t xml:space="preserve"> </w:t>
                  </w:r>
                  <w:r>
                    <w:rPr>
                      <w:spacing w:val="-1"/>
                      <w:sz w:val="18"/>
                      <w:szCs w:val="18"/>
                    </w:rPr>
                    <w:t>网不能覆盖的地区，改用电、新能源</w:t>
                  </w:r>
                  <w:r>
                    <w:rPr>
                      <w:spacing w:val="11"/>
                      <w:sz w:val="18"/>
                      <w:szCs w:val="18"/>
                    </w:rPr>
                    <w:t xml:space="preserve"> </w:t>
                  </w:r>
                  <w:r>
                    <w:rPr>
                      <w:spacing w:val="-1"/>
                      <w:sz w:val="18"/>
                      <w:szCs w:val="18"/>
                    </w:rPr>
                    <w:t>或洁净煤，推广应用高效节能环保型</w:t>
                  </w:r>
                  <w:r>
                    <w:rPr>
                      <w:spacing w:val="11"/>
                      <w:sz w:val="18"/>
                      <w:szCs w:val="18"/>
                    </w:rPr>
                    <w:t xml:space="preserve"> </w:t>
                  </w:r>
                  <w:r>
                    <w:rPr>
                      <w:spacing w:val="-3"/>
                      <w:sz w:val="18"/>
                      <w:szCs w:val="18"/>
                    </w:rPr>
                    <w:t>锅炉。</w:t>
                  </w:r>
                </w:p>
              </w:tc>
              <w:tc>
                <w:tcPr>
                  <w:tcW w:w="1699" w:type="dxa"/>
                  <w:vAlign w:val="top"/>
                </w:tcPr>
                <w:p w14:paraId="5EB12130">
                  <w:pPr>
                    <w:spacing w:line="298" w:lineRule="auto"/>
                    <w:rPr>
                      <w:rFonts w:ascii="Arial"/>
                      <w:sz w:val="21"/>
                    </w:rPr>
                  </w:pPr>
                </w:p>
                <w:p w14:paraId="3BEBE137">
                  <w:pPr>
                    <w:spacing w:line="298" w:lineRule="auto"/>
                    <w:rPr>
                      <w:rFonts w:ascii="Arial"/>
                      <w:sz w:val="21"/>
                    </w:rPr>
                  </w:pPr>
                </w:p>
                <w:p w14:paraId="4C89A6CC">
                  <w:pPr>
                    <w:spacing w:line="299" w:lineRule="auto"/>
                    <w:rPr>
                      <w:rFonts w:ascii="Arial"/>
                      <w:sz w:val="21"/>
                    </w:rPr>
                  </w:pPr>
                </w:p>
                <w:p w14:paraId="01C028D3">
                  <w:pPr>
                    <w:pStyle w:val="6"/>
                    <w:spacing w:before="59" w:line="234" w:lineRule="auto"/>
                    <w:ind w:left="34" w:right="39" w:firstLine="7"/>
                    <w:jc w:val="both"/>
                    <w:rPr>
                      <w:sz w:val="18"/>
                      <w:szCs w:val="18"/>
                    </w:rPr>
                  </w:pPr>
                  <w:r>
                    <w:rPr>
                      <w:spacing w:val="21"/>
                      <w:sz w:val="18"/>
                      <w:szCs w:val="18"/>
                    </w:rPr>
                    <w:t>本项目建设的备用</w:t>
                  </w:r>
                  <w:r>
                    <w:rPr>
                      <w:spacing w:val="3"/>
                      <w:sz w:val="18"/>
                      <w:szCs w:val="18"/>
                    </w:rPr>
                    <w:t xml:space="preserve"> </w:t>
                  </w:r>
                  <w:r>
                    <w:rPr>
                      <w:spacing w:val="-3"/>
                      <w:sz w:val="18"/>
                      <w:szCs w:val="18"/>
                    </w:rPr>
                    <w:t>蒸汽锅炉，为</w:t>
                  </w:r>
                  <w:r>
                    <w:rPr>
                      <w:spacing w:val="-31"/>
                      <w:sz w:val="18"/>
                      <w:szCs w:val="18"/>
                    </w:rPr>
                    <w:t xml:space="preserve"> </w:t>
                  </w:r>
                  <w:r>
                    <w:rPr>
                      <w:rFonts w:ascii="Times New Roman" w:hAnsi="Times New Roman" w:eastAsia="Times New Roman" w:cs="Times New Roman"/>
                      <w:spacing w:val="-3"/>
                      <w:sz w:val="18"/>
                      <w:szCs w:val="18"/>
                    </w:rPr>
                    <w:t>8</w:t>
                  </w:r>
                  <w:r>
                    <w:rPr>
                      <w:rFonts w:ascii="Times New Roman" w:hAnsi="Times New Roman" w:eastAsia="Times New Roman" w:cs="Times New Roman"/>
                      <w:spacing w:val="11"/>
                      <w:w w:val="101"/>
                      <w:sz w:val="18"/>
                      <w:szCs w:val="18"/>
                    </w:rPr>
                    <w:t xml:space="preserve"> </w:t>
                  </w:r>
                  <w:r>
                    <w:rPr>
                      <w:spacing w:val="-3"/>
                      <w:sz w:val="18"/>
                      <w:szCs w:val="18"/>
                    </w:rPr>
                    <w:t>蒸吨</w:t>
                  </w:r>
                  <w:r>
                    <w:rPr>
                      <w:sz w:val="18"/>
                      <w:szCs w:val="18"/>
                    </w:rPr>
                    <w:t xml:space="preserve"> </w:t>
                  </w:r>
                  <w:r>
                    <w:rPr>
                      <w:rFonts w:ascii="Times New Roman" w:hAnsi="Times New Roman" w:eastAsia="Times New Roman" w:cs="Times New Roman"/>
                      <w:spacing w:val="-1"/>
                      <w:sz w:val="18"/>
                      <w:szCs w:val="18"/>
                    </w:rPr>
                    <w:t xml:space="preserve">/h </w:t>
                  </w:r>
                  <w:r>
                    <w:rPr>
                      <w:spacing w:val="-1"/>
                      <w:sz w:val="18"/>
                      <w:szCs w:val="18"/>
                    </w:rPr>
                    <w:t>燃气锅炉，不涉及</w:t>
                  </w:r>
                  <w:r>
                    <w:rPr>
                      <w:spacing w:val="4"/>
                      <w:sz w:val="18"/>
                      <w:szCs w:val="18"/>
                    </w:rPr>
                    <w:t xml:space="preserve"> </w:t>
                  </w:r>
                  <w:r>
                    <w:rPr>
                      <w:spacing w:val="-1"/>
                      <w:sz w:val="18"/>
                      <w:szCs w:val="18"/>
                    </w:rPr>
                    <w:t>燃煤锅炉的建设。</w:t>
                  </w:r>
                </w:p>
              </w:tc>
              <w:tc>
                <w:tcPr>
                  <w:tcW w:w="695" w:type="dxa"/>
                  <w:vAlign w:val="top"/>
                </w:tcPr>
                <w:p w14:paraId="79AE478B">
                  <w:pPr>
                    <w:spacing w:line="248" w:lineRule="auto"/>
                    <w:rPr>
                      <w:rFonts w:ascii="Arial"/>
                      <w:sz w:val="21"/>
                    </w:rPr>
                  </w:pPr>
                </w:p>
                <w:p w14:paraId="26A623A3">
                  <w:pPr>
                    <w:spacing w:line="248" w:lineRule="auto"/>
                    <w:rPr>
                      <w:rFonts w:ascii="Arial"/>
                      <w:sz w:val="21"/>
                    </w:rPr>
                  </w:pPr>
                </w:p>
                <w:p w14:paraId="7B1E9371">
                  <w:pPr>
                    <w:spacing w:line="248" w:lineRule="auto"/>
                    <w:rPr>
                      <w:rFonts w:ascii="Arial"/>
                      <w:sz w:val="21"/>
                    </w:rPr>
                  </w:pPr>
                </w:p>
                <w:p w14:paraId="7306E5CD">
                  <w:pPr>
                    <w:spacing w:line="249" w:lineRule="auto"/>
                    <w:rPr>
                      <w:rFonts w:ascii="Arial"/>
                      <w:sz w:val="21"/>
                    </w:rPr>
                  </w:pPr>
                </w:p>
                <w:p w14:paraId="5AE40121">
                  <w:pPr>
                    <w:spacing w:line="249" w:lineRule="auto"/>
                    <w:rPr>
                      <w:rFonts w:ascii="Arial"/>
                      <w:sz w:val="21"/>
                    </w:rPr>
                  </w:pPr>
                </w:p>
                <w:p w14:paraId="64368616">
                  <w:pPr>
                    <w:pStyle w:val="6"/>
                    <w:spacing w:before="58" w:line="219" w:lineRule="auto"/>
                    <w:ind w:left="170"/>
                    <w:rPr>
                      <w:sz w:val="18"/>
                      <w:szCs w:val="18"/>
                    </w:rPr>
                  </w:pPr>
                  <w:r>
                    <w:rPr>
                      <w:spacing w:val="-5"/>
                      <w:sz w:val="18"/>
                      <w:szCs w:val="18"/>
                    </w:rPr>
                    <w:t>符合</w:t>
                  </w:r>
                </w:p>
              </w:tc>
            </w:tr>
            <w:tr w14:paraId="7DD9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363" w:type="dxa"/>
                  <w:vMerge w:val="continue"/>
                  <w:tcBorders>
                    <w:top w:val="nil"/>
                    <w:bottom w:val="nil"/>
                  </w:tcBorders>
                  <w:vAlign w:val="top"/>
                </w:tcPr>
                <w:p w14:paraId="6B39BE34">
                  <w:pPr>
                    <w:rPr>
                      <w:rFonts w:ascii="Arial"/>
                      <w:sz w:val="21"/>
                    </w:rPr>
                  </w:pPr>
                </w:p>
              </w:tc>
              <w:tc>
                <w:tcPr>
                  <w:tcW w:w="2966" w:type="dxa"/>
                  <w:tcBorders>
                    <w:bottom w:val="nil"/>
                  </w:tcBorders>
                  <w:vAlign w:val="top"/>
                </w:tcPr>
                <w:p w14:paraId="434A5942">
                  <w:pPr>
                    <w:pStyle w:val="6"/>
                    <w:spacing w:before="27" w:line="229" w:lineRule="auto"/>
                    <w:ind w:left="42" w:firstLine="5"/>
                    <w:jc w:val="both"/>
                    <w:rPr>
                      <w:sz w:val="18"/>
                      <w:szCs w:val="18"/>
                    </w:rPr>
                  </w:pPr>
                  <w:r>
                    <w:rPr>
                      <w:spacing w:val="-2"/>
                      <w:sz w:val="18"/>
                      <w:szCs w:val="18"/>
                    </w:rPr>
                    <w:t>（十四）扩大城市高污染燃料禁燃区</w:t>
                  </w:r>
                  <w:r>
                    <w:rPr>
                      <w:spacing w:val="6"/>
                      <w:sz w:val="18"/>
                      <w:szCs w:val="18"/>
                    </w:rPr>
                    <w:t xml:space="preserve"> </w:t>
                  </w:r>
                  <w:r>
                    <w:rPr>
                      <w:spacing w:val="-9"/>
                      <w:sz w:val="18"/>
                      <w:szCs w:val="18"/>
                    </w:rPr>
                    <w:t>范围，逐步由城市建成区扩展到近郊。</w:t>
                  </w:r>
                  <w:r>
                    <w:rPr>
                      <w:spacing w:val="10"/>
                      <w:sz w:val="18"/>
                      <w:szCs w:val="18"/>
                    </w:rPr>
                    <w:t xml:space="preserve"> </w:t>
                  </w:r>
                  <w:r>
                    <w:rPr>
                      <w:spacing w:val="-2"/>
                      <w:sz w:val="18"/>
                      <w:szCs w:val="18"/>
                    </w:rPr>
                    <w:t>结合城中村、城乡</w:t>
                  </w:r>
                  <w:r>
                    <w:rPr>
                      <w:rFonts w:hint="eastAsia"/>
                      <w:spacing w:val="-2"/>
                      <w:sz w:val="18"/>
                      <w:szCs w:val="18"/>
                      <w:lang w:val="en-US" w:eastAsia="zh-CN"/>
                    </w:rPr>
                    <w:t>接</w:t>
                  </w:r>
                  <w:r>
                    <w:rPr>
                      <w:spacing w:val="-2"/>
                      <w:sz w:val="18"/>
                      <w:szCs w:val="18"/>
                    </w:rPr>
                    <w:t>合部、棚户区改</w:t>
                  </w:r>
                </w:p>
              </w:tc>
              <w:tc>
                <w:tcPr>
                  <w:tcW w:w="1699" w:type="dxa"/>
                  <w:tcBorders>
                    <w:bottom w:val="nil"/>
                  </w:tcBorders>
                  <w:vAlign w:val="top"/>
                </w:tcPr>
                <w:p w14:paraId="34C9595F">
                  <w:pPr>
                    <w:pStyle w:val="6"/>
                    <w:spacing w:before="27" w:line="229" w:lineRule="auto"/>
                    <w:ind w:left="34" w:right="39" w:firstLine="7"/>
                    <w:jc w:val="both"/>
                    <w:rPr>
                      <w:sz w:val="18"/>
                      <w:szCs w:val="18"/>
                    </w:rPr>
                  </w:pPr>
                  <w:r>
                    <w:rPr>
                      <w:spacing w:val="21"/>
                      <w:sz w:val="18"/>
                      <w:szCs w:val="18"/>
                    </w:rPr>
                    <w:t>本项目建设的备用</w:t>
                  </w:r>
                  <w:r>
                    <w:rPr>
                      <w:spacing w:val="3"/>
                      <w:sz w:val="18"/>
                      <w:szCs w:val="18"/>
                    </w:rPr>
                    <w:t xml:space="preserve"> </w:t>
                  </w:r>
                  <w:r>
                    <w:rPr>
                      <w:spacing w:val="-3"/>
                      <w:sz w:val="18"/>
                      <w:szCs w:val="18"/>
                    </w:rPr>
                    <w:t>蒸汽锅炉，为</w:t>
                  </w:r>
                  <w:r>
                    <w:rPr>
                      <w:spacing w:val="-31"/>
                      <w:sz w:val="18"/>
                      <w:szCs w:val="18"/>
                    </w:rPr>
                    <w:t xml:space="preserve"> </w:t>
                  </w:r>
                  <w:r>
                    <w:rPr>
                      <w:rFonts w:ascii="Times New Roman" w:hAnsi="Times New Roman" w:eastAsia="Times New Roman" w:cs="Times New Roman"/>
                      <w:spacing w:val="-3"/>
                      <w:sz w:val="18"/>
                      <w:szCs w:val="18"/>
                    </w:rPr>
                    <w:t>8</w:t>
                  </w:r>
                  <w:r>
                    <w:rPr>
                      <w:rFonts w:ascii="Times New Roman" w:hAnsi="Times New Roman" w:eastAsia="Times New Roman" w:cs="Times New Roman"/>
                      <w:spacing w:val="11"/>
                      <w:w w:val="101"/>
                      <w:sz w:val="18"/>
                      <w:szCs w:val="18"/>
                    </w:rPr>
                    <w:t xml:space="preserve"> </w:t>
                  </w:r>
                  <w:r>
                    <w:rPr>
                      <w:spacing w:val="-3"/>
                      <w:sz w:val="18"/>
                      <w:szCs w:val="18"/>
                    </w:rPr>
                    <w:t>蒸吨</w:t>
                  </w:r>
                  <w:r>
                    <w:rPr>
                      <w:sz w:val="18"/>
                      <w:szCs w:val="18"/>
                    </w:rPr>
                    <w:t xml:space="preserve"> </w:t>
                  </w:r>
                  <w:r>
                    <w:rPr>
                      <w:rFonts w:ascii="Times New Roman" w:hAnsi="Times New Roman" w:eastAsia="Times New Roman" w:cs="Times New Roman"/>
                      <w:spacing w:val="-1"/>
                      <w:sz w:val="18"/>
                      <w:szCs w:val="18"/>
                    </w:rPr>
                    <w:t xml:space="preserve">/h </w:t>
                  </w:r>
                  <w:r>
                    <w:rPr>
                      <w:spacing w:val="-1"/>
                      <w:sz w:val="18"/>
                      <w:szCs w:val="18"/>
                    </w:rPr>
                    <w:t>燃气锅炉，不涉及</w:t>
                  </w:r>
                </w:p>
              </w:tc>
              <w:tc>
                <w:tcPr>
                  <w:tcW w:w="695" w:type="dxa"/>
                  <w:tcBorders>
                    <w:bottom w:val="nil"/>
                  </w:tcBorders>
                  <w:vAlign w:val="top"/>
                </w:tcPr>
                <w:p w14:paraId="0A347D34">
                  <w:pPr>
                    <w:rPr>
                      <w:rFonts w:ascii="Arial"/>
                      <w:sz w:val="21"/>
                    </w:rPr>
                  </w:pPr>
                </w:p>
              </w:tc>
            </w:tr>
          </w:tbl>
          <w:p w14:paraId="26D2B354">
            <w:pPr>
              <w:spacing w:line="14" w:lineRule="auto"/>
              <w:rPr>
                <w:rFonts w:ascii="Arial"/>
                <w:sz w:val="2"/>
              </w:rPr>
            </w:pPr>
          </w:p>
        </w:tc>
      </w:tr>
    </w:tbl>
    <w:p w14:paraId="2F38A319">
      <w:pPr>
        <w:pStyle w:val="2"/>
      </w:pPr>
    </w:p>
    <w:p w14:paraId="7D70F8A3">
      <w:pPr>
        <w:sectPr>
          <w:footerReference r:id="rId24" w:type="default"/>
          <w:pgSz w:w="11906" w:h="16839"/>
          <w:pgMar w:top="1431" w:right="1543" w:bottom="1260" w:left="1537" w:header="0" w:footer="1080" w:gutter="0"/>
          <w:cols w:space="720" w:num="1"/>
        </w:sectPr>
      </w:pPr>
    </w:p>
    <w:p w14:paraId="300E8679">
      <w:pPr>
        <w:spacing w:before="28"/>
      </w:pPr>
      <w:r>
        <w:drawing>
          <wp:anchor distT="0" distB="0" distL="0" distR="0" simplePos="0" relativeHeight="251678720" behindDoc="0" locked="0" layoutInCell="0" allowOverlap="1">
            <wp:simplePos x="0" y="0"/>
            <wp:positionH relativeFrom="page">
              <wp:posOffset>6489700</wp:posOffset>
            </wp:positionH>
            <wp:positionV relativeFrom="page">
              <wp:posOffset>1092200</wp:posOffset>
            </wp:positionV>
            <wp:extent cx="6350" cy="838390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0"/>
                    <a:stretch>
                      <a:fillRect/>
                    </a:stretch>
                  </pic:blipFill>
                  <pic:spPr>
                    <a:xfrm>
                      <a:off x="0" y="0"/>
                      <a:ext cx="6350" cy="8383904"/>
                    </a:xfrm>
                    <a:prstGeom prst="rect">
                      <a:avLst/>
                    </a:prstGeom>
                  </pic:spPr>
                </pic:pic>
              </a:graphicData>
            </a:graphic>
          </wp:anchor>
        </w:drawing>
      </w:r>
      <w:r>
        <w:pict>
          <v:shape id="_x0000_s1032" o:spid="_x0000_s1032" style="position:absolute;left:0pt;margin-left:175.05pt;margin-top:745.7pt;height:0.5pt;width:336.45pt;mso-position-horizontal-relative:page;mso-position-vertical-relative:page;z-index:-251639808;mso-width-relative:page;mso-height-relative:page;" filled="f" stroked="t" coordsize="6729,10" o:allowincell="f" path="m0,4l6728,4e">
            <v:fill on="f" focussize="0,0"/>
            <v:stroke weight="0.48pt" color="#000000" miterlimit="2" joinstyle="bevel"/>
            <v:imagedata o:title=""/>
            <o:lock v:ext="edit"/>
          </v:shape>
        </w:pict>
      </w: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358"/>
        <w:gridCol w:w="2966"/>
        <w:gridCol w:w="1700"/>
        <w:gridCol w:w="828"/>
      </w:tblGrid>
      <w:tr w14:paraId="52E83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962" w:type="dxa"/>
            <w:vMerge w:val="restart"/>
            <w:tcBorders>
              <w:bottom w:val="nil"/>
            </w:tcBorders>
            <w:vAlign w:val="top"/>
          </w:tcPr>
          <w:p w14:paraId="5CC57A32">
            <w:pPr>
              <w:rPr>
                <w:rFonts w:ascii="Arial"/>
                <w:sz w:val="21"/>
              </w:rPr>
            </w:pPr>
            <w:r>
              <w:pict>
                <v:shape id="_x0000_s1033" o:spid="_x0000_s1033" style="position:absolute;left:0pt;margin-left:91.2pt;margin-top:0pt;height:661.2pt;width:0.5pt;mso-position-horizontal-relative:page;mso-position-vertical-relative:page;z-index:251677696;mso-width-relative:page;mso-height-relative:page;" filled="f" stroked="t" coordsize="10,13224" path="m4,0l4,13223e">
                  <v:fill on="f" focussize="0,0"/>
                  <v:stroke weight="0.48pt" color="#000000" miterlimit="2" joinstyle="bevel"/>
                  <v:imagedata o:title=""/>
                  <o:lock v:ext="edit"/>
                </v:shape>
              </w:pict>
            </w:r>
          </w:p>
        </w:tc>
        <w:tc>
          <w:tcPr>
            <w:tcW w:w="1358" w:type="dxa"/>
            <w:vAlign w:val="top"/>
          </w:tcPr>
          <w:p w14:paraId="47C908C4">
            <w:pPr>
              <w:rPr>
                <w:rFonts w:ascii="Arial"/>
                <w:sz w:val="21"/>
              </w:rPr>
            </w:pPr>
          </w:p>
        </w:tc>
        <w:tc>
          <w:tcPr>
            <w:tcW w:w="2966" w:type="dxa"/>
            <w:vAlign w:val="top"/>
          </w:tcPr>
          <w:p w14:paraId="78B90AB1">
            <w:pPr>
              <w:pStyle w:val="6"/>
              <w:spacing w:before="40" w:line="233" w:lineRule="auto"/>
              <w:ind w:left="38" w:right="43"/>
              <w:rPr>
                <w:sz w:val="18"/>
                <w:szCs w:val="18"/>
              </w:rPr>
            </w:pPr>
            <w:r>
              <w:rPr>
                <w:spacing w:val="-1"/>
                <w:sz w:val="18"/>
                <w:szCs w:val="18"/>
              </w:rPr>
              <w:t>造，通过政策补偿和实施峰谷电价、</w:t>
            </w:r>
            <w:r>
              <w:rPr>
                <w:spacing w:val="13"/>
                <w:sz w:val="18"/>
                <w:szCs w:val="18"/>
              </w:rPr>
              <w:t xml:space="preserve"> </w:t>
            </w:r>
            <w:r>
              <w:rPr>
                <w:spacing w:val="-1"/>
                <w:sz w:val="18"/>
                <w:szCs w:val="18"/>
              </w:rPr>
              <w:t>季节性电价、阶梯电价、调峰电价等</w:t>
            </w:r>
            <w:r>
              <w:rPr>
                <w:spacing w:val="14"/>
                <w:sz w:val="18"/>
                <w:szCs w:val="18"/>
              </w:rPr>
              <w:t xml:space="preserve"> </w:t>
            </w:r>
            <w:r>
              <w:rPr>
                <w:spacing w:val="-1"/>
                <w:sz w:val="18"/>
                <w:szCs w:val="18"/>
              </w:rPr>
              <w:t>措施，逐步推行以天然气或电替代煤</w:t>
            </w:r>
            <w:r>
              <w:rPr>
                <w:spacing w:val="14"/>
                <w:sz w:val="18"/>
                <w:szCs w:val="18"/>
              </w:rPr>
              <w:t xml:space="preserve"> </w:t>
            </w:r>
            <w:r>
              <w:rPr>
                <w:spacing w:val="-1"/>
                <w:sz w:val="18"/>
                <w:szCs w:val="18"/>
              </w:rPr>
              <w:t>炭。鼓励北方农村地区建设洁净煤配</w:t>
            </w:r>
            <w:r>
              <w:rPr>
                <w:spacing w:val="14"/>
                <w:sz w:val="18"/>
                <w:szCs w:val="18"/>
              </w:rPr>
              <w:t xml:space="preserve"> </w:t>
            </w:r>
            <w:r>
              <w:rPr>
                <w:spacing w:val="-1"/>
                <w:sz w:val="18"/>
                <w:szCs w:val="18"/>
              </w:rPr>
              <w:t>送中心，推广使用洁净煤和型煤。</w:t>
            </w:r>
          </w:p>
        </w:tc>
        <w:tc>
          <w:tcPr>
            <w:tcW w:w="1700" w:type="dxa"/>
            <w:vAlign w:val="top"/>
          </w:tcPr>
          <w:p w14:paraId="355338B5">
            <w:pPr>
              <w:pStyle w:val="6"/>
              <w:spacing w:before="41" w:line="220" w:lineRule="auto"/>
              <w:ind w:left="43"/>
              <w:rPr>
                <w:sz w:val="18"/>
                <w:szCs w:val="18"/>
              </w:rPr>
            </w:pPr>
            <w:r>
              <w:rPr>
                <w:spacing w:val="-1"/>
                <w:sz w:val="18"/>
                <w:szCs w:val="18"/>
              </w:rPr>
              <w:t>燃煤锅炉的建设。</w:t>
            </w:r>
          </w:p>
        </w:tc>
        <w:tc>
          <w:tcPr>
            <w:tcW w:w="828" w:type="dxa"/>
            <w:vAlign w:val="top"/>
          </w:tcPr>
          <w:p w14:paraId="50844EA1">
            <w:pPr>
              <w:rPr>
                <w:rFonts w:ascii="Arial"/>
                <w:sz w:val="21"/>
              </w:rPr>
            </w:pPr>
          </w:p>
        </w:tc>
      </w:tr>
      <w:tr w14:paraId="0BCF6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962" w:type="dxa"/>
            <w:vMerge w:val="continue"/>
            <w:tcBorders>
              <w:top w:val="nil"/>
              <w:bottom w:val="nil"/>
            </w:tcBorders>
            <w:vAlign w:val="top"/>
          </w:tcPr>
          <w:p w14:paraId="610E5D71">
            <w:pPr>
              <w:rPr>
                <w:rFonts w:ascii="Arial"/>
                <w:sz w:val="21"/>
              </w:rPr>
            </w:pPr>
          </w:p>
        </w:tc>
        <w:tc>
          <w:tcPr>
            <w:tcW w:w="1358" w:type="dxa"/>
            <w:vAlign w:val="top"/>
          </w:tcPr>
          <w:p w14:paraId="0C2183E7">
            <w:pPr>
              <w:spacing w:line="433" w:lineRule="auto"/>
              <w:rPr>
                <w:rFonts w:ascii="Arial"/>
                <w:sz w:val="21"/>
              </w:rPr>
            </w:pPr>
          </w:p>
          <w:p w14:paraId="424DD29B">
            <w:pPr>
              <w:pStyle w:val="6"/>
              <w:spacing w:before="59" w:line="232" w:lineRule="auto"/>
              <w:ind w:left="70" w:right="51" w:hanging="16"/>
              <w:rPr>
                <w:sz w:val="18"/>
                <w:szCs w:val="18"/>
              </w:rPr>
            </w:pPr>
            <w:r>
              <w:rPr>
                <w:spacing w:val="-2"/>
                <w:sz w:val="18"/>
                <w:szCs w:val="18"/>
              </w:rPr>
              <w:t>《中华人民共和</w:t>
            </w:r>
            <w:r>
              <w:rPr>
                <w:sz w:val="18"/>
                <w:szCs w:val="18"/>
              </w:rPr>
              <w:t xml:space="preserve"> </w:t>
            </w:r>
            <w:r>
              <w:rPr>
                <w:spacing w:val="9"/>
                <w:sz w:val="18"/>
                <w:szCs w:val="18"/>
              </w:rPr>
              <w:t>国水污染防治</w:t>
            </w:r>
            <w:r>
              <w:rPr>
                <w:spacing w:val="2"/>
                <w:sz w:val="18"/>
                <w:szCs w:val="18"/>
              </w:rPr>
              <w:t xml:space="preserve">  </w:t>
            </w:r>
            <w:r>
              <w:rPr>
                <w:spacing w:val="-12"/>
                <w:sz w:val="18"/>
                <w:szCs w:val="18"/>
              </w:rPr>
              <w:t>法》（2017</w:t>
            </w:r>
            <w:r>
              <w:rPr>
                <w:spacing w:val="-37"/>
                <w:sz w:val="18"/>
                <w:szCs w:val="18"/>
              </w:rPr>
              <w:t xml:space="preserve"> </w:t>
            </w:r>
            <w:r>
              <w:rPr>
                <w:spacing w:val="-12"/>
                <w:sz w:val="18"/>
                <w:szCs w:val="18"/>
              </w:rPr>
              <w:t>年修</w:t>
            </w:r>
          </w:p>
          <w:p w14:paraId="52C3F2DF">
            <w:pPr>
              <w:pStyle w:val="6"/>
              <w:spacing w:before="20" w:line="232" w:lineRule="auto"/>
              <w:ind w:left="501"/>
              <w:rPr>
                <w:sz w:val="18"/>
                <w:szCs w:val="18"/>
              </w:rPr>
            </w:pPr>
            <w:r>
              <w:rPr>
                <w:spacing w:val="-6"/>
                <w:sz w:val="18"/>
                <w:szCs w:val="18"/>
              </w:rPr>
              <w:t>正）</w:t>
            </w:r>
          </w:p>
        </w:tc>
        <w:tc>
          <w:tcPr>
            <w:tcW w:w="2966" w:type="dxa"/>
            <w:vAlign w:val="top"/>
          </w:tcPr>
          <w:p w14:paraId="2D0333D4">
            <w:pPr>
              <w:pStyle w:val="6"/>
              <w:spacing w:before="28" w:line="235" w:lineRule="auto"/>
              <w:ind w:left="38" w:right="41"/>
              <w:jc w:val="both"/>
              <w:rPr>
                <w:sz w:val="18"/>
                <w:szCs w:val="18"/>
              </w:rPr>
            </w:pPr>
            <w:r>
              <w:rPr>
                <w:spacing w:val="-1"/>
                <w:sz w:val="18"/>
                <w:szCs w:val="18"/>
              </w:rPr>
              <w:t>排放工业废水的企业应当采取有效措</w:t>
            </w:r>
            <w:r>
              <w:rPr>
                <w:spacing w:val="12"/>
                <w:sz w:val="18"/>
                <w:szCs w:val="18"/>
              </w:rPr>
              <w:t xml:space="preserve"> </w:t>
            </w:r>
            <w:r>
              <w:rPr>
                <w:spacing w:val="-6"/>
                <w:sz w:val="18"/>
                <w:szCs w:val="18"/>
              </w:rPr>
              <w:t>施,收集和处理产生的全部废水，防止</w:t>
            </w:r>
            <w:r>
              <w:rPr>
                <w:spacing w:val="11"/>
                <w:sz w:val="18"/>
                <w:szCs w:val="18"/>
              </w:rPr>
              <w:t xml:space="preserve"> </w:t>
            </w:r>
            <w:r>
              <w:rPr>
                <w:spacing w:val="-1"/>
                <w:sz w:val="18"/>
                <w:szCs w:val="18"/>
              </w:rPr>
              <w:t>污染环境。含有毒有害水污染物的工</w:t>
            </w:r>
            <w:r>
              <w:rPr>
                <w:spacing w:val="13"/>
                <w:sz w:val="18"/>
                <w:szCs w:val="18"/>
              </w:rPr>
              <w:t xml:space="preserve"> </w:t>
            </w:r>
            <w:r>
              <w:rPr>
                <w:spacing w:val="-1"/>
                <w:sz w:val="18"/>
                <w:szCs w:val="18"/>
              </w:rPr>
              <w:t>业废水应当分类收集和处理，不得稀</w:t>
            </w:r>
            <w:r>
              <w:rPr>
                <w:spacing w:val="13"/>
                <w:sz w:val="18"/>
                <w:szCs w:val="18"/>
              </w:rPr>
              <w:t xml:space="preserve"> </w:t>
            </w:r>
            <w:r>
              <w:rPr>
                <w:spacing w:val="-1"/>
                <w:sz w:val="18"/>
                <w:szCs w:val="18"/>
              </w:rPr>
              <w:t>释排放。向污水集中处理设施排放工</w:t>
            </w:r>
            <w:r>
              <w:rPr>
                <w:spacing w:val="13"/>
                <w:sz w:val="18"/>
                <w:szCs w:val="18"/>
              </w:rPr>
              <w:t xml:space="preserve"> </w:t>
            </w:r>
            <w:r>
              <w:rPr>
                <w:spacing w:val="-1"/>
                <w:sz w:val="18"/>
                <w:szCs w:val="18"/>
              </w:rPr>
              <w:t>业废水的，应当按照国家有关规定进</w:t>
            </w:r>
            <w:r>
              <w:rPr>
                <w:spacing w:val="13"/>
                <w:sz w:val="18"/>
                <w:szCs w:val="18"/>
              </w:rPr>
              <w:t xml:space="preserve"> </w:t>
            </w:r>
            <w:r>
              <w:rPr>
                <w:spacing w:val="-1"/>
                <w:sz w:val="18"/>
                <w:szCs w:val="18"/>
              </w:rPr>
              <w:t>行预处理，达到集中处理设施处理工</w:t>
            </w:r>
            <w:r>
              <w:rPr>
                <w:spacing w:val="13"/>
                <w:sz w:val="18"/>
                <w:szCs w:val="18"/>
              </w:rPr>
              <w:t xml:space="preserve"> </w:t>
            </w:r>
            <w:r>
              <w:rPr>
                <w:spacing w:val="-1"/>
                <w:sz w:val="18"/>
                <w:szCs w:val="18"/>
              </w:rPr>
              <w:t>艺要求后方可排放。</w:t>
            </w:r>
          </w:p>
        </w:tc>
        <w:tc>
          <w:tcPr>
            <w:tcW w:w="1700" w:type="dxa"/>
            <w:vAlign w:val="top"/>
          </w:tcPr>
          <w:p w14:paraId="4A0F3717">
            <w:pPr>
              <w:pStyle w:val="6"/>
              <w:spacing w:before="261" w:line="236" w:lineRule="auto"/>
              <w:ind w:left="41" w:right="39" w:firstLine="3"/>
              <w:jc w:val="both"/>
              <w:rPr>
                <w:sz w:val="18"/>
                <w:szCs w:val="18"/>
              </w:rPr>
            </w:pPr>
            <w:r>
              <w:rPr>
                <w:spacing w:val="12"/>
                <w:sz w:val="18"/>
                <w:szCs w:val="18"/>
              </w:rPr>
              <w:t>项</w:t>
            </w:r>
            <w:r>
              <w:rPr>
                <w:spacing w:val="-20"/>
                <w:sz w:val="18"/>
                <w:szCs w:val="18"/>
              </w:rPr>
              <w:t xml:space="preserve"> </w:t>
            </w:r>
            <w:r>
              <w:rPr>
                <w:spacing w:val="12"/>
                <w:sz w:val="18"/>
                <w:szCs w:val="18"/>
              </w:rPr>
              <w:t>目生产废水经处</w:t>
            </w:r>
            <w:r>
              <w:rPr>
                <w:sz w:val="18"/>
                <w:szCs w:val="18"/>
              </w:rPr>
              <w:t xml:space="preserve"> </w:t>
            </w:r>
            <w:r>
              <w:rPr>
                <w:spacing w:val="21"/>
                <w:sz w:val="18"/>
                <w:szCs w:val="18"/>
              </w:rPr>
              <w:t>理后循环回用不外</w:t>
            </w:r>
            <w:r>
              <w:rPr>
                <w:spacing w:val="4"/>
                <w:sz w:val="18"/>
                <w:szCs w:val="18"/>
              </w:rPr>
              <w:t xml:space="preserve"> </w:t>
            </w:r>
            <w:r>
              <w:rPr>
                <w:spacing w:val="-1"/>
                <w:sz w:val="18"/>
                <w:szCs w:val="18"/>
              </w:rPr>
              <w:t>排。生活污水定期拉</w:t>
            </w:r>
            <w:r>
              <w:rPr>
                <w:spacing w:val="1"/>
                <w:sz w:val="18"/>
                <w:szCs w:val="18"/>
              </w:rPr>
              <w:t xml:space="preserve"> </w:t>
            </w:r>
            <w:r>
              <w:rPr>
                <w:spacing w:val="21"/>
                <w:sz w:val="18"/>
                <w:szCs w:val="18"/>
              </w:rPr>
              <w:t>运进入东岳场镇污</w:t>
            </w:r>
            <w:r>
              <w:rPr>
                <w:spacing w:val="4"/>
                <w:sz w:val="18"/>
                <w:szCs w:val="18"/>
              </w:rPr>
              <w:t xml:space="preserve"> </w:t>
            </w:r>
            <w:r>
              <w:rPr>
                <w:spacing w:val="-1"/>
                <w:sz w:val="18"/>
                <w:szCs w:val="18"/>
              </w:rPr>
              <w:t>水处理厂处理，实现</w:t>
            </w:r>
            <w:r>
              <w:rPr>
                <w:spacing w:val="1"/>
                <w:sz w:val="18"/>
                <w:szCs w:val="18"/>
              </w:rPr>
              <w:t xml:space="preserve"> </w:t>
            </w:r>
            <w:r>
              <w:rPr>
                <w:spacing w:val="-2"/>
                <w:sz w:val="18"/>
                <w:szCs w:val="18"/>
              </w:rPr>
              <w:t>达标排放</w:t>
            </w:r>
          </w:p>
        </w:tc>
        <w:tc>
          <w:tcPr>
            <w:tcW w:w="828" w:type="dxa"/>
            <w:vAlign w:val="top"/>
          </w:tcPr>
          <w:p w14:paraId="6197AC0E">
            <w:pPr>
              <w:spacing w:line="260" w:lineRule="auto"/>
              <w:rPr>
                <w:rFonts w:ascii="Arial"/>
                <w:sz w:val="21"/>
              </w:rPr>
            </w:pPr>
          </w:p>
          <w:p w14:paraId="0037E40F">
            <w:pPr>
              <w:spacing w:line="260" w:lineRule="auto"/>
              <w:rPr>
                <w:rFonts w:ascii="Arial"/>
                <w:sz w:val="21"/>
              </w:rPr>
            </w:pPr>
          </w:p>
          <w:p w14:paraId="502D53B0">
            <w:pPr>
              <w:spacing w:line="261" w:lineRule="auto"/>
              <w:rPr>
                <w:rFonts w:ascii="Arial"/>
                <w:sz w:val="21"/>
              </w:rPr>
            </w:pPr>
          </w:p>
          <w:p w14:paraId="1B2BB24E">
            <w:pPr>
              <w:pStyle w:val="6"/>
              <w:spacing w:before="59" w:line="219" w:lineRule="auto"/>
              <w:ind w:left="170"/>
              <w:rPr>
                <w:sz w:val="18"/>
                <w:szCs w:val="18"/>
              </w:rPr>
            </w:pPr>
            <w:r>
              <w:rPr>
                <w:spacing w:val="-5"/>
                <w:sz w:val="18"/>
                <w:szCs w:val="18"/>
              </w:rPr>
              <w:t>符合</w:t>
            </w:r>
          </w:p>
        </w:tc>
      </w:tr>
      <w:tr w14:paraId="6E92B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962" w:type="dxa"/>
            <w:vMerge w:val="continue"/>
            <w:tcBorders>
              <w:top w:val="nil"/>
              <w:bottom w:val="nil"/>
            </w:tcBorders>
            <w:vAlign w:val="top"/>
          </w:tcPr>
          <w:p w14:paraId="43A43BA0">
            <w:pPr>
              <w:rPr>
                <w:rFonts w:ascii="Arial"/>
                <w:sz w:val="21"/>
              </w:rPr>
            </w:pPr>
          </w:p>
        </w:tc>
        <w:tc>
          <w:tcPr>
            <w:tcW w:w="1358" w:type="dxa"/>
            <w:vAlign w:val="top"/>
          </w:tcPr>
          <w:p w14:paraId="36007475">
            <w:pPr>
              <w:spacing w:line="432" w:lineRule="auto"/>
              <w:rPr>
                <w:rFonts w:ascii="Arial"/>
                <w:sz w:val="21"/>
              </w:rPr>
            </w:pPr>
          </w:p>
          <w:p w14:paraId="72F345F0">
            <w:pPr>
              <w:pStyle w:val="6"/>
              <w:spacing w:before="58" w:line="235" w:lineRule="auto"/>
              <w:ind w:left="39" w:right="44" w:firstLine="5"/>
              <w:jc w:val="both"/>
              <w:rPr>
                <w:sz w:val="18"/>
                <w:szCs w:val="18"/>
              </w:rPr>
            </w:pPr>
            <w:r>
              <w:rPr>
                <w:spacing w:val="-4"/>
                <w:sz w:val="18"/>
                <w:szCs w:val="18"/>
              </w:rPr>
              <w:t>《“十四五”噪</w:t>
            </w:r>
            <w:r>
              <w:rPr>
                <w:sz w:val="18"/>
                <w:szCs w:val="18"/>
              </w:rPr>
              <w:t xml:space="preserve"> </w:t>
            </w:r>
            <w:r>
              <w:rPr>
                <w:spacing w:val="1"/>
                <w:sz w:val="18"/>
                <w:szCs w:val="18"/>
              </w:rPr>
              <w:t xml:space="preserve">声污染防治行动 计划》（环大气 </w:t>
            </w:r>
            <w:r>
              <w:rPr>
                <w:spacing w:val="-3"/>
                <w:sz w:val="18"/>
                <w:szCs w:val="18"/>
              </w:rPr>
              <w:t>[2023]1</w:t>
            </w:r>
            <w:r>
              <w:rPr>
                <w:spacing w:val="-27"/>
                <w:sz w:val="18"/>
                <w:szCs w:val="18"/>
              </w:rPr>
              <w:t xml:space="preserve"> </w:t>
            </w:r>
            <w:r>
              <w:rPr>
                <w:spacing w:val="-3"/>
                <w:sz w:val="18"/>
                <w:szCs w:val="18"/>
              </w:rPr>
              <w:t>号）</w:t>
            </w:r>
          </w:p>
        </w:tc>
        <w:tc>
          <w:tcPr>
            <w:tcW w:w="2966" w:type="dxa"/>
            <w:vAlign w:val="top"/>
          </w:tcPr>
          <w:p w14:paraId="37E0AD85">
            <w:pPr>
              <w:pStyle w:val="6"/>
              <w:spacing w:before="261" w:line="236" w:lineRule="auto"/>
              <w:ind w:left="38" w:right="41" w:firstLine="10"/>
              <w:jc w:val="both"/>
              <w:rPr>
                <w:sz w:val="18"/>
                <w:szCs w:val="18"/>
              </w:rPr>
            </w:pPr>
            <w:r>
              <w:rPr>
                <w:spacing w:val="-8"/>
                <w:sz w:val="18"/>
                <w:szCs w:val="18"/>
              </w:rPr>
              <w:t>（八）严格工业噪声管理</w:t>
            </w:r>
            <w:r>
              <w:rPr>
                <w:spacing w:val="17"/>
                <w:sz w:val="18"/>
                <w:szCs w:val="18"/>
              </w:rPr>
              <w:t xml:space="preserve">  </w:t>
            </w:r>
            <w:r>
              <w:rPr>
                <w:spacing w:val="-8"/>
                <w:sz w:val="18"/>
                <w:szCs w:val="18"/>
              </w:rPr>
              <w:t>11.树立工</w:t>
            </w:r>
            <w:r>
              <w:rPr>
                <w:spacing w:val="1"/>
                <w:sz w:val="18"/>
                <w:szCs w:val="18"/>
              </w:rPr>
              <w:t xml:space="preserve"> </w:t>
            </w:r>
            <w:r>
              <w:rPr>
                <w:spacing w:val="-1"/>
                <w:sz w:val="18"/>
                <w:szCs w:val="18"/>
              </w:rPr>
              <w:t>业噪声污染治理标杆。排放噪声的工</w:t>
            </w:r>
            <w:r>
              <w:rPr>
                <w:spacing w:val="13"/>
                <w:sz w:val="18"/>
                <w:szCs w:val="18"/>
              </w:rPr>
              <w:t xml:space="preserve"> </w:t>
            </w:r>
            <w:r>
              <w:rPr>
                <w:spacing w:val="-1"/>
                <w:sz w:val="18"/>
                <w:szCs w:val="18"/>
              </w:rPr>
              <w:t>业企业应切实采取减振降噪措施，加</w:t>
            </w:r>
            <w:r>
              <w:rPr>
                <w:spacing w:val="13"/>
                <w:sz w:val="18"/>
                <w:szCs w:val="18"/>
              </w:rPr>
              <w:t xml:space="preserve"> </w:t>
            </w:r>
            <w:r>
              <w:rPr>
                <w:spacing w:val="-1"/>
                <w:sz w:val="18"/>
                <w:szCs w:val="18"/>
              </w:rPr>
              <w:t>强厂区内固定设备、运输工具、货物</w:t>
            </w:r>
            <w:r>
              <w:rPr>
                <w:spacing w:val="13"/>
                <w:sz w:val="18"/>
                <w:szCs w:val="18"/>
              </w:rPr>
              <w:t xml:space="preserve"> </w:t>
            </w:r>
            <w:r>
              <w:rPr>
                <w:spacing w:val="-1"/>
                <w:sz w:val="18"/>
                <w:szCs w:val="18"/>
              </w:rPr>
              <w:t>装卸等噪声源管理，同时避免突发噪</w:t>
            </w:r>
            <w:r>
              <w:rPr>
                <w:spacing w:val="13"/>
                <w:sz w:val="18"/>
                <w:szCs w:val="18"/>
              </w:rPr>
              <w:t xml:space="preserve"> </w:t>
            </w:r>
            <w:r>
              <w:rPr>
                <w:spacing w:val="-2"/>
                <w:sz w:val="18"/>
                <w:szCs w:val="18"/>
              </w:rPr>
              <w:t>声扰民。</w:t>
            </w:r>
          </w:p>
        </w:tc>
        <w:tc>
          <w:tcPr>
            <w:tcW w:w="1700" w:type="dxa"/>
            <w:vAlign w:val="top"/>
          </w:tcPr>
          <w:p w14:paraId="690571A8">
            <w:pPr>
              <w:pStyle w:val="6"/>
              <w:spacing w:before="27" w:line="235" w:lineRule="auto"/>
              <w:ind w:left="41" w:firstLine="3"/>
              <w:rPr>
                <w:sz w:val="18"/>
                <w:szCs w:val="18"/>
              </w:rPr>
            </w:pPr>
            <w:r>
              <w:rPr>
                <w:spacing w:val="-3"/>
                <w:sz w:val="18"/>
                <w:szCs w:val="18"/>
              </w:rPr>
              <w:t>项目采取优选设备、</w:t>
            </w:r>
            <w:r>
              <w:rPr>
                <w:spacing w:val="3"/>
                <w:sz w:val="18"/>
                <w:szCs w:val="18"/>
              </w:rPr>
              <w:t xml:space="preserve"> </w:t>
            </w:r>
            <w:r>
              <w:rPr>
                <w:spacing w:val="11"/>
                <w:sz w:val="18"/>
                <w:szCs w:val="18"/>
              </w:rPr>
              <w:t>建筑隔声</w:t>
            </w:r>
            <w:r>
              <w:rPr>
                <w:spacing w:val="-41"/>
                <w:sz w:val="18"/>
                <w:szCs w:val="18"/>
              </w:rPr>
              <w:t xml:space="preserve"> </w:t>
            </w:r>
            <w:r>
              <w:rPr>
                <w:spacing w:val="11"/>
                <w:sz w:val="18"/>
                <w:szCs w:val="18"/>
              </w:rPr>
              <w:t>、基础减</w:t>
            </w:r>
            <w:r>
              <w:rPr>
                <w:sz w:val="18"/>
                <w:szCs w:val="18"/>
              </w:rPr>
              <w:t xml:space="preserve">  </w:t>
            </w:r>
            <w:r>
              <w:rPr>
                <w:spacing w:val="-5"/>
                <w:sz w:val="18"/>
                <w:szCs w:val="18"/>
              </w:rPr>
              <w:t>振、优化布局等措施</w:t>
            </w:r>
            <w:r>
              <w:rPr>
                <w:spacing w:val="1"/>
                <w:sz w:val="18"/>
                <w:szCs w:val="18"/>
              </w:rPr>
              <w:t xml:space="preserve">  </w:t>
            </w:r>
            <w:r>
              <w:rPr>
                <w:spacing w:val="11"/>
                <w:sz w:val="18"/>
                <w:szCs w:val="18"/>
              </w:rPr>
              <w:t>后</w:t>
            </w:r>
            <w:r>
              <w:rPr>
                <w:spacing w:val="-41"/>
                <w:sz w:val="18"/>
                <w:szCs w:val="18"/>
              </w:rPr>
              <w:t xml:space="preserve"> </w:t>
            </w:r>
            <w:r>
              <w:rPr>
                <w:spacing w:val="11"/>
                <w:sz w:val="18"/>
                <w:szCs w:val="18"/>
              </w:rPr>
              <w:t>，厂界值能满足</w:t>
            </w:r>
            <w:r>
              <w:rPr>
                <w:sz w:val="18"/>
                <w:szCs w:val="18"/>
              </w:rPr>
              <w:t xml:space="preserve">  </w:t>
            </w:r>
            <w:r>
              <w:rPr>
                <w:spacing w:val="17"/>
                <w:sz w:val="18"/>
                <w:szCs w:val="18"/>
              </w:rPr>
              <w:t>《工业企业厂界环</w:t>
            </w:r>
            <w:r>
              <w:rPr>
                <w:sz w:val="18"/>
                <w:szCs w:val="18"/>
              </w:rPr>
              <w:t xml:space="preserve">  </w:t>
            </w:r>
            <w:r>
              <w:rPr>
                <w:spacing w:val="22"/>
                <w:sz w:val="18"/>
                <w:szCs w:val="18"/>
              </w:rPr>
              <w:t>境噪声排放标准</w:t>
            </w:r>
            <w:r>
              <w:rPr>
                <w:spacing w:val="-53"/>
                <w:sz w:val="18"/>
                <w:szCs w:val="18"/>
              </w:rPr>
              <w:t xml:space="preserve"> </w:t>
            </w:r>
            <w:r>
              <w:rPr>
                <w:spacing w:val="22"/>
                <w:sz w:val="18"/>
                <w:szCs w:val="18"/>
              </w:rPr>
              <w:t>》</w:t>
            </w:r>
            <w:r>
              <w:rPr>
                <w:sz w:val="18"/>
                <w:szCs w:val="18"/>
              </w:rPr>
              <w:t xml:space="preserve"> （</w:t>
            </w:r>
            <w:r>
              <w:rPr>
                <w:rFonts w:ascii="Times New Roman" w:hAnsi="Times New Roman" w:eastAsia="Times New Roman" w:cs="Times New Roman"/>
                <w:sz w:val="18"/>
                <w:szCs w:val="18"/>
              </w:rPr>
              <w:t>GB12348-2008</w:t>
            </w:r>
            <w:r>
              <w:rPr>
                <w:sz w:val="18"/>
                <w:szCs w:val="18"/>
              </w:rPr>
              <w:t>）</w:t>
            </w:r>
            <w:r>
              <w:rPr>
                <w:rFonts w:ascii="Times New Roman" w:hAnsi="Times New Roman" w:eastAsia="Times New Roman" w:cs="Times New Roman"/>
                <w:sz w:val="18"/>
                <w:szCs w:val="18"/>
              </w:rPr>
              <w:t>3</w:t>
            </w:r>
            <w:r>
              <w:rPr>
                <w:rFonts w:ascii="Times New Roman" w:hAnsi="Times New Roman" w:eastAsia="Times New Roman" w:cs="Times New Roman"/>
                <w:spacing w:val="2"/>
                <w:sz w:val="18"/>
                <w:szCs w:val="18"/>
              </w:rPr>
              <w:t xml:space="preserve">   </w:t>
            </w:r>
            <w:r>
              <w:rPr>
                <w:spacing w:val="-5"/>
                <w:sz w:val="18"/>
                <w:szCs w:val="18"/>
              </w:rPr>
              <w:t>类标准限值。</w:t>
            </w:r>
          </w:p>
        </w:tc>
        <w:tc>
          <w:tcPr>
            <w:tcW w:w="828" w:type="dxa"/>
            <w:vAlign w:val="top"/>
          </w:tcPr>
          <w:p w14:paraId="53DEB7EE">
            <w:pPr>
              <w:spacing w:line="260" w:lineRule="auto"/>
              <w:rPr>
                <w:rFonts w:ascii="Arial"/>
                <w:sz w:val="21"/>
              </w:rPr>
            </w:pPr>
          </w:p>
          <w:p w14:paraId="2CCAEF81">
            <w:pPr>
              <w:spacing w:line="260" w:lineRule="auto"/>
              <w:rPr>
                <w:rFonts w:ascii="Arial"/>
                <w:sz w:val="21"/>
              </w:rPr>
            </w:pPr>
          </w:p>
          <w:p w14:paraId="134D6790">
            <w:pPr>
              <w:spacing w:line="261" w:lineRule="auto"/>
              <w:rPr>
                <w:rFonts w:ascii="Arial"/>
                <w:sz w:val="21"/>
              </w:rPr>
            </w:pPr>
          </w:p>
          <w:p w14:paraId="62FA4D08">
            <w:pPr>
              <w:pStyle w:val="6"/>
              <w:spacing w:before="58" w:line="219" w:lineRule="auto"/>
              <w:ind w:left="170"/>
              <w:rPr>
                <w:sz w:val="18"/>
                <w:szCs w:val="18"/>
              </w:rPr>
            </w:pPr>
            <w:r>
              <w:rPr>
                <w:spacing w:val="-5"/>
                <w:sz w:val="18"/>
                <w:szCs w:val="18"/>
              </w:rPr>
              <w:t>符合</w:t>
            </w:r>
          </w:p>
        </w:tc>
      </w:tr>
      <w:tr w14:paraId="7891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962" w:type="dxa"/>
            <w:vMerge w:val="continue"/>
            <w:tcBorders>
              <w:top w:val="nil"/>
              <w:bottom w:val="nil"/>
            </w:tcBorders>
            <w:vAlign w:val="top"/>
          </w:tcPr>
          <w:p w14:paraId="72B445D0">
            <w:pPr>
              <w:rPr>
                <w:rFonts w:ascii="Arial"/>
                <w:sz w:val="21"/>
              </w:rPr>
            </w:pPr>
          </w:p>
        </w:tc>
        <w:tc>
          <w:tcPr>
            <w:tcW w:w="1358" w:type="dxa"/>
            <w:vMerge w:val="restart"/>
            <w:tcBorders>
              <w:bottom w:val="nil"/>
            </w:tcBorders>
            <w:vAlign w:val="top"/>
          </w:tcPr>
          <w:p w14:paraId="0F1D8736">
            <w:pPr>
              <w:spacing w:line="250" w:lineRule="auto"/>
              <w:rPr>
                <w:rFonts w:ascii="Arial"/>
                <w:sz w:val="21"/>
              </w:rPr>
            </w:pPr>
          </w:p>
          <w:p w14:paraId="04F17AA4">
            <w:pPr>
              <w:spacing w:line="250" w:lineRule="auto"/>
              <w:rPr>
                <w:rFonts w:ascii="Arial"/>
                <w:sz w:val="21"/>
              </w:rPr>
            </w:pPr>
          </w:p>
          <w:p w14:paraId="469DB3AF">
            <w:pPr>
              <w:spacing w:line="251" w:lineRule="auto"/>
              <w:rPr>
                <w:rFonts w:ascii="Arial"/>
                <w:sz w:val="21"/>
              </w:rPr>
            </w:pPr>
          </w:p>
          <w:p w14:paraId="4AD0C713">
            <w:pPr>
              <w:spacing w:line="251" w:lineRule="auto"/>
              <w:rPr>
                <w:rFonts w:ascii="Arial"/>
                <w:sz w:val="21"/>
              </w:rPr>
            </w:pPr>
          </w:p>
          <w:p w14:paraId="606804C5">
            <w:pPr>
              <w:spacing w:line="251" w:lineRule="auto"/>
              <w:rPr>
                <w:rFonts w:ascii="Arial"/>
                <w:sz w:val="21"/>
              </w:rPr>
            </w:pPr>
          </w:p>
          <w:p w14:paraId="5A0B4AB4">
            <w:pPr>
              <w:pStyle w:val="6"/>
              <w:spacing w:before="59" w:line="235" w:lineRule="auto"/>
              <w:ind w:left="50" w:right="51" w:firstLine="15"/>
              <w:jc w:val="both"/>
              <w:rPr>
                <w:sz w:val="18"/>
                <w:szCs w:val="18"/>
              </w:rPr>
            </w:pPr>
            <w:r>
              <w:rPr>
                <w:spacing w:val="-4"/>
                <w:sz w:val="18"/>
                <w:szCs w:val="18"/>
              </w:rPr>
              <w:t>四川省人民政府</w:t>
            </w:r>
            <w:r>
              <w:rPr>
                <w:spacing w:val="3"/>
                <w:sz w:val="18"/>
                <w:szCs w:val="18"/>
              </w:rPr>
              <w:t xml:space="preserve"> </w:t>
            </w:r>
            <w:r>
              <w:rPr>
                <w:spacing w:val="-2"/>
                <w:sz w:val="18"/>
                <w:szCs w:val="18"/>
              </w:rPr>
              <w:t>《关于印发四川</w:t>
            </w:r>
            <w:r>
              <w:rPr>
                <w:spacing w:val="4"/>
                <w:sz w:val="18"/>
                <w:szCs w:val="18"/>
              </w:rPr>
              <w:t xml:space="preserve"> </w:t>
            </w:r>
            <w:r>
              <w:rPr>
                <w:spacing w:val="-2"/>
                <w:sz w:val="18"/>
                <w:szCs w:val="18"/>
              </w:rPr>
              <w:t>省打赢蓝天保卫</w:t>
            </w:r>
            <w:r>
              <w:rPr>
                <w:spacing w:val="4"/>
                <w:sz w:val="18"/>
                <w:szCs w:val="18"/>
              </w:rPr>
              <w:t xml:space="preserve"> </w:t>
            </w:r>
            <w:r>
              <w:rPr>
                <w:spacing w:val="-2"/>
                <w:sz w:val="18"/>
                <w:szCs w:val="18"/>
              </w:rPr>
              <w:t>战等九个实施方</w:t>
            </w:r>
            <w:r>
              <w:rPr>
                <w:spacing w:val="4"/>
                <w:sz w:val="18"/>
                <w:szCs w:val="18"/>
              </w:rPr>
              <w:t xml:space="preserve"> </w:t>
            </w:r>
            <w:r>
              <w:rPr>
                <w:spacing w:val="-2"/>
                <w:sz w:val="18"/>
                <w:szCs w:val="18"/>
              </w:rPr>
              <w:t>案的通知》（川</w:t>
            </w:r>
          </w:p>
          <w:p w14:paraId="64F663B5">
            <w:pPr>
              <w:pStyle w:val="6"/>
              <w:spacing w:before="18" w:line="230" w:lineRule="auto"/>
              <w:ind w:left="592" w:right="98" w:hanging="501"/>
              <w:rPr>
                <w:sz w:val="18"/>
                <w:szCs w:val="18"/>
              </w:rPr>
            </w:pPr>
            <w:r>
              <w:rPr>
                <w:spacing w:val="-1"/>
                <w:sz w:val="18"/>
                <w:szCs w:val="18"/>
              </w:rPr>
              <w:t>府发〔2019〕4</w:t>
            </w:r>
            <w:r>
              <w:rPr>
                <w:spacing w:val="1"/>
                <w:sz w:val="18"/>
                <w:szCs w:val="18"/>
              </w:rPr>
              <w:t xml:space="preserve"> </w:t>
            </w:r>
            <w:r>
              <w:rPr>
                <w:sz w:val="18"/>
                <w:szCs w:val="18"/>
              </w:rPr>
              <w:t>号</w:t>
            </w:r>
          </w:p>
        </w:tc>
        <w:tc>
          <w:tcPr>
            <w:tcW w:w="2966" w:type="dxa"/>
            <w:vAlign w:val="top"/>
          </w:tcPr>
          <w:p w14:paraId="7F9ED7C0">
            <w:pPr>
              <w:pStyle w:val="6"/>
              <w:spacing w:before="28" w:line="236" w:lineRule="auto"/>
              <w:ind w:left="38" w:firstLine="2"/>
              <w:rPr>
                <w:sz w:val="18"/>
                <w:szCs w:val="18"/>
              </w:rPr>
            </w:pPr>
            <w:r>
              <w:rPr>
                <w:sz w:val="18"/>
                <w:szCs w:val="18"/>
              </w:rPr>
              <w:t>调整产业结构，深化工业污染治理。</w:t>
            </w:r>
            <w:r>
              <w:rPr>
                <w:spacing w:val="4"/>
                <w:sz w:val="18"/>
                <w:szCs w:val="18"/>
              </w:rPr>
              <w:t xml:space="preserve"> </w:t>
            </w:r>
            <w:r>
              <w:rPr>
                <w:spacing w:val="-2"/>
                <w:sz w:val="18"/>
                <w:szCs w:val="18"/>
              </w:rPr>
              <w:t>强化“三线一单</w:t>
            </w:r>
            <w:r>
              <w:rPr>
                <w:spacing w:val="-54"/>
                <w:sz w:val="18"/>
                <w:szCs w:val="18"/>
              </w:rPr>
              <w:t xml:space="preserve"> </w:t>
            </w:r>
            <w:r>
              <w:rPr>
                <w:spacing w:val="-2"/>
                <w:sz w:val="18"/>
                <w:szCs w:val="18"/>
              </w:rPr>
              <w:t>”（生态保护红线、</w:t>
            </w:r>
            <w:r>
              <w:rPr>
                <w:sz w:val="18"/>
                <w:szCs w:val="18"/>
              </w:rPr>
              <w:t xml:space="preserve"> </w:t>
            </w:r>
            <w:r>
              <w:rPr>
                <w:spacing w:val="-1"/>
                <w:sz w:val="18"/>
                <w:szCs w:val="18"/>
              </w:rPr>
              <w:t>环境质底线、资源利用上线、生态环</w:t>
            </w:r>
            <w:r>
              <w:rPr>
                <w:sz w:val="18"/>
                <w:szCs w:val="18"/>
              </w:rPr>
              <w:t xml:space="preserve"> </w:t>
            </w:r>
            <w:r>
              <w:rPr>
                <w:spacing w:val="-2"/>
                <w:sz w:val="18"/>
                <w:szCs w:val="18"/>
              </w:rPr>
              <w:t>境准入清单）约束，明确禁止和限制</w:t>
            </w:r>
            <w:r>
              <w:rPr>
                <w:spacing w:val="13"/>
                <w:sz w:val="18"/>
                <w:szCs w:val="18"/>
              </w:rPr>
              <w:t xml:space="preserve"> </w:t>
            </w:r>
            <w:r>
              <w:rPr>
                <w:sz w:val="18"/>
                <w:szCs w:val="18"/>
              </w:rPr>
              <w:t>发展的行业、生产工艺和产业目录，</w:t>
            </w:r>
            <w:r>
              <w:rPr>
                <w:spacing w:val="3"/>
                <w:sz w:val="18"/>
                <w:szCs w:val="18"/>
              </w:rPr>
              <w:t xml:space="preserve"> </w:t>
            </w:r>
            <w:r>
              <w:rPr>
                <w:spacing w:val="-2"/>
                <w:sz w:val="18"/>
                <w:szCs w:val="18"/>
              </w:rPr>
              <w:t>优化产业布局和资源配置。积极推行</w:t>
            </w:r>
            <w:r>
              <w:rPr>
                <w:spacing w:val="13"/>
                <w:sz w:val="18"/>
                <w:szCs w:val="18"/>
              </w:rPr>
              <w:t xml:space="preserve"> </w:t>
            </w:r>
            <w:r>
              <w:rPr>
                <w:sz w:val="18"/>
                <w:szCs w:val="18"/>
              </w:rPr>
              <w:t>区域、规划环境影响评价，新、改、</w:t>
            </w:r>
            <w:r>
              <w:rPr>
                <w:spacing w:val="1"/>
                <w:sz w:val="18"/>
                <w:szCs w:val="18"/>
              </w:rPr>
              <w:t xml:space="preserve"> </w:t>
            </w:r>
            <w:r>
              <w:rPr>
                <w:spacing w:val="-9"/>
                <w:sz w:val="18"/>
                <w:szCs w:val="18"/>
              </w:rPr>
              <w:t>扩建钢铁、石化、化工、焦化、建材、</w:t>
            </w:r>
            <w:r>
              <w:rPr>
                <w:spacing w:val="14"/>
                <w:sz w:val="18"/>
                <w:szCs w:val="18"/>
              </w:rPr>
              <w:t xml:space="preserve"> </w:t>
            </w:r>
            <w:r>
              <w:rPr>
                <w:spacing w:val="-2"/>
                <w:sz w:val="18"/>
                <w:szCs w:val="18"/>
              </w:rPr>
              <w:t>有色等项目的环境影响评价应满足区</w:t>
            </w:r>
            <w:r>
              <w:rPr>
                <w:spacing w:val="13"/>
                <w:sz w:val="18"/>
                <w:szCs w:val="18"/>
              </w:rPr>
              <w:t xml:space="preserve"> </w:t>
            </w:r>
            <w:r>
              <w:rPr>
                <w:spacing w:val="-2"/>
                <w:sz w:val="18"/>
                <w:szCs w:val="18"/>
              </w:rPr>
              <w:t>域、规划环境影响评价要求。</w:t>
            </w:r>
          </w:p>
        </w:tc>
        <w:tc>
          <w:tcPr>
            <w:tcW w:w="1700" w:type="dxa"/>
            <w:vAlign w:val="top"/>
          </w:tcPr>
          <w:p w14:paraId="038CA11E">
            <w:pPr>
              <w:spacing w:line="321" w:lineRule="auto"/>
              <w:rPr>
                <w:rFonts w:ascii="Arial"/>
                <w:sz w:val="21"/>
              </w:rPr>
            </w:pPr>
          </w:p>
          <w:p w14:paraId="41B000AD">
            <w:pPr>
              <w:pStyle w:val="6"/>
              <w:spacing w:before="58" w:line="236" w:lineRule="auto"/>
              <w:ind w:left="41" w:right="39"/>
              <w:jc w:val="both"/>
              <w:rPr>
                <w:sz w:val="18"/>
                <w:szCs w:val="18"/>
              </w:rPr>
            </w:pPr>
            <w:r>
              <w:rPr>
                <w:spacing w:val="-1"/>
                <w:sz w:val="18"/>
                <w:szCs w:val="18"/>
              </w:rPr>
              <w:t>根据前文分析，项目</w:t>
            </w:r>
            <w:r>
              <w:rPr>
                <w:sz w:val="18"/>
                <w:szCs w:val="18"/>
              </w:rPr>
              <w:t xml:space="preserve"> </w:t>
            </w:r>
            <w:r>
              <w:rPr>
                <w:spacing w:val="8"/>
                <w:sz w:val="18"/>
                <w:szCs w:val="18"/>
              </w:rPr>
              <w:t>符合</w:t>
            </w:r>
            <w:r>
              <w:rPr>
                <w:spacing w:val="-61"/>
                <w:sz w:val="18"/>
                <w:szCs w:val="18"/>
              </w:rPr>
              <w:t xml:space="preserve"> </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4"/>
                <w:sz w:val="18"/>
                <w:szCs w:val="18"/>
              </w:rPr>
              <w:t xml:space="preserve"> </w:t>
            </w:r>
            <w:r>
              <w:rPr>
                <w:spacing w:val="8"/>
                <w:sz w:val="18"/>
                <w:szCs w:val="18"/>
              </w:rPr>
              <w:t>三线一单</w:t>
            </w:r>
            <w:r>
              <w:rPr>
                <w:spacing w:val="-58"/>
                <w:sz w:val="18"/>
                <w:szCs w:val="18"/>
              </w:rPr>
              <w:t xml:space="preserve"> </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9"/>
                <w:sz w:val="18"/>
                <w:szCs w:val="18"/>
              </w:rPr>
              <w:t xml:space="preserve"> </w:t>
            </w:r>
            <w:r>
              <w:rPr>
                <w:spacing w:val="8"/>
                <w:sz w:val="18"/>
                <w:szCs w:val="18"/>
              </w:rPr>
              <w:t>要</w:t>
            </w:r>
            <w:r>
              <w:rPr>
                <w:sz w:val="18"/>
                <w:szCs w:val="18"/>
              </w:rPr>
              <w:t xml:space="preserve"> </w:t>
            </w:r>
            <w:r>
              <w:rPr>
                <w:spacing w:val="-1"/>
                <w:sz w:val="18"/>
                <w:szCs w:val="18"/>
              </w:rPr>
              <w:t>求，本项目不属于禁</w:t>
            </w:r>
            <w:r>
              <w:rPr>
                <w:spacing w:val="1"/>
                <w:sz w:val="18"/>
                <w:szCs w:val="18"/>
              </w:rPr>
              <w:t xml:space="preserve"> </w:t>
            </w:r>
            <w:r>
              <w:rPr>
                <w:spacing w:val="21"/>
                <w:sz w:val="18"/>
                <w:szCs w:val="18"/>
              </w:rPr>
              <w:t>止和限制发展的行</w:t>
            </w:r>
            <w:r>
              <w:rPr>
                <w:spacing w:val="4"/>
                <w:sz w:val="18"/>
                <w:szCs w:val="18"/>
              </w:rPr>
              <w:t xml:space="preserve"> </w:t>
            </w:r>
            <w:r>
              <w:rPr>
                <w:spacing w:val="-1"/>
                <w:sz w:val="18"/>
                <w:szCs w:val="18"/>
              </w:rPr>
              <w:t>业、生产工艺和产业</w:t>
            </w:r>
            <w:r>
              <w:rPr>
                <w:spacing w:val="1"/>
                <w:sz w:val="18"/>
                <w:szCs w:val="18"/>
              </w:rPr>
              <w:t xml:space="preserve"> </w:t>
            </w:r>
            <w:r>
              <w:rPr>
                <w:spacing w:val="-1"/>
                <w:sz w:val="18"/>
                <w:szCs w:val="18"/>
              </w:rPr>
              <w:t>目录，符合国家现行</w:t>
            </w:r>
            <w:r>
              <w:rPr>
                <w:spacing w:val="1"/>
                <w:sz w:val="18"/>
                <w:szCs w:val="18"/>
              </w:rPr>
              <w:t xml:space="preserve"> </w:t>
            </w:r>
            <w:r>
              <w:rPr>
                <w:spacing w:val="-2"/>
                <w:sz w:val="18"/>
                <w:szCs w:val="18"/>
              </w:rPr>
              <w:t>产业政策。</w:t>
            </w:r>
          </w:p>
        </w:tc>
        <w:tc>
          <w:tcPr>
            <w:tcW w:w="828" w:type="dxa"/>
            <w:vAlign w:val="top"/>
          </w:tcPr>
          <w:p w14:paraId="7B97B5D1">
            <w:pPr>
              <w:spacing w:line="253" w:lineRule="auto"/>
              <w:rPr>
                <w:rFonts w:ascii="Arial"/>
                <w:sz w:val="21"/>
              </w:rPr>
            </w:pPr>
          </w:p>
          <w:p w14:paraId="65DECF6D">
            <w:pPr>
              <w:spacing w:line="254" w:lineRule="auto"/>
              <w:rPr>
                <w:rFonts w:ascii="Arial"/>
                <w:sz w:val="21"/>
              </w:rPr>
            </w:pPr>
          </w:p>
          <w:p w14:paraId="4FDC0336">
            <w:pPr>
              <w:spacing w:line="254" w:lineRule="auto"/>
              <w:rPr>
                <w:rFonts w:ascii="Arial"/>
                <w:sz w:val="21"/>
              </w:rPr>
            </w:pPr>
          </w:p>
          <w:p w14:paraId="4C790F04">
            <w:pPr>
              <w:spacing w:line="254" w:lineRule="auto"/>
              <w:rPr>
                <w:rFonts w:ascii="Arial"/>
                <w:sz w:val="21"/>
              </w:rPr>
            </w:pPr>
          </w:p>
          <w:p w14:paraId="50F2E542">
            <w:pPr>
              <w:pStyle w:val="6"/>
              <w:spacing w:before="59" w:line="219" w:lineRule="auto"/>
              <w:ind w:left="170"/>
              <w:rPr>
                <w:sz w:val="18"/>
                <w:szCs w:val="18"/>
              </w:rPr>
            </w:pPr>
            <w:r>
              <w:rPr>
                <w:spacing w:val="-5"/>
                <w:sz w:val="18"/>
                <w:szCs w:val="18"/>
              </w:rPr>
              <w:t>符合</w:t>
            </w:r>
          </w:p>
        </w:tc>
      </w:tr>
      <w:tr w14:paraId="7D432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962" w:type="dxa"/>
            <w:vMerge w:val="continue"/>
            <w:tcBorders>
              <w:top w:val="nil"/>
              <w:bottom w:val="nil"/>
            </w:tcBorders>
            <w:vAlign w:val="top"/>
          </w:tcPr>
          <w:p w14:paraId="4CE456CD">
            <w:pPr>
              <w:rPr>
                <w:rFonts w:ascii="Arial"/>
                <w:sz w:val="21"/>
              </w:rPr>
            </w:pPr>
          </w:p>
        </w:tc>
        <w:tc>
          <w:tcPr>
            <w:tcW w:w="1358" w:type="dxa"/>
            <w:vMerge w:val="continue"/>
            <w:tcBorders>
              <w:top w:val="nil"/>
            </w:tcBorders>
            <w:vAlign w:val="top"/>
          </w:tcPr>
          <w:p w14:paraId="5DADB446">
            <w:pPr>
              <w:rPr>
                <w:rFonts w:ascii="Arial"/>
                <w:sz w:val="21"/>
              </w:rPr>
            </w:pPr>
          </w:p>
        </w:tc>
        <w:tc>
          <w:tcPr>
            <w:tcW w:w="2966" w:type="dxa"/>
            <w:vAlign w:val="top"/>
          </w:tcPr>
          <w:p w14:paraId="58B3A081">
            <w:pPr>
              <w:pStyle w:val="6"/>
              <w:spacing w:before="27" w:line="235" w:lineRule="auto"/>
              <w:ind w:left="39" w:right="41"/>
              <w:jc w:val="both"/>
              <w:rPr>
                <w:sz w:val="18"/>
                <w:szCs w:val="18"/>
              </w:rPr>
            </w:pPr>
            <w:r>
              <w:rPr>
                <w:spacing w:val="-1"/>
                <w:sz w:val="18"/>
                <w:szCs w:val="18"/>
              </w:rPr>
              <w:t>开展燃煤锅炉综合整治。加大燃煤小</w:t>
            </w:r>
            <w:r>
              <w:rPr>
                <w:spacing w:val="12"/>
                <w:sz w:val="18"/>
                <w:szCs w:val="18"/>
              </w:rPr>
              <w:t xml:space="preserve"> </w:t>
            </w:r>
            <w:r>
              <w:rPr>
                <w:spacing w:val="-1"/>
                <w:sz w:val="18"/>
                <w:szCs w:val="18"/>
              </w:rPr>
              <w:t>锅炉淘汰力度。到</w:t>
            </w:r>
            <w:r>
              <w:rPr>
                <w:spacing w:val="-35"/>
                <w:sz w:val="18"/>
                <w:szCs w:val="18"/>
              </w:rPr>
              <w:t xml:space="preserve"> </w:t>
            </w:r>
            <w:r>
              <w:rPr>
                <w:spacing w:val="-1"/>
                <w:sz w:val="18"/>
                <w:szCs w:val="18"/>
              </w:rPr>
              <w:t>2020</w:t>
            </w:r>
            <w:r>
              <w:rPr>
                <w:spacing w:val="-38"/>
                <w:sz w:val="18"/>
                <w:szCs w:val="18"/>
              </w:rPr>
              <w:t xml:space="preserve"> </w:t>
            </w:r>
            <w:r>
              <w:rPr>
                <w:spacing w:val="-1"/>
                <w:sz w:val="18"/>
                <w:szCs w:val="18"/>
              </w:rPr>
              <w:t>年,县级及以</w:t>
            </w:r>
            <w:r>
              <w:rPr>
                <w:sz w:val="18"/>
                <w:szCs w:val="18"/>
              </w:rPr>
              <w:t xml:space="preserve"> </w:t>
            </w:r>
            <w:r>
              <w:rPr>
                <w:spacing w:val="2"/>
                <w:sz w:val="18"/>
                <w:szCs w:val="18"/>
              </w:rPr>
              <w:t>上城市建成区全面淘汰每小时</w:t>
            </w:r>
            <w:r>
              <w:rPr>
                <w:spacing w:val="-4"/>
                <w:sz w:val="18"/>
                <w:szCs w:val="18"/>
              </w:rPr>
              <w:t xml:space="preserve"> </w:t>
            </w:r>
            <w:r>
              <w:rPr>
                <w:spacing w:val="2"/>
                <w:sz w:val="18"/>
                <w:szCs w:val="18"/>
              </w:rPr>
              <w:t>10</w:t>
            </w:r>
            <w:r>
              <w:rPr>
                <w:spacing w:val="-29"/>
                <w:sz w:val="18"/>
                <w:szCs w:val="18"/>
              </w:rPr>
              <w:t xml:space="preserve"> </w:t>
            </w:r>
            <w:r>
              <w:rPr>
                <w:spacing w:val="2"/>
                <w:sz w:val="18"/>
                <w:szCs w:val="18"/>
              </w:rPr>
              <w:t>蒸</w:t>
            </w:r>
            <w:r>
              <w:rPr>
                <w:sz w:val="18"/>
                <w:szCs w:val="18"/>
              </w:rPr>
              <w:t xml:space="preserve"> </w:t>
            </w:r>
            <w:r>
              <w:rPr>
                <w:spacing w:val="-1"/>
                <w:sz w:val="18"/>
                <w:szCs w:val="18"/>
              </w:rPr>
              <w:t>吨及以下燃煤锅炉，原则上不再新建</w:t>
            </w:r>
            <w:r>
              <w:rPr>
                <w:spacing w:val="12"/>
                <w:sz w:val="18"/>
                <w:szCs w:val="18"/>
              </w:rPr>
              <w:t xml:space="preserve"> </w:t>
            </w:r>
            <w:r>
              <w:rPr>
                <w:spacing w:val="-7"/>
                <w:sz w:val="18"/>
                <w:szCs w:val="18"/>
              </w:rPr>
              <w:t>每小时</w:t>
            </w:r>
            <w:r>
              <w:rPr>
                <w:spacing w:val="-26"/>
                <w:sz w:val="18"/>
                <w:szCs w:val="18"/>
              </w:rPr>
              <w:t xml:space="preserve"> </w:t>
            </w:r>
            <w:r>
              <w:rPr>
                <w:spacing w:val="-7"/>
                <w:sz w:val="18"/>
                <w:szCs w:val="18"/>
              </w:rPr>
              <w:t>35</w:t>
            </w:r>
            <w:r>
              <w:rPr>
                <w:spacing w:val="-36"/>
                <w:sz w:val="18"/>
                <w:szCs w:val="18"/>
              </w:rPr>
              <w:t xml:space="preserve"> </w:t>
            </w:r>
            <w:r>
              <w:rPr>
                <w:spacing w:val="-7"/>
                <w:sz w:val="18"/>
                <w:szCs w:val="18"/>
              </w:rPr>
              <w:t>蒸吨以下的燃煤锅炉；其他</w:t>
            </w:r>
            <w:r>
              <w:rPr>
                <w:sz w:val="18"/>
                <w:szCs w:val="18"/>
              </w:rPr>
              <w:t xml:space="preserve"> </w:t>
            </w:r>
            <w:r>
              <w:rPr>
                <w:spacing w:val="2"/>
                <w:sz w:val="18"/>
                <w:szCs w:val="18"/>
              </w:rPr>
              <w:t>地区原则上不再新建每小时</w:t>
            </w:r>
            <w:r>
              <w:rPr>
                <w:spacing w:val="-4"/>
                <w:sz w:val="18"/>
                <w:szCs w:val="18"/>
              </w:rPr>
              <w:t xml:space="preserve"> </w:t>
            </w:r>
            <w:r>
              <w:rPr>
                <w:spacing w:val="2"/>
                <w:sz w:val="18"/>
                <w:szCs w:val="18"/>
              </w:rPr>
              <w:t>10</w:t>
            </w:r>
            <w:r>
              <w:rPr>
                <w:spacing w:val="-29"/>
                <w:sz w:val="18"/>
                <w:szCs w:val="18"/>
              </w:rPr>
              <w:t xml:space="preserve"> </w:t>
            </w:r>
            <w:r>
              <w:rPr>
                <w:spacing w:val="2"/>
                <w:sz w:val="18"/>
                <w:szCs w:val="18"/>
              </w:rPr>
              <w:t>蒸吨</w:t>
            </w:r>
            <w:r>
              <w:rPr>
                <w:sz w:val="18"/>
                <w:szCs w:val="18"/>
              </w:rPr>
              <w:t xml:space="preserve"> </w:t>
            </w:r>
            <w:r>
              <w:rPr>
                <w:spacing w:val="-1"/>
                <w:sz w:val="18"/>
                <w:szCs w:val="18"/>
              </w:rPr>
              <w:t>以下的燃煤锅炉。环境空气质量未达</w:t>
            </w:r>
            <w:r>
              <w:rPr>
                <w:spacing w:val="12"/>
                <w:sz w:val="18"/>
                <w:szCs w:val="18"/>
              </w:rPr>
              <w:t xml:space="preserve"> </w:t>
            </w:r>
            <w:r>
              <w:rPr>
                <w:spacing w:val="-1"/>
                <w:sz w:val="18"/>
                <w:szCs w:val="18"/>
              </w:rPr>
              <w:t>标城市应进一步加大淘汰力度。</w:t>
            </w:r>
          </w:p>
        </w:tc>
        <w:tc>
          <w:tcPr>
            <w:tcW w:w="1700" w:type="dxa"/>
            <w:vAlign w:val="top"/>
          </w:tcPr>
          <w:p w14:paraId="6C2483D7">
            <w:pPr>
              <w:spacing w:line="433" w:lineRule="auto"/>
              <w:rPr>
                <w:rFonts w:ascii="Arial"/>
                <w:sz w:val="21"/>
              </w:rPr>
            </w:pPr>
          </w:p>
          <w:p w14:paraId="4E522889">
            <w:pPr>
              <w:pStyle w:val="6"/>
              <w:spacing w:before="58" w:line="235" w:lineRule="auto"/>
              <w:ind w:left="35" w:right="39" w:firstLine="7"/>
              <w:jc w:val="both"/>
              <w:rPr>
                <w:sz w:val="18"/>
                <w:szCs w:val="18"/>
              </w:rPr>
            </w:pPr>
            <w:r>
              <w:rPr>
                <w:spacing w:val="21"/>
                <w:sz w:val="18"/>
                <w:szCs w:val="18"/>
              </w:rPr>
              <w:t>本项目建设的备用</w:t>
            </w:r>
            <w:r>
              <w:rPr>
                <w:spacing w:val="3"/>
                <w:sz w:val="18"/>
                <w:szCs w:val="18"/>
              </w:rPr>
              <w:t xml:space="preserve"> </w:t>
            </w:r>
            <w:r>
              <w:rPr>
                <w:spacing w:val="-3"/>
                <w:sz w:val="18"/>
                <w:szCs w:val="18"/>
              </w:rPr>
              <w:t>蒸汽锅炉，为</w:t>
            </w:r>
            <w:r>
              <w:rPr>
                <w:spacing w:val="-31"/>
                <w:sz w:val="18"/>
                <w:szCs w:val="18"/>
              </w:rPr>
              <w:t xml:space="preserve"> </w:t>
            </w:r>
            <w:r>
              <w:rPr>
                <w:rFonts w:ascii="Times New Roman" w:hAnsi="Times New Roman" w:eastAsia="Times New Roman" w:cs="Times New Roman"/>
                <w:spacing w:val="-3"/>
                <w:sz w:val="18"/>
                <w:szCs w:val="18"/>
              </w:rPr>
              <w:t>8</w:t>
            </w:r>
            <w:r>
              <w:rPr>
                <w:rFonts w:ascii="Times New Roman" w:hAnsi="Times New Roman" w:eastAsia="Times New Roman" w:cs="Times New Roman"/>
                <w:spacing w:val="11"/>
                <w:w w:val="101"/>
                <w:sz w:val="18"/>
                <w:szCs w:val="18"/>
              </w:rPr>
              <w:t xml:space="preserve"> </w:t>
            </w:r>
            <w:r>
              <w:rPr>
                <w:spacing w:val="-3"/>
                <w:sz w:val="18"/>
                <w:szCs w:val="18"/>
              </w:rPr>
              <w:t>蒸吨</w:t>
            </w:r>
            <w:r>
              <w:rPr>
                <w:sz w:val="18"/>
                <w:szCs w:val="18"/>
              </w:rPr>
              <w:t xml:space="preserve"> </w:t>
            </w:r>
            <w:r>
              <w:rPr>
                <w:rFonts w:ascii="Times New Roman" w:hAnsi="Times New Roman" w:eastAsia="Times New Roman" w:cs="Times New Roman"/>
                <w:spacing w:val="-1"/>
                <w:sz w:val="18"/>
                <w:szCs w:val="18"/>
              </w:rPr>
              <w:t xml:space="preserve">/h </w:t>
            </w:r>
            <w:r>
              <w:rPr>
                <w:spacing w:val="-1"/>
                <w:sz w:val="18"/>
                <w:szCs w:val="18"/>
              </w:rPr>
              <w:t>燃气锅炉，不涉及</w:t>
            </w:r>
            <w:r>
              <w:rPr>
                <w:spacing w:val="4"/>
                <w:sz w:val="18"/>
                <w:szCs w:val="18"/>
              </w:rPr>
              <w:t xml:space="preserve"> </w:t>
            </w:r>
            <w:r>
              <w:rPr>
                <w:spacing w:val="-1"/>
                <w:sz w:val="18"/>
                <w:szCs w:val="18"/>
              </w:rPr>
              <w:t>燃煤锅炉的建设。</w:t>
            </w:r>
          </w:p>
        </w:tc>
        <w:tc>
          <w:tcPr>
            <w:tcW w:w="828" w:type="dxa"/>
            <w:vAlign w:val="top"/>
          </w:tcPr>
          <w:p w14:paraId="170C58FA">
            <w:pPr>
              <w:spacing w:line="260" w:lineRule="auto"/>
              <w:rPr>
                <w:rFonts w:ascii="Arial"/>
                <w:sz w:val="21"/>
              </w:rPr>
            </w:pPr>
          </w:p>
          <w:p w14:paraId="55496BF7">
            <w:pPr>
              <w:spacing w:line="261" w:lineRule="auto"/>
              <w:rPr>
                <w:rFonts w:ascii="Arial"/>
                <w:sz w:val="21"/>
              </w:rPr>
            </w:pPr>
          </w:p>
          <w:p w14:paraId="592EEDFF">
            <w:pPr>
              <w:spacing w:line="261" w:lineRule="auto"/>
              <w:rPr>
                <w:rFonts w:ascii="Arial"/>
                <w:sz w:val="21"/>
              </w:rPr>
            </w:pPr>
          </w:p>
          <w:p w14:paraId="6584BC44">
            <w:pPr>
              <w:pStyle w:val="6"/>
              <w:spacing w:before="59" w:line="219" w:lineRule="auto"/>
              <w:ind w:left="170"/>
              <w:rPr>
                <w:sz w:val="18"/>
                <w:szCs w:val="18"/>
              </w:rPr>
            </w:pPr>
            <w:r>
              <w:rPr>
                <w:spacing w:val="-5"/>
                <w:sz w:val="18"/>
                <w:szCs w:val="18"/>
              </w:rPr>
              <w:t>符合</w:t>
            </w:r>
          </w:p>
        </w:tc>
      </w:tr>
      <w:tr w14:paraId="0481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1962" w:type="dxa"/>
            <w:vMerge w:val="continue"/>
            <w:tcBorders>
              <w:top w:val="nil"/>
              <w:bottom w:val="nil"/>
            </w:tcBorders>
            <w:vAlign w:val="top"/>
          </w:tcPr>
          <w:p w14:paraId="373BEAEF">
            <w:pPr>
              <w:rPr>
                <w:rFonts w:ascii="Arial"/>
                <w:sz w:val="21"/>
              </w:rPr>
            </w:pPr>
          </w:p>
        </w:tc>
        <w:tc>
          <w:tcPr>
            <w:tcW w:w="1358" w:type="dxa"/>
            <w:vAlign w:val="top"/>
          </w:tcPr>
          <w:p w14:paraId="4636B705">
            <w:pPr>
              <w:pStyle w:val="6"/>
              <w:spacing w:before="177" w:line="235" w:lineRule="auto"/>
              <w:ind w:left="50" w:right="51" w:firstLine="4"/>
              <w:jc w:val="both"/>
              <w:rPr>
                <w:sz w:val="18"/>
                <w:szCs w:val="18"/>
              </w:rPr>
            </w:pPr>
            <w:r>
              <w:rPr>
                <w:spacing w:val="-2"/>
                <w:sz w:val="18"/>
                <w:szCs w:val="18"/>
              </w:rPr>
              <w:t>《四川省〈中华</w:t>
            </w:r>
            <w:r>
              <w:rPr>
                <w:sz w:val="18"/>
                <w:szCs w:val="18"/>
              </w:rPr>
              <w:t xml:space="preserve"> </w:t>
            </w:r>
            <w:r>
              <w:rPr>
                <w:spacing w:val="-2"/>
                <w:sz w:val="18"/>
                <w:szCs w:val="18"/>
              </w:rPr>
              <w:t>人民共和国大气</w:t>
            </w:r>
            <w:r>
              <w:rPr>
                <w:spacing w:val="4"/>
                <w:sz w:val="18"/>
                <w:szCs w:val="18"/>
              </w:rPr>
              <w:t xml:space="preserve"> </w:t>
            </w:r>
            <w:r>
              <w:rPr>
                <w:spacing w:val="-2"/>
                <w:sz w:val="18"/>
                <w:szCs w:val="18"/>
              </w:rPr>
              <w:t>污染防治法〉实</w:t>
            </w:r>
            <w:r>
              <w:rPr>
                <w:spacing w:val="4"/>
                <w:sz w:val="18"/>
                <w:szCs w:val="18"/>
              </w:rPr>
              <w:t xml:space="preserve"> </w:t>
            </w:r>
            <w:r>
              <w:rPr>
                <w:spacing w:val="-7"/>
                <w:sz w:val="18"/>
                <w:szCs w:val="18"/>
              </w:rPr>
              <w:t>施办法》（2018</w:t>
            </w:r>
          </w:p>
          <w:p w14:paraId="4365E89B">
            <w:pPr>
              <w:pStyle w:val="6"/>
              <w:spacing w:before="19" w:line="219" w:lineRule="auto"/>
              <w:ind w:left="318"/>
              <w:rPr>
                <w:sz w:val="18"/>
                <w:szCs w:val="18"/>
              </w:rPr>
            </w:pPr>
            <w:r>
              <w:rPr>
                <w:spacing w:val="-2"/>
                <w:sz w:val="18"/>
                <w:szCs w:val="18"/>
              </w:rPr>
              <w:t>年修订）</w:t>
            </w:r>
          </w:p>
        </w:tc>
        <w:tc>
          <w:tcPr>
            <w:tcW w:w="2966" w:type="dxa"/>
            <w:vAlign w:val="top"/>
          </w:tcPr>
          <w:p w14:paraId="03C33D7D">
            <w:pPr>
              <w:pStyle w:val="6"/>
              <w:spacing w:before="64" w:line="236" w:lineRule="auto"/>
              <w:ind w:left="39"/>
              <w:jc w:val="both"/>
              <w:rPr>
                <w:sz w:val="18"/>
                <w:szCs w:val="18"/>
              </w:rPr>
            </w:pPr>
            <w:r>
              <w:rPr>
                <w:spacing w:val="-3"/>
                <w:sz w:val="18"/>
                <w:szCs w:val="18"/>
              </w:rPr>
              <w:t>第三十九条 在禁燃区内，禁止销售、</w:t>
            </w:r>
            <w:r>
              <w:rPr>
                <w:spacing w:val="1"/>
                <w:sz w:val="18"/>
                <w:szCs w:val="18"/>
              </w:rPr>
              <w:t xml:space="preserve"> </w:t>
            </w:r>
            <w:r>
              <w:rPr>
                <w:spacing w:val="-1"/>
                <w:sz w:val="18"/>
                <w:szCs w:val="18"/>
              </w:rPr>
              <w:t>燃用高污染燃料；禁止新建、扩建燃</w:t>
            </w:r>
            <w:r>
              <w:rPr>
                <w:sz w:val="18"/>
                <w:szCs w:val="18"/>
              </w:rPr>
              <w:t xml:space="preserve"> </w:t>
            </w:r>
            <w:r>
              <w:rPr>
                <w:spacing w:val="-1"/>
                <w:sz w:val="18"/>
                <w:szCs w:val="18"/>
              </w:rPr>
              <w:t>用高污染燃料的设施，现有燃用高污</w:t>
            </w:r>
            <w:r>
              <w:rPr>
                <w:sz w:val="18"/>
                <w:szCs w:val="18"/>
              </w:rPr>
              <w:t xml:space="preserve"> </w:t>
            </w:r>
            <w:r>
              <w:rPr>
                <w:spacing w:val="-1"/>
                <w:sz w:val="18"/>
                <w:szCs w:val="18"/>
              </w:rPr>
              <w:t>染燃料的设施应当在规定期限内改用</w:t>
            </w:r>
            <w:r>
              <w:rPr>
                <w:sz w:val="18"/>
                <w:szCs w:val="18"/>
              </w:rPr>
              <w:t xml:space="preserve"> </w:t>
            </w:r>
            <w:r>
              <w:rPr>
                <w:spacing w:val="-1"/>
                <w:sz w:val="18"/>
                <w:szCs w:val="18"/>
              </w:rPr>
              <w:t>天然气、页岩气、液化石油气、电或</w:t>
            </w:r>
            <w:r>
              <w:rPr>
                <w:sz w:val="18"/>
                <w:szCs w:val="18"/>
              </w:rPr>
              <w:t xml:space="preserve"> </w:t>
            </w:r>
            <w:r>
              <w:rPr>
                <w:spacing w:val="-2"/>
                <w:sz w:val="18"/>
                <w:szCs w:val="18"/>
              </w:rPr>
              <w:t>者其他清洁能源。</w:t>
            </w:r>
          </w:p>
        </w:tc>
        <w:tc>
          <w:tcPr>
            <w:tcW w:w="1700" w:type="dxa"/>
            <w:vAlign w:val="top"/>
          </w:tcPr>
          <w:p w14:paraId="39732A3A">
            <w:pPr>
              <w:pStyle w:val="6"/>
              <w:spacing w:before="297" w:line="234" w:lineRule="auto"/>
              <w:ind w:left="35" w:right="39" w:firstLine="7"/>
              <w:jc w:val="both"/>
              <w:rPr>
                <w:sz w:val="18"/>
                <w:szCs w:val="18"/>
              </w:rPr>
            </w:pPr>
            <w:r>
              <w:rPr>
                <w:spacing w:val="21"/>
                <w:sz w:val="18"/>
                <w:szCs w:val="18"/>
              </w:rPr>
              <w:t>本项目建设的备用</w:t>
            </w:r>
            <w:r>
              <w:rPr>
                <w:spacing w:val="3"/>
                <w:sz w:val="18"/>
                <w:szCs w:val="18"/>
              </w:rPr>
              <w:t xml:space="preserve"> </w:t>
            </w:r>
            <w:r>
              <w:rPr>
                <w:spacing w:val="-3"/>
                <w:sz w:val="18"/>
                <w:szCs w:val="18"/>
              </w:rPr>
              <w:t>蒸汽锅炉，为</w:t>
            </w:r>
            <w:r>
              <w:rPr>
                <w:spacing w:val="-31"/>
                <w:sz w:val="18"/>
                <w:szCs w:val="18"/>
              </w:rPr>
              <w:t xml:space="preserve"> </w:t>
            </w:r>
            <w:r>
              <w:rPr>
                <w:rFonts w:ascii="Times New Roman" w:hAnsi="Times New Roman" w:eastAsia="Times New Roman" w:cs="Times New Roman"/>
                <w:spacing w:val="-3"/>
                <w:sz w:val="18"/>
                <w:szCs w:val="18"/>
              </w:rPr>
              <w:t>8</w:t>
            </w:r>
            <w:r>
              <w:rPr>
                <w:rFonts w:ascii="Times New Roman" w:hAnsi="Times New Roman" w:eastAsia="Times New Roman" w:cs="Times New Roman"/>
                <w:spacing w:val="11"/>
                <w:w w:val="101"/>
                <w:sz w:val="18"/>
                <w:szCs w:val="18"/>
              </w:rPr>
              <w:t xml:space="preserve"> </w:t>
            </w:r>
            <w:r>
              <w:rPr>
                <w:spacing w:val="-3"/>
                <w:sz w:val="18"/>
                <w:szCs w:val="18"/>
              </w:rPr>
              <w:t>蒸吨</w:t>
            </w:r>
            <w:r>
              <w:rPr>
                <w:sz w:val="18"/>
                <w:szCs w:val="18"/>
              </w:rPr>
              <w:t xml:space="preserve"> </w:t>
            </w:r>
            <w:r>
              <w:rPr>
                <w:rFonts w:ascii="Times New Roman" w:hAnsi="Times New Roman" w:eastAsia="Times New Roman" w:cs="Times New Roman"/>
                <w:spacing w:val="-1"/>
                <w:sz w:val="18"/>
                <w:szCs w:val="18"/>
              </w:rPr>
              <w:t xml:space="preserve">/h </w:t>
            </w:r>
            <w:r>
              <w:rPr>
                <w:spacing w:val="-1"/>
                <w:sz w:val="18"/>
                <w:szCs w:val="18"/>
              </w:rPr>
              <w:t>燃气锅炉，不涉及</w:t>
            </w:r>
            <w:r>
              <w:rPr>
                <w:spacing w:val="4"/>
                <w:sz w:val="18"/>
                <w:szCs w:val="18"/>
              </w:rPr>
              <w:t xml:space="preserve"> </w:t>
            </w:r>
            <w:r>
              <w:rPr>
                <w:spacing w:val="-1"/>
                <w:sz w:val="18"/>
                <w:szCs w:val="18"/>
              </w:rPr>
              <w:t>燃煤锅炉的建设。</w:t>
            </w:r>
          </w:p>
        </w:tc>
        <w:tc>
          <w:tcPr>
            <w:tcW w:w="828" w:type="dxa"/>
            <w:vAlign w:val="top"/>
          </w:tcPr>
          <w:p w14:paraId="18E7821B">
            <w:pPr>
              <w:spacing w:line="291" w:lineRule="auto"/>
              <w:rPr>
                <w:rFonts w:ascii="Arial"/>
                <w:sz w:val="21"/>
              </w:rPr>
            </w:pPr>
          </w:p>
          <w:p w14:paraId="285E49C5">
            <w:pPr>
              <w:spacing w:line="292" w:lineRule="auto"/>
              <w:rPr>
                <w:rFonts w:ascii="Arial"/>
                <w:sz w:val="21"/>
              </w:rPr>
            </w:pPr>
          </w:p>
          <w:p w14:paraId="0FCCE9FB">
            <w:pPr>
              <w:pStyle w:val="6"/>
              <w:spacing w:before="58" w:line="219" w:lineRule="auto"/>
              <w:ind w:left="170"/>
              <w:rPr>
                <w:sz w:val="18"/>
                <w:szCs w:val="18"/>
              </w:rPr>
            </w:pPr>
            <w:r>
              <w:rPr>
                <w:spacing w:val="-5"/>
                <w:sz w:val="18"/>
                <w:szCs w:val="18"/>
              </w:rPr>
              <w:t>符合</w:t>
            </w:r>
          </w:p>
        </w:tc>
      </w:tr>
      <w:tr w14:paraId="4F09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1962" w:type="dxa"/>
            <w:vMerge w:val="continue"/>
            <w:tcBorders>
              <w:top w:val="nil"/>
            </w:tcBorders>
            <w:vAlign w:val="top"/>
          </w:tcPr>
          <w:p w14:paraId="24698B42">
            <w:pPr>
              <w:rPr>
                <w:rFonts w:ascii="Arial"/>
                <w:sz w:val="21"/>
              </w:rPr>
            </w:pPr>
          </w:p>
        </w:tc>
        <w:tc>
          <w:tcPr>
            <w:tcW w:w="1358" w:type="dxa"/>
            <w:vAlign w:val="top"/>
          </w:tcPr>
          <w:p w14:paraId="3AF79445">
            <w:pPr>
              <w:spacing w:line="300" w:lineRule="auto"/>
              <w:rPr>
                <w:rFonts w:ascii="Arial"/>
                <w:sz w:val="21"/>
              </w:rPr>
            </w:pPr>
          </w:p>
          <w:p w14:paraId="137A7602">
            <w:pPr>
              <w:spacing w:line="300" w:lineRule="auto"/>
              <w:rPr>
                <w:rFonts w:ascii="Arial"/>
                <w:sz w:val="21"/>
              </w:rPr>
            </w:pPr>
          </w:p>
          <w:p w14:paraId="0D58B2C9">
            <w:pPr>
              <w:spacing w:line="300" w:lineRule="auto"/>
              <w:rPr>
                <w:rFonts w:ascii="Arial"/>
                <w:sz w:val="21"/>
              </w:rPr>
            </w:pPr>
          </w:p>
          <w:p w14:paraId="22311758">
            <w:pPr>
              <w:pStyle w:val="6"/>
              <w:spacing w:before="59" w:line="233" w:lineRule="auto"/>
              <w:ind w:left="42" w:right="44" w:firstLine="2"/>
              <w:jc w:val="both"/>
              <w:rPr>
                <w:sz w:val="18"/>
                <w:szCs w:val="18"/>
              </w:rPr>
            </w:pPr>
            <w:r>
              <w:rPr>
                <w:sz w:val="18"/>
                <w:szCs w:val="18"/>
              </w:rPr>
              <w:t>《四川省“十四</w:t>
            </w:r>
            <w:r>
              <w:rPr>
                <w:spacing w:val="3"/>
                <w:sz w:val="18"/>
                <w:szCs w:val="18"/>
              </w:rPr>
              <w:t xml:space="preserve"> </w:t>
            </w:r>
            <w:r>
              <w:rPr>
                <w:spacing w:val="-3"/>
                <w:sz w:val="18"/>
                <w:szCs w:val="18"/>
              </w:rPr>
              <w:t>五</w:t>
            </w:r>
            <w:r>
              <w:rPr>
                <w:spacing w:val="-64"/>
                <w:sz w:val="18"/>
                <w:szCs w:val="18"/>
              </w:rPr>
              <w:t xml:space="preserve"> </w:t>
            </w:r>
            <w:r>
              <w:rPr>
                <w:spacing w:val="-3"/>
                <w:sz w:val="18"/>
                <w:szCs w:val="18"/>
              </w:rPr>
              <w:t>”土壤污染防</w:t>
            </w:r>
            <w:r>
              <w:rPr>
                <w:sz w:val="18"/>
                <w:szCs w:val="18"/>
              </w:rPr>
              <w:t xml:space="preserve"> </w:t>
            </w:r>
            <w:r>
              <w:rPr>
                <w:spacing w:val="-3"/>
                <w:sz w:val="18"/>
                <w:szCs w:val="18"/>
              </w:rPr>
              <w:t>治规划》</w:t>
            </w:r>
          </w:p>
        </w:tc>
        <w:tc>
          <w:tcPr>
            <w:tcW w:w="2966" w:type="dxa"/>
            <w:vAlign w:val="top"/>
          </w:tcPr>
          <w:p w14:paraId="580DA26D">
            <w:pPr>
              <w:pStyle w:val="6"/>
              <w:spacing w:before="31" w:line="219" w:lineRule="auto"/>
              <w:ind w:left="41"/>
              <w:rPr>
                <w:sz w:val="18"/>
                <w:szCs w:val="18"/>
              </w:rPr>
            </w:pPr>
            <w:r>
              <w:rPr>
                <w:spacing w:val="-1"/>
                <w:sz w:val="18"/>
                <w:szCs w:val="18"/>
              </w:rPr>
              <w:t>2.加强建设用地风险管控</w:t>
            </w:r>
          </w:p>
          <w:p w14:paraId="420A92B9">
            <w:pPr>
              <w:pStyle w:val="6"/>
              <w:spacing w:before="19" w:line="237" w:lineRule="auto"/>
              <w:ind w:left="38"/>
              <w:rPr>
                <w:sz w:val="18"/>
                <w:szCs w:val="18"/>
              </w:rPr>
            </w:pPr>
            <w:r>
              <w:rPr>
                <w:spacing w:val="-10"/>
                <w:sz w:val="18"/>
                <w:szCs w:val="18"/>
              </w:rPr>
              <w:t>加强土地空间管控。落实“三线一单</w:t>
            </w:r>
            <w:r>
              <w:rPr>
                <w:spacing w:val="-60"/>
                <w:sz w:val="18"/>
                <w:szCs w:val="18"/>
              </w:rPr>
              <w:t xml:space="preserve"> </w:t>
            </w:r>
            <w:r>
              <w:rPr>
                <w:spacing w:val="-10"/>
                <w:sz w:val="18"/>
                <w:szCs w:val="18"/>
              </w:rPr>
              <w:t>”</w:t>
            </w:r>
            <w:r>
              <w:rPr>
                <w:sz w:val="18"/>
                <w:szCs w:val="18"/>
              </w:rPr>
              <w:t xml:space="preserve"> </w:t>
            </w:r>
            <w:r>
              <w:rPr>
                <w:spacing w:val="-8"/>
                <w:sz w:val="18"/>
                <w:szCs w:val="18"/>
              </w:rPr>
              <w:t>分区管控要求，加强规划区和建设项</w:t>
            </w:r>
            <w:r>
              <w:rPr>
                <w:sz w:val="18"/>
                <w:szCs w:val="18"/>
              </w:rPr>
              <w:t xml:space="preserve">   </w:t>
            </w:r>
            <w:r>
              <w:rPr>
                <w:spacing w:val="-8"/>
                <w:sz w:val="18"/>
                <w:szCs w:val="18"/>
              </w:rPr>
              <w:t>目布局论证，根据土壤环境承载能力</w:t>
            </w:r>
            <w:r>
              <w:rPr>
                <w:sz w:val="18"/>
                <w:szCs w:val="18"/>
              </w:rPr>
              <w:t xml:space="preserve">   </w:t>
            </w:r>
            <w:r>
              <w:rPr>
                <w:spacing w:val="-12"/>
                <w:sz w:val="18"/>
                <w:szCs w:val="18"/>
              </w:rPr>
              <w:t>和区域特点，合理确定区域功能定位、</w:t>
            </w:r>
            <w:r>
              <w:rPr>
                <w:spacing w:val="10"/>
                <w:sz w:val="18"/>
                <w:szCs w:val="18"/>
              </w:rPr>
              <w:t xml:space="preserve"> </w:t>
            </w:r>
            <w:r>
              <w:rPr>
                <w:spacing w:val="-8"/>
                <w:sz w:val="18"/>
                <w:szCs w:val="18"/>
              </w:rPr>
              <w:t>空间布局。禁止在居民区、学校、医</w:t>
            </w:r>
            <w:r>
              <w:rPr>
                <w:sz w:val="18"/>
                <w:szCs w:val="18"/>
              </w:rPr>
              <w:t xml:space="preserve">   </w:t>
            </w:r>
            <w:r>
              <w:rPr>
                <w:spacing w:val="3"/>
                <w:sz w:val="18"/>
                <w:szCs w:val="18"/>
              </w:rPr>
              <w:t>院、疗养院和养老院等单位周边新</w:t>
            </w:r>
            <w:r>
              <w:rPr>
                <w:spacing w:val="2"/>
                <w:sz w:val="18"/>
                <w:szCs w:val="18"/>
              </w:rPr>
              <w:t xml:space="preserve">   </w:t>
            </w:r>
            <w:r>
              <w:rPr>
                <w:spacing w:val="-8"/>
                <w:sz w:val="18"/>
                <w:szCs w:val="18"/>
              </w:rPr>
              <w:t>（改、扩）建可能造成土壤污染的建</w:t>
            </w:r>
            <w:r>
              <w:rPr>
                <w:sz w:val="18"/>
                <w:szCs w:val="18"/>
              </w:rPr>
              <w:t xml:space="preserve">   </w:t>
            </w:r>
            <w:r>
              <w:rPr>
                <w:spacing w:val="-8"/>
                <w:sz w:val="18"/>
                <w:szCs w:val="18"/>
              </w:rPr>
              <w:t>设项目。结合新型城镇化、产业结构</w:t>
            </w:r>
            <w:r>
              <w:rPr>
                <w:sz w:val="18"/>
                <w:szCs w:val="18"/>
              </w:rPr>
              <w:t xml:space="preserve">   </w:t>
            </w:r>
            <w:r>
              <w:rPr>
                <w:spacing w:val="-8"/>
                <w:sz w:val="18"/>
                <w:szCs w:val="18"/>
              </w:rPr>
              <w:t>调整和化解过剩产能等要求，有序搬</w:t>
            </w:r>
            <w:r>
              <w:rPr>
                <w:sz w:val="18"/>
                <w:szCs w:val="18"/>
              </w:rPr>
              <w:t xml:space="preserve">   </w:t>
            </w:r>
            <w:r>
              <w:rPr>
                <w:spacing w:val="-8"/>
                <w:sz w:val="18"/>
                <w:szCs w:val="18"/>
              </w:rPr>
              <w:t>迁或依法关闭对土壤造成严重污染的</w:t>
            </w:r>
          </w:p>
        </w:tc>
        <w:tc>
          <w:tcPr>
            <w:tcW w:w="1700" w:type="dxa"/>
            <w:vAlign w:val="top"/>
          </w:tcPr>
          <w:p w14:paraId="3179E79C">
            <w:pPr>
              <w:spacing w:line="320" w:lineRule="auto"/>
              <w:rPr>
                <w:rFonts w:ascii="Arial"/>
                <w:sz w:val="21"/>
              </w:rPr>
            </w:pPr>
          </w:p>
          <w:p w14:paraId="23EC42DA">
            <w:pPr>
              <w:pStyle w:val="6"/>
              <w:spacing w:before="59" w:line="237" w:lineRule="auto"/>
              <w:ind w:left="42" w:right="39"/>
              <w:rPr>
                <w:sz w:val="18"/>
                <w:szCs w:val="18"/>
              </w:rPr>
            </w:pPr>
            <w:r>
              <w:rPr>
                <w:spacing w:val="-1"/>
                <w:sz w:val="18"/>
                <w:szCs w:val="18"/>
              </w:rPr>
              <w:t>本项目符合“三线一</w:t>
            </w:r>
            <w:r>
              <w:rPr>
                <w:sz w:val="18"/>
                <w:szCs w:val="18"/>
              </w:rPr>
              <w:t xml:space="preserve"> </w:t>
            </w:r>
            <w:r>
              <w:rPr>
                <w:spacing w:val="-4"/>
                <w:sz w:val="18"/>
                <w:szCs w:val="18"/>
              </w:rPr>
              <w:t>单</w:t>
            </w:r>
            <w:r>
              <w:rPr>
                <w:spacing w:val="-63"/>
                <w:sz w:val="18"/>
                <w:szCs w:val="18"/>
              </w:rPr>
              <w:t xml:space="preserve"> </w:t>
            </w:r>
            <w:r>
              <w:rPr>
                <w:spacing w:val="-4"/>
                <w:sz w:val="18"/>
                <w:szCs w:val="18"/>
              </w:rPr>
              <w:t>”分区管控要求。</w:t>
            </w:r>
            <w:r>
              <w:rPr>
                <w:sz w:val="18"/>
                <w:szCs w:val="18"/>
              </w:rPr>
              <w:t xml:space="preserve"> </w:t>
            </w:r>
            <w:r>
              <w:rPr>
                <w:spacing w:val="8"/>
                <w:sz w:val="18"/>
                <w:szCs w:val="18"/>
              </w:rPr>
              <w:t>项</w:t>
            </w:r>
            <w:r>
              <w:rPr>
                <w:spacing w:val="-19"/>
                <w:sz w:val="18"/>
                <w:szCs w:val="18"/>
              </w:rPr>
              <w:t xml:space="preserve"> </w:t>
            </w:r>
            <w:r>
              <w:rPr>
                <w:spacing w:val="8"/>
                <w:sz w:val="18"/>
                <w:szCs w:val="18"/>
              </w:rPr>
              <w:t>目位</w:t>
            </w:r>
            <w:r>
              <w:rPr>
                <w:spacing w:val="-54"/>
                <w:sz w:val="18"/>
                <w:szCs w:val="18"/>
              </w:rPr>
              <w:t xml:space="preserve"> </w:t>
            </w:r>
            <w:r>
              <w:rPr>
                <w:spacing w:val="8"/>
                <w:sz w:val="18"/>
                <w:szCs w:val="18"/>
              </w:rPr>
              <w:t>于通川区新</w:t>
            </w:r>
            <w:r>
              <w:rPr>
                <w:sz w:val="18"/>
                <w:szCs w:val="18"/>
              </w:rPr>
              <w:t xml:space="preserve"> </w:t>
            </w:r>
            <w:r>
              <w:rPr>
                <w:spacing w:val="-1"/>
                <w:sz w:val="18"/>
                <w:szCs w:val="18"/>
              </w:rPr>
              <w:t>型工业集聚区，属于</w:t>
            </w:r>
            <w:r>
              <w:rPr>
                <w:sz w:val="18"/>
                <w:szCs w:val="18"/>
              </w:rPr>
              <w:t xml:space="preserve"> </w:t>
            </w:r>
            <w:r>
              <w:rPr>
                <w:spacing w:val="-1"/>
                <w:sz w:val="18"/>
                <w:szCs w:val="18"/>
              </w:rPr>
              <w:t>规划的工业园区，不</w:t>
            </w:r>
            <w:r>
              <w:rPr>
                <w:sz w:val="18"/>
                <w:szCs w:val="18"/>
              </w:rPr>
              <w:t xml:space="preserve"> </w:t>
            </w:r>
            <w:r>
              <w:rPr>
                <w:spacing w:val="-1"/>
                <w:sz w:val="18"/>
                <w:szCs w:val="18"/>
              </w:rPr>
              <w:t>位于居民区、学校、</w:t>
            </w:r>
            <w:r>
              <w:rPr>
                <w:sz w:val="18"/>
                <w:szCs w:val="18"/>
              </w:rPr>
              <w:t xml:space="preserve"> </w:t>
            </w:r>
            <w:r>
              <w:rPr>
                <w:spacing w:val="-1"/>
                <w:sz w:val="18"/>
                <w:szCs w:val="18"/>
              </w:rPr>
              <w:t>医院、疗养院和养老</w:t>
            </w:r>
            <w:r>
              <w:rPr>
                <w:sz w:val="18"/>
                <w:szCs w:val="18"/>
              </w:rPr>
              <w:t xml:space="preserve"> </w:t>
            </w:r>
            <w:r>
              <w:rPr>
                <w:spacing w:val="-2"/>
                <w:sz w:val="18"/>
                <w:szCs w:val="18"/>
              </w:rPr>
              <w:t>院等敏感区。</w:t>
            </w:r>
          </w:p>
        </w:tc>
        <w:tc>
          <w:tcPr>
            <w:tcW w:w="828" w:type="dxa"/>
            <w:vAlign w:val="top"/>
          </w:tcPr>
          <w:p w14:paraId="5FA5E9DD">
            <w:pPr>
              <w:spacing w:line="283" w:lineRule="auto"/>
              <w:rPr>
                <w:rFonts w:ascii="Arial"/>
                <w:sz w:val="21"/>
              </w:rPr>
            </w:pPr>
          </w:p>
          <w:p w14:paraId="034A6FD9">
            <w:pPr>
              <w:spacing w:line="283" w:lineRule="auto"/>
              <w:rPr>
                <w:rFonts w:ascii="Arial"/>
                <w:sz w:val="21"/>
              </w:rPr>
            </w:pPr>
          </w:p>
          <w:p w14:paraId="5C549E76">
            <w:pPr>
              <w:spacing w:line="283" w:lineRule="auto"/>
              <w:rPr>
                <w:rFonts w:ascii="Arial"/>
                <w:sz w:val="21"/>
              </w:rPr>
            </w:pPr>
          </w:p>
          <w:p w14:paraId="73225F88">
            <w:pPr>
              <w:spacing w:line="283" w:lineRule="auto"/>
              <w:rPr>
                <w:rFonts w:ascii="Arial"/>
                <w:sz w:val="21"/>
              </w:rPr>
            </w:pPr>
          </w:p>
          <w:p w14:paraId="095D9F23">
            <w:pPr>
              <w:pStyle w:val="6"/>
              <w:spacing w:before="59" w:line="219" w:lineRule="auto"/>
              <w:ind w:left="170"/>
              <w:rPr>
                <w:sz w:val="18"/>
                <w:szCs w:val="18"/>
              </w:rPr>
            </w:pPr>
            <w:r>
              <w:rPr>
                <w:spacing w:val="-5"/>
                <w:sz w:val="18"/>
                <w:szCs w:val="18"/>
              </w:rPr>
              <w:t>符合</w:t>
            </w:r>
          </w:p>
        </w:tc>
      </w:tr>
    </w:tbl>
    <w:p w14:paraId="340886B7">
      <w:pPr>
        <w:pStyle w:val="2"/>
      </w:pPr>
    </w:p>
    <w:p w14:paraId="34205552">
      <w:pPr>
        <w:sectPr>
          <w:footerReference r:id="rId25" w:type="default"/>
          <w:pgSz w:w="11906" w:h="16839"/>
          <w:pgMar w:top="1431" w:right="1532" w:bottom="1260" w:left="1543" w:header="0" w:footer="1080" w:gutter="0"/>
          <w:cols w:space="720" w:num="1"/>
        </w:sectPr>
      </w:pPr>
    </w:p>
    <w:p w14:paraId="68E5F53D">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05F0D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5" w:hRule="atLeast"/>
        </w:trPr>
        <w:tc>
          <w:tcPr>
            <w:tcW w:w="1829" w:type="dxa"/>
            <w:vAlign w:val="top"/>
          </w:tcPr>
          <w:p w14:paraId="60507218">
            <w:pPr>
              <w:rPr>
                <w:rFonts w:ascii="Arial"/>
                <w:sz w:val="21"/>
              </w:rPr>
            </w:pPr>
          </w:p>
        </w:tc>
        <w:tc>
          <w:tcPr>
            <w:tcW w:w="6985" w:type="dxa"/>
            <w:vAlign w:val="top"/>
          </w:tcPr>
          <w:p w14:paraId="6209CA00">
            <w:pPr>
              <w:spacing w:line="52" w:lineRule="auto"/>
              <w:rPr>
                <w:rFonts w:ascii="Arial"/>
                <w:sz w:val="2"/>
              </w:rPr>
            </w:pPr>
          </w:p>
          <w:tbl>
            <w:tblPr>
              <w:tblStyle w:val="5"/>
              <w:tblW w:w="6723"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2966"/>
              <w:gridCol w:w="1699"/>
              <w:gridCol w:w="695"/>
            </w:tblGrid>
            <w:tr w14:paraId="6863B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63" w:type="dxa"/>
                  <w:tcBorders>
                    <w:top w:val="nil"/>
                  </w:tcBorders>
                  <w:vAlign w:val="top"/>
                </w:tcPr>
                <w:p w14:paraId="23EAA088">
                  <w:pPr>
                    <w:rPr>
                      <w:rFonts w:ascii="Arial"/>
                      <w:sz w:val="21"/>
                    </w:rPr>
                  </w:pPr>
                </w:p>
              </w:tc>
              <w:tc>
                <w:tcPr>
                  <w:tcW w:w="2966" w:type="dxa"/>
                  <w:tcBorders>
                    <w:top w:val="nil"/>
                  </w:tcBorders>
                  <w:vAlign w:val="top"/>
                </w:tcPr>
                <w:p w14:paraId="6CAE9DC3">
                  <w:pPr>
                    <w:pStyle w:val="6"/>
                    <w:spacing w:before="36" w:line="223" w:lineRule="auto"/>
                    <w:ind w:left="40" w:right="44"/>
                    <w:rPr>
                      <w:sz w:val="18"/>
                      <w:szCs w:val="18"/>
                    </w:rPr>
                  </w:pPr>
                  <w:r>
                    <w:rPr>
                      <w:spacing w:val="-1"/>
                      <w:sz w:val="18"/>
                      <w:szCs w:val="18"/>
                    </w:rPr>
                    <w:t>企业，推进城市建成区环境风险高的</w:t>
                  </w:r>
                  <w:r>
                    <w:rPr>
                      <w:spacing w:val="9"/>
                      <w:sz w:val="18"/>
                      <w:szCs w:val="18"/>
                    </w:rPr>
                    <w:t xml:space="preserve"> </w:t>
                  </w:r>
                  <w:r>
                    <w:rPr>
                      <w:spacing w:val="-1"/>
                      <w:sz w:val="18"/>
                      <w:szCs w:val="18"/>
                    </w:rPr>
                    <w:t>大中型重点行业企业搬迁改造。</w:t>
                  </w:r>
                </w:p>
              </w:tc>
              <w:tc>
                <w:tcPr>
                  <w:tcW w:w="1699" w:type="dxa"/>
                  <w:tcBorders>
                    <w:top w:val="nil"/>
                  </w:tcBorders>
                  <w:vAlign w:val="top"/>
                </w:tcPr>
                <w:p w14:paraId="39008687">
                  <w:pPr>
                    <w:rPr>
                      <w:rFonts w:ascii="Arial"/>
                      <w:sz w:val="21"/>
                    </w:rPr>
                  </w:pPr>
                </w:p>
              </w:tc>
              <w:tc>
                <w:tcPr>
                  <w:tcW w:w="695" w:type="dxa"/>
                  <w:tcBorders>
                    <w:top w:val="nil"/>
                  </w:tcBorders>
                  <w:vAlign w:val="top"/>
                </w:tcPr>
                <w:p w14:paraId="21854327">
                  <w:pPr>
                    <w:rPr>
                      <w:rFonts w:ascii="Arial"/>
                      <w:sz w:val="21"/>
                    </w:rPr>
                  </w:pPr>
                </w:p>
              </w:tc>
            </w:tr>
            <w:tr w14:paraId="3BFD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363" w:type="dxa"/>
                  <w:vAlign w:val="top"/>
                </w:tcPr>
                <w:p w14:paraId="41266FCD">
                  <w:pPr>
                    <w:spacing w:line="331" w:lineRule="auto"/>
                    <w:rPr>
                      <w:rFonts w:ascii="Arial"/>
                      <w:sz w:val="21"/>
                    </w:rPr>
                  </w:pPr>
                </w:p>
                <w:p w14:paraId="61D459EB">
                  <w:pPr>
                    <w:spacing w:line="331" w:lineRule="auto"/>
                    <w:rPr>
                      <w:rFonts w:ascii="Arial"/>
                      <w:sz w:val="21"/>
                    </w:rPr>
                  </w:pPr>
                </w:p>
                <w:p w14:paraId="28D45626">
                  <w:pPr>
                    <w:pStyle w:val="6"/>
                    <w:spacing w:before="58" w:line="233" w:lineRule="auto"/>
                    <w:ind w:left="43" w:right="45" w:firstLine="5"/>
                    <w:jc w:val="both"/>
                    <w:rPr>
                      <w:sz w:val="18"/>
                      <w:szCs w:val="18"/>
                    </w:rPr>
                  </w:pPr>
                  <w:r>
                    <w:rPr>
                      <w:sz w:val="18"/>
                      <w:szCs w:val="18"/>
                    </w:rPr>
                    <w:t>《达州市“十四</w:t>
                  </w:r>
                  <w:r>
                    <w:rPr>
                      <w:spacing w:val="3"/>
                      <w:sz w:val="18"/>
                      <w:szCs w:val="18"/>
                    </w:rPr>
                    <w:t xml:space="preserve"> </w:t>
                  </w:r>
                  <w:r>
                    <w:rPr>
                      <w:spacing w:val="-3"/>
                      <w:sz w:val="18"/>
                      <w:szCs w:val="18"/>
                    </w:rPr>
                    <w:t>五</w:t>
                  </w:r>
                  <w:r>
                    <w:rPr>
                      <w:spacing w:val="-61"/>
                      <w:sz w:val="18"/>
                      <w:szCs w:val="18"/>
                    </w:rPr>
                    <w:t xml:space="preserve"> </w:t>
                  </w:r>
                  <w:r>
                    <w:rPr>
                      <w:spacing w:val="-3"/>
                      <w:sz w:val="18"/>
                      <w:szCs w:val="18"/>
                    </w:rPr>
                    <w:t>”生态环境保</w:t>
                  </w:r>
                  <w:r>
                    <w:rPr>
                      <w:sz w:val="18"/>
                      <w:szCs w:val="18"/>
                    </w:rPr>
                    <w:t xml:space="preserve"> </w:t>
                  </w:r>
                  <w:r>
                    <w:rPr>
                      <w:spacing w:val="-2"/>
                      <w:sz w:val="18"/>
                      <w:szCs w:val="18"/>
                    </w:rPr>
                    <w:t>护规划》</w:t>
                  </w:r>
                </w:p>
              </w:tc>
              <w:tc>
                <w:tcPr>
                  <w:tcW w:w="2966" w:type="dxa"/>
                  <w:vAlign w:val="top"/>
                </w:tcPr>
                <w:p w14:paraId="01F730DE">
                  <w:pPr>
                    <w:pStyle w:val="6"/>
                    <w:spacing w:before="25" w:line="236" w:lineRule="auto"/>
                    <w:ind w:left="38" w:right="30"/>
                    <w:rPr>
                      <w:rFonts w:ascii="Times New Roman" w:hAnsi="Times New Roman" w:eastAsia="Times New Roman" w:cs="Times New Roman"/>
                      <w:sz w:val="18"/>
                      <w:szCs w:val="18"/>
                    </w:rPr>
                  </w:pPr>
                  <w:r>
                    <w:rPr>
                      <w:spacing w:val="-9"/>
                      <w:sz w:val="18"/>
                      <w:szCs w:val="18"/>
                    </w:rPr>
                    <w:t>加快重点行业</w:t>
                  </w:r>
                  <w:r>
                    <w:rPr>
                      <w:rFonts w:ascii="Times New Roman" w:hAnsi="Times New Roman" w:eastAsia="Times New Roman" w:cs="Times New Roman"/>
                      <w:spacing w:val="-9"/>
                      <w:sz w:val="18"/>
                      <w:szCs w:val="18"/>
                    </w:rPr>
                    <w:t>“</w:t>
                  </w:r>
                  <w:r>
                    <w:rPr>
                      <w:spacing w:val="-9"/>
                      <w:sz w:val="18"/>
                      <w:szCs w:val="18"/>
                    </w:rPr>
                    <w:t>碳达峰</w:t>
                  </w:r>
                  <w:r>
                    <w:rPr>
                      <w:rFonts w:ascii="Times New Roman" w:hAnsi="Times New Roman" w:eastAsia="Times New Roman" w:cs="Times New Roman"/>
                      <w:spacing w:val="-9"/>
                      <w:sz w:val="18"/>
                      <w:szCs w:val="18"/>
                    </w:rPr>
                    <w:t>”</w:t>
                  </w:r>
                  <w:r>
                    <w:rPr>
                      <w:spacing w:val="-9"/>
                      <w:sz w:val="18"/>
                      <w:szCs w:val="18"/>
                    </w:rPr>
                    <w:t>。落实以二氧化</w:t>
                  </w:r>
                  <w:r>
                    <w:rPr>
                      <w:spacing w:val="10"/>
                      <w:sz w:val="18"/>
                      <w:szCs w:val="18"/>
                    </w:rPr>
                    <w:t xml:space="preserve"> </w:t>
                  </w:r>
                  <w:r>
                    <w:rPr>
                      <w:spacing w:val="-11"/>
                      <w:sz w:val="18"/>
                      <w:szCs w:val="18"/>
                    </w:rPr>
                    <w:t>碳排放强度控制为主、二氧化碳排放总</w:t>
                  </w:r>
                  <w:r>
                    <w:rPr>
                      <w:spacing w:val="15"/>
                      <w:sz w:val="18"/>
                      <w:szCs w:val="18"/>
                    </w:rPr>
                    <w:t xml:space="preserve"> </w:t>
                  </w:r>
                  <w:r>
                    <w:rPr>
                      <w:spacing w:val="-11"/>
                      <w:sz w:val="18"/>
                      <w:szCs w:val="18"/>
                    </w:rPr>
                    <w:t>量控制为辅的管理制度，从严从紧控制</w:t>
                  </w:r>
                  <w:r>
                    <w:rPr>
                      <w:spacing w:val="15"/>
                      <w:sz w:val="18"/>
                      <w:szCs w:val="18"/>
                    </w:rPr>
                    <w:t xml:space="preserve"> </w:t>
                  </w:r>
                  <w:r>
                    <w:rPr>
                      <w:spacing w:val="-9"/>
                      <w:sz w:val="18"/>
                      <w:szCs w:val="18"/>
                    </w:rPr>
                    <w:t>煤炭消费，实施差异化有序</w:t>
                  </w:r>
                  <w:r>
                    <w:rPr>
                      <w:rFonts w:ascii="Times New Roman" w:hAnsi="Times New Roman" w:eastAsia="Times New Roman" w:cs="Times New Roman"/>
                      <w:spacing w:val="-9"/>
                      <w:sz w:val="18"/>
                      <w:szCs w:val="18"/>
                    </w:rPr>
                    <w:t>“</w:t>
                  </w:r>
                  <w:r>
                    <w:rPr>
                      <w:spacing w:val="-9"/>
                      <w:sz w:val="18"/>
                      <w:szCs w:val="18"/>
                    </w:rPr>
                    <w:t>碳达峰</w:t>
                  </w:r>
                  <w:r>
                    <w:rPr>
                      <w:rFonts w:ascii="Times New Roman" w:hAnsi="Times New Roman" w:eastAsia="Times New Roman" w:cs="Times New Roman"/>
                      <w:spacing w:val="-9"/>
                      <w:sz w:val="18"/>
                      <w:szCs w:val="18"/>
                    </w:rPr>
                    <w:t>”</w:t>
                  </w:r>
                  <w:r>
                    <w:rPr>
                      <w:spacing w:val="-9"/>
                      <w:sz w:val="18"/>
                      <w:szCs w:val="18"/>
                    </w:rPr>
                    <w:t>。</w:t>
                  </w:r>
                  <w:r>
                    <w:rPr>
                      <w:spacing w:val="13"/>
                      <w:sz w:val="18"/>
                      <w:szCs w:val="18"/>
                    </w:rPr>
                    <w:t xml:space="preserve"> </w:t>
                  </w:r>
                  <w:r>
                    <w:rPr>
                      <w:spacing w:val="-11"/>
                      <w:sz w:val="18"/>
                      <w:szCs w:val="18"/>
                    </w:rPr>
                    <w:t>推动制定能源、工业、交通、建筑等重</w:t>
                  </w:r>
                  <w:r>
                    <w:rPr>
                      <w:spacing w:val="15"/>
                      <w:sz w:val="18"/>
                      <w:szCs w:val="18"/>
                    </w:rPr>
                    <w:t xml:space="preserve"> </w:t>
                  </w:r>
                  <w:r>
                    <w:rPr>
                      <w:sz w:val="18"/>
                      <w:szCs w:val="18"/>
                    </w:rPr>
                    <w:t>点领域二氧化碳排放达峰专项实施方</w:t>
                  </w:r>
                  <w:r>
                    <w:rPr>
                      <w:spacing w:val="8"/>
                      <w:sz w:val="18"/>
                      <w:szCs w:val="18"/>
                    </w:rPr>
                    <w:t xml:space="preserve"> </w:t>
                  </w:r>
                  <w:r>
                    <w:rPr>
                      <w:spacing w:val="-14"/>
                      <w:sz w:val="18"/>
                      <w:szCs w:val="18"/>
                    </w:rPr>
                    <w:t>案，以水泥、钢铁</w:t>
                  </w:r>
                  <w:r>
                    <w:rPr>
                      <w:rFonts w:ascii="Times New Roman" w:hAnsi="Times New Roman" w:eastAsia="Times New Roman" w:cs="Times New Roman"/>
                      <w:spacing w:val="-14"/>
                      <w:sz w:val="18"/>
                      <w:szCs w:val="18"/>
                    </w:rPr>
                    <w:t>,</w:t>
                  </w:r>
                  <w:r>
                    <w:rPr>
                      <w:rFonts w:ascii="Times New Roman" w:hAnsi="Times New Roman" w:eastAsia="Times New Roman" w:cs="Times New Roman"/>
                      <w:spacing w:val="-7"/>
                      <w:sz w:val="18"/>
                      <w:szCs w:val="18"/>
                    </w:rPr>
                    <w:t xml:space="preserve"> </w:t>
                  </w:r>
                  <w:r>
                    <w:rPr>
                      <w:spacing w:val="-14"/>
                      <w:sz w:val="18"/>
                      <w:szCs w:val="18"/>
                    </w:rPr>
                    <w:t>电力等行业为重点制</w:t>
                  </w:r>
                  <w:r>
                    <w:rPr>
                      <w:sz w:val="18"/>
                      <w:szCs w:val="18"/>
                    </w:rPr>
                    <w:t xml:space="preserve"> </w:t>
                  </w:r>
                  <w:r>
                    <w:rPr>
                      <w:spacing w:val="-11"/>
                      <w:sz w:val="18"/>
                      <w:szCs w:val="18"/>
                    </w:rPr>
                    <w:t>定二氧化碳达峰及降碳行动方案，支持</w:t>
                  </w:r>
                  <w:r>
                    <w:rPr>
                      <w:spacing w:val="15"/>
                      <w:sz w:val="18"/>
                      <w:szCs w:val="18"/>
                    </w:rPr>
                    <w:t xml:space="preserve"> </w:t>
                  </w:r>
                  <w:r>
                    <w:rPr>
                      <w:spacing w:val="-10"/>
                      <w:sz w:val="18"/>
                      <w:szCs w:val="18"/>
                    </w:rPr>
                    <w:t>有条件的行业、企业提前实现</w:t>
                  </w:r>
                  <w:r>
                    <w:rPr>
                      <w:rFonts w:ascii="Times New Roman" w:hAnsi="Times New Roman" w:eastAsia="Times New Roman" w:cs="Times New Roman"/>
                      <w:spacing w:val="-10"/>
                      <w:sz w:val="18"/>
                      <w:szCs w:val="18"/>
                    </w:rPr>
                    <w:t>“</w:t>
                  </w:r>
                  <w:r>
                    <w:rPr>
                      <w:spacing w:val="-10"/>
                      <w:sz w:val="18"/>
                      <w:szCs w:val="18"/>
                    </w:rPr>
                    <w:t>碳达峰</w:t>
                  </w:r>
                  <w:r>
                    <w:rPr>
                      <w:rFonts w:ascii="Times New Roman" w:hAnsi="Times New Roman" w:eastAsia="Times New Roman" w:cs="Times New Roman"/>
                      <w:spacing w:val="-10"/>
                      <w:sz w:val="18"/>
                      <w:szCs w:val="18"/>
                    </w:rPr>
                    <w:t>”</w:t>
                  </w:r>
                </w:p>
              </w:tc>
              <w:tc>
                <w:tcPr>
                  <w:tcW w:w="1699" w:type="dxa"/>
                  <w:vAlign w:val="top"/>
                </w:tcPr>
                <w:p w14:paraId="73892204">
                  <w:pPr>
                    <w:pStyle w:val="6"/>
                    <w:spacing w:before="143" w:line="237" w:lineRule="auto"/>
                    <w:ind w:left="41"/>
                    <w:jc w:val="both"/>
                    <w:rPr>
                      <w:sz w:val="18"/>
                      <w:szCs w:val="18"/>
                    </w:rPr>
                  </w:pPr>
                  <w:r>
                    <w:rPr>
                      <w:spacing w:val="11"/>
                      <w:sz w:val="18"/>
                      <w:szCs w:val="18"/>
                    </w:rPr>
                    <w:t>本项</w:t>
                  </w:r>
                  <w:r>
                    <w:rPr>
                      <w:spacing w:val="-25"/>
                      <w:sz w:val="18"/>
                      <w:szCs w:val="18"/>
                    </w:rPr>
                    <w:t xml:space="preserve"> </w:t>
                  </w:r>
                  <w:r>
                    <w:rPr>
                      <w:spacing w:val="11"/>
                      <w:sz w:val="18"/>
                      <w:szCs w:val="18"/>
                    </w:rPr>
                    <w:t>目为非金属矿</w:t>
                  </w:r>
                  <w:r>
                    <w:rPr>
                      <w:sz w:val="18"/>
                      <w:szCs w:val="18"/>
                    </w:rPr>
                    <w:t xml:space="preserve"> </w:t>
                  </w:r>
                  <w:r>
                    <w:rPr>
                      <w:spacing w:val="-3"/>
                      <w:sz w:val="18"/>
                      <w:szCs w:val="18"/>
                    </w:rPr>
                    <w:t>物制品制造项目，不</w:t>
                  </w:r>
                  <w:r>
                    <w:rPr>
                      <w:spacing w:val="1"/>
                      <w:sz w:val="18"/>
                      <w:szCs w:val="18"/>
                    </w:rPr>
                    <w:t xml:space="preserve"> </w:t>
                  </w:r>
                  <w:r>
                    <w:rPr>
                      <w:spacing w:val="-2"/>
                      <w:sz w:val="18"/>
                      <w:szCs w:val="18"/>
                    </w:rPr>
                    <w:t>属于能源、工业、交</w:t>
                  </w:r>
                  <w:r>
                    <w:rPr>
                      <w:spacing w:val="1"/>
                      <w:sz w:val="18"/>
                      <w:szCs w:val="18"/>
                    </w:rPr>
                    <w:t xml:space="preserve"> </w:t>
                  </w:r>
                  <w:r>
                    <w:rPr>
                      <w:spacing w:val="-15"/>
                      <w:sz w:val="18"/>
                      <w:szCs w:val="18"/>
                    </w:rPr>
                    <w:t>通、建筑等重点领域。</w:t>
                  </w:r>
                  <w:r>
                    <w:rPr>
                      <w:spacing w:val="1"/>
                      <w:sz w:val="18"/>
                      <w:szCs w:val="18"/>
                    </w:rPr>
                    <w:t xml:space="preserve"> </w:t>
                  </w:r>
                  <w:r>
                    <w:rPr>
                      <w:spacing w:val="19"/>
                      <w:sz w:val="18"/>
                      <w:szCs w:val="18"/>
                    </w:rPr>
                    <w:t>涉及建设的备用蒸</w:t>
                  </w:r>
                  <w:r>
                    <w:rPr>
                      <w:spacing w:val="2"/>
                      <w:sz w:val="18"/>
                      <w:szCs w:val="18"/>
                    </w:rPr>
                    <w:t xml:space="preserve"> </w:t>
                  </w:r>
                  <w:r>
                    <w:rPr>
                      <w:spacing w:val="-4"/>
                      <w:sz w:val="18"/>
                      <w:szCs w:val="18"/>
                    </w:rPr>
                    <w:t>汽锅炉，为</w:t>
                  </w:r>
                  <w:r>
                    <w:rPr>
                      <w:spacing w:val="-26"/>
                      <w:sz w:val="18"/>
                      <w:szCs w:val="18"/>
                    </w:rPr>
                    <w:t xml:space="preserve"> </w:t>
                  </w:r>
                  <w:r>
                    <w:rPr>
                      <w:rFonts w:ascii="Times New Roman" w:hAnsi="Times New Roman" w:eastAsia="Times New Roman" w:cs="Times New Roman"/>
                      <w:spacing w:val="-4"/>
                      <w:sz w:val="18"/>
                      <w:szCs w:val="18"/>
                    </w:rPr>
                    <w:t xml:space="preserve">8 </w:t>
                  </w:r>
                  <w:r>
                    <w:rPr>
                      <w:spacing w:val="-4"/>
                      <w:sz w:val="18"/>
                      <w:szCs w:val="18"/>
                    </w:rPr>
                    <w:t>蒸吨</w:t>
                  </w:r>
                  <w:r>
                    <w:rPr>
                      <w:rFonts w:ascii="Times New Roman" w:hAnsi="Times New Roman" w:eastAsia="Times New Roman" w:cs="Times New Roman"/>
                      <w:spacing w:val="-4"/>
                      <w:sz w:val="18"/>
                      <w:szCs w:val="18"/>
                    </w:rPr>
                    <w:t>/h</w:t>
                  </w:r>
                  <w:r>
                    <w:rPr>
                      <w:rFonts w:ascii="Times New Roman" w:hAnsi="Times New Roman" w:eastAsia="Times New Roman" w:cs="Times New Roman"/>
                      <w:sz w:val="18"/>
                      <w:szCs w:val="18"/>
                    </w:rPr>
                    <w:t xml:space="preserve">   </w:t>
                  </w:r>
                  <w:r>
                    <w:rPr>
                      <w:spacing w:val="-3"/>
                      <w:sz w:val="18"/>
                      <w:szCs w:val="18"/>
                    </w:rPr>
                    <w:t>燃气锅炉，不涉及燃</w:t>
                  </w:r>
                  <w:r>
                    <w:rPr>
                      <w:spacing w:val="1"/>
                      <w:sz w:val="18"/>
                      <w:szCs w:val="18"/>
                    </w:rPr>
                    <w:t xml:space="preserve"> </w:t>
                  </w:r>
                  <w:r>
                    <w:rPr>
                      <w:spacing w:val="-3"/>
                      <w:sz w:val="18"/>
                      <w:szCs w:val="18"/>
                    </w:rPr>
                    <w:t>煤锅炉的建设。</w:t>
                  </w:r>
                </w:p>
              </w:tc>
              <w:tc>
                <w:tcPr>
                  <w:tcW w:w="695" w:type="dxa"/>
                  <w:vAlign w:val="top"/>
                </w:tcPr>
                <w:p w14:paraId="1DF9F7CF">
                  <w:pPr>
                    <w:spacing w:line="299" w:lineRule="auto"/>
                    <w:rPr>
                      <w:rFonts w:ascii="Arial"/>
                      <w:sz w:val="21"/>
                    </w:rPr>
                  </w:pPr>
                </w:p>
                <w:p w14:paraId="7BC9B6F1">
                  <w:pPr>
                    <w:spacing w:line="299" w:lineRule="auto"/>
                    <w:rPr>
                      <w:rFonts w:ascii="Arial"/>
                      <w:sz w:val="21"/>
                    </w:rPr>
                  </w:pPr>
                </w:p>
                <w:p w14:paraId="196EB90F">
                  <w:pPr>
                    <w:spacing w:line="299" w:lineRule="auto"/>
                    <w:rPr>
                      <w:rFonts w:ascii="Arial"/>
                      <w:sz w:val="21"/>
                    </w:rPr>
                  </w:pPr>
                </w:p>
                <w:p w14:paraId="33A3A08A">
                  <w:pPr>
                    <w:pStyle w:val="6"/>
                    <w:spacing w:before="59" w:line="219" w:lineRule="auto"/>
                    <w:ind w:left="170"/>
                    <w:rPr>
                      <w:sz w:val="18"/>
                      <w:szCs w:val="18"/>
                    </w:rPr>
                  </w:pPr>
                  <w:r>
                    <w:rPr>
                      <w:spacing w:val="-5"/>
                      <w:sz w:val="18"/>
                      <w:szCs w:val="18"/>
                    </w:rPr>
                    <w:t>符合</w:t>
                  </w:r>
                </w:p>
              </w:tc>
            </w:tr>
          </w:tbl>
          <w:p w14:paraId="3238BD8B">
            <w:pPr>
              <w:spacing w:before="140" w:line="230" w:lineRule="auto"/>
              <w:ind w:left="101"/>
              <w:rPr>
                <w:rFonts w:ascii="黑体" w:hAnsi="黑体" w:eastAsia="黑体" w:cs="黑体"/>
                <w:sz w:val="20"/>
                <w:szCs w:val="20"/>
              </w:rPr>
            </w:pPr>
            <w:r>
              <w:rPr>
                <w:rFonts w:ascii="Times New Roman" w:hAnsi="Times New Roman" w:eastAsia="Times New Roman" w:cs="Times New Roman"/>
                <w:spacing w:val="1"/>
                <w:sz w:val="20"/>
                <w:szCs w:val="20"/>
              </w:rPr>
              <w:t>8</w:t>
            </w:r>
            <w:r>
              <w:rPr>
                <w:rFonts w:ascii="Times New Roman" w:hAnsi="Times New Roman" w:eastAsia="Times New Roman" w:cs="Times New Roman"/>
                <w:spacing w:val="-3"/>
                <w:sz w:val="20"/>
                <w:szCs w:val="20"/>
              </w:rPr>
              <w:t xml:space="preserve"> </w:t>
            </w:r>
            <w:r>
              <w:rPr>
                <w:rFonts w:ascii="黑体" w:hAnsi="黑体" w:eastAsia="黑体" w:cs="黑体"/>
                <w:spacing w:val="1"/>
                <w:sz w:val="20"/>
                <w:szCs w:val="20"/>
              </w:rPr>
              <w:t>、与《四川省国土空间规划（</w:t>
            </w:r>
            <w:r>
              <w:rPr>
                <w:rFonts w:ascii="Times New Roman" w:hAnsi="Times New Roman" w:eastAsia="Times New Roman" w:cs="Times New Roman"/>
                <w:spacing w:val="1"/>
                <w:sz w:val="20"/>
                <w:szCs w:val="20"/>
              </w:rPr>
              <w:t xml:space="preserve">2021-2035 </w:t>
            </w:r>
            <w:r>
              <w:rPr>
                <w:rFonts w:ascii="黑体" w:hAnsi="黑体" w:eastAsia="黑体" w:cs="黑体"/>
                <w:spacing w:val="1"/>
                <w:sz w:val="20"/>
                <w:szCs w:val="20"/>
              </w:rPr>
              <w:t>年）》</w:t>
            </w:r>
            <w:r>
              <w:rPr>
                <w:rFonts w:ascii="黑体" w:hAnsi="黑体" w:eastAsia="黑体" w:cs="黑体"/>
                <w:spacing w:val="-49"/>
                <w:sz w:val="20"/>
                <w:szCs w:val="20"/>
              </w:rPr>
              <w:t xml:space="preserve"> </w:t>
            </w:r>
            <w:r>
              <w:rPr>
                <w:rFonts w:ascii="黑体" w:hAnsi="黑体" w:eastAsia="黑体" w:cs="黑体"/>
                <w:spacing w:val="1"/>
                <w:sz w:val="20"/>
                <w:szCs w:val="20"/>
              </w:rPr>
              <w:t>的符合性</w:t>
            </w:r>
          </w:p>
          <w:p w14:paraId="70E2E1F5">
            <w:pPr>
              <w:pStyle w:val="6"/>
              <w:spacing w:before="150" w:line="362" w:lineRule="auto"/>
              <w:ind w:left="97" w:right="21" w:firstLine="421"/>
              <w:jc w:val="both"/>
              <w:rPr>
                <w:sz w:val="20"/>
                <w:szCs w:val="20"/>
              </w:rPr>
            </w:pPr>
            <w:r>
              <w:rPr>
                <w:spacing w:val="5"/>
                <w:sz w:val="20"/>
                <w:szCs w:val="20"/>
              </w:rPr>
              <w:t>2024</w:t>
            </w:r>
            <w:r>
              <w:rPr>
                <w:spacing w:val="-24"/>
                <w:sz w:val="20"/>
                <w:szCs w:val="20"/>
              </w:rPr>
              <w:t xml:space="preserve"> </w:t>
            </w:r>
            <w:r>
              <w:rPr>
                <w:spacing w:val="5"/>
                <w:sz w:val="20"/>
                <w:szCs w:val="20"/>
              </w:rPr>
              <w:t>年</w:t>
            </w:r>
            <w:r>
              <w:rPr>
                <w:spacing w:val="-38"/>
                <w:sz w:val="20"/>
                <w:szCs w:val="20"/>
              </w:rPr>
              <w:t xml:space="preserve"> </w:t>
            </w:r>
            <w:r>
              <w:rPr>
                <w:spacing w:val="5"/>
                <w:sz w:val="20"/>
                <w:szCs w:val="20"/>
              </w:rPr>
              <w:t>4</w:t>
            </w:r>
            <w:r>
              <w:rPr>
                <w:spacing w:val="-35"/>
                <w:sz w:val="20"/>
                <w:szCs w:val="20"/>
              </w:rPr>
              <w:t xml:space="preserve"> </w:t>
            </w:r>
            <w:r>
              <w:rPr>
                <w:spacing w:val="5"/>
                <w:sz w:val="20"/>
                <w:szCs w:val="20"/>
              </w:rPr>
              <w:t>月</w:t>
            </w:r>
            <w:r>
              <w:rPr>
                <w:spacing w:val="-32"/>
                <w:sz w:val="20"/>
                <w:szCs w:val="20"/>
              </w:rPr>
              <w:t xml:space="preserve"> </w:t>
            </w:r>
            <w:r>
              <w:rPr>
                <w:spacing w:val="5"/>
                <w:sz w:val="20"/>
                <w:szCs w:val="20"/>
              </w:rPr>
              <w:t>7 日，四川省人民政府发布了《关于印发〈四川省国土空</w:t>
            </w:r>
            <w:r>
              <w:rPr>
                <w:sz w:val="20"/>
                <w:szCs w:val="20"/>
              </w:rPr>
              <w:t xml:space="preserve">  </w:t>
            </w:r>
            <w:r>
              <w:rPr>
                <w:spacing w:val="-1"/>
                <w:sz w:val="20"/>
                <w:szCs w:val="20"/>
              </w:rPr>
              <w:t>间规划（2021—2035</w:t>
            </w:r>
            <w:r>
              <w:rPr>
                <w:spacing w:val="-40"/>
                <w:sz w:val="20"/>
                <w:szCs w:val="20"/>
              </w:rPr>
              <w:t xml:space="preserve"> </w:t>
            </w:r>
            <w:r>
              <w:rPr>
                <w:spacing w:val="-1"/>
                <w:sz w:val="20"/>
                <w:szCs w:val="20"/>
              </w:rPr>
              <w:t>年）〉</w:t>
            </w:r>
            <w:r>
              <w:rPr>
                <w:spacing w:val="-56"/>
                <w:sz w:val="20"/>
                <w:szCs w:val="20"/>
              </w:rPr>
              <w:t xml:space="preserve"> </w:t>
            </w:r>
            <w:r>
              <w:rPr>
                <w:spacing w:val="-1"/>
                <w:sz w:val="20"/>
                <w:szCs w:val="20"/>
              </w:rPr>
              <w:t>的通知》（川府发〔2024〕8</w:t>
            </w:r>
            <w:r>
              <w:rPr>
                <w:spacing w:val="-35"/>
                <w:sz w:val="20"/>
                <w:szCs w:val="20"/>
              </w:rPr>
              <w:t xml:space="preserve"> </w:t>
            </w:r>
            <w:r>
              <w:rPr>
                <w:spacing w:val="-1"/>
                <w:sz w:val="20"/>
                <w:szCs w:val="20"/>
              </w:rPr>
              <w:t>号</w:t>
            </w:r>
            <w:r>
              <w:rPr>
                <w:spacing w:val="-21"/>
                <w:sz w:val="20"/>
                <w:szCs w:val="20"/>
              </w:rPr>
              <w:t>），</w:t>
            </w:r>
            <w:r>
              <w:rPr>
                <w:spacing w:val="-1"/>
                <w:sz w:val="20"/>
                <w:szCs w:val="20"/>
              </w:rPr>
              <w:t>明确了四川省</w:t>
            </w:r>
            <w:r>
              <w:rPr>
                <w:sz w:val="20"/>
                <w:szCs w:val="20"/>
              </w:rPr>
              <w:t xml:space="preserve"> </w:t>
            </w:r>
            <w:r>
              <w:rPr>
                <w:spacing w:val="8"/>
                <w:sz w:val="20"/>
                <w:szCs w:val="20"/>
              </w:rPr>
              <w:t>的战略定位、规划目标、空间总体格局等，是未来十多年四川的发</w:t>
            </w:r>
            <w:r>
              <w:rPr>
                <w:spacing w:val="7"/>
                <w:sz w:val="20"/>
                <w:szCs w:val="20"/>
              </w:rPr>
              <w:t>展蓝图。</w:t>
            </w:r>
            <w:r>
              <w:rPr>
                <w:sz w:val="20"/>
                <w:szCs w:val="20"/>
              </w:rPr>
              <w:t xml:space="preserve"> </w:t>
            </w:r>
            <w:r>
              <w:rPr>
                <w:spacing w:val="8"/>
                <w:sz w:val="20"/>
                <w:szCs w:val="20"/>
              </w:rPr>
              <w:t>本项目与该规划的符合性分析如下：</w:t>
            </w:r>
          </w:p>
          <w:p w14:paraId="53D3F666">
            <w:pPr>
              <w:pStyle w:val="6"/>
              <w:spacing w:before="24" w:line="219" w:lineRule="auto"/>
              <w:ind w:left="1455"/>
              <w:rPr>
                <w:sz w:val="18"/>
                <w:szCs w:val="18"/>
              </w:rPr>
            </w:pPr>
            <w:r>
              <w:rPr>
                <w:b/>
                <w:bCs/>
                <w:spacing w:val="-2"/>
                <w:sz w:val="18"/>
                <w:szCs w:val="18"/>
              </w:rPr>
              <w:t>表</w:t>
            </w:r>
            <w:r>
              <w:rPr>
                <w:spacing w:val="-16"/>
                <w:sz w:val="18"/>
                <w:szCs w:val="18"/>
              </w:rPr>
              <w:t xml:space="preserve"> </w:t>
            </w:r>
            <w:r>
              <w:rPr>
                <w:rFonts w:ascii="Times New Roman" w:hAnsi="Times New Roman" w:eastAsia="Times New Roman" w:cs="Times New Roman"/>
                <w:b/>
                <w:bCs/>
                <w:spacing w:val="-2"/>
                <w:sz w:val="18"/>
                <w:szCs w:val="18"/>
              </w:rPr>
              <w:t xml:space="preserve">1-8        </w:t>
            </w:r>
            <w:r>
              <w:rPr>
                <w:b/>
                <w:bCs/>
                <w:spacing w:val="-2"/>
                <w:sz w:val="18"/>
                <w:szCs w:val="18"/>
              </w:rPr>
              <w:t>项目与四川省国土空间规划的符合性分析</w:t>
            </w:r>
          </w:p>
          <w:p w14:paraId="43C71BA2">
            <w:pPr>
              <w:spacing w:line="141" w:lineRule="auto"/>
              <w:rPr>
                <w:rFonts w:ascii="Arial"/>
                <w:sz w:val="2"/>
              </w:rPr>
            </w:pPr>
          </w:p>
          <w:tbl>
            <w:tblPr>
              <w:tblStyle w:val="5"/>
              <w:tblW w:w="672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4136"/>
              <w:gridCol w:w="1185"/>
              <w:gridCol w:w="758"/>
            </w:tblGrid>
            <w:tr w14:paraId="4B26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42" w:type="dxa"/>
                  <w:vAlign w:val="top"/>
                </w:tcPr>
                <w:p w14:paraId="402EC177">
                  <w:pPr>
                    <w:pStyle w:val="6"/>
                    <w:spacing w:before="58" w:line="206" w:lineRule="auto"/>
                    <w:ind w:left="144"/>
                    <w:rPr>
                      <w:sz w:val="18"/>
                      <w:szCs w:val="18"/>
                    </w:rPr>
                  </w:pPr>
                  <w:r>
                    <w:rPr>
                      <w:b/>
                      <w:bCs/>
                      <w:spacing w:val="-6"/>
                      <w:sz w:val="18"/>
                      <w:szCs w:val="18"/>
                    </w:rPr>
                    <w:t>序号</w:t>
                  </w:r>
                </w:p>
              </w:tc>
              <w:tc>
                <w:tcPr>
                  <w:tcW w:w="4136" w:type="dxa"/>
                  <w:vAlign w:val="top"/>
                </w:tcPr>
                <w:p w14:paraId="564908C2">
                  <w:pPr>
                    <w:pStyle w:val="6"/>
                    <w:spacing w:before="58" w:line="206" w:lineRule="auto"/>
                    <w:ind w:left="1712"/>
                    <w:rPr>
                      <w:sz w:val="18"/>
                      <w:szCs w:val="18"/>
                    </w:rPr>
                  </w:pPr>
                  <w:r>
                    <w:rPr>
                      <w:b/>
                      <w:bCs/>
                      <w:spacing w:val="-4"/>
                      <w:sz w:val="18"/>
                      <w:szCs w:val="18"/>
                    </w:rPr>
                    <w:t>规划要求</w:t>
                  </w:r>
                </w:p>
              </w:tc>
              <w:tc>
                <w:tcPr>
                  <w:tcW w:w="1185" w:type="dxa"/>
                  <w:vAlign w:val="top"/>
                </w:tcPr>
                <w:p w14:paraId="6A5BF377">
                  <w:pPr>
                    <w:pStyle w:val="6"/>
                    <w:spacing w:before="53" w:line="211" w:lineRule="auto"/>
                    <w:ind w:left="146"/>
                    <w:rPr>
                      <w:sz w:val="18"/>
                      <w:szCs w:val="18"/>
                    </w:rPr>
                  </w:pPr>
                  <w:r>
                    <w:rPr>
                      <w:b/>
                      <w:bCs/>
                      <w:spacing w:val="-3"/>
                      <w:sz w:val="18"/>
                      <w:szCs w:val="18"/>
                    </w:rPr>
                    <w:t>本项目情况</w:t>
                  </w:r>
                </w:p>
              </w:tc>
              <w:tc>
                <w:tcPr>
                  <w:tcW w:w="758" w:type="dxa"/>
                  <w:vAlign w:val="top"/>
                </w:tcPr>
                <w:p w14:paraId="0D92DE0C">
                  <w:pPr>
                    <w:pStyle w:val="6"/>
                    <w:spacing w:before="58" w:line="206" w:lineRule="auto"/>
                    <w:ind w:left="114"/>
                    <w:rPr>
                      <w:sz w:val="18"/>
                      <w:szCs w:val="18"/>
                    </w:rPr>
                  </w:pPr>
                  <w:r>
                    <w:rPr>
                      <w:b/>
                      <w:bCs/>
                      <w:spacing w:val="-4"/>
                      <w:sz w:val="18"/>
                      <w:szCs w:val="18"/>
                    </w:rPr>
                    <w:t>符合性</w:t>
                  </w:r>
                </w:p>
              </w:tc>
            </w:tr>
            <w:tr w14:paraId="1E757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642" w:type="dxa"/>
                  <w:vAlign w:val="top"/>
                </w:tcPr>
                <w:p w14:paraId="3BA96193">
                  <w:pPr>
                    <w:spacing w:line="243" w:lineRule="auto"/>
                    <w:rPr>
                      <w:rFonts w:ascii="Arial"/>
                      <w:sz w:val="21"/>
                    </w:rPr>
                  </w:pPr>
                </w:p>
                <w:p w14:paraId="6505C184">
                  <w:pPr>
                    <w:spacing w:line="243" w:lineRule="auto"/>
                    <w:rPr>
                      <w:rFonts w:ascii="Arial"/>
                      <w:sz w:val="21"/>
                    </w:rPr>
                  </w:pPr>
                </w:p>
                <w:p w14:paraId="24407E4B">
                  <w:pPr>
                    <w:spacing w:line="243" w:lineRule="auto"/>
                    <w:rPr>
                      <w:rFonts w:ascii="Arial"/>
                      <w:sz w:val="21"/>
                    </w:rPr>
                  </w:pPr>
                </w:p>
                <w:p w14:paraId="2078F437">
                  <w:pPr>
                    <w:spacing w:line="243" w:lineRule="auto"/>
                    <w:rPr>
                      <w:rFonts w:ascii="Arial"/>
                      <w:sz w:val="21"/>
                    </w:rPr>
                  </w:pPr>
                </w:p>
                <w:p w14:paraId="68456247">
                  <w:pPr>
                    <w:spacing w:line="243" w:lineRule="auto"/>
                    <w:rPr>
                      <w:rFonts w:ascii="Arial"/>
                      <w:sz w:val="21"/>
                    </w:rPr>
                  </w:pPr>
                </w:p>
                <w:p w14:paraId="31EAAC40">
                  <w:pPr>
                    <w:spacing w:line="244" w:lineRule="auto"/>
                    <w:rPr>
                      <w:rFonts w:ascii="Arial"/>
                      <w:sz w:val="21"/>
                    </w:rPr>
                  </w:pPr>
                </w:p>
                <w:p w14:paraId="60D99E71">
                  <w:pPr>
                    <w:spacing w:line="244" w:lineRule="auto"/>
                    <w:rPr>
                      <w:rFonts w:ascii="Arial"/>
                      <w:sz w:val="21"/>
                    </w:rPr>
                  </w:pPr>
                </w:p>
                <w:p w14:paraId="1DC61270">
                  <w:pPr>
                    <w:pStyle w:val="6"/>
                    <w:spacing w:before="58" w:line="184" w:lineRule="auto"/>
                    <w:ind w:left="293"/>
                    <w:rPr>
                      <w:sz w:val="18"/>
                      <w:szCs w:val="18"/>
                    </w:rPr>
                  </w:pPr>
                  <w:r>
                    <w:rPr>
                      <w:sz w:val="18"/>
                      <w:szCs w:val="18"/>
                    </w:rPr>
                    <w:t>1</w:t>
                  </w:r>
                </w:p>
              </w:tc>
              <w:tc>
                <w:tcPr>
                  <w:tcW w:w="4136" w:type="dxa"/>
                  <w:vAlign w:val="top"/>
                </w:tcPr>
                <w:p w14:paraId="4BF80C17">
                  <w:pPr>
                    <w:pStyle w:val="6"/>
                    <w:spacing w:before="58" w:line="262" w:lineRule="auto"/>
                    <w:ind w:left="50" w:right="24" w:firstLine="38"/>
                    <w:jc w:val="both"/>
                    <w:rPr>
                      <w:sz w:val="18"/>
                      <w:szCs w:val="18"/>
                    </w:rPr>
                  </w:pPr>
                  <w:r>
                    <w:rPr>
                      <w:spacing w:val="-4"/>
                      <w:sz w:val="18"/>
                      <w:szCs w:val="18"/>
                    </w:rPr>
                    <w:t>第五节 推动五大片区突出特色、协同共兴川东</w:t>
                  </w:r>
                  <w:r>
                    <w:rPr>
                      <w:spacing w:val="-5"/>
                      <w:sz w:val="18"/>
                      <w:szCs w:val="18"/>
                    </w:rPr>
                    <w:t>北经</w:t>
                  </w:r>
                  <w:r>
                    <w:rPr>
                      <w:sz w:val="18"/>
                      <w:szCs w:val="18"/>
                    </w:rPr>
                    <w:t xml:space="preserve"> </w:t>
                  </w:r>
                  <w:r>
                    <w:rPr>
                      <w:spacing w:val="1"/>
                      <w:sz w:val="18"/>
                      <w:szCs w:val="18"/>
                    </w:rPr>
                    <w:t>济区。严格保护现状优质耕地，积极开发耕地后备</w:t>
                  </w:r>
                  <w:r>
                    <w:rPr>
                      <w:spacing w:val="13"/>
                      <w:sz w:val="18"/>
                      <w:szCs w:val="18"/>
                    </w:rPr>
                    <w:t xml:space="preserve"> </w:t>
                  </w:r>
                  <w:r>
                    <w:rPr>
                      <w:spacing w:val="5"/>
                      <w:sz w:val="18"/>
                      <w:szCs w:val="18"/>
                    </w:rPr>
                    <w:t>资源</w:t>
                  </w:r>
                  <w:r>
                    <w:rPr>
                      <w:rFonts w:ascii="Times New Roman" w:hAnsi="Times New Roman" w:eastAsia="Times New Roman" w:cs="Times New Roman"/>
                      <w:spacing w:val="5"/>
                      <w:sz w:val="18"/>
                      <w:szCs w:val="18"/>
                    </w:rPr>
                    <w:t>,</w:t>
                  </w:r>
                  <w:r>
                    <w:rPr>
                      <w:spacing w:val="5"/>
                      <w:sz w:val="18"/>
                      <w:szCs w:val="18"/>
                    </w:rPr>
                    <w:t>加大水资源配置工程建设力度</w:t>
                  </w:r>
                  <w:r>
                    <w:rPr>
                      <w:rFonts w:ascii="Times New Roman" w:hAnsi="Times New Roman" w:eastAsia="Times New Roman" w:cs="Times New Roman"/>
                      <w:spacing w:val="5"/>
                      <w:sz w:val="18"/>
                      <w:szCs w:val="18"/>
                    </w:rPr>
                    <w:t>,</w:t>
                  </w:r>
                  <w:r>
                    <w:rPr>
                      <w:spacing w:val="5"/>
                      <w:sz w:val="18"/>
                      <w:szCs w:val="18"/>
                    </w:rPr>
                    <w:t>全面提高片区</w:t>
                  </w:r>
                  <w:r>
                    <w:rPr>
                      <w:spacing w:val="10"/>
                      <w:sz w:val="18"/>
                      <w:szCs w:val="18"/>
                    </w:rPr>
                    <w:t xml:space="preserve"> </w:t>
                  </w:r>
                  <w:r>
                    <w:rPr>
                      <w:spacing w:val="1"/>
                      <w:sz w:val="18"/>
                      <w:szCs w:val="18"/>
                    </w:rPr>
                    <w:t>耕地产出效率。强化对大巴山、米仓山等盆周生态</w:t>
                  </w:r>
                  <w:r>
                    <w:rPr>
                      <w:spacing w:val="13"/>
                      <w:sz w:val="18"/>
                      <w:szCs w:val="18"/>
                    </w:rPr>
                    <w:t xml:space="preserve"> </w:t>
                  </w:r>
                  <w:r>
                    <w:rPr>
                      <w:spacing w:val="-2"/>
                      <w:sz w:val="18"/>
                      <w:szCs w:val="18"/>
                    </w:rPr>
                    <w:t>功能区的严格保护。突出分层组织、相互协调</w:t>
                  </w:r>
                  <w:r>
                    <w:rPr>
                      <w:rFonts w:ascii="Times New Roman" w:hAnsi="Times New Roman" w:eastAsia="Times New Roman" w:cs="Times New Roman"/>
                      <w:spacing w:val="-2"/>
                      <w:sz w:val="18"/>
                      <w:szCs w:val="18"/>
                    </w:rPr>
                    <w:t>”</w:t>
                  </w:r>
                  <w:r>
                    <w:rPr>
                      <w:spacing w:val="-2"/>
                      <w:sz w:val="18"/>
                      <w:szCs w:val="18"/>
                    </w:rPr>
                    <w:t>按照</w:t>
                  </w:r>
                  <w:r>
                    <w:rPr>
                      <w:spacing w:val="1"/>
                      <w:sz w:val="18"/>
                      <w:szCs w:val="18"/>
                    </w:rPr>
                    <w:t xml:space="preserve"> </w:t>
                  </w:r>
                  <w:r>
                    <w:rPr>
                      <w:rFonts w:ascii="Times New Roman" w:hAnsi="Times New Roman" w:eastAsia="Times New Roman" w:cs="Times New Roman"/>
                      <w:spacing w:val="2"/>
                      <w:sz w:val="18"/>
                      <w:szCs w:val="18"/>
                    </w:rPr>
                    <w:t>“</w:t>
                  </w:r>
                  <w:r>
                    <w:rPr>
                      <w:spacing w:val="2"/>
                      <w:sz w:val="18"/>
                      <w:szCs w:val="18"/>
                    </w:rPr>
                    <w:t>南北差异、重点集聚、轴带提升、整体振兴</w:t>
                  </w:r>
                  <w:r>
                    <w:rPr>
                      <w:rFonts w:ascii="Times New Roman" w:hAnsi="Times New Roman" w:eastAsia="Times New Roman" w:cs="Times New Roman"/>
                      <w:spacing w:val="2"/>
                      <w:sz w:val="18"/>
                      <w:szCs w:val="18"/>
                    </w:rPr>
                    <w:t>”</w:t>
                  </w:r>
                  <w:r>
                    <w:rPr>
                      <w:spacing w:val="2"/>
                      <w:sz w:val="18"/>
                      <w:szCs w:val="18"/>
                    </w:rPr>
                    <w:t>的思</w:t>
                  </w:r>
                  <w:r>
                    <w:rPr>
                      <w:spacing w:val="9"/>
                      <w:sz w:val="18"/>
                      <w:szCs w:val="18"/>
                    </w:rPr>
                    <w:t xml:space="preserve"> </w:t>
                  </w:r>
                  <w:r>
                    <w:rPr>
                      <w:spacing w:val="-4"/>
                      <w:sz w:val="18"/>
                      <w:szCs w:val="18"/>
                    </w:rPr>
                    <w:t>路优化城镇空间。强化川东北与渝东北一体化发展。</w:t>
                  </w:r>
                  <w:r>
                    <w:rPr>
                      <w:spacing w:val="7"/>
                      <w:sz w:val="18"/>
                      <w:szCs w:val="18"/>
                    </w:rPr>
                    <w:t xml:space="preserve"> </w:t>
                  </w:r>
                  <w:r>
                    <w:rPr>
                      <w:spacing w:val="1"/>
                      <w:sz w:val="18"/>
                      <w:szCs w:val="18"/>
                    </w:rPr>
                    <w:t>共同打造万达开川渝统筹发展示范区，着力构建省</w:t>
                  </w:r>
                  <w:r>
                    <w:rPr>
                      <w:spacing w:val="13"/>
                      <w:sz w:val="18"/>
                      <w:szCs w:val="18"/>
                    </w:rPr>
                    <w:t xml:space="preserve"> </w:t>
                  </w:r>
                  <w:r>
                    <w:rPr>
                      <w:spacing w:val="-4"/>
                      <w:sz w:val="18"/>
                      <w:szCs w:val="18"/>
                    </w:rPr>
                    <w:t>际高质量发展引领区。打造成南达万沿线经济走廊，</w:t>
                  </w:r>
                  <w:r>
                    <w:rPr>
                      <w:spacing w:val="7"/>
                      <w:sz w:val="18"/>
                      <w:szCs w:val="18"/>
                    </w:rPr>
                    <w:t xml:space="preserve"> </w:t>
                  </w:r>
                  <w:r>
                    <w:rPr>
                      <w:spacing w:val="4"/>
                      <w:sz w:val="18"/>
                      <w:szCs w:val="18"/>
                    </w:rPr>
                    <w:t>加快建设东出北上综合交通运输大通道</w:t>
                  </w:r>
                  <w:r>
                    <w:rPr>
                      <w:rFonts w:ascii="Times New Roman" w:hAnsi="Times New Roman" w:eastAsia="Times New Roman" w:cs="Times New Roman"/>
                      <w:spacing w:val="4"/>
                      <w:sz w:val="18"/>
                      <w:szCs w:val="18"/>
                    </w:rPr>
                    <w:t>,</w:t>
                  </w:r>
                  <w:r>
                    <w:rPr>
                      <w:spacing w:val="4"/>
                      <w:sz w:val="18"/>
                      <w:szCs w:val="18"/>
                    </w:rPr>
                    <w:t>推动南充</w: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spacing w:val="7"/>
                      <w:sz w:val="18"/>
                      <w:szCs w:val="18"/>
                    </w:rPr>
                    <w:t>达州组团全面建设省域经济副中心，塑造嘉陵江</w:t>
                  </w:r>
                  <w:r>
                    <w:rPr>
                      <w:rFonts w:ascii="Times New Roman" w:hAnsi="Times New Roman" w:eastAsia="Times New Roman" w:cs="Times New Roman"/>
                      <w:spacing w:val="7"/>
                      <w:sz w:val="18"/>
                      <w:szCs w:val="18"/>
                    </w:rPr>
                    <w:t>-</w:t>
                  </w:r>
                  <w:r>
                    <w:rPr>
                      <w:rFonts w:ascii="Times New Roman" w:hAnsi="Times New Roman" w:eastAsia="Times New Roman" w:cs="Times New Roman"/>
                      <w:sz w:val="18"/>
                      <w:szCs w:val="18"/>
                    </w:rPr>
                    <w:t xml:space="preserve">  </w:t>
                  </w:r>
                  <w:r>
                    <w:rPr>
                      <w:spacing w:val="1"/>
                      <w:sz w:val="18"/>
                      <w:szCs w:val="18"/>
                    </w:rPr>
                    <w:t>渠江绿色生态经济带。建设四川省东向和北向的出</w:t>
                  </w:r>
                  <w:r>
                    <w:rPr>
                      <w:spacing w:val="13"/>
                      <w:sz w:val="18"/>
                      <w:szCs w:val="18"/>
                    </w:rPr>
                    <w:t xml:space="preserve"> </w:t>
                  </w:r>
                  <w:r>
                    <w:rPr>
                      <w:spacing w:val="-4"/>
                      <w:sz w:val="18"/>
                      <w:szCs w:val="18"/>
                    </w:rPr>
                    <w:t>川综合交通枢纽、川渝陕甘结合部的区域经济中心，</w:t>
                  </w:r>
                  <w:r>
                    <w:rPr>
                      <w:spacing w:val="7"/>
                      <w:sz w:val="18"/>
                      <w:szCs w:val="18"/>
                    </w:rPr>
                    <w:t xml:space="preserve"> </w:t>
                  </w:r>
                  <w:r>
                    <w:rPr>
                      <w:spacing w:val="2"/>
                      <w:sz w:val="18"/>
                      <w:szCs w:val="18"/>
                    </w:rPr>
                    <w:t>推动川东北地区振兴发展。</w:t>
                  </w:r>
                </w:p>
              </w:tc>
              <w:tc>
                <w:tcPr>
                  <w:tcW w:w="1185" w:type="dxa"/>
                  <w:vAlign w:val="top"/>
                </w:tcPr>
                <w:p w14:paraId="79F59C17">
                  <w:pPr>
                    <w:spacing w:line="474" w:lineRule="auto"/>
                    <w:rPr>
                      <w:rFonts w:ascii="Arial"/>
                      <w:sz w:val="21"/>
                    </w:rPr>
                  </w:pPr>
                </w:p>
                <w:p w14:paraId="2A136199">
                  <w:pPr>
                    <w:pStyle w:val="6"/>
                    <w:spacing w:before="59" w:line="244" w:lineRule="auto"/>
                    <w:ind w:left="92" w:right="81" w:firstLine="1"/>
                    <w:jc w:val="both"/>
                    <w:rPr>
                      <w:sz w:val="18"/>
                      <w:szCs w:val="18"/>
                    </w:rPr>
                  </w:pPr>
                  <w:r>
                    <w:rPr>
                      <w:spacing w:val="21"/>
                      <w:sz w:val="18"/>
                      <w:szCs w:val="18"/>
                    </w:rPr>
                    <w:t>本项目位于</w:t>
                  </w:r>
                  <w:r>
                    <w:rPr>
                      <w:sz w:val="18"/>
                      <w:szCs w:val="18"/>
                    </w:rPr>
                    <w:t xml:space="preserve"> </w:t>
                  </w:r>
                  <w:r>
                    <w:rPr>
                      <w:spacing w:val="4"/>
                      <w:sz w:val="18"/>
                      <w:szCs w:val="18"/>
                    </w:rPr>
                    <w:t>通</w:t>
                  </w:r>
                  <w:r>
                    <w:rPr>
                      <w:spacing w:val="-47"/>
                      <w:sz w:val="18"/>
                      <w:szCs w:val="18"/>
                    </w:rPr>
                    <w:t xml:space="preserve"> </w:t>
                  </w:r>
                  <w:r>
                    <w:rPr>
                      <w:spacing w:val="4"/>
                      <w:sz w:val="18"/>
                      <w:szCs w:val="18"/>
                    </w:rPr>
                    <w:t>川区</w:t>
                  </w:r>
                  <w:r>
                    <w:rPr>
                      <w:spacing w:val="-48"/>
                      <w:sz w:val="18"/>
                      <w:szCs w:val="18"/>
                    </w:rPr>
                    <w:t xml:space="preserve"> </w:t>
                  </w:r>
                  <w:r>
                    <w:rPr>
                      <w:spacing w:val="4"/>
                      <w:sz w:val="18"/>
                      <w:szCs w:val="18"/>
                    </w:rPr>
                    <w:t>东岳</w:t>
                  </w:r>
                  <w:r>
                    <w:rPr>
                      <w:sz w:val="18"/>
                      <w:szCs w:val="18"/>
                    </w:rPr>
                    <w:t xml:space="preserve"> </w:t>
                  </w:r>
                  <w:r>
                    <w:rPr>
                      <w:spacing w:val="21"/>
                      <w:sz w:val="18"/>
                      <w:szCs w:val="18"/>
                    </w:rPr>
                    <w:t>新型工业集</w:t>
                  </w:r>
                  <w:r>
                    <w:rPr>
                      <w:sz w:val="18"/>
                      <w:szCs w:val="18"/>
                    </w:rPr>
                    <w:t xml:space="preserve"> </w:t>
                  </w:r>
                  <w:r>
                    <w:rPr>
                      <w:spacing w:val="-13"/>
                      <w:sz w:val="18"/>
                      <w:szCs w:val="18"/>
                    </w:rPr>
                    <w:t>聚区，属于规</w:t>
                  </w:r>
                  <w:r>
                    <w:rPr>
                      <w:spacing w:val="3"/>
                      <w:sz w:val="18"/>
                      <w:szCs w:val="18"/>
                    </w:rPr>
                    <w:t xml:space="preserve"> </w:t>
                  </w:r>
                  <w:r>
                    <w:rPr>
                      <w:spacing w:val="21"/>
                      <w:sz w:val="18"/>
                      <w:szCs w:val="18"/>
                    </w:rPr>
                    <w:t>划的工业园</w:t>
                  </w:r>
                  <w:r>
                    <w:rPr>
                      <w:sz w:val="18"/>
                      <w:szCs w:val="18"/>
                    </w:rPr>
                    <w:t xml:space="preserve"> </w:t>
                  </w:r>
                  <w:r>
                    <w:rPr>
                      <w:spacing w:val="-13"/>
                      <w:sz w:val="18"/>
                      <w:szCs w:val="18"/>
                    </w:rPr>
                    <w:t>区范围，也属</w:t>
                  </w:r>
                  <w:r>
                    <w:rPr>
                      <w:spacing w:val="3"/>
                      <w:sz w:val="18"/>
                      <w:szCs w:val="18"/>
                    </w:rPr>
                    <w:t xml:space="preserve"> </w:t>
                  </w:r>
                  <w:r>
                    <w:rPr>
                      <w:spacing w:val="21"/>
                      <w:sz w:val="18"/>
                      <w:szCs w:val="18"/>
                    </w:rPr>
                    <w:t>于城镇开发</w:t>
                  </w:r>
                  <w:r>
                    <w:rPr>
                      <w:sz w:val="18"/>
                      <w:szCs w:val="18"/>
                    </w:rPr>
                    <w:t xml:space="preserve"> </w:t>
                  </w:r>
                  <w:r>
                    <w:rPr>
                      <w:spacing w:val="21"/>
                      <w:sz w:val="18"/>
                      <w:szCs w:val="18"/>
                    </w:rPr>
                    <w:t>空间内规划</w:t>
                  </w:r>
                  <w:r>
                    <w:rPr>
                      <w:sz w:val="18"/>
                      <w:szCs w:val="18"/>
                    </w:rPr>
                    <w:t xml:space="preserve"> </w:t>
                  </w:r>
                  <w:r>
                    <w:rPr>
                      <w:spacing w:val="-13"/>
                      <w:sz w:val="18"/>
                      <w:szCs w:val="18"/>
                    </w:rPr>
                    <w:t>的工业区，符</w:t>
                  </w:r>
                  <w:r>
                    <w:rPr>
                      <w:spacing w:val="3"/>
                      <w:sz w:val="18"/>
                      <w:szCs w:val="18"/>
                    </w:rPr>
                    <w:t xml:space="preserve"> </w:t>
                  </w:r>
                  <w:r>
                    <w:rPr>
                      <w:spacing w:val="21"/>
                      <w:sz w:val="18"/>
                      <w:szCs w:val="18"/>
                    </w:rPr>
                    <w:t>合国土空间</w:t>
                  </w:r>
                  <w:r>
                    <w:rPr>
                      <w:sz w:val="18"/>
                      <w:szCs w:val="18"/>
                    </w:rPr>
                    <w:t xml:space="preserve"> </w:t>
                  </w:r>
                  <w:r>
                    <w:rPr>
                      <w:spacing w:val="-2"/>
                      <w:sz w:val="18"/>
                      <w:szCs w:val="18"/>
                    </w:rPr>
                    <w:t>规划要求。</w:t>
                  </w:r>
                </w:p>
              </w:tc>
              <w:tc>
                <w:tcPr>
                  <w:tcW w:w="758" w:type="dxa"/>
                  <w:vAlign w:val="top"/>
                </w:tcPr>
                <w:p w14:paraId="365D2851">
                  <w:pPr>
                    <w:spacing w:line="279" w:lineRule="auto"/>
                    <w:rPr>
                      <w:rFonts w:ascii="Arial"/>
                      <w:sz w:val="21"/>
                    </w:rPr>
                  </w:pPr>
                </w:p>
                <w:p w14:paraId="07EF1EA3">
                  <w:pPr>
                    <w:spacing w:line="279" w:lineRule="auto"/>
                    <w:rPr>
                      <w:rFonts w:ascii="Arial"/>
                      <w:sz w:val="21"/>
                    </w:rPr>
                  </w:pPr>
                </w:p>
                <w:p w14:paraId="47C62F37">
                  <w:pPr>
                    <w:spacing w:line="279" w:lineRule="auto"/>
                    <w:rPr>
                      <w:rFonts w:ascii="Arial"/>
                      <w:sz w:val="21"/>
                    </w:rPr>
                  </w:pPr>
                </w:p>
                <w:p w14:paraId="5749CC01">
                  <w:pPr>
                    <w:spacing w:line="279" w:lineRule="auto"/>
                    <w:rPr>
                      <w:rFonts w:ascii="Arial"/>
                      <w:sz w:val="21"/>
                    </w:rPr>
                  </w:pPr>
                </w:p>
                <w:p w14:paraId="2458D4D2">
                  <w:pPr>
                    <w:spacing w:line="280" w:lineRule="auto"/>
                    <w:rPr>
                      <w:rFonts w:ascii="Arial"/>
                      <w:sz w:val="21"/>
                    </w:rPr>
                  </w:pPr>
                </w:p>
                <w:p w14:paraId="1572B199">
                  <w:pPr>
                    <w:spacing w:line="280" w:lineRule="auto"/>
                    <w:rPr>
                      <w:rFonts w:ascii="Arial"/>
                      <w:sz w:val="21"/>
                    </w:rPr>
                  </w:pPr>
                </w:p>
                <w:p w14:paraId="39515FB7">
                  <w:pPr>
                    <w:pStyle w:val="6"/>
                    <w:spacing w:before="58" w:line="219" w:lineRule="auto"/>
                    <w:ind w:left="205"/>
                    <w:rPr>
                      <w:sz w:val="18"/>
                      <w:szCs w:val="18"/>
                    </w:rPr>
                  </w:pPr>
                  <w:r>
                    <w:rPr>
                      <w:spacing w:val="-5"/>
                      <w:sz w:val="18"/>
                      <w:szCs w:val="18"/>
                    </w:rPr>
                    <w:t>符合</w:t>
                  </w:r>
                </w:p>
              </w:tc>
            </w:tr>
          </w:tbl>
          <w:p w14:paraId="14577FD8">
            <w:pPr>
              <w:spacing w:before="140" w:line="229" w:lineRule="auto"/>
              <w:ind w:left="96"/>
              <w:rPr>
                <w:rFonts w:ascii="黑体" w:hAnsi="黑体" w:eastAsia="黑体" w:cs="黑体"/>
                <w:sz w:val="20"/>
                <w:szCs w:val="20"/>
              </w:rPr>
            </w:pPr>
            <w:r>
              <w:rPr>
                <w:rFonts w:ascii="Times New Roman" w:hAnsi="Times New Roman" w:eastAsia="Times New Roman" w:cs="Times New Roman"/>
                <w:spacing w:val="3"/>
                <w:sz w:val="20"/>
                <w:szCs w:val="20"/>
              </w:rPr>
              <w:t>9</w:t>
            </w:r>
            <w:r>
              <w:rPr>
                <w:rFonts w:ascii="Times New Roman" w:hAnsi="Times New Roman" w:eastAsia="Times New Roman" w:cs="Times New Roman"/>
                <w:spacing w:val="-21"/>
                <w:sz w:val="20"/>
                <w:szCs w:val="20"/>
              </w:rPr>
              <w:t xml:space="preserve"> </w:t>
            </w:r>
            <w:r>
              <w:rPr>
                <w:rFonts w:ascii="黑体" w:hAnsi="黑体" w:eastAsia="黑体" w:cs="黑体"/>
                <w:spacing w:val="3"/>
                <w:sz w:val="20"/>
                <w:szCs w:val="20"/>
              </w:rPr>
              <w:t>、与《美丽四川建设战略规划纲要（</w:t>
            </w:r>
            <w:r>
              <w:rPr>
                <w:rFonts w:ascii="Times New Roman" w:hAnsi="Times New Roman" w:eastAsia="Times New Roman" w:cs="Times New Roman"/>
                <w:spacing w:val="3"/>
                <w:sz w:val="20"/>
                <w:szCs w:val="20"/>
              </w:rPr>
              <w:t>2022</w:t>
            </w:r>
            <w:r>
              <w:rPr>
                <w:rFonts w:ascii="黑体" w:hAnsi="黑体" w:eastAsia="黑体" w:cs="黑体"/>
                <w:spacing w:val="3"/>
                <w:sz w:val="20"/>
                <w:szCs w:val="20"/>
              </w:rPr>
              <w:t>—</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 xml:space="preserve">035 </w:t>
            </w:r>
            <w:r>
              <w:rPr>
                <w:rFonts w:ascii="黑体" w:hAnsi="黑体" w:eastAsia="黑体" w:cs="黑体"/>
                <w:spacing w:val="2"/>
                <w:sz w:val="20"/>
                <w:szCs w:val="20"/>
              </w:rPr>
              <w:t>年）》</w:t>
            </w:r>
            <w:r>
              <w:rPr>
                <w:rFonts w:ascii="黑体" w:hAnsi="黑体" w:eastAsia="黑体" w:cs="黑体"/>
                <w:spacing w:val="-49"/>
                <w:sz w:val="20"/>
                <w:szCs w:val="20"/>
              </w:rPr>
              <w:t xml:space="preserve"> </w:t>
            </w:r>
            <w:r>
              <w:rPr>
                <w:rFonts w:ascii="黑体" w:hAnsi="黑体" w:eastAsia="黑体" w:cs="黑体"/>
                <w:spacing w:val="2"/>
                <w:sz w:val="20"/>
                <w:szCs w:val="20"/>
              </w:rPr>
              <w:t>的符合性</w:t>
            </w:r>
          </w:p>
          <w:p w14:paraId="22213B4D">
            <w:pPr>
              <w:pStyle w:val="6"/>
              <w:spacing w:before="150" w:line="355" w:lineRule="auto"/>
              <w:ind w:left="99" w:right="92" w:firstLine="419"/>
              <w:rPr>
                <w:sz w:val="20"/>
                <w:szCs w:val="20"/>
              </w:rPr>
            </w:pPr>
            <w:r>
              <w:rPr>
                <w:spacing w:val="3"/>
                <w:sz w:val="20"/>
                <w:szCs w:val="20"/>
              </w:rPr>
              <w:t>2024</w:t>
            </w:r>
            <w:r>
              <w:rPr>
                <w:spacing w:val="-33"/>
                <w:sz w:val="20"/>
                <w:szCs w:val="20"/>
              </w:rPr>
              <w:t xml:space="preserve"> </w:t>
            </w:r>
            <w:r>
              <w:rPr>
                <w:spacing w:val="3"/>
                <w:sz w:val="20"/>
                <w:szCs w:val="20"/>
              </w:rPr>
              <w:t>年</w:t>
            </w:r>
            <w:r>
              <w:rPr>
                <w:spacing w:val="-32"/>
                <w:sz w:val="20"/>
                <w:szCs w:val="20"/>
              </w:rPr>
              <w:t xml:space="preserve"> </w:t>
            </w:r>
            <w:r>
              <w:rPr>
                <w:spacing w:val="3"/>
                <w:sz w:val="20"/>
                <w:szCs w:val="20"/>
              </w:rPr>
              <w:t>7</w:t>
            </w:r>
            <w:r>
              <w:rPr>
                <w:spacing w:val="-36"/>
                <w:sz w:val="20"/>
                <w:szCs w:val="20"/>
              </w:rPr>
              <w:t xml:space="preserve"> </w:t>
            </w:r>
            <w:r>
              <w:rPr>
                <w:spacing w:val="3"/>
                <w:sz w:val="20"/>
                <w:szCs w:val="20"/>
              </w:rPr>
              <w:t>月</w:t>
            </w:r>
            <w:r>
              <w:rPr>
                <w:spacing w:val="-34"/>
                <w:sz w:val="20"/>
                <w:szCs w:val="20"/>
              </w:rPr>
              <w:t xml:space="preserve"> </w:t>
            </w:r>
            <w:r>
              <w:rPr>
                <w:spacing w:val="3"/>
                <w:sz w:val="20"/>
                <w:szCs w:val="20"/>
              </w:rPr>
              <w:t>28 日，四川省委、省政府印发了《美丽四川建设战略规划</w:t>
            </w:r>
            <w:r>
              <w:rPr>
                <w:sz w:val="20"/>
                <w:szCs w:val="20"/>
              </w:rPr>
              <w:t xml:space="preserve"> </w:t>
            </w:r>
            <w:r>
              <w:rPr>
                <w:spacing w:val="-2"/>
                <w:sz w:val="20"/>
                <w:szCs w:val="20"/>
              </w:rPr>
              <w:t>纲要（2022—2035</w:t>
            </w:r>
            <w:r>
              <w:rPr>
                <w:spacing w:val="-39"/>
                <w:sz w:val="20"/>
                <w:szCs w:val="20"/>
              </w:rPr>
              <w:t xml:space="preserve"> </w:t>
            </w:r>
            <w:r>
              <w:rPr>
                <w:spacing w:val="-2"/>
                <w:sz w:val="20"/>
                <w:szCs w:val="20"/>
              </w:rPr>
              <w:t>年）》</w:t>
            </w:r>
          </w:p>
          <w:p w14:paraId="42A47198">
            <w:pPr>
              <w:pStyle w:val="6"/>
              <w:spacing w:before="35" w:line="353" w:lineRule="auto"/>
              <w:ind w:left="95" w:right="21" w:firstLine="426"/>
              <w:jc w:val="both"/>
              <w:rPr>
                <w:sz w:val="20"/>
                <w:szCs w:val="20"/>
              </w:rPr>
            </w:pPr>
            <w:r>
              <w:rPr>
                <w:spacing w:val="2"/>
                <w:sz w:val="20"/>
                <w:szCs w:val="20"/>
              </w:rPr>
              <w:t>《纲要》围绕美丽四川建设的总体目标，将</w:t>
            </w:r>
            <w:r>
              <w:rPr>
                <w:spacing w:val="-19"/>
                <w:sz w:val="20"/>
                <w:szCs w:val="20"/>
              </w:rPr>
              <w:t xml:space="preserve"> </w:t>
            </w:r>
            <w:r>
              <w:rPr>
                <w:spacing w:val="2"/>
                <w:sz w:val="20"/>
                <w:szCs w:val="20"/>
              </w:rPr>
              <w:t>15</w:t>
            </w:r>
            <w:r>
              <w:rPr>
                <w:spacing w:val="-39"/>
                <w:sz w:val="20"/>
                <w:szCs w:val="20"/>
              </w:rPr>
              <w:t xml:space="preserve"> </w:t>
            </w:r>
            <w:r>
              <w:rPr>
                <w:spacing w:val="2"/>
                <w:sz w:val="20"/>
                <w:szCs w:val="20"/>
              </w:rPr>
              <w:t>年建设期划为</w:t>
            </w:r>
            <w:r>
              <w:rPr>
                <w:spacing w:val="-33"/>
                <w:sz w:val="20"/>
                <w:szCs w:val="20"/>
              </w:rPr>
              <w:t xml:space="preserve"> </w:t>
            </w:r>
            <w:r>
              <w:rPr>
                <w:spacing w:val="2"/>
                <w:sz w:val="20"/>
                <w:szCs w:val="20"/>
              </w:rPr>
              <w:t>3</w:t>
            </w:r>
            <w:r>
              <w:rPr>
                <w:spacing w:val="-38"/>
                <w:sz w:val="20"/>
                <w:szCs w:val="20"/>
              </w:rPr>
              <w:t xml:space="preserve"> </w:t>
            </w:r>
            <w:r>
              <w:rPr>
                <w:spacing w:val="2"/>
                <w:sz w:val="20"/>
                <w:szCs w:val="20"/>
              </w:rPr>
              <w:t>个阶段，</w:t>
            </w:r>
            <w:r>
              <w:rPr>
                <w:sz w:val="20"/>
                <w:szCs w:val="20"/>
              </w:rPr>
              <w:t xml:space="preserve"> </w:t>
            </w:r>
            <w:r>
              <w:rPr>
                <w:spacing w:val="7"/>
                <w:sz w:val="20"/>
                <w:szCs w:val="20"/>
              </w:rPr>
              <w:t>围绕经济、生态、环境、城乡、文化等重点领域，</w:t>
            </w:r>
            <w:r>
              <w:rPr>
                <w:spacing w:val="-43"/>
                <w:sz w:val="20"/>
                <w:szCs w:val="20"/>
              </w:rPr>
              <w:t xml:space="preserve"> </w:t>
            </w:r>
            <w:r>
              <w:rPr>
                <w:spacing w:val="7"/>
                <w:sz w:val="20"/>
                <w:szCs w:val="20"/>
              </w:rPr>
              <w:t>以</w:t>
            </w:r>
            <w:r>
              <w:rPr>
                <w:spacing w:val="-35"/>
                <w:sz w:val="20"/>
                <w:szCs w:val="20"/>
              </w:rPr>
              <w:t xml:space="preserve"> </w:t>
            </w:r>
            <w:r>
              <w:rPr>
                <w:spacing w:val="7"/>
                <w:sz w:val="20"/>
                <w:szCs w:val="20"/>
              </w:rPr>
              <w:t>5</w:t>
            </w:r>
            <w:r>
              <w:rPr>
                <w:spacing w:val="-37"/>
                <w:sz w:val="20"/>
                <w:szCs w:val="20"/>
              </w:rPr>
              <w:t xml:space="preserve"> </w:t>
            </w:r>
            <w:r>
              <w:rPr>
                <w:spacing w:val="7"/>
                <w:sz w:val="20"/>
                <w:szCs w:val="20"/>
              </w:rPr>
              <w:t>年为一个阶段梯次</w:t>
            </w:r>
            <w:r>
              <w:rPr>
                <w:sz w:val="20"/>
                <w:szCs w:val="20"/>
              </w:rPr>
              <w:t xml:space="preserve">  </w:t>
            </w:r>
            <w:r>
              <w:rPr>
                <w:spacing w:val="2"/>
                <w:sz w:val="20"/>
                <w:szCs w:val="20"/>
              </w:rPr>
              <w:t>推进。《纲要》涵盖空间格局、美丽家园、绿色经济、宜人环</w:t>
            </w:r>
            <w:r>
              <w:rPr>
                <w:spacing w:val="1"/>
                <w:sz w:val="20"/>
                <w:szCs w:val="20"/>
              </w:rPr>
              <w:t>境、自然生态、</w:t>
            </w:r>
            <w:r>
              <w:rPr>
                <w:sz w:val="20"/>
                <w:szCs w:val="20"/>
              </w:rPr>
              <w:t xml:space="preserve"> </w:t>
            </w:r>
            <w:r>
              <w:rPr>
                <w:spacing w:val="7"/>
                <w:sz w:val="20"/>
                <w:szCs w:val="20"/>
              </w:rPr>
              <w:t>巴蜀文化、治理体系等</w:t>
            </w:r>
            <w:r>
              <w:rPr>
                <w:spacing w:val="-32"/>
                <w:sz w:val="20"/>
                <w:szCs w:val="20"/>
              </w:rPr>
              <w:t xml:space="preserve"> </w:t>
            </w:r>
            <w:r>
              <w:rPr>
                <w:spacing w:val="7"/>
                <w:sz w:val="20"/>
                <w:szCs w:val="20"/>
              </w:rPr>
              <w:t>7</w:t>
            </w:r>
            <w:r>
              <w:rPr>
                <w:spacing w:val="-38"/>
                <w:sz w:val="20"/>
                <w:szCs w:val="20"/>
              </w:rPr>
              <w:t xml:space="preserve"> </w:t>
            </w:r>
            <w:r>
              <w:rPr>
                <w:spacing w:val="7"/>
                <w:sz w:val="20"/>
                <w:szCs w:val="20"/>
              </w:rPr>
              <w:t>个板块，将分别实施美丽城乡建设、推进碳达峰、</w:t>
            </w:r>
            <w:r>
              <w:rPr>
                <w:sz w:val="20"/>
                <w:szCs w:val="20"/>
              </w:rPr>
              <w:t xml:space="preserve"> </w:t>
            </w:r>
            <w:r>
              <w:rPr>
                <w:spacing w:val="9"/>
                <w:sz w:val="20"/>
                <w:szCs w:val="20"/>
              </w:rPr>
              <w:t>产业绿色转型、蓝天碧水、净土安居等</w:t>
            </w:r>
            <w:r>
              <w:rPr>
                <w:spacing w:val="-38"/>
                <w:sz w:val="20"/>
                <w:szCs w:val="20"/>
              </w:rPr>
              <w:t xml:space="preserve"> </w:t>
            </w:r>
            <w:r>
              <w:rPr>
                <w:spacing w:val="9"/>
                <w:sz w:val="20"/>
                <w:szCs w:val="20"/>
              </w:rPr>
              <w:t>8</w:t>
            </w:r>
            <w:r>
              <w:rPr>
                <w:spacing w:val="-38"/>
                <w:sz w:val="20"/>
                <w:szCs w:val="20"/>
              </w:rPr>
              <w:t xml:space="preserve"> </w:t>
            </w:r>
            <w:r>
              <w:rPr>
                <w:spacing w:val="9"/>
                <w:sz w:val="20"/>
                <w:szCs w:val="20"/>
              </w:rPr>
              <w:t>个重大工程，首次提出要</w:t>
            </w:r>
            <w:r>
              <w:rPr>
                <w:spacing w:val="8"/>
                <w:sz w:val="20"/>
                <w:szCs w:val="20"/>
              </w:rPr>
              <w:t>分类打</w:t>
            </w:r>
            <w:r>
              <w:rPr>
                <w:sz w:val="20"/>
                <w:szCs w:val="20"/>
              </w:rPr>
              <w:t xml:space="preserve">  </w:t>
            </w:r>
            <w:r>
              <w:rPr>
                <w:spacing w:val="8"/>
                <w:sz w:val="20"/>
                <w:szCs w:val="20"/>
              </w:rPr>
              <w:t>造川西林盘、彝家新寨、巴山新居、乌蒙新村等美丽乡村。对于四川</w:t>
            </w:r>
            <w:r>
              <w:rPr>
                <w:spacing w:val="7"/>
                <w:sz w:val="20"/>
                <w:szCs w:val="20"/>
              </w:rPr>
              <w:t>完整、</w:t>
            </w:r>
            <w:r>
              <w:rPr>
                <w:sz w:val="20"/>
                <w:szCs w:val="20"/>
              </w:rPr>
              <w:t xml:space="preserve"> </w:t>
            </w:r>
            <w:r>
              <w:rPr>
                <w:spacing w:val="10"/>
                <w:sz w:val="20"/>
                <w:szCs w:val="20"/>
              </w:rPr>
              <w:t>准确、全面贯彻新发展理念，服务和融入新发展</w:t>
            </w:r>
            <w:r>
              <w:rPr>
                <w:spacing w:val="9"/>
                <w:sz w:val="20"/>
                <w:szCs w:val="20"/>
              </w:rPr>
              <w:t>格局，加快构建人与自然</w:t>
            </w:r>
            <w:r>
              <w:rPr>
                <w:sz w:val="20"/>
                <w:szCs w:val="20"/>
              </w:rPr>
              <w:t xml:space="preserve">  </w:t>
            </w:r>
            <w:r>
              <w:rPr>
                <w:spacing w:val="10"/>
                <w:sz w:val="20"/>
                <w:szCs w:val="20"/>
              </w:rPr>
              <w:t>和谐共生的美丽中国先行区，充分绽放四川独特</w:t>
            </w:r>
            <w:r>
              <w:rPr>
                <w:spacing w:val="9"/>
                <w:sz w:val="20"/>
                <w:szCs w:val="20"/>
              </w:rPr>
              <w:t>的自然生态之美、多彩人</w:t>
            </w:r>
          </w:p>
        </w:tc>
      </w:tr>
    </w:tbl>
    <w:p w14:paraId="233881BF">
      <w:pPr>
        <w:pStyle w:val="2"/>
      </w:pPr>
    </w:p>
    <w:p w14:paraId="26468DD7">
      <w:pPr>
        <w:sectPr>
          <w:footerReference r:id="rId26" w:type="default"/>
          <w:pgSz w:w="11906" w:h="16839"/>
          <w:pgMar w:top="1431" w:right="1543" w:bottom="1260" w:left="1537" w:header="0" w:footer="1080" w:gutter="0"/>
          <w:cols w:space="720" w:num="1"/>
        </w:sectPr>
      </w:pPr>
    </w:p>
    <w:p w14:paraId="709D1BC0">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3EF37D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12" w:hRule="atLeast"/>
        </w:trPr>
        <w:tc>
          <w:tcPr>
            <w:tcW w:w="8814" w:type="dxa"/>
            <w:vAlign w:val="top"/>
          </w:tcPr>
          <w:tbl>
            <w:tblPr>
              <w:tblStyle w:val="5"/>
              <w:tblW w:w="6896"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542"/>
              <w:gridCol w:w="2543"/>
              <w:gridCol w:w="487"/>
              <w:gridCol w:w="1751"/>
              <w:gridCol w:w="88"/>
              <w:gridCol w:w="712"/>
            </w:tblGrid>
            <w:tr w14:paraId="6B062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6896" w:type="dxa"/>
                  <w:gridSpan w:val="7"/>
                  <w:tcBorders>
                    <w:top w:val="nil"/>
                    <w:right w:val="nil"/>
                  </w:tcBorders>
                  <w:vAlign w:val="top"/>
                </w:tcPr>
                <w:p w14:paraId="7E6835D1">
                  <w:pPr>
                    <w:pStyle w:val="6"/>
                    <w:spacing w:before="151" w:line="352" w:lineRule="auto"/>
                    <w:ind w:left="100"/>
                    <w:rPr>
                      <w:sz w:val="20"/>
                      <w:szCs w:val="20"/>
                    </w:rPr>
                  </w:pPr>
                  <w:r>
                    <w:rPr>
                      <w:spacing w:val="6"/>
                      <w:sz w:val="20"/>
                      <w:szCs w:val="20"/>
                    </w:rPr>
                    <w:t>文之韵，让四川在建设美丽中国篇章中走在西部前列，具有</w:t>
                  </w:r>
                  <w:r>
                    <w:rPr>
                      <w:spacing w:val="5"/>
                      <w:sz w:val="20"/>
                      <w:szCs w:val="20"/>
                    </w:rPr>
                    <w:t>重要战略意义。</w:t>
                  </w:r>
                  <w:r>
                    <w:rPr>
                      <w:sz w:val="20"/>
                      <w:szCs w:val="20"/>
                    </w:rPr>
                    <w:t xml:space="preserve"> </w:t>
                  </w:r>
                  <w:r>
                    <w:rPr>
                      <w:spacing w:val="6"/>
                      <w:sz w:val="20"/>
                      <w:szCs w:val="20"/>
                    </w:rPr>
                    <w:t>本项目与《纲要》的符合性分析如下：</w:t>
                  </w:r>
                </w:p>
                <w:p w14:paraId="6F5BDAE0">
                  <w:pPr>
                    <w:pStyle w:val="6"/>
                    <w:spacing w:before="28" w:line="219" w:lineRule="auto"/>
                    <w:ind w:left="1187"/>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1-9        </w:t>
                  </w:r>
                  <w:r>
                    <w:rPr>
                      <w:b/>
                      <w:bCs/>
                      <w:spacing w:val="-1"/>
                      <w:sz w:val="18"/>
                      <w:szCs w:val="18"/>
                    </w:rPr>
                    <w:t>项目与美丽四川</w:t>
                  </w:r>
                  <w:r>
                    <w:rPr>
                      <w:b/>
                      <w:bCs/>
                      <w:spacing w:val="-2"/>
                      <w:sz w:val="18"/>
                      <w:szCs w:val="18"/>
                    </w:rPr>
                    <w:t>建设战略规划纲要的符合性分析</w:t>
                  </w:r>
                </w:p>
              </w:tc>
            </w:tr>
            <w:tr w14:paraId="1075D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73" w:type="dxa"/>
                  <w:vAlign w:val="top"/>
                </w:tcPr>
                <w:p w14:paraId="5396FC8B">
                  <w:pPr>
                    <w:pStyle w:val="6"/>
                    <w:spacing w:before="54" w:line="206" w:lineRule="auto"/>
                    <w:ind w:left="275"/>
                    <w:rPr>
                      <w:sz w:val="18"/>
                      <w:szCs w:val="18"/>
                    </w:rPr>
                  </w:pPr>
                  <w:r>
                    <w:rPr>
                      <w:b/>
                      <w:bCs/>
                      <w:spacing w:val="-6"/>
                      <w:sz w:val="18"/>
                      <w:szCs w:val="18"/>
                    </w:rPr>
                    <w:t>序号</w:t>
                  </w:r>
                </w:p>
              </w:tc>
              <w:tc>
                <w:tcPr>
                  <w:tcW w:w="3572" w:type="dxa"/>
                  <w:gridSpan w:val="3"/>
                  <w:vAlign w:val="top"/>
                </w:tcPr>
                <w:p w14:paraId="3D7AC257">
                  <w:pPr>
                    <w:pStyle w:val="6"/>
                    <w:spacing w:before="54" w:line="206" w:lineRule="auto"/>
                    <w:ind w:left="1428"/>
                    <w:rPr>
                      <w:sz w:val="18"/>
                      <w:szCs w:val="18"/>
                    </w:rPr>
                  </w:pPr>
                  <w:r>
                    <w:rPr>
                      <w:b/>
                      <w:bCs/>
                      <w:spacing w:val="-4"/>
                      <w:sz w:val="18"/>
                      <w:szCs w:val="18"/>
                    </w:rPr>
                    <w:t>规划要求</w:t>
                  </w:r>
                </w:p>
              </w:tc>
              <w:tc>
                <w:tcPr>
                  <w:tcW w:w="1751" w:type="dxa"/>
                  <w:vAlign w:val="top"/>
                </w:tcPr>
                <w:p w14:paraId="7E8DC89C">
                  <w:pPr>
                    <w:pStyle w:val="6"/>
                    <w:spacing w:before="49" w:line="211" w:lineRule="auto"/>
                    <w:ind w:left="429"/>
                    <w:rPr>
                      <w:sz w:val="18"/>
                      <w:szCs w:val="18"/>
                    </w:rPr>
                  </w:pPr>
                  <w:r>
                    <w:rPr>
                      <w:b/>
                      <w:bCs/>
                      <w:spacing w:val="-3"/>
                      <w:sz w:val="18"/>
                      <w:szCs w:val="18"/>
                    </w:rPr>
                    <w:t>本项目情况</w:t>
                  </w:r>
                </w:p>
              </w:tc>
              <w:tc>
                <w:tcPr>
                  <w:tcW w:w="800" w:type="dxa"/>
                  <w:gridSpan w:val="2"/>
                  <w:vAlign w:val="top"/>
                </w:tcPr>
                <w:p w14:paraId="571E9D03">
                  <w:pPr>
                    <w:pStyle w:val="6"/>
                    <w:spacing w:before="54" w:line="206" w:lineRule="auto"/>
                    <w:ind w:left="114"/>
                    <w:rPr>
                      <w:sz w:val="18"/>
                      <w:szCs w:val="18"/>
                    </w:rPr>
                  </w:pPr>
                  <w:r>
                    <w:rPr>
                      <w:b/>
                      <w:bCs/>
                      <w:spacing w:val="-4"/>
                      <w:sz w:val="18"/>
                      <w:szCs w:val="18"/>
                    </w:rPr>
                    <w:t>符合性</w:t>
                  </w:r>
                </w:p>
              </w:tc>
            </w:tr>
            <w:tr w14:paraId="3A8B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773" w:type="dxa"/>
                  <w:vAlign w:val="top"/>
                </w:tcPr>
                <w:p w14:paraId="1A25C910">
                  <w:pPr>
                    <w:spacing w:line="269" w:lineRule="auto"/>
                    <w:rPr>
                      <w:rFonts w:ascii="Arial"/>
                      <w:sz w:val="21"/>
                    </w:rPr>
                  </w:pPr>
                </w:p>
                <w:p w14:paraId="6021614D">
                  <w:pPr>
                    <w:spacing w:line="269" w:lineRule="auto"/>
                    <w:rPr>
                      <w:rFonts w:ascii="Arial"/>
                      <w:sz w:val="21"/>
                    </w:rPr>
                  </w:pPr>
                </w:p>
                <w:p w14:paraId="1A330706">
                  <w:pPr>
                    <w:pStyle w:val="6"/>
                    <w:spacing w:before="58" w:line="184" w:lineRule="auto"/>
                    <w:ind w:left="426"/>
                    <w:rPr>
                      <w:sz w:val="18"/>
                      <w:szCs w:val="18"/>
                    </w:rPr>
                  </w:pPr>
                  <w:r>
                    <w:rPr>
                      <w:sz w:val="18"/>
                      <w:szCs w:val="18"/>
                    </w:rPr>
                    <w:t>1</w:t>
                  </w:r>
                </w:p>
              </w:tc>
              <w:tc>
                <w:tcPr>
                  <w:tcW w:w="3572" w:type="dxa"/>
                  <w:gridSpan w:val="3"/>
                  <w:vAlign w:val="top"/>
                </w:tcPr>
                <w:p w14:paraId="14E7BCFA">
                  <w:pPr>
                    <w:pStyle w:val="6"/>
                    <w:spacing w:before="55" w:line="219" w:lineRule="auto"/>
                    <w:ind w:left="84"/>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有序推进碳达峰碳中和</w:t>
                  </w:r>
                </w:p>
                <w:p w14:paraId="17BB9AF0">
                  <w:pPr>
                    <w:pStyle w:val="6"/>
                    <w:spacing w:before="46" w:line="251" w:lineRule="auto"/>
                    <w:ind w:left="88" w:right="24"/>
                    <w:rPr>
                      <w:sz w:val="18"/>
                      <w:szCs w:val="18"/>
                    </w:rPr>
                  </w:pPr>
                  <w:r>
                    <w:rPr>
                      <w:spacing w:val="-1"/>
                      <w:sz w:val="18"/>
                      <w:szCs w:val="18"/>
                    </w:rPr>
                    <w:t>锚定</w:t>
                  </w:r>
                  <w:r>
                    <w:rPr>
                      <w:rFonts w:ascii="Times New Roman" w:hAnsi="Times New Roman" w:eastAsia="Times New Roman" w:cs="Times New Roman"/>
                      <w:spacing w:val="-1"/>
                      <w:sz w:val="18"/>
                      <w:szCs w:val="18"/>
                    </w:rPr>
                    <w:t>“</w:t>
                  </w:r>
                  <w:r>
                    <w:rPr>
                      <w:spacing w:val="-1"/>
                      <w:sz w:val="18"/>
                      <w:szCs w:val="18"/>
                    </w:rPr>
                    <w:t>双碳</w:t>
                  </w:r>
                  <w:r>
                    <w:rPr>
                      <w:rFonts w:ascii="Times New Roman" w:hAnsi="Times New Roman" w:eastAsia="Times New Roman" w:cs="Times New Roman"/>
                      <w:spacing w:val="-1"/>
                      <w:sz w:val="18"/>
                      <w:szCs w:val="18"/>
                    </w:rPr>
                    <w:t>”</w:t>
                  </w:r>
                  <w:r>
                    <w:rPr>
                      <w:spacing w:val="-1"/>
                      <w:sz w:val="18"/>
                      <w:szCs w:val="18"/>
                    </w:rPr>
                    <w:t>目标强化绿色引领。全力推进达</w:t>
                  </w:r>
                  <w:r>
                    <w:rPr>
                      <w:spacing w:val="12"/>
                      <w:sz w:val="18"/>
                      <w:szCs w:val="18"/>
                    </w:rPr>
                    <w:t xml:space="preserve"> </w:t>
                  </w:r>
                  <w:r>
                    <w:rPr>
                      <w:spacing w:val="-8"/>
                      <w:sz w:val="18"/>
                      <w:szCs w:val="18"/>
                    </w:rPr>
                    <w:t>峰行动，强化温室气体排放控制，加强甲烷、</w:t>
                  </w:r>
                  <w:r>
                    <w:rPr>
                      <w:spacing w:val="12"/>
                      <w:sz w:val="18"/>
                      <w:szCs w:val="18"/>
                    </w:rPr>
                    <w:t xml:space="preserve"> </w:t>
                  </w:r>
                  <w:r>
                    <w:rPr>
                      <w:spacing w:val="8"/>
                      <w:sz w:val="18"/>
                      <w:szCs w:val="18"/>
                    </w:rPr>
                    <w:t xml:space="preserve">氢氟碳化物等非二氧化碳温室气体排放管 </w:t>
                  </w:r>
                  <w:r>
                    <w:rPr>
                      <w:spacing w:val="-1"/>
                      <w:sz w:val="18"/>
                      <w:szCs w:val="18"/>
                    </w:rPr>
                    <w:t>理，主动适应气候变化，加强试点示范。</w:t>
                  </w:r>
                </w:p>
              </w:tc>
              <w:tc>
                <w:tcPr>
                  <w:tcW w:w="1751" w:type="dxa"/>
                  <w:vAlign w:val="top"/>
                </w:tcPr>
                <w:p w14:paraId="6B8599BC">
                  <w:pPr>
                    <w:pStyle w:val="6"/>
                    <w:spacing w:before="210" w:line="239" w:lineRule="auto"/>
                    <w:ind w:left="85" w:right="81" w:firstLine="7"/>
                    <w:jc w:val="both"/>
                    <w:rPr>
                      <w:sz w:val="18"/>
                      <w:szCs w:val="18"/>
                    </w:rPr>
                  </w:pPr>
                  <w:r>
                    <w:rPr>
                      <w:spacing w:val="8"/>
                      <w:sz w:val="18"/>
                      <w:szCs w:val="18"/>
                    </w:rPr>
                    <w:t>本项</w:t>
                  </w:r>
                  <w:r>
                    <w:rPr>
                      <w:spacing w:val="-27"/>
                      <w:sz w:val="18"/>
                      <w:szCs w:val="18"/>
                    </w:rPr>
                    <w:t xml:space="preserve"> </w:t>
                  </w:r>
                  <w:r>
                    <w:rPr>
                      <w:spacing w:val="8"/>
                      <w:sz w:val="18"/>
                      <w:szCs w:val="18"/>
                    </w:rPr>
                    <w:t>目建设的备用</w:t>
                  </w:r>
                  <w:r>
                    <w:rPr>
                      <w:sz w:val="18"/>
                      <w:szCs w:val="18"/>
                    </w:rPr>
                    <w:t xml:space="preserve"> </w:t>
                  </w:r>
                  <w:r>
                    <w:rPr>
                      <w:spacing w:val="-7"/>
                      <w:sz w:val="18"/>
                      <w:szCs w:val="18"/>
                    </w:rPr>
                    <w:t>蒸汽锅炉，为</w:t>
                  </w:r>
                  <w:r>
                    <w:rPr>
                      <w:spacing w:val="-35"/>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11"/>
                      <w:sz w:val="18"/>
                      <w:szCs w:val="18"/>
                    </w:rPr>
                    <w:t xml:space="preserve"> </w:t>
                  </w:r>
                  <w:r>
                    <w:rPr>
                      <w:spacing w:val="-7"/>
                      <w:sz w:val="18"/>
                      <w:szCs w:val="18"/>
                    </w:rPr>
                    <w:t>蒸吨</w:t>
                  </w:r>
                  <w:r>
                    <w:rPr>
                      <w:sz w:val="18"/>
                      <w:szCs w:val="18"/>
                    </w:rPr>
                    <w:t xml:space="preserve"> </w:t>
                  </w:r>
                  <w:r>
                    <w:rPr>
                      <w:rFonts w:ascii="Times New Roman" w:hAnsi="Times New Roman" w:eastAsia="Times New Roman" w:cs="Times New Roman"/>
                      <w:spacing w:val="-5"/>
                      <w:sz w:val="18"/>
                      <w:szCs w:val="18"/>
                    </w:rPr>
                    <w:t xml:space="preserve">/h </w:t>
                  </w:r>
                  <w:r>
                    <w:rPr>
                      <w:spacing w:val="-5"/>
                      <w:sz w:val="18"/>
                      <w:szCs w:val="18"/>
                    </w:rPr>
                    <w:t>燃气锅炉，不涉及</w:t>
                  </w:r>
                  <w:r>
                    <w:rPr>
                      <w:spacing w:val="8"/>
                      <w:sz w:val="18"/>
                      <w:szCs w:val="18"/>
                    </w:rPr>
                    <w:t xml:space="preserve"> </w:t>
                  </w:r>
                  <w:r>
                    <w:rPr>
                      <w:spacing w:val="-1"/>
                      <w:sz w:val="18"/>
                      <w:szCs w:val="18"/>
                    </w:rPr>
                    <w:t>燃煤锅炉的建设。</w:t>
                  </w:r>
                </w:p>
              </w:tc>
              <w:tc>
                <w:tcPr>
                  <w:tcW w:w="800" w:type="dxa"/>
                  <w:gridSpan w:val="2"/>
                  <w:vAlign w:val="top"/>
                </w:tcPr>
                <w:p w14:paraId="716FAC3F">
                  <w:pPr>
                    <w:spacing w:line="255" w:lineRule="auto"/>
                    <w:rPr>
                      <w:rFonts w:ascii="Arial"/>
                      <w:sz w:val="21"/>
                    </w:rPr>
                  </w:pPr>
                </w:p>
                <w:p w14:paraId="51B1F14F">
                  <w:pPr>
                    <w:spacing w:line="256" w:lineRule="auto"/>
                    <w:rPr>
                      <w:rFonts w:ascii="Arial"/>
                      <w:sz w:val="21"/>
                    </w:rPr>
                  </w:pPr>
                </w:p>
                <w:p w14:paraId="0CF38F99">
                  <w:pPr>
                    <w:pStyle w:val="6"/>
                    <w:spacing w:before="58" w:line="219" w:lineRule="auto"/>
                    <w:ind w:left="205"/>
                    <w:rPr>
                      <w:sz w:val="18"/>
                      <w:szCs w:val="18"/>
                    </w:rPr>
                  </w:pPr>
                  <w:r>
                    <w:rPr>
                      <w:spacing w:val="-5"/>
                      <w:sz w:val="18"/>
                      <w:szCs w:val="18"/>
                    </w:rPr>
                    <w:t>符合</w:t>
                  </w:r>
                </w:p>
              </w:tc>
            </w:tr>
            <w:tr w14:paraId="7B4E6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773" w:type="dxa"/>
                  <w:vAlign w:val="top"/>
                </w:tcPr>
                <w:p w14:paraId="643C77D2">
                  <w:pPr>
                    <w:spacing w:line="262" w:lineRule="auto"/>
                    <w:rPr>
                      <w:rFonts w:ascii="Arial"/>
                      <w:sz w:val="21"/>
                    </w:rPr>
                  </w:pPr>
                </w:p>
                <w:p w14:paraId="09E02F13">
                  <w:pPr>
                    <w:spacing w:line="263" w:lineRule="auto"/>
                    <w:rPr>
                      <w:rFonts w:ascii="Arial"/>
                      <w:sz w:val="21"/>
                    </w:rPr>
                  </w:pPr>
                </w:p>
                <w:p w14:paraId="1D00938B">
                  <w:pPr>
                    <w:spacing w:line="263" w:lineRule="auto"/>
                    <w:rPr>
                      <w:rFonts w:ascii="Arial"/>
                      <w:sz w:val="21"/>
                    </w:rPr>
                  </w:pPr>
                </w:p>
                <w:p w14:paraId="03F9B628">
                  <w:pPr>
                    <w:spacing w:line="263" w:lineRule="auto"/>
                    <w:rPr>
                      <w:rFonts w:ascii="Arial"/>
                      <w:sz w:val="21"/>
                    </w:rPr>
                  </w:pPr>
                </w:p>
                <w:p w14:paraId="59FBAF3B">
                  <w:pPr>
                    <w:spacing w:line="263" w:lineRule="auto"/>
                    <w:rPr>
                      <w:rFonts w:ascii="Arial"/>
                      <w:sz w:val="21"/>
                    </w:rPr>
                  </w:pPr>
                </w:p>
                <w:p w14:paraId="639AB6C6">
                  <w:pPr>
                    <w:pStyle w:val="6"/>
                    <w:spacing w:before="58" w:line="183" w:lineRule="auto"/>
                    <w:ind w:left="414"/>
                    <w:rPr>
                      <w:sz w:val="18"/>
                      <w:szCs w:val="18"/>
                    </w:rPr>
                  </w:pPr>
                  <w:r>
                    <w:rPr>
                      <w:sz w:val="18"/>
                      <w:szCs w:val="18"/>
                    </w:rPr>
                    <w:t>2</w:t>
                  </w:r>
                </w:p>
              </w:tc>
              <w:tc>
                <w:tcPr>
                  <w:tcW w:w="3572" w:type="dxa"/>
                  <w:gridSpan w:val="3"/>
                  <w:vAlign w:val="top"/>
                </w:tcPr>
                <w:p w14:paraId="2D648B20">
                  <w:pPr>
                    <w:pStyle w:val="6"/>
                    <w:spacing w:before="52" w:line="219" w:lineRule="auto"/>
                    <w:ind w:left="90"/>
                    <w:rPr>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保卫蓝天雪山胜景</w:t>
                  </w:r>
                </w:p>
                <w:p w14:paraId="601E71B9">
                  <w:pPr>
                    <w:pStyle w:val="6"/>
                    <w:spacing w:before="50" w:line="260" w:lineRule="auto"/>
                    <w:ind w:left="87" w:right="38" w:firstLine="5"/>
                    <w:rPr>
                      <w:sz w:val="18"/>
                      <w:szCs w:val="18"/>
                    </w:rPr>
                  </w:pPr>
                  <w:r>
                    <w:rPr>
                      <w:spacing w:val="3"/>
                      <w:sz w:val="18"/>
                      <w:szCs w:val="18"/>
                    </w:rPr>
                    <w:t>实现推窗见雪山蓝天胜景。着力构建</w:t>
                  </w:r>
                  <w:r>
                    <w:rPr>
                      <w:rFonts w:ascii="Times New Roman" w:hAnsi="Times New Roman" w:eastAsia="Times New Roman" w:cs="Times New Roman"/>
                      <w:spacing w:val="3"/>
                      <w:sz w:val="18"/>
                      <w:szCs w:val="18"/>
                    </w:rPr>
                    <w:t>“</w:t>
                  </w:r>
                  <w:r>
                    <w:rPr>
                      <w:spacing w:val="3"/>
                      <w:sz w:val="18"/>
                      <w:szCs w:val="18"/>
                    </w:rPr>
                    <w:t>源头</w:t>
                  </w:r>
                  <w:r>
                    <w:rPr>
                      <w:spacing w:val="11"/>
                      <w:sz w:val="18"/>
                      <w:szCs w:val="18"/>
                    </w:rPr>
                    <w:t xml:space="preserve"> </w:t>
                  </w:r>
                  <w:r>
                    <w:rPr>
                      <w:spacing w:val="3"/>
                      <w:sz w:val="18"/>
                      <w:szCs w:val="18"/>
                    </w:rPr>
                    <w:t>严防、过程严管末端严治</w:t>
                  </w:r>
                  <w:r>
                    <w:rPr>
                      <w:rFonts w:ascii="Times New Roman" w:hAnsi="Times New Roman" w:eastAsia="Times New Roman" w:cs="Times New Roman"/>
                      <w:spacing w:val="3"/>
                      <w:sz w:val="18"/>
                      <w:szCs w:val="18"/>
                    </w:rPr>
                    <w:t>”</w:t>
                  </w:r>
                  <w:r>
                    <w:rPr>
                      <w:spacing w:val="3"/>
                      <w:sz w:val="18"/>
                      <w:szCs w:val="18"/>
                    </w:rPr>
                    <w:t>的大气污染闭环</w:t>
                  </w:r>
                  <w:r>
                    <w:rPr>
                      <w:spacing w:val="16"/>
                      <w:sz w:val="18"/>
                      <w:szCs w:val="18"/>
                    </w:rPr>
                    <w:t xml:space="preserve"> </w:t>
                  </w:r>
                  <w:r>
                    <w:rPr>
                      <w:sz w:val="18"/>
                      <w:szCs w:val="18"/>
                    </w:rPr>
                    <w:t>治理体系，协同开展细颗粒物和臭氧防治，</w:t>
                  </w:r>
                  <w:r>
                    <w:rPr>
                      <w:spacing w:val="14"/>
                      <w:sz w:val="18"/>
                      <w:szCs w:val="18"/>
                    </w:rPr>
                    <w:t xml:space="preserve"> </w:t>
                  </w:r>
                  <w:r>
                    <w:rPr>
                      <w:spacing w:val="-2"/>
                      <w:sz w:val="18"/>
                      <w:szCs w:val="18"/>
                    </w:rPr>
                    <w:t>深化重点区域大气污染联防联控，加强成渝</w:t>
                  </w:r>
                  <w:r>
                    <w:rPr>
                      <w:spacing w:val="13"/>
                      <w:sz w:val="18"/>
                      <w:szCs w:val="18"/>
                    </w:rPr>
                    <w:t xml:space="preserve"> </w:t>
                  </w:r>
                  <w:r>
                    <w:rPr>
                      <w:spacing w:val="-2"/>
                      <w:sz w:val="18"/>
                      <w:szCs w:val="18"/>
                    </w:rPr>
                    <w:t>地区污染联合应对，常现蓝天白云、繁星闪</w:t>
                  </w:r>
                  <w:r>
                    <w:rPr>
                      <w:spacing w:val="13"/>
                      <w:sz w:val="18"/>
                      <w:szCs w:val="18"/>
                    </w:rPr>
                    <w:t xml:space="preserve"> </w:t>
                  </w:r>
                  <w:r>
                    <w:rPr>
                      <w:sz w:val="18"/>
                      <w:szCs w:val="18"/>
                    </w:rPr>
                    <w:t>烁之美。加强重点区域领域大气污染防治。</w:t>
                  </w:r>
                  <w:r>
                    <w:rPr>
                      <w:spacing w:val="17"/>
                      <w:sz w:val="18"/>
                      <w:szCs w:val="18"/>
                    </w:rPr>
                    <w:t xml:space="preserve"> </w:t>
                  </w:r>
                  <w:r>
                    <w:rPr>
                      <w:spacing w:val="-8"/>
                      <w:sz w:val="18"/>
                      <w:szCs w:val="18"/>
                    </w:rPr>
                    <w:t>以成都平原、川南、川东北三大区域为重点，</w:t>
                  </w:r>
                  <w:r>
                    <w:rPr>
                      <w:sz w:val="18"/>
                      <w:szCs w:val="18"/>
                    </w:rPr>
                    <w:t xml:space="preserve"> </w:t>
                  </w:r>
                  <w:r>
                    <w:rPr>
                      <w:spacing w:val="-2"/>
                      <w:sz w:val="18"/>
                      <w:szCs w:val="18"/>
                    </w:rPr>
                    <w:t>强化大气污染联防联控，聚焦秋冬季细颗粒</w:t>
                  </w:r>
                  <w:r>
                    <w:rPr>
                      <w:spacing w:val="13"/>
                      <w:sz w:val="18"/>
                      <w:szCs w:val="18"/>
                    </w:rPr>
                    <w:t xml:space="preserve"> </w:t>
                  </w:r>
                  <w:r>
                    <w:rPr>
                      <w:spacing w:val="-2"/>
                      <w:sz w:val="18"/>
                      <w:szCs w:val="18"/>
                    </w:rPr>
                    <w:t>物污染，持续强化工业源、移动源、扬尘源</w:t>
                  </w:r>
                  <w:r>
                    <w:rPr>
                      <w:spacing w:val="11"/>
                      <w:sz w:val="18"/>
                      <w:szCs w:val="18"/>
                    </w:rPr>
                    <w:t xml:space="preserve"> </w:t>
                  </w:r>
                  <w:r>
                    <w:rPr>
                      <w:spacing w:val="-2"/>
                      <w:sz w:val="18"/>
                      <w:szCs w:val="18"/>
                    </w:rPr>
                    <w:t>综合整治。</w:t>
                  </w:r>
                </w:p>
              </w:tc>
              <w:tc>
                <w:tcPr>
                  <w:tcW w:w="1751" w:type="dxa"/>
                  <w:vAlign w:val="top"/>
                </w:tcPr>
                <w:p w14:paraId="56036B83">
                  <w:pPr>
                    <w:spacing w:line="444" w:lineRule="auto"/>
                    <w:rPr>
                      <w:rFonts w:ascii="Arial"/>
                      <w:sz w:val="21"/>
                    </w:rPr>
                  </w:pPr>
                </w:p>
                <w:p w14:paraId="7FF6FBA0">
                  <w:pPr>
                    <w:pStyle w:val="6"/>
                    <w:spacing w:before="59" w:line="243" w:lineRule="auto"/>
                    <w:ind w:left="87" w:right="81" w:firstLine="6"/>
                    <w:jc w:val="both"/>
                    <w:rPr>
                      <w:sz w:val="18"/>
                      <w:szCs w:val="18"/>
                    </w:rPr>
                  </w:pPr>
                  <w:r>
                    <w:rPr>
                      <w:spacing w:val="8"/>
                      <w:sz w:val="18"/>
                      <w:szCs w:val="18"/>
                    </w:rPr>
                    <w:t>本项</w:t>
                  </w:r>
                  <w:r>
                    <w:rPr>
                      <w:spacing w:val="-27"/>
                      <w:sz w:val="18"/>
                      <w:szCs w:val="18"/>
                    </w:rPr>
                    <w:t xml:space="preserve"> </w:t>
                  </w:r>
                  <w:r>
                    <w:rPr>
                      <w:spacing w:val="8"/>
                      <w:sz w:val="18"/>
                      <w:szCs w:val="18"/>
                    </w:rPr>
                    <w:t>目位于达州市</w:t>
                  </w:r>
                  <w:r>
                    <w:rPr>
                      <w:sz w:val="18"/>
                      <w:szCs w:val="18"/>
                    </w:rPr>
                    <w:t xml:space="preserve"> </w:t>
                  </w:r>
                  <w:r>
                    <w:rPr>
                      <w:spacing w:val="-5"/>
                      <w:sz w:val="18"/>
                      <w:szCs w:val="18"/>
                    </w:rPr>
                    <w:t>通川区，属于划定的</w:t>
                  </w:r>
                  <w:r>
                    <w:rPr>
                      <w:spacing w:val="1"/>
                      <w:sz w:val="18"/>
                      <w:szCs w:val="18"/>
                    </w:rPr>
                    <w:t xml:space="preserve"> </w:t>
                  </w:r>
                  <w:r>
                    <w:rPr>
                      <w:spacing w:val="16"/>
                      <w:sz w:val="18"/>
                      <w:szCs w:val="18"/>
                    </w:rPr>
                    <w:t>大气污染防治重点</w:t>
                  </w:r>
                  <w:r>
                    <w:rPr>
                      <w:spacing w:val="6"/>
                      <w:sz w:val="18"/>
                      <w:szCs w:val="18"/>
                    </w:rPr>
                    <w:t xml:space="preserve"> </w:t>
                  </w:r>
                  <w:r>
                    <w:rPr>
                      <w:spacing w:val="-5"/>
                      <w:sz w:val="18"/>
                      <w:szCs w:val="18"/>
                    </w:rPr>
                    <w:t>区域内。项目大气污</w:t>
                  </w:r>
                  <w:r>
                    <w:rPr>
                      <w:spacing w:val="1"/>
                      <w:sz w:val="18"/>
                      <w:szCs w:val="18"/>
                    </w:rPr>
                    <w:t xml:space="preserve"> </w:t>
                  </w:r>
                  <w:r>
                    <w:rPr>
                      <w:spacing w:val="8"/>
                      <w:sz w:val="18"/>
                      <w:szCs w:val="18"/>
                    </w:rPr>
                    <w:t>染物主要为</w:t>
                  </w:r>
                  <w:r>
                    <w:rPr>
                      <w:spacing w:val="-23"/>
                      <w:sz w:val="18"/>
                      <w:szCs w:val="18"/>
                    </w:rPr>
                    <w:t xml:space="preserve"> </w:t>
                  </w:r>
                  <w:r>
                    <w:rPr>
                      <w:rFonts w:ascii="Times New Roman" w:hAnsi="Times New Roman" w:eastAsia="Times New Roman" w:cs="Times New Roman"/>
                      <w:sz w:val="18"/>
                      <w:szCs w:val="18"/>
                    </w:rPr>
                    <w:t>TSP</w:t>
                  </w:r>
                  <w:r>
                    <w:rPr>
                      <w:rFonts w:ascii="Times New Roman" w:hAnsi="Times New Roman" w:eastAsia="Times New Roman" w:cs="Times New Roman"/>
                      <w:spacing w:val="26"/>
                      <w:sz w:val="18"/>
                      <w:szCs w:val="18"/>
                    </w:rPr>
                    <w:t xml:space="preserve"> </w:t>
                  </w:r>
                  <w:r>
                    <w:rPr>
                      <w:spacing w:val="8"/>
                      <w:sz w:val="18"/>
                      <w:szCs w:val="18"/>
                    </w:rPr>
                    <w:t>和</w:t>
                  </w:r>
                  <w:r>
                    <w:rPr>
                      <w:sz w:val="18"/>
                      <w:szCs w:val="18"/>
                    </w:rPr>
                    <w:t xml:space="preserve"> </w:t>
                  </w:r>
                  <w:r>
                    <w:rPr>
                      <w:rFonts w:ascii="Times New Roman" w:hAnsi="Times New Roman" w:eastAsia="Times New Roman" w:cs="Times New Roman"/>
                      <w:sz w:val="18"/>
                      <w:szCs w:val="18"/>
                    </w:rPr>
                    <w:t>VOC</w:t>
                  </w:r>
                  <w:r>
                    <w:rPr>
                      <w:rFonts w:ascii="Times New Roman" w:hAnsi="Times New Roman" w:eastAsia="Times New Roman" w:cs="Times New Roman"/>
                      <w:position w:val="-1"/>
                      <w:sz w:val="11"/>
                      <w:szCs w:val="11"/>
                    </w:rPr>
                    <w:t>s</w:t>
                  </w:r>
                  <w:r>
                    <w:rPr>
                      <w:rFonts w:ascii="Times New Roman" w:hAnsi="Times New Roman" w:eastAsia="Times New Roman" w:cs="Times New Roman"/>
                      <w:spacing w:val="6"/>
                      <w:position w:val="-1"/>
                      <w:sz w:val="11"/>
                      <w:szCs w:val="11"/>
                    </w:rPr>
                    <w:t xml:space="preserve"> </w:t>
                  </w:r>
                  <w:r>
                    <w:rPr>
                      <w:spacing w:val="6"/>
                      <w:sz w:val="18"/>
                      <w:szCs w:val="18"/>
                    </w:rPr>
                    <w:t>，通过采取治</w:t>
                  </w:r>
                  <w:r>
                    <w:rPr>
                      <w:spacing w:val="1"/>
                      <w:sz w:val="18"/>
                      <w:szCs w:val="18"/>
                    </w:rPr>
                    <w:t xml:space="preserve"> </w:t>
                  </w:r>
                  <w:r>
                    <w:rPr>
                      <w:spacing w:val="-5"/>
                      <w:sz w:val="18"/>
                      <w:szCs w:val="18"/>
                    </w:rPr>
                    <w:t>理措施，能够实现达</w:t>
                  </w:r>
                  <w:r>
                    <w:rPr>
                      <w:spacing w:val="1"/>
                      <w:sz w:val="18"/>
                      <w:szCs w:val="18"/>
                    </w:rPr>
                    <w:t xml:space="preserve"> </w:t>
                  </w:r>
                  <w:r>
                    <w:rPr>
                      <w:spacing w:val="-1"/>
                      <w:sz w:val="18"/>
                      <w:szCs w:val="18"/>
                    </w:rPr>
                    <w:t>标排放。</w:t>
                  </w:r>
                </w:p>
              </w:tc>
              <w:tc>
                <w:tcPr>
                  <w:tcW w:w="800" w:type="dxa"/>
                  <w:gridSpan w:val="2"/>
                  <w:vAlign w:val="top"/>
                </w:tcPr>
                <w:p w14:paraId="6F3DDBB5">
                  <w:pPr>
                    <w:spacing w:line="257" w:lineRule="auto"/>
                    <w:rPr>
                      <w:rFonts w:ascii="Arial"/>
                      <w:sz w:val="21"/>
                    </w:rPr>
                  </w:pPr>
                </w:p>
                <w:p w14:paraId="61337520">
                  <w:pPr>
                    <w:spacing w:line="257" w:lineRule="auto"/>
                    <w:rPr>
                      <w:rFonts w:ascii="Arial"/>
                      <w:sz w:val="21"/>
                    </w:rPr>
                  </w:pPr>
                </w:p>
                <w:p w14:paraId="6616A2C1">
                  <w:pPr>
                    <w:spacing w:line="257" w:lineRule="auto"/>
                    <w:rPr>
                      <w:rFonts w:ascii="Arial"/>
                      <w:sz w:val="21"/>
                    </w:rPr>
                  </w:pPr>
                </w:p>
                <w:p w14:paraId="088C59EE">
                  <w:pPr>
                    <w:spacing w:line="257" w:lineRule="auto"/>
                    <w:rPr>
                      <w:rFonts w:ascii="Arial"/>
                      <w:sz w:val="21"/>
                    </w:rPr>
                  </w:pPr>
                </w:p>
                <w:p w14:paraId="10B4D7CE">
                  <w:pPr>
                    <w:spacing w:line="258" w:lineRule="auto"/>
                    <w:rPr>
                      <w:rFonts w:ascii="Arial"/>
                      <w:sz w:val="21"/>
                    </w:rPr>
                  </w:pPr>
                </w:p>
                <w:p w14:paraId="40C08456">
                  <w:pPr>
                    <w:pStyle w:val="6"/>
                    <w:spacing w:before="58" w:line="219" w:lineRule="auto"/>
                    <w:ind w:left="205"/>
                    <w:rPr>
                      <w:sz w:val="18"/>
                      <w:szCs w:val="18"/>
                    </w:rPr>
                  </w:pPr>
                  <w:r>
                    <w:rPr>
                      <w:spacing w:val="-5"/>
                      <w:sz w:val="18"/>
                      <w:szCs w:val="18"/>
                    </w:rPr>
                    <w:t>符合</w:t>
                  </w:r>
                </w:p>
              </w:tc>
            </w:tr>
            <w:tr w14:paraId="42BFD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73" w:type="dxa"/>
                  <w:vAlign w:val="top"/>
                </w:tcPr>
                <w:p w14:paraId="4258A519">
                  <w:pPr>
                    <w:spacing w:line="264" w:lineRule="auto"/>
                    <w:rPr>
                      <w:rFonts w:ascii="Arial"/>
                      <w:sz w:val="21"/>
                    </w:rPr>
                  </w:pPr>
                </w:p>
                <w:p w14:paraId="4A367E4F">
                  <w:pPr>
                    <w:spacing w:line="264" w:lineRule="auto"/>
                    <w:rPr>
                      <w:rFonts w:ascii="Arial"/>
                      <w:sz w:val="21"/>
                    </w:rPr>
                  </w:pPr>
                </w:p>
                <w:p w14:paraId="613C4338">
                  <w:pPr>
                    <w:spacing w:line="264" w:lineRule="auto"/>
                    <w:rPr>
                      <w:rFonts w:ascii="Arial"/>
                      <w:sz w:val="21"/>
                    </w:rPr>
                  </w:pPr>
                </w:p>
                <w:p w14:paraId="4B0F328F">
                  <w:pPr>
                    <w:spacing w:line="265" w:lineRule="auto"/>
                    <w:rPr>
                      <w:rFonts w:ascii="Arial"/>
                      <w:sz w:val="21"/>
                    </w:rPr>
                  </w:pPr>
                </w:p>
                <w:p w14:paraId="05322D1B">
                  <w:pPr>
                    <w:pStyle w:val="6"/>
                    <w:spacing w:before="58" w:line="183" w:lineRule="auto"/>
                    <w:ind w:left="416"/>
                    <w:rPr>
                      <w:sz w:val="18"/>
                      <w:szCs w:val="18"/>
                    </w:rPr>
                  </w:pPr>
                  <w:r>
                    <w:rPr>
                      <w:sz w:val="18"/>
                      <w:szCs w:val="18"/>
                    </w:rPr>
                    <w:t>3</w:t>
                  </w:r>
                </w:p>
              </w:tc>
              <w:tc>
                <w:tcPr>
                  <w:tcW w:w="3572" w:type="dxa"/>
                  <w:gridSpan w:val="3"/>
                  <w:vAlign w:val="top"/>
                </w:tcPr>
                <w:p w14:paraId="7200E5BD">
                  <w:pPr>
                    <w:pStyle w:val="6"/>
                    <w:spacing w:before="53" w:line="219" w:lineRule="auto"/>
                    <w:ind w:left="90"/>
                    <w:rPr>
                      <w:sz w:val="18"/>
                      <w:szCs w:val="18"/>
                    </w:rPr>
                  </w:pPr>
                  <w:r>
                    <w:rPr>
                      <w:rFonts w:ascii="Times New Roman" w:hAnsi="Times New Roman" w:eastAsia="Times New Roman" w:cs="Times New Roman"/>
                      <w:spacing w:val="-1"/>
                      <w:sz w:val="18"/>
                      <w:szCs w:val="18"/>
                    </w:rPr>
                    <w:t xml:space="preserve">5.2 </w:t>
                  </w:r>
                  <w:r>
                    <w:rPr>
                      <w:spacing w:val="-1"/>
                      <w:sz w:val="18"/>
                      <w:szCs w:val="18"/>
                    </w:rPr>
                    <w:t>打造清水绿岸风景</w:t>
                  </w:r>
                </w:p>
                <w:p w14:paraId="4C7EDB2E">
                  <w:pPr>
                    <w:pStyle w:val="6"/>
                    <w:spacing w:before="45" w:line="259" w:lineRule="auto"/>
                    <w:ind w:left="88" w:right="82" w:firstLine="2"/>
                    <w:rPr>
                      <w:sz w:val="18"/>
                      <w:szCs w:val="18"/>
                    </w:rPr>
                  </w:pPr>
                  <w:r>
                    <w:rPr>
                      <w:spacing w:val="8"/>
                      <w:sz w:val="18"/>
                      <w:szCs w:val="18"/>
                    </w:rPr>
                    <w:t>持续加强水环境治理。统筹实施水资源扩</w:t>
                  </w:r>
                  <w:r>
                    <w:rPr>
                      <w:spacing w:val="6"/>
                      <w:sz w:val="18"/>
                      <w:szCs w:val="18"/>
                    </w:rPr>
                    <w:t xml:space="preserve"> </w:t>
                  </w:r>
                  <w:r>
                    <w:rPr>
                      <w:spacing w:val="-2"/>
                      <w:sz w:val="18"/>
                      <w:szCs w:val="18"/>
                    </w:rPr>
                    <w:t>容、水污染减排水生态提质，加强城乡饮用</w:t>
                  </w:r>
                  <w:r>
                    <w:rPr>
                      <w:spacing w:val="13"/>
                      <w:sz w:val="18"/>
                      <w:szCs w:val="18"/>
                    </w:rPr>
                    <w:t xml:space="preserve"> </w:t>
                  </w:r>
                  <w:r>
                    <w:rPr>
                      <w:spacing w:val="-2"/>
                      <w:sz w:val="18"/>
                      <w:szCs w:val="18"/>
                    </w:rPr>
                    <w:t>水水源保护和水污染治理，推进入河排污口</w:t>
                  </w:r>
                  <w:r>
                    <w:rPr>
                      <w:spacing w:val="13"/>
                      <w:sz w:val="18"/>
                      <w:szCs w:val="18"/>
                    </w:rPr>
                    <w:t xml:space="preserve"> </w:t>
                  </w:r>
                  <w:r>
                    <w:rPr>
                      <w:spacing w:val="9"/>
                      <w:sz w:val="18"/>
                      <w:szCs w:val="18"/>
                    </w:rPr>
                    <w:t>排查整治和城市建成区</w:t>
                  </w:r>
                  <w:r>
                    <w:rPr>
                      <w:rFonts w:ascii="Times New Roman" w:hAnsi="Times New Roman" w:eastAsia="Times New Roman" w:cs="Times New Roman"/>
                      <w:spacing w:val="9"/>
                      <w:sz w:val="18"/>
                      <w:szCs w:val="18"/>
                    </w:rPr>
                    <w:t>“</w:t>
                  </w:r>
                  <w:r>
                    <w:rPr>
                      <w:spacing w:val="9"/>
                      <w:sz w:val="18"/>
                      <w:szCs w:val="18"/>
                    </w:rPr>
                    <w:t>污水零直排区</w:t>
                  </w:r>
                  <w:r>
                    <w:rPr>
                      <w:rFonts w:ascii="Times New Roman" w:hAnsi="Times New Roman" w:eastAsia="Times New Roman" w:cs="Times New Roman"/>
                      <w:spacing w:val="9"/>
                      <w:sz w:val="18"/>
                      <w:szCs w:val="18"/>
                    </w:rPr>
                    <w:t>”</w:t>
                  </w:r>
                  <w:r>
                    <w:rPr>
                      <w:spacing w:val="9"/>
                      <w:sz w:val="18"/>
                      <w:szCs w:val="18"/>
                    </w:rPr>
                    <w:t>建</w:t>
                  </w:r>
                  <w:r>
                    <w:rPr>
                      <w:spacing w:val="1"/>
                      <w:sz w:val="18"/>
                      <w:szCs w:val="18"/>
                    </w:rPr>
                    <w:t xml:space="preserve"> </w:t>
                  </w:r>
                  <w:r>
                    <w:rPr>
                      <w:spacing w:val="-2"/>
                      <w:sz w:val="18"/>
                      <w:szCs w:val="18"/>
                    </w:rPr>
                    <w:t>设，全面消除城乡黑臭水体。开展重点河湖</w:t>
                  </w:r>
                  <w:r>
                    <w:rPr>
                      <w:spacing w:val="13"/>
                      <w:sz w:val="18"/>
                      <w:szCs w:val="18"/>
                    </w:rPr>
                    <w:t xml:space="preserve"> </w:t>
                  </w:r>
                  <w:r>
                    <w:rPr>
                      <w:spacing w:val="-2"/>
                      <w:sz w:val="18"/>
                      <w:szCs w:val="18"/>
                    </w:rPr>
                    <w:t>内源污染治理和生态修复，开展地下水环境</w:t>
                  </w:r>
                  <w:r>
                    <w:rPr>
                      <w:spacing w:val="13"/>
                      <w:sz w:val="18"/>
                      <w:szCs w:val="18"/>
                    </w:rPr>
                    <w:t xml:space="preserve"> </w:t>
                  </w:r>
                  <w:r>
                    <w:rPr>
                      <w:spacing w:val="-2"/>
                      <w:sz w:val="18"/>
                      <w:szCs w:val="18"/>
                    </w:rPr>
                    <w:t>风险调查评估，加强土壤、地表水与地下水</w:t>
                  </w:r>
                  <w:r>
                    <w:rPr>
                      <w:spacing w:val="13"/>
                      <w:sz w:val="18"/>
                      <w:szCs w:val="18"/>
                    </w:rPr>
                    <w:t xml:space="preserve"> </w:t>
                  </w:r>
                  <w:r>
                    <w:rPr>
                      <w:spacing w:val="-1"/>
                      <w:sz w:val="18"/>
                      <w:szCs w:val="18"/>
                    </w:rPr>
                    <w:t>污染的协同防治。</w:t>
                  </w:r>
                </w:p>
              </w:tc>
              <w:tc>
                <w:tcPr>
                  <w:tcW w:w="1751" w:type="dxa"/>
                  <w:vAlign w:val="top"/>
                </w:tcPr>
                <w:p w14:paraId="49275F23">
                  <w:pPr>
                    <w:spacing w:line="424" w:lineRule="auto"/>
                    <w:rPr>
                      <w:rFonts w:ascii="Arial"/>
                      <w:sz w:val="21"/>
                    </w:rPr>
                  </w:pPr>
                </w:p>
                <w:p w14:paraId="1C5E955F">
                  <w:pPr>
                    <w:pStyle w:val="6"/>
                    <w:spacing w:before="58" w:line="242" w:lineRule="auto"/>
                    <w:ind w:left="91" w:right="81" w:firstLine="3"/>
                    <w:jc w:val="both"/>
                    <w:rPr>
                      <w:sz w:val="18"/>
                      <w:szCs w:val="18"/>
                    </w:rPr>
                  </w:pPr>
                  <w:r>
                    <w:rPr>
                      <w:spacing w:val="8"/>
                      <w:sz w:val="18"/>
                      <w:szCs w:val="18"/>
                    </w:rPr>
                    <w:t>项</w:t>
                  </w:r>
                  <w:r>
                    <w:rPr>
                      <w:spacing w:val="-29"/>
                      <w:sz w:val="18"/>
                      <w:szCs w:val="18"/>
                    </w:rPr>
                    <w:t xml:space="preserve"> </w:t>
                  </w:r>
                  <w:r>
                    <w:rPr>
                      <w:spacing w:val="8"/>
                      <w:sz w:val="18"/>
                      <w:szCs w:val="18"/>
                    </w:rPr>
                    <w:t>目生产废水经处</w:t>
                  </w:r>
                  <w:r>
                    <w:rPr>
                      <w:sz w:val="18"/>
                      <w:szCs w:val="18"/>
                    </w:rPr>
                    <w:t xml:space="preserve"> </w:t>
                  </w:r>
                  <w:r>
                    <w:rPr>
                      <w:spacing w:val="16"/>
                      <w:sz w:val="18"/>
                      <w:szCs w:val="18"/>
                    </w:rPr>
                    <w:t>理后循环回用不外</w:t>
                  </w:r>
                  <w:r>
                    <w:rPr>
                      <w:spacing w:val="1"/>
                      <w:sz w:val="18"/>
                      <w:szCs w:val="18"/>
                    </w:rPr>
                    <w:t xml:space="preserve"> </w:t>
                  </w:r>
                  <w:r>
                    <w:rPr>
                      <w:spacing w:val="-6"/>
                      <w:sz w:val="18"/>
                      <w:szCs w:val="18"/>
                    </w:rPr>
                    <w:t>排。生活污水定期拉</w:t>
                  </w:r>
                  <w:r>
                    <w:rPr>
                      <w:spacing w:val="5"/>
                      <w:sz w:val="18"/>
                      <w:szCs w:val="18"/>
                    </w:rPr>
                    <w:t xml:space="preserve"> </w:t>
                  </w:r>
                  <w:r>
                    <w:rPr>
                      <w:spacing w:val="16"/>
                      <w:sz w:val="18"/>
                      <w:szCs w:val="18"/>
                    </w:rPr>
                    <w:t>运进入东岳场镇污</w:t>
                  </w:r>
                  <w:r>
                    <w:rPr>
                      <w:spacing w:val="1"/>
                      <w:sz w:val="18"/>
                      <w:szCs w:val="18"/>
                    </w:rPr>
                    <w:t xml:space="preserve"> </w:t>
                  </w:r>
                  <w:r>
                    <w:rPr>
                      <w:spacing w:val="-6"/>
                      <w:sz w:val="18"/>
                      <w:szCs w:val="18"/>
                    </w:rPr>
                    <w:t>水处理厂处理，实现</w:t>
                  </w:r>
                  <w:r>
                    <w:rPr>
                      <w:spacing w:val="5"/>
                      <w:sz w:val="18"/>
                      <w:szCs w:val="18"/>
                    </w:rPr>
                    <w:t xml:space="preserve"> </w:t>
                  </w:r>
                  <w:r>
                    <w:rPr>
                      <w:spacing w:val="-2"/>
                      <w:sz w:val="18"/>
                      <w:szCs w:val="18"/>
                    </w:rPr>
                    <w:t>达标排放。</w:t>
                  </w:r>
                </w:p>
              </w:tc>
              <w:tc>
                <w:tcPr>
                  <w:tcW w:w="800" w:type="dxa"/>
                  <w:gridSpan w:val="2"/>
                  <w:vAlign w:val="top"/>
                </w:tcPr>
                <w:p w14:paraId="4DB29F62">
                  <w:pPr>
                    <w:spacing w:line="257" w:lineRule="auto"/>
                    <w:rPr>
                      <w:rFonts w:ascii="Arial"/>
                      <w:sz w:val="21"/>
                    </w:rPr>
                  </w:pPr>
                </w:p>
                <w:p w14:paraId="2CFF388A">
                  <w:pPr>
                    <w:spacing w:line="257" w:lineRule="auto"/>
                    <w:rPr>
                      <w:rFonts w:ascii="Arial"/>
                      <w:sz w:val="21"/>
                    </w:rPr>
                  </w:pPr>
                </w:p>
                <w:p w14:paraId="1F0C17CC">
                  <w:pPr>
                    <w:spacing w:line="257" w:lineRule="auto"/>
                    <w:rPr>
                      <w:rFonts w:ascii="Arial"/>
                      <w:sz w:val="21"/>
                    </w:rPr>
                  </w:pPr>
                </w:p>
                <w:p w14:paraId="3C91B1E8">
                  <w:pPr>
                    <w:spacing w:line="258" w:lineRule="auto"/>
                    <w:rPr>
                      <w:rFonts w:ascii="Arial"/>
                      <w:sz w:val="21"/>
                    </w:rPr>
                  </w:pPr>
                </w:p>
                <w:p w14:paraId="27C694F9">
                  <w:pPr>
                    <w:pStyle w:val="6"/>
                    <w:spacing w:before="58" w:line="219" w:lineRule="auto"/>
                    <w:ind w:left="205"/>
                    <w:rPr>
                      <w:sz w:val="18"/>
                      <w:szCs w:val="18"/>
                    </w:rPr>
                  </w:pPr>
                  <w:r>
                    <w:rPr>
                      <w:spacing w:val="-5"/>
                      <w:sz w:val="18"/>
                      <w:szCs w:val="18"/>
                    </w:rPr>
                    <w:t>符合</w:t>
                  </w:r>
                </w:p>
              </w:tc>
            </w:tr>
            <w:tr w14:paraId="46FD3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896" w:type="dxa"/>
                  <w:gridSpan w:val="7"/>
                  <w:tcBorders>
                    <w:right w:val="nil"/>
                  </w:tcBorders>
                  <w:vAlign w:val="top"/>
                </w:tcPr>
                <w:p w14:paraId="19ED5694">
                  <w:pPr>
                    <w:spacing w:before="141" w:line="228" w:lineRule="auto"/>
                    <w:ind w:left="115"/>
                    <w:rPr>
                      <w:rFonts w:ascii="黑体" w:hAnsi="黑体" w:eastAsia="黑体" w:cs="黑体"/>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17"/>
                      <w:sz w:val="20"/>
                      <w:szCs w:val="20"/>
                    </w:rPr>
                    <w:t xml:space="preserve"> </w:t>
                  </w:r>
                  <w:r>
                    <w:rPr>
                      <w:rFonts w:ascii="黑体" w:hAnsi="黑体" w:eastAsia="黑体" w:cs="黑体"/>
                      <w:spacing w:val="6"/>
                      <w:sz w:val="20"/>
                      <w:szCs w:val="20"/>
                    </w:rPr>
                    <w:t>、与建筑垃圾行业相关政策的符合性</w:t>
                  </w:r>
                </w:p>
                <w:p w14:paraId="6CBA2CFC">
                  <w:pPr>
                    <w:pStyle w:val="6"/>
                    <w:spacing w:before="144" w:line="219" w:lineRule="auto"/>
                    <w:ind w:left="1324"/>
                    <w:rPr>
                      <w:sz w:val="18"/>
                      <w:szCs w:val="18"/>
                    </w:rPr>
                  </w:pPr>
                  <w:r>
                    <w:rPr>
                      <w:b/>
                      <w:bCs/>
                      <w:spacing w:val="-1"/>
                      <w:sz w:val="18"/>
                      <w:szCs w:val="18"/>
                    </w:rPr>
                    <w:t>表</w:t>
                  </w:r>
                  <w:r>
                    <w:rPr>
                      <w:spacing w:val="-35"/>
                      <w:sz w:val="18"/>
                      <w:szCs w:val="18"/>
                    </w:rPr>
                    <w:t xml:space="preserve"> </w:t>
                  </w:r>
                  <w:r>
                    <w:rPr>
                      <w:rFonts w:ascii="Times New Roman" w:hAnsi="Times New Roman" w:eastAsia="Times New Roman" w:cs="Times New Roman"/>
                      <w:b/>
                      <w:bCs/>
                      <w:spacing w:val="-1"/>
                      <w:sz w:val="18"/>
                      <w:szCs w:val="18"/>
                    </w:rPr>
                    <w:t xml:space="preserve">1-10        </w:t>
                  </w:r>
                  <w:r>
                    <w:rPr>
                      <w:b/>
                      <w:bCs/>
                      <w:spacing w:val="-1"/>
                      <w:sz w:val="18"/>
                      <w:szCs w:val="18"/>
                    </w:rPr>
                    <w:t>项目与建筑垃圾</w:t>
                  </w:r>
                  <w:r>
                    <w:rPr>
                      <w:b/>
                      <w:bCs/>
                      <w:spacing w:val="-2"/>
                      <w:sz w:val="18"/>
                      <w:szCs w:val="18"/>
                    </w:rPr>
                    <w:t>行业相关政策的符合性分析</w:t>
                  </w:r>
                </w:p>
              </w:tc>
            </w:tr>
            <w:tr w14:paraId="4B97A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315" w:type="dxa"/>
                  <w:gridSpan w:val="2"/>
                  <w:vAlign w:val="top"/>
                </w:tcPr>
                <w:p w14:paraId="2A462D88">
                  <w:pPr>
                    <w:pStyle w:val="6"/>
                    <w:spacing w:before="27" w:line="206" w:lineRule="auto"/>
                    <w:ind w:left="176"/>
                    <w:rPr>
                      <w:sz w:val="18"/>
                      <w:szCs w:val="18"/>
                    </w:rPr>
                  </w:pPr>
                  <w:r>
                    <w:rPr>
                      <w:b/>
                      <w:bCs/>
                      <w:spacing w:val="-3"/>
                      <w:sz w:val="18"/>
                      <w:szCs w:val="18"/>
                    </w:rPr>
                    <w:t>政策文件名称</w:t>
                  </w:r>
                </w:p>
              </w:tc>
              <w:tc>
                <w:tcPr>
                  <w:tcW w:w="2543" w:type="dxa"/>
                  <w:vAlign w:val="top"/>
                </w:tcPr>
                <w:p w14:paraId="07DA079D">
                  <w:pPr>
                    <w:pStyle w:val="6"/>
                    <w:spacing w:before="27" w:line="206" w:lineRule="auto"/>
                    <w:ind w:left="736"/>
                    <w:rPr>
                      <w:sz w:val="18"/>
                      <w:szCs w:val="18"/>
                    </w:rPr>
                  </w:pPr>
                  <w:r>
                    <w:rPr>
                      <w:b/>
                      <w:bCs/>
                      <w:spacing w:val="-3"/>
                      <w:sz w:val="18"/>
                      <w:szCs w:val="18"/>
                    </w:rPr>
                    <w:t>文件内容要求</w:t>
                  </w:r>
                </w:p>
              </w:tc>
              <w:tc>
                <w:tcPr>
                  <w:tcW w:w="2326" w:type="dxa"/>
                  <w:gridSpan w:val="3"/>
                  <w:vAlign w:val="top"/>
                </w:tcPr>
                <w:p w14:paraId="3BCA2726">
                  <w:pPr>
                    <w:pStyle w:val="6"/>
                    <w:spacing w:before="27" w:line="206" w:lineRule="auto"/>
                    <w:ind w:left="717"/>
                    <w:rPr>
                      <w:sz w:val="18"/>
                      <w:szCs w:val="18"/>
                    </w:rPr>
                  </w:pPr>
                  <w:r>
                    <w:rPr>
                      <w:b/>
                      <w:bCs/>
                      <w:spacing w:val="-3"/>
                      <w:sz w:val="18"/>
                      <w:szCs w:val="18"/>
                    </w:rPr>
                    <w:t>本项目情况</w:t>
                  </w:r>
                </w:p>
              </w:tc>
              <w:tc>
                <w:tcPr>
                  <w:tcW w:w="712" w:type="dxa"/>
                  <w:vAlign w:val="top"/>
                </w:tcPr>
                <w:p w14:paraId="64335F66">
                  <w:pPr>
                    <w:pStyle w:val="6"/>
                    <w:spacing w:before="27" w:line="206" w:lineRule="auto"/>
                    <w:ind w:left="91"/>
                    <w:rPr>
                      <w:sz w:val="18"/>
                      <w:szCs w:val="18"/>
                    </w:rPr>
                  </w:pPr>
                  <w:r>
                    <w:rPr>
                      <w:b/>
                      <w:bCs/>
                      <w:spacing w:val="-4"/>
                      <w:sz w:val="18"/>
                      <w:szCs w:val="18"/>
                    </w:rPr>
                    <w:t>符合性</w:t>
                  </w:r>
                </w:p>
              </w:tc>
            </w:tr>
            <w:tr w14:paraId="54B4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70" w:hRule="atLeast"/>
              </w:trPr>
              <w:tc>
                <w:tcPr>
                  <w:tcW w:w="1315" w:type="dxa"/>
                  <w:gridSpan w:val="2"/>
                  <w:vMerge w:val="restart"/>
                  <w:tcBorders>
                    <w:bottom w:val="nil"/>
                  </w:tcBorders>
                  <w:vAlign w:val="top"/>
                </w:tcPr>
                <w:p w14:paraId="0A5504AD">
                  <w:pPr>
                    <w:spacing w:line="265" w:lineRule="auto"/>
                    <w:rPr>
                      <w:rFonts w:ascii="Arial"/>
                      <w:sz w:val="21"/>
                    </w:rPr>
                  </w:pPr>
                </w:p>
                <w:p w14:paraId="4816CC48">
                  <w:pPr>
                    <w:spacing w:line="266" w:lineRule="auto"/>
                    <w:rPr>
                      <w:rFonts w:ascii="Arial"/>
                      <w:sz w:val="21"/>
                    </w:rPr>
                  </w:pPr>
                </w:p>
                <w:p w14:paraId="62D5673A">
                  <w:pPr>
                    <w:spacing w:line="266" w:lineRule="auto"/>
                    <w:rPr>
                      <w:rFonts w:ascii="Arial"/>
                      <w:sz w:val="21"/>
                    </w:rPr>
                  </w:pPr>
                </w:p>
                <w:p w14:paraId="497C8659">
                  <w:pPr>
                    <w:spacing w:line="266" w:lineRule="auto"/>
                    <w:rPr>
                      <w:rFonts w:ascii="Arial"/>
                      <w:sz w:val="21"/>
                    </w:rPr>
                  </w:pPr>
                </w:p>
                <w:p w14:paraId="4E466D2C">
                  <w:pPr>
                    <w:spacing w:line="266" w:lineRule="auto"/>
                    <w:rPr>
                      <w:rFonts w:ascii="Arial"/>
                      <w:sz w:val="21"/>
                    </w:rPr>
                  </w:pPr>
                </w:p>
                <w:p w14:paraId="0B288E6A">
                  <w:pPr>
                    <w:spacing w:line="266" w:lineRule="auto"/>
                    <w:rPr>
                      <w:rFonts w:ascii="Arial"/>
                      <w:sz w:val="21"/>
                    </w:rPr>
                  </w:pPr>
                </w:p>
                <w:p w14:paraId="64F8A396">
                  <w:pPr>
                    <w:pStyle w:val="6"/>
                    <w:spacing w:before="58" w:line="229" w:lineRule="auto"/>
                    <w:ind w:left="225" w:right="25" w:hanging="42"/>
                    <w:rPr>
                      <w:sz w:val="18"/>
                      <w:szCs w:val="18"/>
                    </w:rPr>
                  </w:pPr>
                  <w:r>
                    <w:rPr>
                      <w:spacing w:val="-3"/>
                      <w:sz w:val="18"/>
                      <w:szCs w:val="18"/>
                    </w:rPr>
                    <w:t>《建筑垃圾处</w:t>
                  </w:r>
                  <w:r>
                    <w:rPr>
                      <w:spacing w:val="4"/>
                      <w:sz w:val="18"/>
                      <w:szCs w:val="18"/>
                    </w:rPr>
                    <w:t xml:space="preserve"> </w:t>
                  </w:r>
                  <w:r>
                    <w:rPr>
                      <w:spacing w:val="-4"/>
                      <w:sz w:val="18"/>
                      <w:szCs w:val="18"/>
                    </w:rPr>
                    <w:t>理技术标准》</w:t>
                  </w:r>
                </w:p>
                <w:p w14:paraId="7B9CB133">
                  <w:pPr>
                    <w:pStyle w:val="6"/>
                    <w:spacing w:before="18" w:line="235" w:lineRule="auto"/>
                    <w:ind w:left="493" w:right="87" w:hanging="275"/>
                    <w:rPr>
                      <w:sz w:val="18"/>
                      <w:szCs w:val="18"/>
                    </w:rPr>
                  </w:pPr>
                  <w:r>
                    <w:rPr>
                      <w:spacing w:val="-2"/>
                      <w:sz w:val="18"/>
                      <w:szCs w:val="18"/>
                    </w:rPr>
                    <w:t>（</w:t>
                  </w:r>
                  <w:r>
                    <w:rPr>
                      <w:rFonts w:ascii="Times New Roman" w:hAnsi="Times New Roman" w:eastAsia="Times New Roman" w:cs="Times New Roman"/>
                      <w:spacing w:val="-2"/>
                      <w:sz w:val="18"/>
                      <w:szCs w:val="18"/>
                    </w:rPr>
                    <w:t>CJJ/T134-2</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2"/>
                      <w:sz w:val="18"/>
                      <w:szCs w:val="18"/>
                    </w:rPr>
                    <w:t>019</w:t>
                  </w:r>
                  <w:r>
                    <w:rPr>
                      <w:spacing w:val="-2"/>
                      <w:sz w:val="18"/>
                      <w:szCs w:val="18"/>
                    </w:rPr>
                    <w:t>）</w:t>
                  </w:r>
                </w:p>
              </w:tc>
              <w:tc>
                <w:tcPr>
                  <w:tcW w:w="2543" w:type="dxa"/>
                  <w:vAlign w:val="top"/>
                </w:tcPr>
                <w:p w14:paraId="601AD371">
                  <w:pPr>
                    <w:pStyle w:val="6"/>
                    <w:spacing w:before="28" w:line="236" w:lineRule="auto"/>
                    <w:ind w:left="49" w:right="20" w:firstLine="2"/>
                    <w:rPr>
                      <w:sz w:val="18"/>
                      <w:szCs w:val="18"/>
                    </w:rPr>
                  </w:pPr>
                  <w:r>
                    <w:rPr>
                      <w:spacing w:val="-6"/>
                      <w:sz w:val="18"/>
                      <w:szCs w:val="18"/>
                    </w:rPr>
                    <w:t>建筑垃圾收运、处理全过程不得</w:t>
                  </w:r>
                  <w:r>
                    <w:rPr>
                      <w:spacing w:val="4"/>
                      <w:sz w:val="18"/>
                      <w:szCs w:val="18"/>
                    </w:rPr>
                    <w:t xml:space="preserve"> </w:t>
                  </w:r>
                  <w:r>
                    <w:rPr>
                      <w:spacing w:val="-6"/>
                      <w:sz w:val="18"/>
                      <w:szCs w:val="18"/>
                    </w:rPr>
                    <w:t>混入生活垃圾、污泥、河道疏浚</w:t>
                  </w:r>
                  <w:r>
                    <w:rPr>
                      <w:spacing w:val="7"/>
                      <w:sz w:val="18"/>
                      <w:szCs w:val="18"/>
                    </w:rPr>
                    <w:t xml:space="preserve"> </w:t>
                  </w:r>
                  <w:r>
                    <w:rPr>
                      <w:spacing w:val="-4"/>
                      <w:sz w:val="18"/>
                      <w:szCs w:val="18"/>
                    </w:rPr>
                    <w:t>底泥、工业垃圾和危险废物等：</w:t>
                  </w:r>
                  <w:r>
                    <w:rPr>
                      <w:spacing w:val="2"/>
                      <w:sz w:val="18"/>
                      <w:szCs w:val="18"/>
                    </w:rPr>
                    <w:t xml:space="preserve"> </w:t>
                  </w:r>
                  <w:r>
                    <w:rPr>
                      <w:spacing w:val="-1"/>
                      <w:sz w:val="18"/>
                      <w:szCs w:val="18"/>
                    </w:rPr>
                    <w:t>建筑垃圾宜优先考虑资源化利</w:t>
                  </w:r>
                  <w:r>
                    <w:rPr>
                      <w:spacing w:val="2"/>
                      <w:sz w:val="18"/>
                      <w:szCs w:val="18"/>
                    </w:rPr>
                    <w:t xml:space="preserve">  </w:t>
                  </w:r>
                  <w:r>
                    <w:rPr>
                      <w:spacing w:val="-6"/>
                      <w:sz w:val="18"/>
                      <w:szCs w:val="18"/>
                    </w:rPr>
                    <w:t>用。建筑垃圾处理工程规模应根</w:t>
                  </w:r>
                  <w:r>
                    <w:rPr>
                      <w:spacing w:val="7"/>
                      <w:sz w:val="18"/>
                      <w:szCs w:val="18"/>
                    </w:rPr>
                    <w:t xml:space="preserve"> </w:t>
                  </w:r>
                  <w:r>
                    <w:rPr>
                      <w:spacing w:val="-1"/>
                      <w:sz w:val="18"/>
                      <w:szCs w:val="18"/>
                    </w:rPr>
                    <w:t>据该工程服务域的建筑垃圾现</w:t>
                  </w:r>
                  <w:r>
                    <w:rPr>
                      <w:spacing w:val="2"/>
                      <w:sz w:val="18"/>
                      <w:szCs w:val="18"/>
                    </w:rPr>
                    <w:t xml:space="preserve">  </w:t>
                  </w:r>
                  <w:r>
                    <w:rPr>
                      <w:spacing w:val="-6"/>
                      <w:sz w:val="18"/>
                      <w:szCs w:val="18"/>
                    </w:rPr>
                    <w:t>状产生量及预测产生量，结合服</w:t>
                  </w:r>
                  <w:r>
                    <w:rPr>
                      <w:spacing w:val="7"/>
                      <w:sz w:val="18"/>
                      <w:szCs w:val="18"/>
                    </w:rPr>
                    <w:t xml:space="preserve"> </w:t>
                  </w:r>
                  <w:r>
                    <w:rPr>
                      <w:spacing w:val="-6"/>
                      <w:sz w:val="18"/>
                      <w:szCs w:val="18"/>
                    </w:rPr>
                    <w:t>务区域经济性、技术可行性和可</w:t>
                  </w:r>
                  <w:r>
                    <w:rPr>
                      <w:spacing w:val="7"/>
                      <w:sz w:val="18"/>
                      <w:szCs w:val="18"/>
                    </w:rPr>
                    <w:t xml:space="preserve"> </w:t>
                  </w:r>
                  <w:r>
                    <w:rPr>
                      <w:spacing w:val="-6"/>
                      <w:sz w:val="18"/>
                      <w:szCs w:val="18"/>
                    </w:rPr>
                    <w:t>靠性等因素确定，且应符合环境</w:t>
                  </w:r>
                  <w:r>
                    <w:rPr>
                      <w:spacing w:val="7"/>
                      <w:sz w:val="18"/>
                      <w:szCs w:val="18"/>
                    </w:rPr>
                    <w:t xml:space="preserve"> </w:t>
                  </w:r>
                  <w:r>
                    <w:rPr>
                      <w:spacing w:val="-1"/>
                      <w:sz w:val="18"/>
                      <w:szCs w:val="18"/>
                    </w:rPr>
                    <w:t>卫生专业规划或垃圾处理设施</w:t>
                  </w:r>
                  <w:r>
                    <w:rPr>
                      <w:spacing w:val="2"/>
                      <w:sz w:val="18"/>
                      <w:szCs w:val="18"/>
                    </w:rPr>
                    <w:t xml:space="preserve">  </w:t>
                  </w:r>
                  <w:r>
                    <w:rPr>
                      <w:spacing w:val="-3"/>
                      <w:sz w:val="18"/>
                      <w:szCs w:val="18"/>
                    </w:rPr>
                    <w:t>规划。</w:t>
                  </w:r>
                </w:p>
              </w:tc>
              <w:tc>
                <w:tcPr>
                  <w:tcW w:w="2326" w:type="dxa"/>
                  <w:gridSpan w:val="3"/>
                  <w:vAlign w:val="top"/>
                </w:tcPr>
                <w:p w14:paraId="549FAD25">
                  <w:pPr>
                    <w:spacing w:line="433" w:lineRule="auto"/>
                    <w:rPr>
                      <w:rFonts w:ascii="Arial"/>
                      <w:sz w:val="21"/>
                    </w:rPr>
                  </w:pPr>
                </w:p>
                <w:p w14:paraId="3874B8A9">
                  <w:pPr>
                    <w:pStyle w:val="6"/>
                    <w:spacing w:before="59" w:line="236" w:lineRule="auto"/>
                    <w:ind w:left="51" w:right="116"/>
                    <w:jc w:val="both"/>
                    <w:rPr>
                      <w:sz w:val="18"/>
                      <w:szCs w:val="18"/>
                    </w:rPr>
                  </w:pPr>
                  <w:r>
                    <w:rPr>
                      <w:spacing w:val="-1"/>
                      <w:sz w:val="18"/>
                      <w:szCs w:val="18"/>
                    </w:rPr>
                    <w:t>本项目拟处置利用部分建筑</w:t>
                  </w:r>
                  <w:r>
                    <w:rPr>
                      <w:spacing w:val="3"/>
                      <w:sz w:val="18"/>
                      <w:szCs w:val="18"/>
                    </w:rPr>
                    <w:t xml:space="preserve"> </w:t>
                  </w:r>
                  <w:r>
                    <w:rPr>
                      <w:spacing w:val="-1"/>
                      <w:sz w:val="18"/>
                      <w:szCs w:val="18"/>
                    </w:rPr>
                    <w:t>垃圾，作为非金属矿物制品</w:t>
                  </w:r>
                  <w:r>
                    <w:rPr>
                      <w:spacing w:val="3"/>
                      <w:sz w:val="18"/>
                      <w:szCs w:val="18"/>
                    </w:rPr>
                    <w:t xml:space="preserve"> </w:t>
                  </w:r>
                  <w:r>
                    <w:rPr>
                      <w:spacing w:val="-1"/>
                      <w:sz w:val="18"/>
                      <w:szCs w:val="18"/>
                    </w:rPr>
                    <w:t>制造的原料，以替代粉煤灰</w:t>
                  </w:r>
                  <w:r>
                    <w:rPr>
                      <w:spacing w:val="3"/>
                      <w:sz w:val="18"/>
                      <w:szCs w:val="18"/>
                    </w:rPr>
                    <w:t xml:space="preserve"> </w:t>
                  </w:r>
                  <w:r>
                    <w:rPr>
                      <w:spacing w:val="-1"/>
                      <w:sz w:val="18"/>
                      <w:szCs w:val="18"/>
                    </w:rPr>
                    <w:t>等工业固废。建筑垃圾处置</w:t>
                  </w:r>
                  <w:r>
                    <w:rPr>
                      <w:spacing w:val="3"/>
                      <w:sz w:val="18"/>
                      <w:szCs w:val="18"/>
                    </w:rPr>
                    <w:t xml:space="preserve"> </w:t>
                  </w:r>
                  <w:r>
                    <w:rPr>
                      <w:spacing w:val="-1"/>
                      <w:sz w:val="18"/>
                      <w:szCs w:val="18"/>
                    </w:rPr>
                    <w:t>过程不会混入生活垃圾、污</w:t>
                  </w:r>
                  <w:r>
                    <w:rPr>
                      <w:spacing w:val="3"/>
                      <w:sz w:val="18"/>
                      <w:szCs w:val="18"/>
                    </w:rPr>
                    <w:t xml:space="preserve"> </w:t>
                  </w:r>
                  <w:r>
                    <w:rPr>
                      <w:spacing w:val="-1"/>
                      <w:sz w:val="18"/>
                      <w:szCs w:val="18"/>
                    </w:rPr>
                    <w:t>泥、河道疏浚底泥和危险废</w:t>
                  </w:r>
                  <w:r>
                    <w:rPr>
                      <w:spacing w:val="3"/>
                      <w:sz w:val="18"/>
                      <w:szCs w:val="18"/>
                    </w:rPr>
                    <w:t xml:space="preserve"> </w:t>
                  </w:r>
                  <w:r>
                    <w:rPr>
                      <w:spacing w:val="-4"/>
                      <w:sz w:val="18"/>
                      <w:szCs w:val="18"/>
                    </w:rPr>
                    <w:t>物等</w:t>
                  </w:r>
                </w:p>
              </w:tc>
              <w:tc>
                <w:tcPr>
                  <w:tcW w:w="712" w:type="dxa"/>
                  <w:vAlign w:val="top"/>
                </w:tcPr>
                <w:p w14:paraId="3974499A">
                  <w:pPr>
                    <w:spacing w:line="281" w:lineRule="auto"/>
                    <w:rPr>
                      <w:rFonts w:ascii="Arial"/>
                      <w:sz w:val="21"/>
                    </w:rPr>
                  </w:pPr>
                </w:p>
                <w:p w14:paraId="3E988C0C">
                  <w:pPr>
                    <w:spacing w:line="281" w:lineRule="auto"/>
                    <w:rPr>
                      <w:rFonts w:ascii="Arial"/>
                      <w:sz w:val="21"/>
                    </w:rPr>
                  </w:pPr>
                </w:p>
                <w:p w14:paraId="514E8E96">
                  <w:pPr>
                    <w:spacing w:line="282" w:lineRule="auto"/>
                    <w:rPr>
                      <w:rFonts w:ascii="Arial"/>
                      <w:sz w:val="21"/>
                    </w:rPr>
                  </w:pPr>
                </w:p>
                <w:p w14:paraId="761F02EE">
                  <w:pPr>
                    <w:spacing w:line="282" w:lineRule="auto"/>
                    <w:rPr>
                      <w:rFonts w:ascii="Arial"/>
                      <w:sz w:val="21"/>
                    </w:rPr>
                  </w:pPr>
                </w:p>
                <w:p w14:paraId="6B515B9C">
                  <w:pPr>
                    <w:pStyle w:val="6"/>
                    <w:spacing w:before="58" w:line="219" w:lineRule="auto"/>
                    <w:ind w:left="182"/>
                    <w:rPr>
                      <w:sz w:val="18"/>
                      <w:szCs w:val="18"/>
                    </w:rPr>
                  </w:pPr>
                  <w:r>
                    <w:rPr>
                      <w:spacing w:val="-5"/>
                      <w:sz w:val="18"/>
                      <w:szCs w:val="18"/>
                    </w:rPr>
                    <w:t>符合</w:t>
                  </w:r>
                </w:p>
              </w:tc>
            </w:tr>
            <w:tr w14:paraId="681E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1315" w:type="dxa"/>
                  <w:gridSpan w:val="2"/>
                  <w:vMerge w:val="continue"/>
                  <w:tcBorders>
                    <w:top w:val="nil"/>
                    <w:bottom w:val="nil"/>
                  </w:tcBorders>
                  <w:vAlign w:val="top"/>
                </w:tcPr>
                <w:p w14:paraId="4563BB78">
                  <w:pPr>
                    <w:rPr>
                      <w:rFonts w:ascii="Arial"/>
                      <w:sz w:val="21"/>
                    </w:rPr>
                  </w:pPr>
                </w:p>
              </w:tc>
              <w:tc>
                <w:tcPr>
                  <w:tcW w:w="2543" w:type="dxa"/>
                  <w:tcBorders>
                    <w:bottom w:val="nil"/>
                  </w:tcBorders>
                  <w:vAlign w:val="top"/>
                </w:tcPr>
                <w:p w14:paraId="53FE10E0">
                  <w:pPr>
                    <w:pStyle w:val="6"/>
                    <w:spacing w:before="27" w:line="235" w:lineRule="auto"/>
                    <w:ind w:left="49" w:right="44" w:firstLine="2"/>
                    <w:rPr>
                      <w:sz w:val="18"/>
                      <w:szCs w:val="18"/>
                    </w:rPr>
                  </w:pPr>
                  <w:r>
                    <w:rPr>
                      <w:spacing w:val="-1"/>
                      <w:sz w:val="18"/>
                      <w:szCs w:val="18"/>
                    </w:rPr>
                    <w:t>建筑垃圾处理工程生产线数和</w:t>
                  </w:r>
                  <w:r>
                    <w:rPr>
                      <w:spacing w:val="1"/>
                      <w:sz w:val="18"/>
                      <w:szCs w:val="18"/>
                    </w:rPr>
                    <w:t xml:space="preserve">  </w:t>
                  </w:r>
                  <w:r>
                    <w:rPr>
                      <w:spacing w:val="-1"/>
                      <w:sz w:val="18"/>
                      <w:szCs w:val="18"/>
                    </w:rPr>
                    <w:t>单条生产线规模应根据工程规</w:t>
                  </w:r>
                  <w:r>
                    <w:rPr>
                      <w:spacing w:val="2"/>
                      <w:sz w:val="18"/>
                      <w:szCs w:val="18"/>
                    </w:rPr>
                    <w:t xml:space="preserve">  </w:t>
                  </w:r>
                  <w:r>
                    <w:rPr>
                      <w:spacing w:val="-6"/>
                      <w:sz w:val="18"/>
                      <w:szCs w:val="18"/>
                    </w:rPr>
                    <w:t>模、所选设备技术成熟度等因素</w:t>
                  </w:r>
                  <w:r>
                    <w:rPr>
                      <w:spacing w:val="7"/>
                      <w:sz w:val="18"/>
                      <w:szCs w:val="18"/>
                    </w:rPr>
                    <w:t xml:space="preserve"> </w:t>
                  </w:r>
                  <w:r>
                    <w:rPr>
                      <w:spacing w:val="-6"/>
                      <w:sz w:val="18"/>
                      <w:szCs w:val="18"/>
                    </w:rPr>
                    <w:t>确定，</w:t>
                  </w:r>
                  <w:r>
                    <w:rPr>
                      <w:rFonts w:ascii="Times New Roman" w:hAnsi="Times New Roman" w:eastAsia="Times New Roman" w:cs="Times New Roman"/>
                      <w:spacing w:val="-6"/>
                      <w:sz w:val="18"/>
                      <w:szCs w:val="18"/>
                    </w:rPr>
                    <w:t>І</w:t>
                  </w:r>
                  <w:r>
                    <w:rPr>
                      <w:spacing w:val="-6"/>
                      <w:sz w:val="18"/>
                      <w:szCs w:val="18"/>
                    </w:rPr>
                    <w:t>类（处理能力</w:t>
                  </w:r>
                  <w:r>
                    <w:rPr>
                      <w:spacing w:val="-21"/>
                      <w:sz w:val="18"/>
                      <w:szCs w:val="18"/>
                    </w:rPr>
                    <w:t xml:space="preserve"> </w:t>
                  </w:r>
                  <w:r>
                    <w:rPr>
                      <w:rFonts w:ascii="Times New Roman" w:hAnsi="Times New Roman" w:eastAsia="Times New Roman" w:cs="Times New Roman"/>
                      <w:spacing w:val="-6"/>
                      <w:sz w:val="18"/>
                      <w:szCs w:val="18"/>
                    </w:rPr>
                    <w:t>5000t/d</w:t>
                  </w:r>
                  <w:r>
                    <w:rPr>
                      <w:rFonts w:ascii="Times New Roman" w:hAnsi="Times New Roman" w:eastAsia="Times New Roman" w:cs="Times New Roman"/>
                      <w:spacing w:val="27"/>
                      <w:sz w:val="18"/>
                      <w:szCs w:val="18"/>
                    </w:rPr>
                    <w:t xml:space="preserve"> </w:t>
                  </w:r>
                  <w:r>
                    <w:rPr>
                      <w:spacing w:val="-6"/>
                      <w:sz w:val="18"/>
                      <w:szCs w:val="18"/>
                    </w:rPr>
                    <w:t>以</w:t>
                  </w:r>
                  <w:r>
                    <w:rPr>
                      <w:sz w:val="18"/>
                      <w:szCs w:val="18"/>
                    </w:rPr>
                    <w:t xml:space="preserve"> </w:t>
                  </w:r>
                  <w:r>
                    <w:rPr>
                      <w:spacing w:val="-8"/>
                      <w:sz w:val="18"/>
                      <w:szCs w:val="18"/>
                    </w:rPr>
                    <w:t>上）、</w:t>
                  </w:r>
                  <w:r>
                    <w:rPr>
                      <w:rFonts w:ascii="Times New Roman" w:hAnsi="Times New Roman" w:eastAsia="Times New Roman" w:cs="Times New Roman"/>
                      <w:spacing w:val="-8"/>
                      <w:sz w:val="18"/>
                      <w:szCs w:val="18"/>
                    </w:rPr>
                    <w:t xml:space="preserve">II  </w:t>
                  </w:r>
                  <w:r>
                    <w:rPr>
                      <w:spacing w:val="-8"/>
                      <w:sz w:val="18"/>
                      <w:szCs w:val="18"/>
                    </w:rPr>
                    <w:t>类（处理能力</w:t>
                  </w:r>
                </w:p>
                <w:p w14:paraId="40C70AB2">
                  <w:pPr>
                    <w:pStyle w:val="6"/>
                    <w:spacing w:before="22" w:line="223" w:lineRule="auto"/>
                    <w:ind w:left="52" w:right="44" w:hanging="2"/>
                    <w:rPr>
                      <w:sz w:val="18"/>
                      <w:szCs w:val="18"/>
                    </w:rPr>
                  </w:pPr>
                  <w:r>
                    <w:rPr>
                      <w:rFonts w:ascii="Times New Roman" w:hAnsi="Times New Roman" w:eastAsia="Times New Roman" w:cs="Times New Roman"/>
                      <w:spacing w:val="-5"/>
                      <w:sz w:val="18"/>
                      <w:szCs w:val="18"/>
                    </w:rPr>
                    <w:t>3000-5000t/d</w:t>
                  </w:r>
                  <w:r>
                    <w:rPr>
                      <w:spacing w:val="-5"/>
                      <w:sz w:val="18"/>
                      <w:szCs w:val="18"/>
                    </w:rPr>
                    <w:t>）、</w:t>
                  </w:r>
                  <w:r>
                    <w:rPr>
                      <w:rFonts w:ascii="Times New Roman" w:hAnsi="Times New Roman" w:eastAsia="Times New Roman" w:cs="Times New Roman"/>
                      <w:spacing w:val="-5"/>
                      <w:sz w:val="18"/>
                      <w:szCs w:val="18"/>
                    </w:rPr>
                    <w:t xml:space="preserve">III </w:t>
                  </w:r>
                  <w:r>
                    <w:rPr>
                      <w:spacing w:val="-5"/>
                      <w:sz w:val="18"/>
                      <w:szCs w:val="18"/>
                    </w:rPr>
                    <w:t>类（处理能</w:t>
                  </w:r>
                  <w:r>
                    <w:rPr>
                      <w:spacing w:val="7"/>
                      <w:sz w:val="18"/>
                      <w:szCs w:val="18"/>
                    </w:rPr>
                    <w:t xml:space="preserve">  </w:t>
                  </w:r>
                  <w:r>
                    <w:rPr>
                      <w:spacing w:val="-2"/>
                      <w:sz w:val="18"/>
                      <w:szCs w:val="18"/>
                    </w:rPr>
                    <w:t>力</w:t>
                  </w:r>
                  <w:r>
                    <w:rPr>
                      <w:spacing w:val="-21"/>
                      <w:sz w:val="18"/>
                      <w:szCs w:val="18"/>
                    </w:rPr>
                    <w:t xml:space="preserve"> </w:t>
                  </w:r>
                  <w:r>
                    <w:rPr>
                      <w:rFonts w:ascii="Times New Roman" w:hAnsi="Times New Roman" w:eastAsia="Times New Roman" w:cs="Times New Roman"/>
                      <w:spacing w:val="-2"/>
                      <w:sz w:val="18"/>
                      <w:szCs w:val="18"/>
                    </w:rPr>
                    <w:t>1000-3000t/d</w:t>
                  </w:r>
                  <w:r>
                    <w:rPr>
                      <w:spacing w:val="-2"/>
                      <w:sz w:val="18"/>
                      <w:szCs w:val="18"/>
                    </w:rPr>
                    <w:t>）建筑垃圾处理</w:t>
                  </w:r>
                </w:p>
              </w:tc>
              <w:tc>
                <w:tcPr>
                  <w:tcW w:w="2326" w:type="dxa"/>
                  <w:gridSpan w:val="3"/>
                  <w:tcBorders>
                    <w:bottom w:val="nil"/>
                  </w:tcBorders>
                  <w:vAlign w:val="top"/>
                </w:tcPr>
                <w:p w14:paraId="69D23284">
                  <w:pPr>
                    <w:pStyle w:val="6"/>
                    <w:spacing w:before="259" w:line="235" w:lineRule="auto"/>
                    <w:ind w:left="51" w:right="116"/>
                    <w:jc w:val="both"/>
                    <w:rPr>
                      <w:sz w:val="18"/>
                      <w:szCs w:val="18"/>
                    </w:rPr>
                  </w:pPr>
                  <w:r>
                    <w:rPr>
                      <w:spacing w:val="-1"/>
                      <w:sz w:val="18"/>
                      <w:szCs w:val="18"/>
                    </w:rPr>
                    <w:t>本项目不属于专门用于处置</w:t>
                  </w:r>
                  <w:r>
                    <w:rPr>
                      <w:spacing w:val="3"/>
                      <w:sz w:val="18"/>
                      <w:szCs w:val="18"/>
                    </w:rPr>
                    <w:t xml:space="preserve"> </w:t>
                  </w:r>
                  <w:r>
                    <w:rPr>
                      <w:spacing w:val="-1"/>
                      <w:sz w:val="18"/>
                      <w:szCs w:val="18"/>
                    </w:rPr>
                    <w:t>建筑垃圾的项目，拟处置利</w:t>
                  </w:r>
                  <w:r>
                    <w:rPr>
                      <w:spacing w:val="3"/>
                      <w:sz w:val="18"/>
                      <w:szCs w:val="18"/>
                    </w:rPr>
                    <w:t xml:space="preserve"> </w:t>
                  </w:r>
                  <w:r>
                    <w:rPr>
                      <w:spacing w:val="-1"/>
                      <w:sz w:val="18"/>
                      <w:szCs w:val="18"/>
                    </w:rPr>
                    <w:t>用建筑垃圾以替代部分原材</w:t>
                  </w:r>
                  <w:r>
                    <w:rPr>
                      <w:spacing w:val="3"/>
                      <w:sz w:val="18"/>
                      <w:szCs w:val="18"/>
                    </w:rPr>
                    <w:t xml:space="preserve"> </w:t>
                  </w:r>
                  <w:r>
                    <w:rPr>
                      <w:spacing w:val="-1"/>
                      <w:sz w:val="18"/>
                      <w:szCs w:val="18"/>
                    </w:rPr>
                    <w:t>料，处理能力能够满足本项</w:t>
                  </w:r>
                  <w:r>
                    <w:rPr>
                      <w:spacing w:val="3"/>
                      <w:sz w:val="18"/>
                      <w:szCs w:val="18"/>
                    </w:rPr>
                    <w:t xml:space="preserve"> </w:t>
                  </w:r>
                  <w:r>
                    <w:rPr>
                      <w:spacing w:val="-2"/>
                      <w:sz w:val="18"/>
                      <w:szCs w:val="18"/>
                    </w:rPr>
                    <w:t>目生产所需。</w:t>
                  </w:r>
                </w:p>
              </w:tc>
              <w:tc>
                <w:tcPr>
                  <w:tcW w:w="712" w:type="dxa"/>
                  <w:tcBorders>
                    <w:bottom w:val="nil"/>
                  </w:tcBorders>
                  <w:vAlign w:val="top"/>
                </w:tcPr>
                <w:p w14:paraId="7947E120">
                  <w:pPr>
                    <w:spacing w:line="332" w:lineRule="auto"/>
                    <w:rPr>
                      <w:rFonts w:ascii="Arial"/>
                      <w:sz w:val="21"/>
                    </w:rPr>
                  </w:pPr>
                </w:p>
                <w:p w14:paraId="12F79CF6">
                  <w:pPr>
                    <w:spacing w:line="332" w:lineRule="auto"/>
                    <w:rPr>
                      <w:rFonts w:ascii="Arial"/>
                      <w:sz w:val="21"/>
                    </w:rPr>
                  </w:pPr>
                </w:p>
                <w:p w14:paraId="79B528B4">
                  <w:pPr>
                    <w:pStyle w:val="6"/>
                    <w:spacing w:before="58" w:line="219" w:lineRule="auto"/>
                    <w:ind w:left="182"/>
                    <w:rPr>
                      <w:sz w:val="18"/>
                      <w:szCs w:val="18"/>
                    </w:rPr>
                  </w:pPr>
                  <w:r>
                    <w:rPr>
                      <w:spacing w:val="-5"/>
                      <w:sz w:val="18"/>
                      <w:szCs w:val="18"/>
                    </w:rPr>
                    <w:t>符合</w:t>
                  </w:r>
                </w:p>
              </w:tc>
            </w:tr>
          </w:tbl>
          <w:p w14:paraId="17FB20FE">
            <w:pPr>
              <w:spacing w:line="14" w:lineRule="auto"/>
              <w:rPr>
                <w:rFonts w:ascii="Arial"/>
                <w:sz w:val="2"/>
              </w:rPr>
            </w:pPr>
            <w:r>
              <w:drawing>
                <wp:anchor distT="0" distB="0" distL="0" distR="0" simplePos="0" relativeHeight="251680768" behindDoc="0" locked="0" layoutInCell="1" allowOverlap="1">
                  <wp:simplePos x="0" y="0"/>
                  <wp:positionH relativeFrom="rightMargin">
                    <wp:posOffset>-4365625</wp:posOffset>
                  </wp:positionH>
                  <wp:positionV relativeFrom="topMargin">
                    <wp:posOffset>5546725</wp:posOffset>
                  </wp:positionV>
                  <wp:extent cx="6350" cy="28403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1"/>
                          <a:stretch>
                            <a:fillRect/>
                          </a:stretch>
                        </pic:blipFill>
                        <pic:spPr>
                          <a:xfrm>
                            <a:off x="0" y="0"/>
                            <a:ext cx="6350" cy="2840101"/>
                          </a:xfrm>
                          <a:prstGeom prst="rect">
                            <a:avLst/>
                          </a:prstGeom>
                        </pic:spPr>
                      </pic:pic>
                    </a:graphicData>
                  </a:graphic>
                </wp:anchor>
              </w:drawing>
            </w:r>
            <w:r>
              <w:pict>
                <v:shape id="_x0000_s1034" o:spid="_x0000_s1034" style="position:absolute;left:0pt;margin-left:97.85pt;margin-top:58.5pt;height:340pt;width:0.5pt;mso-position-horizontal-relative:page;mso-position-vertical-relative:page;z-index:251679744;mso-width-relative:page;mso-height-relative:page;" filled="f" stroked="t" coordsize="10,6800" path="m4,0l4,6800e">
                  <v:fill on="f" focussize="0,0"/>
                  <v:stroke weight="0.48pt" color="#000000" miterlimit="2" joinstyle="bevel"/>
                  <v:imagedata o:title=""/>
                  <o:lock v:ext="edit"/>
                </v:shape>
              </w:pict>
            </w:r>
          </w:p>
        </w:tc>
      </w:tr>
    </w:tbl>
    <w:p w14:paraId="31B4331C">
      <w:pPr>
        <w:pStyle w:val="2"/>
      </w:pPr>
    </w:p>
    <w:p w14:paraId="6992344E">
      <w:pPr>
        <w:sectPr>
          <w:footerReference r:id="rId27" w:type="default"/>
          <w:pgSz w:w="11906" w:h="16839"/>
          <w:pgMar w:top="1431" w:right="1532" w:bottom="1260" w:left="1543" w:header="0" w:footer="1080" w:gutter="0"/>
          <w:cols w:space="720" w:num="1"/>
        </w:sectPr>
      </w:pPr>
    </w:p>
    <w:p w14:paraId="7151FC1D">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47E11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7" w:hRule="atLeast"/>
        </w:trPr>
        <w:tc>
          <w:tcPr>
            <w:tcW w:w="1829" w:type="dxa"/>
            <w:vAlign w:val="top"/>
          </w:tcPr>
          <w:p w14:paraId="4332DB38">
            <w:pPr>
              <w:rPr>
                <w:rFonts w:ascii="Arial"/>
                <w:sz w:val="21"/>
              </w:rPr>
            </w:pPr>
          </w:p>
        </w:tc>
        <w:tc>
          <w:tcPr>
            <w:tcW w:w="6985" w:type="dxa"/>
            <w:vAlign w:val="top"/>
          </w:tcPr>
          <w:p w14:paraId="1B309FDD">
            <w:pPr>
              <w:spacing w:line="52" w:lineRule="auto"/>
              <w:rPr>
                <w:rFonts w:ascii="Arial"/>
                <w:sz w:val="2"/>
              </w:rPr>
            </w:pPr>
          </w:p>
          <w:tbl>
            <w:tblPr>
              <w:tblStyle w:val="5"/>
              <w:tblW w:w="678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2543"/>
              <w:gridCol w:w="2325"/>
              <w:gridCol w:w="712"/>
            </w:tblGrid>
            <w:tr w14:paraId="1BBEF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203" w:type="dxa"/>
                  <w:vMerge w:val="restart"/>
                  <w:tcBorders>
                    <w:top w:val="nil"/>
                    <w:bottom w:val="nil"/>
                  </w:tcBorders>
                  <w:vAlign w:val="top"/>
                </w:tcPr>
                <w:p w14:paraId="0AB43689">
                  <w:pPr>
                    <w:rPr>
                      <w:rFonts w:ascii="Arial"/>
                      <w:sz w:val="21"/>
                    </w:rPr>
                  </w:pPr>
                </w:p>
              </w:tc>
              <w:tc>
                <w:tcPr>
                  <w:tcW w:w="2543" w:type="dxa"/>
                  <w:tcBorders>
                    <w:top w:val="nil"/>
                  </w:tcBorders>
                  <w:vAlign w:val="top"/>
                </w:tcPr>
                <w:p w14:paraId="72260B01">
                  <w:pPr>
                    <w:pStyle w:val="6"/>
                    <w:spacing w:before="37" w:line="228" w:lineRule="auto"/>
                    <w:ind w:left="49" w:right="92" w:firstLine="2"/>
                    <w:jc w:val="both"/>
                    <w:rPr>
                      <w:sz w:val="18"/>
                      <w:szCs w:val="18"/>
                    </w:rPr>
                  </w:pPr>
                  <w:r>
                    <w:rPr>
                      <w:spacing w:val="-1"/>
                      <w:sz w:val="18"/>
                      <w:szCs w:val="18"/>
                    </w:rPr>
                    <w:t xml:space="preserve">工程宜设置 </w:t>
                  </w:r>
                  <w:r>
                    <w:rPr>
                      <w:rFonts w:ascii="Times New Roman" w:hAnsi="Times New Roman" w:eastAsia="Times New Roman" w:cs="Times New Roman"/>
                      <w:spacing w:val="-1"/>
                      <w:sz w:val="18"/>
                      <w:szCs w:val="18"/>
                    </w:rPr>
                    <w:t xml:space="preserve">2~4 </w:t>
                  </w:r>
                  <w:r>
                    <w:rPr>
                      <w:spacing w:val="-1"/>
                      <w:sz w:val="18"/>
                      <w:szCs w:val="18"/>
                    </w:rPr>
                    <w:t>条生产线，</w:t>
                  </w:r>
                  <w:r>
                    <w:rPr>
                      <w:rFonts w:ascii="Times New Roman" w:hAnsi="Times New Roman" w:eastAsia="Times New Roman" w:cs="Times New Roman"/>
                      <w:spacing w:val="-1"/>
                      <w:sz w:val="18"/>
                      <w:szCs w:val="18"/>
                    </w:rPr>
                    <w:t>IV</w:t>
                  </w:r>
                  <w:r>
                    <w:rPr>
                      <w:rFonts w:ascii="Times New Roman" w:hAnsi="Times New Roman" w:eastAsia="Times New Roman" w:cs="Times New Roman"/>
                      <w:spacing w:val="7"/>
                      <w:sz w:val="18"/>
                      <w:szCs w:val="18"/>
                    </w:rPr>
                    <w:t xml:space="preserve"> </w:t>
                  </w:r>
                  <w:r>
                    <w:rPr>
                      <w:spacing w:val="-1"/>
                      <w:sz w:val="18"/>
                      <w:szCs w:val="18"/>
                    </w:rPr>
                    <w:t>类、</w:t>
                  </w:r>
                  <w:r>
                    <w:rPr>
                      <w:rFonts w:ascii="Times New Roman" w:hAnsi="Times New Roman" w:eastAsia="Times New Roman" w:cs="Times New Roman"/>
                      <w:spacing w:val="-1"/>
                      <w:sz w:val="18"/>
                      <w:szCs w:val="18"/>
                    </w:rPr>
                    <w:t xml:space="preserve">V  </w:t>
                  </w:r>
                  <w:r>
                    <w:rPr>
                      <w:spacing w:val="-1"/>
                      <w:sz w:val="18"/>
                      <w:szCs w:val="18"/>
                    </w:rPr>
                    <w:t>类建筑垃圾处理工程可</w:t>
                  </w:r>
                  <w:r>
                    <w:rPr>
                      <w:spacing w:val="2"/>
                      <w:sz w:val="18"/>
                      <w:szCs w:val="18"/>
                    </w:rPr>
                    <w:t xml:space="preserve"> </w:t>
                  </w:r>
                  <w:r>
                    <w:rPr>
                      <w:spacing w:val="-3"/>
                      <w:sz w:val="18"/>
                      <w:szCs w:val="18"/>
                    </w:rPr>
                    <w:t>设置</w:t>
                  </w:r>
                  <w:r>
                    <w:rPr>
                      <w:spacing w:val="23"/>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条生产线。</w:t>
                  </w:r>
                </w:p>
              </w:tc>
              <w:tc>
                <w:tcPr>
                  <w:tcW w:w="2325" w:type="dxa"/>
                  <w:tcBorders>
                    <w:top w:val="nil"/>
                  </w:tcBorders>
                  <w:vAlign w:val="top"/>
                </w:tcPr>
                <w:p w14:paraId="6001BFD5">
                  <w:pPr>
                    <w:rPr>
                      <w:rFonts w:ascii="Arial"/>
                      <w:sz w:val="21"/>
                    </w:rPr>
                  </w:pPr>
                </w:p>
              </w:tc>
              <w:tc>
                <w:tcPr>
                  <w:tcW w:w="712" w:type="dxa"/>
                  <w:tcBorders>
                    <w:top w:val="nil"/>
                  </w:tcBorders>
                  <w:vAlign w:val="top"/>
                </w:tcPr>
                <w:p w14:paraId="02B58F62">
                  <w:pPr>
                    <w:rPr>
                      <w:rFonts w:ascii="Arial"/>
                      <w:sz w:val="21"/>
                    </w:rPr>
                  </w:pPr>
                </w:p>
              </w:tc>
            </w:tr>
            <w:tr w14:paraId="29FB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03" w:type="dxa"/>
                  <w:vMerge w:val="continue"/>
                  <w:tcBorders>
                    <w:top w:val="nil"/>
                  </w:tcBorders>
                  <w:vAlign w:val="top"/>
                </w:tcPr>
                <w:p w14:paraId="519B6D08">
                  <w:pPr>
                    <w:rPr>
                      <w:rFonts w:ascii="Arial"/>
                      <w:sz w:val="21"/>
                    </w:rPr>
                  </w:pPr>
                </w:p>
              </w:tc>
              <w:tc>
                <w:tcPr>
                  <w:tcW w:w="2543" w:type="dxa"/>
                  <w:vAlign w:val="top"/>
                </w:tcPr>
                <w:p w14:paraId="1601F351">
                  <w:pPr>
                    <w:pStyle w:val="6"/>
                    <w:spacing w:before="30" w:line="234" w:lineRule="auto"/>
                    <w:ind w:left="48" w:right="6"/>
                    <w:rPr>
                      <w:sz w:val="18"/>
                      <w:szCs w:val="18"/>
                    </w:rPr>
                  </w:pPr>
                  <w:r>
                    <w:rPr>
                      <w:spacing w:val="-3"/>
                      <w:sz w:val="18"/>
                      <w:szCs w:val="18"/>
                    </w:rPr>
                    <w:t>进场建筑垃圾应根据工程渣土、</w:t>
                  </w:r>
                  <w:r>
                    <w:rPr>
                      <w:spacing w:val="4"/>
                      <w:sz w:val="18"/>
                      <w:szCs w:val="18"/>
                    </w:rPr>
                    <w:t xml:space="preserve"> </w:t>
                  </w:r>
                  <w:r>
                    <w:rPr>
                      <w:spacing w:val="-6"/>
                      <w:sz w:val="18"/>
                      <w:szCs w:val="18"/>
                    </w:rPr>
                    <w:t>工程泥浆、工程垃圾、拆除垃圾</w:t>
                  </w:r>
                  <w:r>
                    <w:rPr>
                      <w:spacing w:val="7"/>
                      <w:sz w:val="18"/>
                      <w:szCs w:val="18"/>
                    </w:rPr>
                    <w:t xml:space="preserve"> </w:t>
                  </w:r>
                  <w:r>
                    <w:rPr>
                      <w:spacing w:val="-6"/>
                      <w:sz w:val="18"/>
                      <w:szCs w:val="18"/>
                    </w:rPr>
                    <w:t>和装修垃圾及其细分类堆放，并</w:t>
                  </w:r>
                  <w:r>
                    <w:rPr>
                      <w:spacing w:val="7"/>
                      <w:sz w:val="18"/>
                      <w:szCs w:val="18"/>
                    </w:rPr>
                    <w:t xml:space="preserve"> </w:t>
                  </w:r>
                  <w:r>
                    <w:rPr>
                      <w:spacing w:val="-6"/>
                      <w:sz w:val="18"/>
                      <w:szCs w:val="18"/>
                    </w:rPr>
                    <w:t>应设置明显的分类堆放标志。建</w:t>
                  </w:r>
                  <w:r>
                    <w:rPr>
                      <w:spacing w:val="7"/>
                      <w:sz w:val="18"/>
                      <w:szCs w:val="18"/>
                    </w:rPr>
                    <w:t xml:space="preserve"> </w:t>
                  </w:r>
                  <w:r>
                    <w:rPr>
                      <w:spacing w:val="-1"/>
                      <w:sz w:val="18"/>
                      <w:szCs w:val="18"/>
                    </w:rPr>
                    <w:t>筑垃圾处理的操作人员应检查</w:t>
                  </w:r>
                  <w:r>
                    <w:rPr>
                      <w:spacing w:val="2"/>
                      <w:sz w:val="18"/>
                      <w:szCs w:val="18"/>
                    </w:rPr>
                    <w:t xml:space="preserve">  </w:t>
                  </w:r>
                  <w:r>
                    <w:rPr>
                      <w:spacing w:val="-6"/>
                      <w:sz w:val="18"/>
                      <w:szCs w:val="18"/>
                    </w:rPr>
                    <w:t>场垃圾成分，一旦发现混有危险</w:t>
                  </w:r>
                  <w:r>
                    <w:rPr>
                      <w:spacing w:val="7"/>
                      <w:sz w:val="18"/>
                      <w:szCs w:val="18"/>
                    </w:rPr>
                    <w:t xml:space="preserve"> </w:t>
                  </w:r>
                  <w:r>
                    <w:rPr>
                      <w:spacing w:val="-1"/>
                      <w:sz w:val="18"/>
                      <w:szCs w:val="18"/>
                    </w:rPr>
                    <w:t>废物，应严禁进场。</w:t>
                  </w:r>
                </w:p>
              </w:tc>
              <w:tc>
                <w:tcPr>
                  <w:tcW w:w="2325" w:type="dxa"/>
                  <w:vAlign w:val="top"/>
                </w:tcPr>
                <w:p w14:paraId="525808FC">
                  <w:pPr>
                    <w:spacing w:line="317" w:lineRule="auto"/>
                    <w:rPr>
                      <w:rFonts w:ascii="Arial"/>
                      <w:sz w:val="21"/>
                    </w:rPr>
                  </w:pPr>
                </w:p>
                <w:p w14:paraId="402C47F0">
                  <w:pPr>
                    <w:pStyle w:val="6"/>
                    <w:spacing w:before="58" w:line="219" w:lineRule="auto"/>
                    <w:ind w:left="51"/>
                    <w:rPr>
                      <w:sz w:val="18"/>
                      <w:szCs w:val="18"/>
                    </w:rPr>
                  </w:pPr>
                  <w:r>
                    <w:rPr>
                      <w:spacing w:val="-1"/>
                      <w:sz w:val="18"/>
                      <w:szCs w:val="18"/>
                    </w:rPr>
                    <w:t>本项目设置有专用地下堆</w:t>
                  </w:r>
                </w:p>
                <w:p w14:paraId="393B159F">
                  <w:pPr>
                    <w:pStyle w:val="6"/>
                    <w:spacing w:before="19" w:line="233" w:lineRule="auto"/>
                    <w:ind w:left="49" w:right="116"/>
                    <w:rPr>
                      <w:sz w:val="18"/>
                      <w:szCs w:val="18"/>
                    </w:rPr>
                  </w:pPr>
                  <w:r>
                    <w:rPr>
                      <w:spacing w:val="-1"/>
                      <w:sz w:val="18"/>
                      <w:szCs w:val="18"/>
                    </w:rPr>
                    <w:t>场，分类堆存拟处置的建筑</w:t>
                  </w:r>
                  <w:r>
                    <w:rPr>
                      <w:spacing w:val="4"/>
                      <w:sz w:val="18"/>
                      <w:szCs w:val="18"/>
                    </w:rPr>
                    <w:t xml:space="preserve"> </w:t>
                  </w:r>
                  <w:r>
                    <w:rPr>
                      <w:spacing w:val="-1"/>
                      <w:sz w:val="18"/>
                      <w:szCs w:val="18"/>
                    </w:rPr>
                    <w:t>垃圾，处置的种类中不含装</w:t>
                  </w:r>
                  <w:r>
                    <w:rPr>
                      <w:spacing w:val="3"/>
                      <w:sz w:val="18"/>
                      <w:szCs w:val="18"/>
                    </w:rPr>
                    <w:t xml:space="preserve"> </w:t>
                  </w:r>
                  <w:r>
                    <w:rPr>
                      <w:spacing w:val="-1"/>
                      <w:sz w:val="18"/>
                      <w:szCs w:val="18"/>
                    </w:rPr>
                    <w:t>修垃圾和拆迁垃圾。</w:t>
                  </w:r>
                </w:p>
              </w:tc>
              <w:tc>
                <w:tcPr>
                  <w:tcW w:w="712" w:type="dxa"/>
                  <w:vAlign w:val="top"/>
                </w:tcPr>
                <w:p w14:paraId="6885D364">
                  <w:pPr>
                    <w:spacing w:line="333" w:lineRule="auto"/>
                    <w:rPr>
                      <w:rFonts w:ascii="Arial"/>
                      <w:sz w:val="21"/>
                    </w:rPr>
                  </w:pPr>
                </w:p>
                <w:p w14:paraId="65F91C66">
                  <w:pPr>
                    <w:spacing w:line="333" w:lineRule="auto"/>
                    <w:rPr>
                      <w:rFonts w:ascii="Arial"/>
                      <w:sz w:val="21"/>
                    </w:rPr>
                  </w:pPr>
                </w:p>
                <w:p w14:paraId="210626D7">
                  <w:pPr>
                    <w:pStyle w:val="6"/>
                    <w:spacing w:before="58" w:line="219" w:lineRule="auto"/>
                    <w:ind w:left="182"/>
                    <w:rPr>
                      <w:sz w:val="18"/>
                      <w:szCs w:val="18"/>
                    </w:rPr>
                  </w:pPr>
                  <w:r>
                    <w:rPr>
                      <w:spacing w:val="-5"/>
                      <w:sz w:val="18"/>
                      <w:szCs w:val="18"/>
                    </w:rPr>
                    <w:t>符合</w:t>
                  </w:r>
                </w:p>
              </w:tc>
            </w:tr>
            <w:tr w14:paraId="38A8B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203" w:type="dxa"/>
                  <w:vMerge w:val="restart"/>
                  <w:tcBorders>
                    <w:bottom w:val="nil"/>
                  </w:tcBorders>
                  <w:vAlign w:val="top"/>
                </w:tcPr>
                <w:p w14:paraId="5241D8B2">
                  <w:pPr>
                    <w:spacing w:line="253" w:lineRule="auto"/>
                    <w:rPr>
                      <w:rFonts w:ascii="Arial"/>
                      <w:sz w:val="21"/>
                    </w:rPr>
                  </w:pPr>
                </w:p>
                <w:p w14:paraId="6A7714FF">
                  <w:pPr>
                    <w:spacing w:line="253" w:lineRule="auto"/>
                    <w:rPr>
                      <w:rFonts w:ascii="Arial"/>
                      <w:sz w:val="21"/>
                    </w:rPr>
                  </w:pPr>
                </w:p>
                <w:p w14:paraId="2999408B">
                  <w:pPr>
                    <w:spacing w:line="253" w:lineRule="auto"/>
                    <w:rPr>
                      <w:rFonts w:ascii="Arial"/>
                      <w:sz w:val="21"/>
                    </w:rPr>
                  </w:pPr>
                </w:p>
                <w:p w14:paraId="1C333E31">
                  <w:pPr>
                    <w:spacing w:line="253" w:lineRule="auto"/>
                    <w:rPr>
                      <w:rFonts w:ascii="Arial"/>
                      <w:sz w:val="21"/>
                    </w:rPr>
                  </w:pPr>
                </w:p>
                <w:p w14:paraId="4178E0C4">
                  <w:pPr>
                    <w:spacing w:line="253" w:lineRule="auto"/>
                    <w:rPr>
                      <w:rFonts w:ascii="Arial"/>
                      <w:sz w:val="21"/>
                    </w:rPr>
                  </w:pPr>
                </w:p>
                <w:p w14:paraId="03E5F3F2">
                  <w:pPr>
                    <w:spacing w:line="253" w:lineRule="auto"/>
                    <w:rPr>
                      <w:rFonts w:ascii="Arial"/>
                      <w:sz w:val="21"/>
                    </w:rPr>
                  </w:pPr>
                </w:p>
                <w:p w14:paraId="7E35EF81">
                  <w:pPr>
                    <w:spacing w:line="253" w:lineRule="auto"/>
                    <w:rPr>
                      <w:rFonts w:ascii="Arial"/>
                      <w:sz w:val="21"/>
                    </w:rPr>
                  </w:pPr>
                </w:p>
                <w:p w14:paraId="6C07FA99">
                  <w:pPr>
                    <w:spacing w:line="253" w:lineRule="auto"/>
                    <w:rPr>
                      <w:rFonts w:ascii="Arial"/>
                      <w:sz w:val="21"/>
                    </w:rPr>
                  </w:pPr>
                </w:p>
                <w:p w14:paraId="5BD34506">
                  <w:pPr>
                    <w:spacing w:line="254" w:lineRule="auto"/>
                    <w:rPr>
                      <w:rFonts w:ascii="Arial"/>
                      <w:sz w:val="21"/>
                    </w:rPr>
                  </w:pPr>
                </w:p>
                <w:p w14:paraId="77E4C85D">
                  <w:pPr>
                    <w:spacing w:line="254" w:lineRule="auto"/>
                    <w:rPr>
                      <w:rFonts w:ascii="Arial"/>
                      <w:sz w:val="21"/>
                    </w:rPr>
                  </w:pPr>
                </w:p>
                <w:p w14:paraId="173AEBF5">
                  <w:pPr>
                    <w:pStyle w:val="6"/>
                    <w:spacing w:before="59" w:line="232" w:lineRule="auto"/>
                    <w:ind w:left="56" w:firstLine="9"/>
                    <w:jc w:val="both"/>
                    <w:rPr>
                      <w:sz w:val="18"/>
                      <w:szCs w:val="18"/>
                    </w:rPr>
                  </w:pPr>
                  <w:r>
                    <w:rPr>
                      <w:spacing w:val="-6"/>
                      <w:sz w:val="18"/>
                      <w:szCs w:val="18"/>
                    </w:rPr>
                    <w:t>建筑垃圾资源</w:t>
                  </w:r>
                  <w:r>
                    <w:rPr>
                      <w:spacing w:val="1"/>
                      <w:sz w:val="18"/>
                      <w:szCs w:val="18"/>
                    </w:rPr>
                    <w:t xml:space="preserve">  </w:t>
                  </w:r>
                  <w:r>
                    <w:rPr>
                      <w:spacing w:val="-4"/>
                      <w:sz w:val="18"/>
                      <w:szCs w:val="18"/>
                    </w:rPr>
                    <w:t>化利用行业规</w:t>
                  </w:r>
                  <w:r>
                    <w:rPr>
                      <w:sz w:val="18"/>
                      <w:szCs w:val="18"/>
                    </w:rPr>
                    <w:t xml:space="preserve">  </w:t>
                  </w:r>
                  <w:r>
                    <w:rPr>
                      <w:spacing w:val="-17"/>
                      <w:sz w:val="18"/>
                      <w:szCs w:val="18"/>
                    </w:rPr>
                    <w:t>范条件（暂行）</w:t>
                  </w:r>
                </w:p>
              </w:tc>
              <w:tc>
                <w:tcPr>
                  <w:tcW w:w="2543" w:type="dxa"/>
                  <w:vAlign w:val="top"/>
                </w:tcPr>
                <w:p w14:paraId="17FD2FDF">
                  <w:pPr>
                    <w:pStyle w:val="6"/>
                    <w:spacing w:before="32" w:line="235" w:lineRule="auto"/>
                    <w:ind w:left="48" w:right="6" w:firstLine="2"/>
                    <w:rPr>
                      <w:sz w:val="18"/>
                      <w:szCs w:val="18"/>
                    </w:rPr>
                  </w:pPr>
                  <w:r>
                    <w:rPr>
                      <w:spacing w:val="-1"/>
                      <w:sz w:val="18"/>
                      <w:szCs w:val="18"/>
                    </w:rPr>
                    <w:t>各地建筑垃圾资源化利用企业</w:t>
                  </w:r>
                  <w:r>
                    <w:rPr>
                      <w:spacing w:val="1"/>
                      <w:sz w:val="18"/>
                      <w:szCs w:val="18"/>
                    </w:rPr>
                    <w:t xml:space="preserve">  </w:t>
                  </w:r>
                  <w:r>
                    <w:rPr>
                      <w:spacing w:val="-1"/>
                      <w:sz w:val="18"/>
                      <w:szCs w:val="18"/>
                    </w:rPr>
                    <w:t>的设立和布局应根据区域内建</w:t>
                  </w:r>
                  <w:r>
                    <w:rPr>
                      <w:spacing w:val="2"/>
                      <w:sz w:val="18"/>
                      <w:szCs w:val="18"/>
                    </w:rPr>
                    <w:t xml:space="preserve">  </w:t>
                  </w:r>
                  <w:r>
                    <w:rPr>
                      <w:spacing w:val="-6"/>
                      <w:sz w:val="18"/>
                      <w:szCs w:val="18"/>
                    </w:rPr>
                    <w:t>筑垃圾存量及增量预测情况、运</w:t>
                  </w:r>
                  <w:r>
                    <w:rPr>
                      <w:spacing w:val="7"/>
                      <w:sz w:val="18"/>
                      <w:szCs w:val="18"/>
                    </w:rPr>
                    <w:t xml:space="preserve"> </w:t>
                  </w:r>
                  <w:r>
                    <w:rPr>
                      <w:spacing w:val="-6"/>
                      <w:sz w:val="18"/>
                      <w:szCs w:val="18"/>
                    </w:rPr>
                    <w:t>输半径、应用条件等，统筹协调</w:t>
                  </w:r>
                  <w:r>
                    <w:rPr>
                      <w:spacing w:val="7"/>
                      <w:sz w:val="18"/>
                      <w:szCs w:val="18"/>
                    </w:rPr>
                    <w:t xml:space="preserve"> </w:t>
                  </w:r>
                  <w:r>
                    <w:rPr>
                      <w:spacing w:val="-6"/>
                      <w:sz w:val="18"/>
                      <w:szCs w:val="18"/>
                    </w:rPr>
                    <w:t>确定。建筑垃圾资源化利用要与</w:t>
                  </w:r>
                  <w:r>
                    <w:rPr>
                      <w:spacing w:val="7"/>
                      <w:sz w:val="18"/>
                      <w:szCs w:val="18"/>
                    </w:rPr>
                    <w:t xml:space="preserve"> </w:t>
                  </w:r>
                  <w:r>
                    <w:rPr>
                      <w:spacing w:val="-1"/>
                      <w:sz w:val="18"/>
                      <w:szCs w:val="18"/>
                    </w:rPr>
                    <w:t>城市 总体规划、土地利用总体</w:t>
                  </w:r>
                  <w:r>
                    <w:rPr>
                      <w:spacing w:val="7"/>
                      <w:sz w:val="18"/>
                      <w:szCs w:val="18"/>
                    </w:rPr>
                    <w:t xml:space="preserve"> </w:t>
                  </w:r>
                  <w:r>
                    <w:rPr>
                      <w:spacing w:val="-1"/>
                      <w:sz w:val="18"/>
                      <w:szCs w:val="18"/>
                    </w:rPr>
                    <w:t>规划和循环经济规划及旧城改</w:t>
                  </w:r>
                  <w:r>
                    <w:rPr>
                      <w:spacing w:val="2"/>
                      <w:sz w:val="18"/>
                      <w:szCs w:val="18"/>
                    </w:rPr>
                    <w:t xml:space="preserve">  </w:t>
                  </w:r>
                  <w:r>
                    <w:rPr>
                      <w:spacing w:val="-6"/>
                      <w:sz w:val="18"/>
                      <w:szCs w:val="18"/>
                    </w:rPr>
                    <w:t>造、大型工业园区改造、城市新</w:t>
                  </w:r>
                  <w:r>
                    <w:rPr>
                      <w:spacing w:val="7"/>
                      <w:sz w:val="18"/>
                      <w:szCs w:val="18"/>
                    </w:rPr>
                    <w:t xml:space="preserve"> </w:t>
                  </w:r>
                  <w:r>
                    <w:rPr>
                      <w:spacing w:val="-3"/>
                      <w:sz w:val="18"/>
                      <w:szCs w:val="18"/>
                    </w:rPr>
                    <w:t>区建设等大型建设项目相结合。</w:t>
                  </w:r>
                </w:p>
              </w:tc>
              <w:tc>
                <w:tcPr>
                  <w:tcW w:w="2325" w:type="dxa"/>
                  <w:vAlign w:val="top"/>
                </w:tcPr>
                <w:p w14:paraId="09261D2F">
                  <w:pPr>
                    <w:pStyle w:val="6"/>
                    <w:spacing w:before="32" w:line="235" w:lineRule="auto"/>
                    <w:ind w:left="49" w:right="42" w:firstLine="2"/>
                    <w:jc w:val="both"/>
                    <w:rPr>
                      <w:sz w:val="18"/>
                      <w:szCs w:val="18"/>
                    </w:rPr>
                  </w:pPr>
                  <w:r>
                    <w:rPr>
                      <w:spacing w:val="-1"/>
                      <w:sz w:val="18"/>
                      <w:szCs w:val="18"/>
                    </w:rPr>
                    <w:t>本项目拟处置利用建筑垃圾</w:t>
                  </w:r>
                  <w:r>
                    <w:rPr>
                      <w:spacing w:val="1"/>
                      <w:sz w:val="18"/>
                      <w:szCs w:val="18"/>
                    </w:rPr>
                    <w:t xml:space="preserve">  </w:t>
                  </w:r>
                  <w:r>
                    <w:rPr>
                      <w:spacing w:val="-1"/>
                      <w:sz w:val="18"/>
                      <w:szCs w:val="18"/>
                    </w:rPr>
                    <w:t>替代部分生产所需原料，处</w:t>
                  </w:r>
                  <w:r>
                    <w:rPr>
                      <w:spacing w:val="2"/>
                      <w:sz w:val="18"/>
                      <w:szCs w:val="18"/>
                    </w:rPr>
                    <w:t xml:space="preserve">  </w:t>
                  </w:r>
                  <w:r>
                    <w:rPr>
                      <w:spacing w:val="-1"/>
                      <w:sz w:val="18"/>
                      <w:szCs w:val="18"/>
                    </w:rPr>
                    <w:t>置种类中不含拆迁和装修垃</w:t>
                  </w:r>
                  <w:r>
                    <w:rPr>
                      <w:spacing w:val="2"/>
                      <w:sz w:val="18"/>
                      <w:szCs w:val="18"/>
                    </w:rPr>
                    <w:t xml:space="preserve">  </w:t>
                  </w:r>
                  <w:r>
                    <w:rPr>
                      <w:spacing w:val="-1"/>
                      <w:sz w:val="18"/>
                      <w:szCs w:val="18"/>
                    </w:rPr>
                    <w:t>圾。建设单位已取得达州市</w:t>
                  </w:r>
                  <w:r>
                    <w:rPr>
                      <w:spacing w:val="2"/>
                      <w:sz w:val="18"/>
                      <w:szCs w:val="18"/>
                    </w:rPr>
                    <w:t xml:space="preserve">  </w:t>
                  </w:r>
                  <w:r>
                    <w:rPr>
                      <w:spacing w:val="-1"/>
                      <w:sz w:val="18"/>
                      <w:szCs w:val="18"/>
                    </w:rPr>
                    <w:t>通川区综合行政执法局颁发</w:t>
                  </w:r>
                  <w:r>
                    <w:rPr>
                      <w:spacing w:val="2"/>
                      <w:sz w:val="18"/>
                      <w:szCs w:val="18"/>
                    </w:rPr>
                    <w:t xml:space="preserve">  </w:t>
                  </w:r>
                  <w:r>
                    <w:rPr>
                      <w:spacing w:val="-1"/>
                      <w:sz w:val="18"/>
                      <w:szCs w:val="18"/>
                    </w:rPr>
                    <w:t>的《四川省城市建筑垃圾处</w:t>
                  </w:r>
                  <w:r>
                    <w:rPr>
                      <w:spacing w:val="2"/>
                      <w:sz w:val="18"/>
                      <w:szCs w:val="18"/>
                    </w:rPr>
                    <w:t xml:space="preserve">  </w:t>
                  </w:r>
                  <w:r>
                    <w:rPr>
                      <w:spacing w:val="-9"/>
                      <w:sz w:val="18"/>
                      <w:szCs w:val="18"/>
                    </w:rPr>
                    <w:t>置许可证》（编号：通区综执</w:t>
                  </w:r>
                  <w:r>
                    <w:rPr>
                      <w:spacing w:val="4"/>
                      <w:sz w:val="18"/>
                      <w:szCs w:val="18"/>
                    </w:rPr>
                    <w:t xml:space="preserve"> </w:t>
                  </w:r>
                  <w:r>
                    <w:rPr>
                      <w:spacing w:val="-4"/>
                      <w:sz w:val="18"/>
                      <w:szCs w:val="18"/>
                    </w:rPr>
                    <w:t>建处置核</w:t>
                  </w:r>
                  <w:r>
                    <w:rPr>
                      <w:spacing w:val="-34"/>
                      <w:sz w:val="18"/>
                      <w:szCs w:val="18"/>
                    </w:rPr>
                    <w:t xml:space="preserve"> </w:t>
                  </w:r>
                  <w:r>
                    <w:rPr>
                      <w:spacing w:val="-4"/>
                      <w:sz w:val="18"/>
                      <w:szCs w:val="18"/>
                    </w:rPr>
                    <w:t>20241</w:t>
                  </w:r>
                  <w:r>
                    <w:rPr>
                      <w:spacing w:val="-35"/>
                      <w:sz w:val="18"/>
                      <w:szCs w:val="18"/>
                    </w:rPr>
                    <w:t xml:space="preserve"> </w:t>
                  </w:r>
                  <w:r>
                    <w:rPr>
                      <w:spacing w:val="-4"/>
                      <w:sz w:val="18"/>
                      <w:szCs w:val="18"/>
                    </w:rPr>
                    <w:t>号</w:t>
                  </w:r>
                  <w:r>
                    <w:rPr>
                      <w:spacing w:val="-41"/>
                      <w:sz w:val="18"/>
                      <w:szCs w:val="18"/>
                    </w:rPr>
                    <w:t>），</w:t>
                  </w:r>
                  <w:r>
                    <w:rPr>
                      <w:spacing w:val="-4"/>
                      <w:sz w:val="18"/>
                      <w:szCs w:val="18"/>
                    </w:rPr>
                    <w:t>允许日</w:t>
                  </w:r>
                  <w:r>
                    <w:rPr>
                      <w:sz w:val="18"/>
                      <w:szCs w:val="18"/>
                    </w:rPr>
                    <w:t xml:space="preserve"> </w:t>
                  </w:r>
                  <w:r>
                    <w:rPr>
                      <w:spacing w:val="-2"/>
                      <w:sz w:val="18"/>
                      <w:szCs w:val="18"/>
                    </w:rPr>
                    <w:t>处理量</w:t>
                  </w:r>
                  <w:r>
                    <w:rPr>
                      <w:spacing w:val="-35"/>
                      <w:sz w:val="18"/>
                      <w:szCs w:val="18"/>
                    </w:rPr>
                    <w:t xml:space="preserve"> </w:t>
                  </w:r>
                  <w:r>
                    <w:rPr>
                      <w:spacing w:val="-2"/>
                      <w:sz w:val="18"/>
                      <w:szCs w:val="18"/>
                    </w:rPr>
                    <w:t>2000</w:t>
                  </w:r>
                  <w:r>
                    <w:rPr>
                      <w:spacing w:val="-39"/>
                      <w:sz w:val="18"/>
                      <w:szCs w:val="18"/>
                    </w:rPr>
                    <w:t xml:space="preserve"> </w:t>
                  </w:r>
                  <w:r>
                    <w:rPr>
                      <w:spacing w:val="-2"/>
                      <w:sz w:val="18"/>
                      <w:szCs w:val="18"/>
                    </w:rPr>
                    <w:t>立方米。</w:t>
                  </w:r>
                </w:p>
              </w:tc>
              <w:tc>
                <w:tcPr>
                  <w:tcW w:w="712" w:type="dxa"/>
                  <w:vAlign w:val="top"/>
                </w:tcPr>
                <w:p w14:paraId="70C00ECE">
                  <w:pPr>
                    <w:spacing w:line="299" w:lineRule="auto"/>
                    <w:rPr>
                      <w:rFonts w:ascii="Arial"/>
                      <w:sz w:val="21"/>
                    </w:rPr>
                  </w:pPr>
                </w:p>
                <w:p w14:paraId="27337CC2">
                  <w:pPr>
                    <w:spacing w:line="299" w:lineRule="auto"/>
                    <w:rPr>
                      <w:rFonts w:ascii="Arial"/>
                      <w:sz w:val="21"/>
                    </w:rPr>
                  </w:pPr>
                </w:p>
                <w:p w14:paraId="19268461">
                  <w:pPr>
                    <w:spacing w:line="300" w:lineRule="auto"/>
                    <w:rPr>
                      <w:rFonts w:ascii="Arial"/>
                      <w:sz w:val="21"/>
                    </w:rPr>
                  </w:pPr>
                </w:p>
                <w:p w14:paraId="7AE9F43D">
                  <w:pPr>
                    <w:pStyle w:val="6"/>
                    <w:spacing w:before="58" w:line="219" w:lineRule="auto"/>
                    <w:ind w:left="182"/>
                    <w:rPr>
                      <w:sz w:val="18"/>
                      <w:szCs w:val="18"/>
                    </w:rPr>
                  </w:pPr>
                  <w:r>
                    <w:rPr>
                      <w:spacing w:val="-5"/>
                      <w:sz w:val="18"/>
                      <w:szCs w:val="18"/>
                    </w:rPr>
                    <w:t>符合</w:t>
                  </w:r>
                </w:p>
              </w:tc>
            </w:tr>
            <w:tr w14:paraId="0EC7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03" w:type="dxa"/>
                  <w:vMerge w:val="continue"/>
                  <w:tcBorders>
                    <w:top w:val="nil"/>
                    <w:bottom w:val="nil"/>
                  </w:tcBorders>
                  <w:vAlign w:val="top"/>
                </w:tcPr>
                <w:p w14:paraId="1960FE5F">
                  <w:pPr>
                    <w:rPr>
                      <w:rFonts w:ascii="Arial"/>
                      <w:sz w:val="21"/>
                    </w:rPr>
                  </w:pPr>
                </w:p>
              </w:tc>
              <w:tc>
                <w:tcPr>
                  <w:tcW w:w="2543" w:type="dxa"/>
                  <w:vAlign w:val="top"/>
                </w:tcPr>
                <w:p w14:paraId="2F694D7E">
                  <w:pPr>
                    <w:pStyle w:val="6"/>
                    <w:spacing w:before="29" w:line="235" w:lineRule="auto"/>
                    <w:ind w:left="48" w:right="45" w:firstLine="1"/>
                    <w:rPr>
                      <w:sz w:val="18"/>
                      <w:szCs w:val="18"/>
                    </w:rPr>
                  </w:pPr>
                  <w:r>
                    <w:rPr>
                      <w:spacing w:val="-1"/>
                      <w:sz w:val="18"/>
                      <w:szCs w:val="18"/>
                    </w:rPr>
                    <w:t>根据当地建筑垃圾条件及资源</w:t>
                  </w:r>
                  <w:r>
                    <w:rPr>
                      <w:spacing w:val="2"/>
                      <w:sz w:val="18"/>
                      <w:szCs w:val="18"/>
                    </w:rPr>
                    <w:t xml:space="preserve">  </w:t>
                  </w:r>
                  <w:r>
                    <w:rPr>
                      <w:spacing w:val="-6"/>
                      <w:sz w:val="18"/>
                      <w:szCs w:val="18"/>
                    </w:rPr>
                    <w:t>化利用方式等因素，综合确定建</w:t>
                  </w:r>
                  <w:r>
                    <w:rPr>
                      <w:spacing w:val="7"/>
                      <w:sz w:val="18"/>
                      <w:szCs w:val="18"/>
                    </w:rPr>
                    <w:t xml:space="preserve"> </w:t>
                  </w:r>
                  <w:r>
                    <w:rPr>
                      <w:spacing w:val="-1"/>
                      <w:sz w:val="18"/>
                      <w:szCs w:val="18"/>
                    </w:rPr>
                    <w:t>筑垃圾资源化利用项目的年处</w:t>
                  </w:r>
                  <w:r>
                    <w:rPr>
                      <w:spacing w:val="3"/>
                      <w:sz w:val="18"/>
                      <w:szCs w:val="18"/>
                    </w:rPr>
                    <w:t xml:space="preserve">  </w:t>
                  </w:r>
                  <w:r>
                    <w:rPr>
                      <w:spacing w:val="-6"/>
                      <w:sz w:val="18"/>
                      <w:szCs w:val="18"/>
                    </w:rPr>
                    <w:t>置能力，鼓励规模化发展。大型</w:t>
                  </w:r>
                  <w:r>
                    <w:rPr>
                      <w:spacing w:val="7"/>
                      <w:sz w:val="18"/>
                      <w:szCs w:val="18"/>
                    </w:rPr>
                    <w:t xml:space="preserve"> </w:t>
                  </w:r>
                  <w:r>
                    <w:rPr>
                      <w:spacing w:val="-1"/>
                      <w:sz w:val="18"/>
                      <w:szCs w:val="18"/>
                    </w:rPr>
                    <w:t>建筑垃圾资源化项目年处置生</w:t>
                  </w:r>
                  <w:r>
                    <w:rPr>
                      <w:spacing w:val="3"/>
                      <w:sz w:val="18"/>
                      <w:szCs w:val="18"/>
                    </w:rPr>
                    <w:t xml:space="preserve">  </w:t>
                  </w:r>
                  <w:r>
                    <w:rPr>
                      <w:spacing w:val="-8"/>
                      <w:sz w:val="18"/>
                      <w:szCs w:val="18"/>
                    </w:rPr>
                    <w:t>产能力不低于</w:t>
                  </w:r>
                  <w:r>
                    <w:rPr>
                      <w:spacing w:val="-12"/>
                      <w:sz w:val="18"/>
                      <w:szCs w:val="18"/>
                    </w:rPr>
                    <w:t xml:space="preserve"> </w:t>
                  </w:r>
                  <w:r>
                    <w:rPr>
                      <w:rFonts w:ascii="Times New Roman" w:hAnsi="Times New Roman" w:eastAsia="Times New Roman" w:cs="Times New Roman"/>
                      <w:spacing w:val="-8"/>
                      <w:sz w:val="18"/>
                      <w:szCs w:val="18"/>
                    </w:rPr>
                    <w:t>100</w:t>
                  </w:r>
                  <w:r>
                    <w:rPr>
                      <w:rFonts w:ascii="Times New Roman" w:hAnsi="Times New Roman" w:eastAsia="Times New Roman" w:cs="Times New Roman"/>
                      <w:spacing w:val="10"/>
                      <w:sz w:val="18"/>
                      <w:szCs w:val="18"/>
                    </w:rPr>
                    <w:t xml:space="preserve"> </w:t>
                  </w:r>
                  <w:r>
                    <w:rPr>
                      <w:spacing w:val="-8"/>
                      <w:sz w:val="18"/>
                      <w:szCs w:val="18"/>
                    </w:rPr>
                    <w:t>万吨，中型不</w:t>
                  </w:r>
                  <w:r>
                    <w:rPr>
                      <w:sz w:val="18"/>
                      <w:szCs w:val="18"/>
                    </w:rPr>
                    <w:t xml:space="preserve"> </w:t>
                  </w:r>
                  <w:r>
                    <w:rPr>
                      <w:spacing w:val="-2"/>
                      <w:sz w:val="18"/>
                      <w:szCs w:val="18"/>
                    </w:rPr>
                    <w:t>低于</w:t>
                  </w:r>
                  <w:r>
                    <w:rPr>
                      <w:spacing w:val="-23"/>
                      <w:sz w:val="18"/>
                      <w:szCs w:val="18"/>
                    </w:rPr>
                    <w:t xml:space="preserve"> </w:t>
                  </w:r>
                  <w:r>
                    <w:rPr>
                      <w:rFonts w:ascii="Times New Roman" w:hAnsi="Times New Roman" w:eastAsia="Times New Roman" w:cs="Times New Roman"/>
                      <w:spacing w:val="-2"/>
                      <w:sz w:val="18"/>
                      <w:szCs w:val="18"/>
                    </w:rPr>
                    <w:t xml:space="preserve">50 </w:t>
                  </w:r>
                  <w:r>
                    <w:rPr>
                      <w:spacing w:val="-2"/>
                      <w:sz w:val="18"/>
                      <w:szCs w:val="18"/>
                    </w:rPr>
                    <w:t>万吨，小型不低于</w:t>
                  </w:r>
                  <w:r>
                    <w:rPr>
                      <w:spacing w:val="-43"/>
                      <w:sz w:val="18"/>
                      <w:szCs w:val="18"/>
                    </w:rPr>
                    <w:t xml:space="preserve"> </w:t>
                  </w:r>
                  <w:r>
                    <w:rPr>
                      <w:rFonts w:ascii="Times New Roman" w:hAnsi="Times New Roman" w:eastAsia="Times New Roman" w:cs="Times New Roman"/>
                      <w:spacing w:val="-2"/>
                      <w:sz w:val="18"/>
                      <w:szCs w:val="18"/>
                    </w:rPr>
                    <w:t>25</w:t>
                  </w:r>
                  <w:r>
                    <w:rPr>
                      <w:rFonts w:ascii="Times New Roman" w:hAnsi="Times New Roman" w:eastAsia="Times New Roman" w:cs="Times New Roman"/>
                      <w:sz w:val="18"/>
                      <w:szCs w:val="18"/>
                    </w:rPr>
                    <w:t xml:space="preserve">    </w:t>
                  </w:r>
                  <w:r>
                    <w:rPr>
                      <w:spacing w:val="-2"/>
                      <w:sz w:val="18"/>
                      <w:szCs w:val="18"/>
                    </w:rPr>
                    <w:t>万吨。</w:t>
                  </w:r>
                </w:p>
              </w:tc>
              <w:tc>
                <w:tcPr>
                  <w:tcW w:w="2325" w:type="dxa"/>
                  <w:vAlign w:val="top"/>
                </w:tcPr>
                <w:p w14:paraId="23CCE005">
                  <w:pPr>
                    <w:pStyle w:val="6"/>
                    <w:spacing w:before="30" w:line="229" w:lineRule="auto"/>
                    <w:ind w:left="52" w:right="116" w:hanging="2"/>
                    <w:rPr>
                      <w:sz w:val="18"/>
                      <w:szCs w:val="18"/>
                    </w:rPr>
                  </w:pPr>
                  <w:r>
                    <w:rPr>
                      <w:spacing w:val="-1"/>
                      <w:sz w:val="18"/>
                      <w:szCs w:val="18"/>
                    </w:rPr>
                    <w:t>根据建设单位取得的《四川</w:t>
                  </w:r>
                  <w:r>
                    <w:rPr>
                      <w:spacing w:val="3"/>
                      <w:sz w:val="18"/>
                      <w:szCs w:val="18"/>
                    </w:rPr>
                    <w:t xml:space="preserve"> </w:t>
                  </w:r>
                  <w:r>
                    <w:rPr>
                      <w:spacing w:val="-1"/>
                      <w:sz w:val="18"/>
                      <w:szCs w:val="18"/>
                    </w:rPr>
                    <w:t>省城市建筑垃圾处置许可</w:t>
                  </w:r>
                </w:p>
                <w:p w14:paraId="08AD79AC">
                  <w:pPr>
                    <w:pStyle w:val="6"/>
                    <w:spacing w:before="21" w:line="233" w:lineRule="auto"/>
                    <w:ind w:left="49"/>
                    <w:rPr>
                      <w:sz w:val="18"/>
                      <w:szCs w:val="18"/>
                    </w:rPr>
                  </w:pPr>
                  <w:r>
                    <w:rPr>
                      <w:spacing w:val="-9"/>
                      <w:sz w:val="18"/>
                      <w:szCs w:val="18"/>
                    </w:rPr>
                    <w:t>证》，允许日处理量</w:t>
                  </w:r>
                  <w:r>
                    <w:rPr>
                      <w:spacing w:val="-23"/>
                      <w:sz w:val="18"/>
                      <w:szCs w:val="18"/>
                    </w:rPr>
                    <w:t xml:space="preserve"> </w:t>
                  </w:r>
                  <w:r>
                    <w:rPr>
                      <w:spacing w:val="-9"/>
                      <w:sz w:val="18"/>
                      <w:szCs w:val="18"/>
                    </w:rPr>
                    <w:t>2000</w:t>
                  </w:r>
                  <w:r>
                    <w:rPr>
                      <w:spacing w:val="-41"/>
                      <w:sz w:val="18"/>
                      <w:szCs w:val="18"/>
                    </w:rPr>
                    <w:t xml:space="preserve"> </w:t>
                  </w:r>
                  <w:r>
                    <w:rPr>
                      <w:spacing w:val="-9"/>
                      <w:sz w:val="18"/>
                      <w:szCs w:val="18"/>
                    </w:rPr>
                    <w:t>立</w:t>
                  </w:r>
                  <w:r>
                    <w:rPr>
                      <w:sz w:val="18"/>
                      <w:szCs w:val="18"/>
                    </w:rPr>
                    <w:t xml:space="preserve">  </w:t>
                  </w:r>
                  <w:r>
                    <w:rPr>
                      <w:spacing w:val="-2"/>
                      <w:sz w:val="18"/>
                      <w:szCs w:val="18"/>
                    </w:rPr>
                    <w:t>方米。建筑垃圾按</w:t>
                  </w:r>
                  <w:r>
                    <w:rPr>
                      <w:spacing w:val="-19"/>
                      <w:sz w:val="18"/>
                      <w:szCs w:val="18"/>
                    </w:rPr>
                    <w:t xml:space="preserve"> </w:t>
                  </w:r>
                  <w:r>
                    <w:rPr>
                      <w:spacing w:val="-2"/>
                      <w:sz w:val="18"/>
                      <w:szCs w:val="18"/>
                    </w:rPr>
                    <w:t>1.5t/m</w:t>
                  </w:r>
                  <w:r>
                    <w:rPr>
                      <w:spacing w:val="-2"/>
                      <w:position w:val="9"/>
                      <w:sz w:val="8"/>
                      <w:szCs w:val="8"/>
                    </w:rPr>
                    <w:t>3</w:t>
                  </w:r>
                  <w:r>
                    <w:rPr>
                      <w:position w:val="9"/>
                      <w:sz w:val="8"/>
                      <w:szCs w:val="8"/>
                    </w:rPr>
                    <w:t xml:space="preserve">      </w:t>
                  </w:r>
                  <w:r>
                    <w:rPr>
                      <w:spacing w:val="-7"/>
                      <w:sz w:val="18"/>
                      <w:szCs w:val="18"/>
                    </w:rPr>
                    <w:t>计，年运行</w:t>
                  </w:r>
                  <w:r>
                    <w:rPr>
                      <w:spacing w:val="-31"/>
                      <w:sz w:val="18"/>
                      <w:szCs w:val="18"/>
                    </w:rPr>
                    <w:t xml:space="preserve"> </w:t>
                  </w:r>
                  <w:r>
                    <w:rPr>
                      <w:spacing w:val="-7"/>
                      <w:sz w:val="18"/>
                      <w:szCs w:val="18"/>
                    </w:rPr>
                    <w:t>300</w:t>
                  </w:r>
                  <w:r>
                    <w:rPr>
                      <w:spacing w:val="-32"/>
                      <w:sz w:val="18"/>
                      <w:szCs w:val="18"/>
                    </w:rPr>
                    <w:t xml:space="preserve"> </w:t>
                  </w:r>
                  <w:r>
                    <w:rPr>
                      <w:spacing w:val="-7"/>
                      <w:sz w:val="18"/>
                      <w:szCs w:val="18"/>
                    </w:rPr>
                    <w:t>天。经计算，</w:t>
                  </w:r>
                  <w:r>
                    <w:rPr>
                      <w:sz w:val="18"/>
                      <w:szCs w:val="18"/>
                    </w:rPr>
                    <w:t xml:space="preserve"> </w:t>
                  </w:r>
                  <w:r>
                    <w:rPr>
                      <w:spacing w:val="-1"/>
                      <w:sz w:val="18"/>
                      <w:szCs w:val="18"/>
                    </w:rPr>
                    <w:t>本项目处置建筑垃圾的能力</w:t>
                  </w:r>
                  <w:r>
                    <w:rPr>
                      <w:spacing w:val="1"/>
                      <w:sz w:val="18"/>
                      <w:szCs w:val="18"/>
                    </w:rPr>
                    <w:t xml:space="preserve">  </w:t>
                  </w:r>
                  <w:r>
                    <w:rPr>
                      <w:spacing w:val="-3"/>
                      <w:sz w:val="18"/>
                      <w:szCs w:val="18"/>
                    </w:rPr>
                    <w:t>约</w:t>
                  </w:r>
                  <w:r>
                    <w:rPr>
                      <w:spacing w:val="-26"/>
                      <w:sz w:val="18"/>
                      <w:szCs w:val="18"/>
                    </w:rPr>
                    <w:t xml:space="preserve"> </w:t>
                  </w:r>
                  <w:r>
                    <w:rPr>
                      <w:spacing w:val="-3"/>
                      <w:sz w:val="18"/>
                      <w:szCs w:val="18"/>
                    </w:rPr>
                    <w:t>90</w:t>
                  </w:r>
                  <w:r>
                    <w:rPr>
                      <w:spacing w:val="-34"/>
                      <w:sz w:val="18"/>
                      <w:szCs w:val="18"/>
                    </w:rPr>
                    <w:t xml:space="preserve"> </w:t>
                  </w:r>
                  <w:r>
                    <w:rPr>
                      <w:spacing w:val="-3"/>
                      <w:sz w:val="18"/>
                      <w:szCs w:val="18"/>
                    </w:rPr>
                    <w:t>万吨/年，属于中型规</w:t>
                  </w:r>
                  <w:r>
                    <w:rPr>
                      <w:sz w:val="18"/>
                      <w:szCs w:val="18"/>
                    </w:rPr>
                    <w:t xml:space="preserve">  </w:t>
                  </w:r>
                  <w:r>
                    <w:rPr>
                      <w:spacing w:val="-4"/>
                      <w:sz w:val="18"/>
                      <w:szCs w:val="18"/>
                    </w:rPr>
                    <w:t>模。</w:t>
                  </w:r>
                </w:p>
              </w:tc>
              <w:tc>
                <w:tcPr>
                  <w:tcW w:w="712" w:type="dxa"/>
                  <w:vAlign w:val="top"/>
                </w:tcPr>
                <w:p w14:paraId="02CA39DC">
                  <w:pPr>
                    <w:spacing w:line="261" w:lineRule="auto"/>
                    <w:rPr>
                      <w:rFonts w:ascii="Arial"/>
                      <w:sz w:val="21"/>
                    </w:rPr>
                  </w:pPr>
                </w:p>
                <w:p w14:paraId="43D0404F">
                  <w:pPr>
                    <w:spacing w:line="261" w:lineRule="auto"/>
                    <w:rPr>
                      <w:rFonts w:ascii="Arial"/>
                      <w:sz w:val="21"/>
                    </w:rPr>
                  </w:pPr>
                </w:p>
                <w:p w14:paraId="7291F99C">
                  <w:pPr>
                    <w:spacing w:line="261" w:lineRule="auto"/>
                    <w:rPr>
                      <w:rFonts w:ascii="Arial"/>
                      <w:sz w:val="21"/>
                    </w:rPr>
                  </w:pPr>
                </w:p>
                <w:p w14:paraId="5F678044">
                  <w:pPr>
                    <w:pStyle w:val="6"/>
                    <w:spacing w:before="59" w:line="219" w:lineRule="auto"/>
                    <w:ind w:left="182"/>
                    <w:rPr>
                      <w:sz w:val="18"/>
                      <w:szCs w:val="18"/>
                    </w:rPr>
                  </w:pPr>
                  <w:r>
                    <w:rPr>
                      <w:spacing w:val="-5"/>
                      <w:sz w:val="18"/>
                      <w:szCs w:val="18"/>
                    </w:rPr>
                    <w:t>符合</w:t>
                  </w:r>
                </w:p>
              </w:tc>
            </w:tr>
            <w:tr w14:paraId="50C0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203" w:type="dxa"/>
                  <w:vMerge w:val="continue"/>
                  <w:tcBorders>
                    <w:top w:val="nil"/>
                  </w:tcBorders>
                  <w:vAlign w:val="top"/>
                </w:tcPr>
                <w:p w14:paraId="0C759F9A">
                  <w:pPr>
                    <w:rPr>
                      <w:rFonts w:ascii="Arial"/>
                      <w:sz w:val="21"/>
                    </w:rPr>
                  </w:pPr>
                </w:p>
              </w:tc>
              <w:tc>
                <w:tcPr>
                  <w:tcW w:w="2543" w:type="dxa"/>
                  <w:vAlign w:val="top"/>
                </w:tcPr>
                <w:p w14:paraId="79B97694">
                  <w:pPr>
                    <w:pStyle w:val="6"/>
                    <w:spacing w:before="32" w:line="235" w:lineRule="auto"/>
                    <w:ind w:left="49" w:right="45" w:firstLine="2"/>
                    <w:rPr>
                      <w:sz w:val="18"/>
                      <w:szCs w:val="18"/>
                    </w:rPr>
                  </w:pPr>
                  <w:r>
                    <w:rPr>
                      <w:spacing w:val="-1"/>
                      <w:sz w:val="18"/>
                      <w:szCs w:val="18"/>
                    </w:rPr>
                    <w:t>建筑垃圾资源化利用企业应全</w:t>
                  </w:r>
                  <w:r>
                    <w:rPr>
                      <w:spacing w:val="1"/>
                      <w:sz w:val="18"/>
                      <w:szCs w:val="18"/>
                    </w:rPr>
                    <w:t xml:space="preserve">  </w:t>
                  </w:r>
                  <w:r>
                    <w:rPr>
                      <w:spacing w:val="-1"/>
                      <w:sz w:val="18"/>
                      <w:szCs w:val="18"/>
                    </w:rPr>
                    <w:t>面接收当地产生的符合相关规</w:t>
                  </w:r>
                  <w:r>
                    <w:rPr>
                      <w:spacing w:val="2"/>
                      <w:sz w:val="18"/>
                      <w:szCs w:val="18"/>
                    </w:rPr>
                    <w:t xml:space="preserve">  </w:t>
                  </w:r>
                  <w:r>
                    <w:rPr>
                      <w:spacing w:val="-6"/>
                      <w:sz w:val="18"/>
                      <w:szCs w:val="18"/>
                    </w:rPr>
                    <w:t>范要求的建筑垃圾（有毒有害垃</w:t>
                  </w:r>
                  <w:r>
                    <w:rPr>
                      <w:spacing w:val="6"/>
                      <w:sz w:val="18"/>
                      <w:szCs w:val="18"/>
                    </w:rPr>
                    <w:t xml:space="preserve"> </w:t>
                  </w:r>
                  <w:r>
                    <w:rPr>
                      <w:spacing w:val="-7"/>
                      <w:sz w:val="18"/>
                      <w:szCs w:val="18"/>
                    </w:rPr>
                    <w:t>圾除外）。鼓励企业根据进场建</w:t>
                  </w:r>
                  <w:r>
                    <w:rPr>
                      <w:spacing w:val="1"/>
                      <w:sz w:val="18"/>
                      <w:szCs w:val="18"/>
                    </w:rPr>
                    <w:t xml:space="preserve"> </w:t>
                  </w:r>
                  <w:r>
                    <w:rPr>
                      <w:spacing w:val="-6"/>
                      <w:sz w:val="18"/>
                      <w:szCs w:val="18"/>
                    </w:rPr>
                    <w:t>筑垃圾的特点，选择合适的工艺</w:t>
                  </w:r>
                  <w:r>
                    <w:rPr>
                      <w:spacing w:val="6"/>
                      <w:sz w:val="18"/>
                      <w:szCs w:val="18"/>
                    </w:rPr>
                    <w:t xml:space="preserve"> </w:t>
                  </w:r>
                  <w:r>
                    <w:rPr>
                      <w:spacing w:val="-6"/>
                      <w:sz w:val="18"/>
                      <w:szCs w:val="18"/>
                    </w:rPr>
                    <w:t>装备，在全面资源化利用处理的</w:t>
                  </w:r>
                  <w:r>
                    <w:rPr>
                      <w:spacing w:val="6"/>
                      <w:sz w:val="18"/>
                      <w:szCs w:val="18"/>
                    </w:rPr>
                    <w:t xml:space="preserve"> </w:t>
                  </w:r>
                  <w:r>
                    <w:rPr>
                      <w:spacing w:val="-6"/>
                      <w:sz w:val="18"/>
                      <w:szCs w:val="18"/>
                    </w:rPr>
                    <w:t>前提下，生产混凝土和砂浆用骨</w:t>
                  </w:r>
                  <w:r>
                    <w:rPr>
                      <w:spacing w:val="6"/>
                      <w:sz w:val="18"/>
                      <w:szCs w:val="18"/>
                    </w:rPr>
                    <w:t xml:space="preserve"> </w:t>
                  </w:r>
                  <w:r>
                    <w:rPr>
                      <w:spacing w:val="-2"/>
                      <w:sz w:val="18"/>
                      <w:szCs w:val="18"/>
                    </w:rPr>
                    <w:t>料等再生产品。</w:t>
                  </w:r>
                </w:p>
              </w:tc>
              <w:tc>
                <w:tcPr>
                  <w:tcW w:w="2325" w:type="dxa"/>
                  <w:vAlign w:val="top"/>
                </w:tcPr>
                <w:p w14:paraId="64392FE9">
                  <w:pPr>
                    <w:pStyle w:val="6"/>
                    <w:spacing w:before="30" w:line="219" w:lineRule="auto"/>
                    <w:ind w:left="51"/>
                    <w:rPr>
                      <w:sz w:val="18"/>
                      <w:szCs w:val="18"/>
                    </w:rPr>
                  </w:pPr>
                  <w:r>
                    <w:rPr>
                      <w:spacing w:val="-1"/>
                      <w:sz w:val="18"/>
                      <w:szCs w:val="18"/>
                    </w:rPr>
                    <w:t>本项目不接收有毒有害垃</w:t>
                  </w:r>
                </w:p>
                <w:p w14:paraId="6C9DF610">
                  <w:pPr>
                    <w:pStyle w:val="6"/>
                    <w:spacing w:before="17" w:line="236" w:lineRule="auto"/>
                    <w:ind w:left="51"/>
                    <w:rPr>
                      <w:sz w:val="18"/>
                      <w:szCs w:val="18"/>
                    </w:rPr>
                  </w:pPr>
                  <w:r>
                    <w:rPr>
                      <w:spacing w:val="-6"/>
                      <w:sz w:val="18"/>
                      <w:szCs w:val="18"/>
                    </w:rPr>
                    <w:t>圾，所采用的工艺装备先进，</w:t>
                  </w:r>
                  <w:r>
                    <w:rPr>
                      <w:spacing w:val="5"/>
                      <w:sz w:val="18"/>
                      <w:szCs w:val="18"/>
                    </w:rPr>
                    <w:t xml:space="preserve"> </w:t>
                  </w:r>
                  <w:r>
                    <w:rPr>
                      <w:spacing w:val="-1"/>
                      <w:sz w:val="18"/>
                      <w:szCs w:val="18"/>
                    </w:rPr>
                    <w:t>生产的各类骨料作为蒸压加</w:t>
                  </w:r>
                  <w:r>
                    <w:rPr>
                      <w:sz w:val="18"/>
                      <w:szCs w:val="18"/>
                    </w:rPr>
                    <w:t xml:space="preserve">  </w:t>
                  </w:r>
                  <w:r>
                    <w:rPr>
                      <w:spacing w:val="-1"/>
                      <w:sz w:val="18"/>
                      <w:szCs w:val="18"/>
                    </w:rPr>
                    <w:t>气砌块、板材以及干混砂浆</w:t>
                  </w:r>
                  <w:r>
                    <w:rPr>
                      <w:sz w:val="18"/>
                      <w:szCs w:val="18"/>
                    </w:rPr>
                    <w:t xml:space="preserve">  </w:t>
                  </w:r>
                  <w:r>
                    <w:rPr>
                      <w:spacing w:val="-1"/>
                      <w:sz w:val="18"/>
                      <w:szCs w:val="18"/>
                    </w:rPr>
                    <w:t>的生产原料，实现资源化利</w:t>
                  </w:r>
                  <w:r>
                    <w:rPr>
                      <w:sz w:val="18"/>
                      <w:szCs w:val="18"/>
                    </w:rPr>
                    <w:t xml:space="preserve">  </w:t>
                  </w:r>
                  <w:r>
                    <w:rPr>
                      <w:spacing w:val="-4"/>
                      <w:sz w:val="18"/>
                      <w:szCs w:val="18"/>
                    </w:rPr>
                    <w:t>用。</w:t>
                  </w:r>
                </w:p>
              </w:tc>
              <w:tc>
                <w:tcPr>
                  <w:tcW w:w="712" w:type="dxa"/>
                  <w:vAlign w:val="top"/>
                </w:tcPr>
                <w:p w14:paraId="7D79A485">
                  <w:pPr>
                    <w:spacing w:line="261" w:lineRule="auto"/>
                    <w:rPr>
                      <w:rFonts w:ascii="Arial"/>
                      <w:sz w:val="21"/>
                    </w:rPr>
                  </w:pPr>
                </w:p>
                <w:p w14:paraId="42E34605">
                  <w:pPr>
                    <w:spacing w:line="261" w:lineRule="auto"/>
                    <w:rPr>
                      <w:rFonts w:ascii="Arial"/>
                      <w:sz w:val="21"/>
                    </w:rPr>
                  </w:pPr>
                </w:p>
                <w:p w14:paraId="0FECC482">
                  <w:pPr>
                    <w:spacing w:line="261" w:lineRule="auto"/>
                    <w:rPr>
                      <w:rFonts w:ascii="Arial"/>
                      <w:sz w:val="21"/>
                    </w:rPr>
                  </w:pPr>
                </w:p>
                <w:p w14:paraId="39B810F2">
                  <w:pPr>
                    <w:pStyle w:val="6"/>
                    <w:spacing w:before="58" w:line="219" w:lineRule="auto"/>
                    <w:ind w:left="182"/>
                    <w:rPr>
                      <w:sz w:val="18"/>
                      <w:szCs w:val="18"/>
                    </w:rPr>
                  </w:pPr>
                  <w:r>
                    <w:rPr>
                      <w:spacing w:val="-5"/>
                      <w:sz w:val="18"/>
                      <w:szCs w:val="18"/>
                    </w:rPr>
                    <w:t>符合</w:t>
                  </w:r>
                </w:p>
              </w:tc>
            </w:tr>
          </w:tbl>
          <w:p w14:paraId="5D84805B">
            <w:pPr>
              <w:spacing w:before="140" w:line="230" w:lineRule="auto"/>
              <w:ind w:left="112"/>
              <w:rPr>
                <w:rFonts w:ascii="黑体" w:hAnsi="黑体" w:eastAsia="黑体" w:cs="黑体"/>
                <w:sz w:val="20"/>
                <w:szCs w:val="20"/>
              </w:rPr>
            </w:pPr>
            <w:r>
              <w:rPr>
                <w:rFonts w:ascii="Times New Roman" w:hAnsi="Times New Roman" w:eastAsia="Times New Roman" w:cs="Times New Roman"/>
                <w:spacing w:val="1"/>
                <w:sz w:val="20"/>
                <w:szCs w:val="20"/>
              </w:rPr>
              <w:t>11</w:t>
            </w:r>
            <w:r>
              <w:rPr>
                <w:rFonts w:ascii="Times New Roman" w:hAnsi="Times New Roman" w:eastAsia="Times New Roman" w:cs="Times New Roman"/>
                <w:spacing w:val="-24"/>
                <w:sz w:val="20"/>
                <w:szCs w:val="20"/>
              </w:rPr>
              <w:t xml:space="preserve"> </w:t>
            </w:r>
            <w:r>
              <w:rPr>
                <w:rFonts w:ascii="黑体" w:hAnsi="黑体" w:eastAsia="黑体" w:cs="黑体"/>
                <w:spacing w:val="1"/>
                <w:sz w:val="20"/>
                <w:szCs w:val="20"/>
              </w:rPr>
              <w:t>、外环境关系</w:t>
            </w:r>
          </w:p>
          <w:p w14:paraId="3BFA5AB5">
            <w:pPr>
              <w:pStyle w:val="6"/>
              <w:spacing w:before="150" w:line="353" w:lineRule="auto"/>
              <w:ind w:left="115" w:right="92" w:firstLine="402"/>
              <w:rPr>
                <w:sz w:val="20"/>
                <w:szCs w:val="20"/>
              </w:rPr>
            </w:pPr>
            <w:r>
              <w:rPr>
                <w:spacing w:val="12"/>
                <w:sz w:val="20"/>
                <w:szCs w:val="20"/>
              </w:rPr>
              <w:t>本项目位于通川区东岳镇有力村，属于通川区东岳新型工业集聚区范</w:t>
            </w:r>
            <w:r>
              <w:rPr>
                <w:spacing w:val="9"/>
                <w:sz w:val="20"/>
                <w:szCs w:val="20"/>
              </w:rPr>
              <w:t xml:space="preserve"> </w:t>
            </w:r>
            <w:r>
              <w:rPr>
                <w:spacing w:val="6"/>
                <w:sz w:val="20"/>
                <w:szCs w:val="20"/>
              </w:rPr>
              <w:t>围，其外环境关系介绍如下：</w:t>
            </w:r>
          </w:p>
          <w:p w14:paraId="44E8AAFC">
            <w:pPr>
              <w:pStyle w:val="6"/>
              <w:spacing w:before="32" w:line="360" w:lineRule="auto"/>
              <w:ind w:left="92" w:right="90" w:firstLine="427"/>
              <w:rPr>
                <w:sz w:val="20"/>
                <w:szCs w:val="20"/>
              </w:rPr>
            </w:pPr>
            <w:r>
              <w:rPr>
                <w:spacing w:val="8"/>
                <w:sz w:val="20"/>
                <w:szCs w:val="20"/>
              </w:rPr>
              <w:t>项目东面为待开发土地，</w:t>
            </w:r>
            <w:r>
              <w:rPr>
                <w:spacing w:val="-45"/>
                <w:sz w:val="20"/>
                <w:szCs w:val="20"/>
              </w:rPr>
              <w:t xml:space="preserve"> </w:t>
            </w:r>
            <w:r>
              <w:rPr>
                <w:spacing w:val="8"/>
                <w:sz w:val="20"/>
                <w:szCs w:val="20"/>
              </w:rPr>
              <w:t>以东为魏复路和亚飞玻璃厂区，相距</w:t>
            </w:r>
            <w:r>
              <w:rPr>
                <w:rFonts w:ascii="Times New Roman" w:hAnsi="Times New Roman" w:eastAsia="Times New Roman" w:cs="Times New Roman"/>
                <w:spacing w:val="8"/>
                <w:sz w:val="20"/>
                <w:szCs w:val="20"/>
              </w:rPr>
              <w:t>830m</w:t>
            </w:r>
            <w:r>
              <w:rPr>
                <w:spacing w:val="8"/>
                <w:sz w:val="20"/>
                <w:szCs w:val="20"/>
              </w:rPr>
              <w:t>外</w:t>
            </w:r>
            <w:r>
              <w:rPr>
                <w:sz w:val="20"/>
                <w:szCs w:val="20"/>
              </w:rPr>
              <w:t xml:space="preserve"> </w:t>
            </w:r>
            <w:r>
              <w:rPr>
                <w:spacing w:val="16"/>
                <w:sz w:val="20"/>
                <w:szCs w:val="20"/>
              </w:rPr>
              <w:t>为达州绕城公路。项目东南面相距约</w:t>
            </w:r>
            <w:r>
              <w:rPr>
                <w:rFonts w:ascii="Times New Roman" w:hAnsi="Times New Roman" w:eastAsia="Times New Roman" w:cs="Times New Roman"/>
                <w:spacing w:val="16"/>
                <w:sz w:val="20"/>
                <w:szCs w:val="20"/>
              </w:rPr>
              <w:t>115m</w:t>
            </w:r>
            <w:r>
              <w:rPr>
                <w:spacing w:val="16"/>
                <w:sz w:val="20"/>
                <w:szCs w:val="20"/>
              </w:rPr>
              <w:t>外为东岳场镇，距离项目边界</w:t>
            </w:r>
            <w:r>
              <w:rPr>
                <w:spacing w:val="10"/>
                <w:sz w:val="20"/>
                <w:szCs w:val="20"/>
              </w:rPr>
              <w:t xml:space="preserve"> </w:t>
            </w:r>
            <w:r>
              <w:rPr>
                <w:rFonts w:ascii="Times New Roman" w:hAnsi="Times New Roman" w:eastAsia="Times New Roman" w:cs="Times New Roman"/>
                <w:spacing w:val="10"/>
                <w:sz w:val="20"/>
                <w:szCs w:val="20"/>
              </w:rPr>
              <w:t>500m</w:t>
            </w:r>
            <w:r>
              <w:rPr>
                <w:spacing w:val="10"/>
                <w:sz w:val="20"/>
                <w:szCs w:val="20"/>
              </w:rPr>
              <w:t>范围内约有场镇居民</w:t>
            </w:r>
            <w:r>
              <w:rPr>
                <w:rFonts w:ascii="Times New Roman" w:hAnsi="Times New Roman" w:eastAsia="Times New Roman" w:cs="Times New Roman"/>
                <w:spacing w:val="10"/>
                <w:sz w:val="20"/>
                <w:szCs w:val="20"/>
              </w:rPr>
              <w:t>4000</w:t>
            </w:r>
            <w:r>
              <w:rPr>
                <w:spacing w:val="10"/>
                <w:sz w:val="20"/>
                <w:szCs w:val="20"/>
              </w:rPr>
              <w:t>人。项目南面相距约</w:t>
            </w:r>
            <w:r>
              <w:rPr>
                <w:rFonts w:ascii="Times New Roman" w:hAnsi="Times New Roman" w:eastAsia="Times New Roman" w:cs="Times New Roman"/>
                <w:spacing w:val="10"/>
                <w:sz w:val="20"/>
                <w:szCs w:val="20"/>
              </w:rPr>
              <w:t>115m</w:t>
            </w:r>
            <w:r>
              <w:rPr>
                <w:spacing w:val="10"/>
                <w:sz w:val="20"/>
                <w:szCs w:val="20"/>
              </w:rPr>
              <w:t>有</w:t>
            </w:r>
            <w:r>
              <w:rPr>
                <w:rFonts w:ascii="Times New Roman" w:hAnsi="Times New Roman" w:eastAsia="Times New Roman" w:cs="Times New Roman"/>
                <w:spacing w:val="10"/>
                <w:sz w:val="20"/>
                <w:szCs w:val="20"/>
              </w:rPr>
              <w:t>1</w:t>
            </w:r>
            <w:r>
              <w:rPr>
                <w:spacing w:val="10"/>
                <w:sz w:val="20"/>
                <w:szCs w:val="20"/>
              </w:rPr>
              <w:t>户散居住户，</w:t>
            </w:r>
            <w:r>
              <w:rPr>
                <w:spacing w:val="5"/>
                <w:sz w:val="20"/>
                <w:szCs w:val="20"/>
              </w:rPr>
              <w:t xml:space="preserve"> </w:t>
            </w:r>
            <w:r>
              <w:rPr>
                <w:spacing w:val="10"/>
                <w:sz w:val="20"/>
                <w:szCs w:val="20"/>
              </w:rPr>
              <w:t>南面紧邻长久塑料厂区。项目西面为卓强塑料厂区，西北面相距约</w:t>
            </w:r>
            <w:r>
              <w:rPr>
                <w:rFonts w:ascii="Times New Roman" w:hAnsi="Times New Roman" w:eastAsia="Times New Roman" w:cs="Times New Roman"/>
                <w:spacing w:val="10"/>
                <w:sz w:val="20"/>
                <w:szCs w:val="20"/>
              </w:rPr>
              <w:t>150</w:t>
            </w:r>
            <w:r>
              <w:rPr>
                <w:rFonts w:ascii="Times New Roman" w:hAnsi="Times New Roman" w:eastAsia="Times New Roman" w:cs="Times New Roman"/>
                <w:spacing w:val="9"/>
                <w:sz w:val="20"/>
                <w:szCs w:val="20"/>
              </w:rPr>
              <w:t>m</w:t>
            </w:r>
            <w:r>
              <w:rPr>
                <w:spacing w:val="9"/>
                <w:sz w:val="20"/>
                <w:szCs w:val="20"/>
              </w:rPr>
              <w:t>为</w:t>
            </w:r>
            <w:r>
              <w:rPr>
                <w:sz w:val="20"/>
                <w:szCs w:val="20"/>
              </w:rPr>
              <w:t xml:space="preserve"> </w:t>
            </w:r>
            <w:r>
              <w:rPr>
                <w:spacing w:val="12"/>
                <w:sz w:val="20"/>
                <w:szCs w:val="20"/>
              </w:rPr>
              <w:t>襄渝铁路。项目北面为园区道路（运灰大道</w:t>
            </w:r>
            <w:r>
              <w:rPr>
                <w:spacing w:val="-3"/>
                <w:sz w:val="20"/>
                <w:szCs w:val="20"/>
              </w:rPr>
              <w:t>）</w:t>
            </w:r>
            <w:r>
              <w:rPr>
                <w:spacing w:val="-58"/>
                <w:sz w:val="20"/>
                <w:szCs w:val="20"/>
              </w:rPr>
              <w:t xml:space="preserve"> </w:t>
            </w:r>
            <w:r>
              <w:rPr>
                <w:spacing w:val="-3"/>
                <w:sz w:val="20"/>
                <w:szCs w:val="20"/>
              </w:rPr>
              <w:t>，</w:t>
            </w:r>
            <w:r>
              <w:rPr>
                <w:spacing w:val="12"/>
                <w:sz w:val="20"/>
                <w:szCs w:val="20"/>
              </w:rPr>
              <w:t>道路以北为新远达报废汽</w:t>
            </w:r>
            <w:r>
              <w:rPr>
                <w:sz w:val="20"/>
                <w:szCs w:val="20"/>
              </w:rPr>
              <w:t xml:space="preserve"> </w:t>
            </w:r>
            <w:r>
              <w:rPr>
                <w:spacing w:val="9"/>
                <w:sz w:val="20"/>
                <w:szCs w:val="20"/>
              </w:rPr>
              <w:t>车拆解中心厂区。项目东北面魏复路旁有</w:t>
            </w:r>
            <w:r>
              <w:rPr>
                <w:rFonts w:ascii="Times New Roman" w:hAnsi="Times New Roman" w:eastAsia="Times New Roman" w:cs="Times New Roman"/>
                <w:spacing w:val="9"/>
                <w:sz w:val="20"/>
                <w:szCs w:val="20"/>
              </w:rPr>
              <w:t>8</w:t>
            </w:r>
            <w:r>
              <w:rPr>
                <w:spacing w:val="9"/>
                <w:sz w:val="20"/>
                <w:szCs w:val="20"/>
              </w:rPr>
              <w:t>户散居住户，与项目边</w:t>
            </w:r>
            <w:r>
              <w:rPr>
                <w:spacing w:val="8"/>
                <w:sz w:val="20"/>
                <w:szCs w:val="20"/>
              </w:rPr>
              <w:t>界相距约</w:t>
            </w:r>
            <w:r>
              <w:rPr>
                <w:sz w:val="20"/>
                <w:szCs w:val="20"/>
              </w:rPr>
              <w:t xml:space="preserve"> </w:t>
            </w:r>
            <w:r>
              <w:rPr>
                <w:rFonts w:ascii="Times New Roman" w:hAnsi="Times New Roman" w:eastAsia="Times New Roman" w:cs="Times New Roman"/>
                <w:spacing w:val="4"/>
                <w:sz w:val="20"/>
                <w:szCs w:val="20"/>
              </w:rPr>
              <w:t>230~340m</w:t>
            </w:r>
            <w:r>
              <w:rPr>
                <w:spacing w:val="4"/>
                <w:sz w:val="20"/>
                <w:szCs w:val="20"/>
              </w:rPr>
              <w:t>。</w:t>
            </w:r>
          </w:p>
          <w:p w14:paraId="1F95AE9F">
            <w:pPr>
              <w:pStyle w:val="6"/>
              <w:spacing w:before="73" w:line="228" w:lineRule="auto"/>
              <w:ind w:left="519"/>
              <w:rPr>
                <w:sz w:val="20"/>
                <w:szCs w:val="20"/>
              </w:rPr>
            </w:pPr>
            <w:r>
              <w:rPr>
                <w:spacing w:val="9"/>
                <w:sz w:val="20"/>
                <w:szCs w:val="20"/>
              </w:rPr>
              <w:t>项目区域地表水体为西南面的双龙河，与项</w:t>
            </w:r>
            <w:r>
              <w:rPr>
                <w:spacing w:val="8"/>
                <w:sz w:val="20"/>
                <w:szCs w:val="20"/>
              </w:rPr>
              <w:t>目边界相距约</w:t>
            </w:r>
            <w:r>
              <w:rPr>
                <w:rFonts w:ascii="Times New Roman" w:hAnsi="Times New Roman" w:eastAsia="Times New Roman" w:cs="Times New Roman"/>
                <w:spacing w:val="8"/>
                <w:sz w:val="20"/>
                <w:szCs w:val="20"/>
              </w:rPr>
              <w:t>160m</w:t>
            </w:r>
            <w:r>
              <w:rPr>
                <w:spacing w:val="8"/>
                <w:sz w:val="20"/>
                <w:szCs w:val="20"/>
              </w:rPr>
              <w:t>。</w:t>
            </w:r>
          </w:p>
          <w:p w14:paraId="4633842B">
            <w:pPr>
              <w:spacing w:before="151" w:line="231" w:lineRule="auto"/>
              <w:ind w:left="112"/>
              <w:rPr>
                <w:rFonts w:ascii="黑体" w:hAnsi="黑体" w:eastAsia="黑体" w:cs="黑体"/>
                <w:sz w:val="20"/>
                <w:szCs w:val="20"/>
              </w:rPr>
            </w:pPr>
            <w:r>
              <w:rPr>
                <w:rFonts w:ascii="Times New Roman" w:hAnsi="Times New Roman" w:eastAsia="Times New Roman" w:cs="Times New Roman"/>
                <w:spacing w:val="4"/>
                <w:sz w:val="20"/>
                <w:szCs w:val="20"/>
              </w:rPr>
              <w:t>13</w:t>
            </w:r>
            <w:r>
              <w:rPr>
                <w:rFonts w:ascii="Times New Roman" w:hAnsi="Times New Roman" w:eastAsia="Times New Roman" w:cs="Times New Roman"/>
                <w:spacing w:val="-21"/>
                <w:sz w:val="20"/>
                <w:szCs w:val="20"/>
              </w:rPr>
              <w:t xml:space="preserve"> </w:t>
            </w:r>
            <w:r>
              <w:rPr>
                <w:rFonts w:ascii="黑体" w:hAnsi="黑体" w:eastAsia="黑体" w:cs="黑体"/>
                <w:spacing w:val="4"/>
                <w:sz w:val="20"/>
                <w:szCs w:val="20"/>
              </w:rPr>
              <w:t>、选址的合理性分析</w:t>
            </w:r>
          </w:p>
        </w:tc>
      </w:tr>
    </w:tbl>
    <w:p w14:paraId="65C2DDE5">
      <w:pPr>
        <w:pStyle w:val="2"/>
      </w:pPr>
    </w:p>
    <w:p w14:paraId="46956200">
      <w:pPr>
        <w:sectPr>
          <w:footerReference r:id="rId28" w:type="default"/>
          <w:pgSz w:w="11906" w:h="16839"/>
          <w:pgMar w:top="1431" w:right="1543" w:bottom="1260" w:left="1537" w:header="0" w:footer="1080" w:gutter="0"/>
          <w:cols w:space="720" w:num="1"/>
        </w:sectPr>
      </w:pPr>
    </w:p>
    <w:p w14:paraId="348E192C">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00C0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9" w:hRule="atLeast"/>
        </w:trPr>
        <w:tc>
          <w:tcPr>
            <w:tcW w:w="1829" w:type="dxa"/>
            <w:vAlign w:val="top"/>
          </w:tcPr>
          <w:p w14:paraId="017D521A">
            <w:pPr>
              <w:rPr>
                <w:rFonts w:ascii="Arial"/>
                <w:sz w:val="21"/>
              </w:rPr>
            </w:pPr>
          </w:p>
        </w:tc>
        <w:tc>
          <w:tcPr>
            <w:tcW w:w="6985" w:type="dxa"/>
            <w:vAlign w:val="top"/>
          </w:tcPr>
          <w:p w14:paraId="2CD63D30">
            <w:pPr>
              <w:pStyle w:val="6"/>
              <w:spacing w:before="145" w:line="227" w:lineRule="auto"/>
              <w:ind w:left="517"/>
              <w:rPr>
                <w:sz w:val="20"/>
                <w:szCs w:val="20"/>
              </w:rPr>
            </w:pPr>
            <w:r>
              <w:rPr>
                <w:spacing w:val="9"/>
                <w:sz w:val="20"/>
                <w:szCs w:val="20"/>
              </w:rPr>
              <w:t>本项目位于通川区东岳镇有力村，其选址合理性分析如下：</w:t>
            </w:r>
          </w:p>
          <w:p w14:paraId="4D35402E">
            <w:pPr>
              <w:pStyle w:val="6"/>
              <w:spacing w:before="151" w:line="323" w:lineRule="auto"/>
              <w:ind w:left="96" w:right="103" w:firstLine="430"/>
              <w:rPr>
                <w:sz w:val="20"/>
                <w:szCs w:val="20"/>
              </w:rPr>
            </w:pPr>
            <w:r>
              <w:rPr>
                <w:spacing w:val="8"/>
                <w:sz w:val="20"/>
                <w:szCs w:val="20"/>
              </w:rPr>
              <w:t>（1）查阅相关资料，项目用地区域及评价范围内不涉及自然保护区、</w:t>
            </w:r>
            <w:r>
              <w:rPr>
                <w:spacing w:val="1"/>
                <w:sz w:val="20"/>
                <w:szCs w:val="20"/>
              </w:rPr>
              <w:t xml:space="preserve"> </w:t>
            </w:r>
            <w:r>
              <w:rPr>
                <w:spacing w:val="10"/>
                <w:sz w:val="20"/>
                <w:szCs w:val="20"/>
              </w:rPr>
              <w:t>风景名胜区等，也不属于生态保护红线范围，</w:t>
            </w:r>
            <w:r>
              <w:rPr>
                <w:spacing w:val="9"/>
                <w:sz w:val="20"/>
                <w:szCs w:val="20"/>
              </w:rPr>
              <w:t>永久基本农田范围等依法设</w:t>
            </w:r>
            <w:r>
              <w:rPr>
                <w:sz w:val="20"/>
                <w:szCs w:val="20"/>
              </w:rPr>
              <w:t xml:space="preserve"> </w:t>
            </w:r>
            <w:r>
              <w:rPr>
                <w:spacing w:val="8"/>
                <w:sz w:val="20"/>
                <w:szCs w:val="20"/>
              </w:rPr>
              <w:t>立的各级各类保护区域。</w:t>
            </w:r>
          </w:p>
          <w:p w14:paraId="12EDD7CB">
            <w:pPr>
              <w:pStyle w:val="6"/>
              <w:spacing w:before="151" w:line="334" w:lineRule="auto"/>
              <w:ind w:left="95" w:right="92" w:firstLine="430"/>
              <w:rPr>
                <w:sz w:val="20"/>
                <w:szCs w:val="20"/>
              </w:rPr>
            </w:pPr>
            <w:r>
              <w:rPr>
                <w:spacing w:val="8"/>
                <w:sz w:val="20"/>
                <w:szCs w:val="20"/>
              </w:rPr>
              <w:t>（2）根据达州市人民政府《关于通川区乡镇集中式饮用水水源地保护</w:t>
            </w:r>
            <w:r>
              <w:rPr>
                <w:spacing w:val="11"/>
                <w:sz w:val="20"/>
                <w:szCs w:val="20"/>
              </w:rPr>
              <w:t xml:space="preserve"> </w:t>
            </w:r>
            <w:r>
              <w:rPr>
                <w:spacing w:val="8"/>
                <w:sz w:val="20"/>
                <w:szCs w:val="20"/>
              </w:rPr>
              <w:t>区划定调整的批复》（达市府函〔2019〕165号</w:t>
            </w:r>
            <w:r>
              <w:rPr>
                <w:spacing w:val="12"/>
                <w:sz w:val="20"/>
                <w:szCs w:val="20"/>
              </w:rPr>
              <w:t>），</w:t>
            </w:r>
            <w:r>
              <w:rPr>
                <w:spacing w:val="8"/>
                <w:sz w:val="20"/>
                <w:szCs w:val="20"/>
              </w:rPr>
              <w:t>项目</w:t>
            </w:r>
            <w:r>
              <w:rPr>
                <w:spacing w:val="7"/>
                <w:sz w:val="20"/>
                <w:szCs w:val="20"/>
              </w:rPr>
              <w:t>区域地表水体双龙</w:t>
            </w:r>
            <w:r>
              <w:rPr>
                <w:sz w:val="20"/>
                <w:szCs w:val="20"/>
              </w:rPr>
              <w:t xml:space="preserve"> </w:t>
            </w:r>
            <w:r>
              <w:rPr>
                <w:spacing w:val="10"/>
                <w:sz w:val="20"/>
                <w:szCs w:val="20"/>
              </w:rPr>
              <w:t>河无饮用水源功能未设置集中式饮用水源取水点</w:t>
            </w:r>
            <w:r>
              <w:rPr>
                <w:spacing w:val="9"/>
                <w:sz w:val="20"/>
                <w:szCs w:val="20"/>
              </w:rPr>
              <w:t>。因此，本项目不属于饮</w:t>
            </w:r>
            <w:r>
              <w:rPr>
                <w:sz w:val="20"/>
                <w:szCs w:val="20"/>
              </w:rPr>
              <w:t xml:space="preserve">  </w:t>
            </w:r>
            <w:r>
              <w:rPr>
                <w:spacing w:val="8"/>
                <w:sz w:val="20"/>
                <w:szCs w:val="20"/>
              </w:rPr>
              <w:t>用水水源保护区范围。</w:t>
            </w:r>
          </w:p>
          <w:p w14:paraId="6258A305">
            <w:pPr>
              <w:pStyle w:val="6"/>
              <w:spacing w:before="150" w:line="346" w:lineRule="auto"/>
              <w:ind w:left="96" w:right="92" w:firstLine="430"/>
              <w:rPr>
                <w:sz w:val="20"/>
                <w:szCs w:val="20"/>
              </w:rPr>
            </w:pPr>
            <w:r>
              <w:rPr>
                <w:spacing w:val="8"/>
                <w:sz w:val="20"/>
                <w:szCs w:val="20"/>
              </w:rPr>
              <w:t>（3）项目为非金属矿物制品制造项目，不属于禁止及限制入驻企业类</w:t>
            </w:r>
            <w:r>
              <w:rPr>
                <w:spacing w:val="12"/>
                <w:sz w:val="20"/>
                <w:szCs w:val="20"/>
              </w:rPr>
              <w:t xml:space="preserve"> </w:t>
            </w:r>
            <w:r>
              <w:rPr>
                <w:spacing w:val="10"/>
                <w:sz w:val="20"/>
                <w:szCs w:val="20"/>
              </w:rPr>
              <w:t>型，属于允许类行业，符合通川区东岳新型工</w:t>
            </w:r>
            <w:r>
              <w:rPr>
                <w:spacing w:val="9"/>
                <w:sz w:val="20"/>
                <w:szCs w:val="20"/>
              </w:rPr>
              <w:t>业集聚区的产业定位。项目</w:t>
            </w:r>
            <w:r>
              <w:rPr>
                <w:sz w:val="20"/>
                <w:szCs w:val="20"/>
              </w:rPr>
              <w:t xml:space="preserve">  </w:t>
            </w:r>
            <w:r>
              <w:rPr>
                <w:spacing w:val="10"/>
                <w:sz w:val="20"/>
                <w:szCs w:val="20"/>
              </w:rPr>
              <w:t>位于园区的北部综合工业区，主要发展轻工电</w:t>
            </w:r>
            <w:r>
              <w:rPr>
                <w:spacing w:val="9"/>
                <w:sz w:val="20"/>
                <w:szCs w:val="20"/>
              </w:rPr>
              <w:t>子产业和机械制造产业。本</w:t>
            </w:r>
            <w:r>
              <w:rPr>
                <w:sz w:val="20"/>
                <w:szCs w:val="20"/>
              </w:rPr>
              <w:t xml:space="preserve">  </w:t>
            </w:r>
            <w:r>
              <w:rPr>
                <w:spacing w:val="10"/>
                <w:sz w:val="20"/>
                <w:szCs w:val="20"/>
              </w:rPr>
              <w:t>项目与区域或各产业片区主业不相禁忌和不形</w:t>
            </w:r>
            <w:r>
              <w:rPr>
                <w:spacing w:val="9"/>
                <w:sz w:val="20"/>
                <w:szCs w:val="20"/>
              </w:rPr>
              <w:t>成交叉影响，为园区规划的</w:t>
            </w:r>
            <w:r>
              <w:rPr>
                <w:sz w:val="20"/>
                <w:szCs w:val="20"/>
              </w:rPr>
              <w:t xml:space="preserve">  </w:t>
            </w:r>
            <w:r>
              <w:rPr>
                <w:spacing w:val="10"/>
                <w:sz w:val="20"/>
                <w:szCs w:val="20"/>
              </w:rPr>
              <w:t>允许类企业，与园区功能分区是相符的。本项</w:t>
            </w:r>
            <w:r>
              <w:rPr>
                <w:spacing w:val="9"/>
                <w:sz w:val="20"/>
                <w:szCs w:val="20"/>
              </w:rPr>
              <w:t>目占地区域属于规划的工业</w:t>
            </w:r>
            <w:r>
              <w:rPr>
                <w:sz w:val="20"/>
                <w:szCs w:val="20"/>
              </w:rPr>
              <w:t xml:space="preserve">  </w:t>
            </w:r>
            <w:r>
              <w:rPr>
                <w:spacing w:val="9"/>
                <w:sz w:val="20"/>
                <w:szCs w:val="20"/>
              </w:rPr>
              <w:t>用地，项目属于工业项目，符合土地利用规划。</w:t>
            </w:r>
          </w:p>
          <w:p w14:paraId="61A42D1A">
            <w:pPr>
              <w:pStyle w:val="6"/>
              <w:spacing w:before="152" w:line="322" w:lineRule="auto"/>
              <w:ind w:left="95" w:right="92" w:firstLine="430"/>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）项目属于非金属矿物制品制造项目，生产原料涉及利用处置建筑</w:t>
            </w:r>
            <w:r>
              <w:rPr>
                <w:spacing w:val="12"/>
                <w:sz w:val="20"/>
                <w:szCs w:val="20"/>
              </w:rPr>
              <w:t xml:space="preserve"> </w:t>
            </w:r>
            <w:r>
              <w:rPr>
                <w:spacing w:val="10"/>
                <w:sz w:val="20"/>
                <w:szCs w:val="20"/>
              </w:rPr>
              <w:t>垃圾。通过与建筑垃圾行业相关政策文件的分析</w:t>
            </w:r>
            <w:r>
              <w:rPr>
                <w:spacing w:val="9"/>
                <w:sz w:val="20"/>
                <w:szCs w:val="20"/>
              </w:rPr>
              <w:t>，本项目选址、厂区环境</w:t>
            </w:r>
            <w:r>
              <w:rPr>
                <w:sz w:val="20"/>
                <w:szCs w:val="20"/>
              </w:rPr>
              <w:t xml:space="preserve">  </w:t>
            </w:r>
            <w:r>
              <w:rPr>
                <w:spacing w:val="8"/>
                <w:sz w:val="20"/>
                <w:szCs w:val="20"/>
              </w:rPr>
              <w:t>及设计布局等均能够满足要求。</w:t>
            </w:r>
          </w:p>
          <w:p w14:paraId="3339C5F1">
            <w:pPr>
              <w:pStyle w:val="6"/>
              <w:spacing w:before="155" w:line="334" w:lineRule="auto"/>
              <w:ind w:left="96" w:right="92" w:firstLine="430"/>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）项目位于规划的工业园区范围，从外环境看，项目南面为长久塑</w:t>
            </w:r>
            <w:r>
              <w:rPr>
                <w:spacing w:val="12"/>
                <w:sz w:val="20"/>
                <w:szCs w:val="20"/>
              </w:rPr>
              <w:t xml:space="preserve"> </w:t>
            </w:r>
            <w:r>
              <w:rPr>
                <w:spacing w:val="10"/>
                <w:sz w:val="20"/>
                <w:szCs w:val="20"/>
              </w:rPr>
              <w:t>料厂区，西面为卓强塑料厂区，北面的新远达</w:t>
            </w:r>
            <w:r>
              <w:rPr>
                <w:spacing w:val="9"/>
                <w:sz w:val="20"/>
                <w:szCs w:val="20"/>
              </w:rPr>
              <w:t>汽车拆解中心，东面为园区</w:t>
            </w:r>
            <w:r>
              <w:rPr>
                <w:sz w:val="20"/>
                <w:szCs w:val="20"/>
              </w:rPr>
              <w:t xml:space="preserve">  </w:t>
            </w:r>
            <w:r>
              <w:rPr>
                <w:spacing w:val="10"/>
                <w:sz w:val="20"/>
                <w:szCs w:val="20"/>
              </w:rPr>
              <w:t>规划的待开发空地。项目周边均为工业企业，</w:t>
            </w:r>
            <w:r>
              <w:rPr>
                <w:spacing w:val="9"/>
                <w:sz w:val="20"/>
                <w:szCs w:val="20"/>
              </w:rPr>
              <w:t>本项目也属于工业企业，与</w:t>
            </w:r>
            <w:r>
              <w:rPr>
                <w:sz w:val="20"/>
                <w:szCs w:val="20"/>
              </w:rPr>
              <w:t xml:space="preserve">  </w:t>
            </w:r>
            <w:r>
              <w:rPr>
                <w:spacing w:val="7"/>
                <w:sz w:val="20"/>
                <w:szCs w:val="20"/>
              </w:rPr>
              <w:t>周边环境是相容的。</w:t>
            </w:r>
          </w:p>
          <w:p w14:paraId="777AF6EB">
            <w:pPr>
              <w:pStyle w:val="6"/>
              <w:spacing w:before="151" w:line="341" w:lineRule="auto"/>
              <w:ind w:left="95" w:right="92" w:firstLine="430"/>
              <w:rPr>
                <w:sz w:val="20"/>
                <w:szCs w:val="20"/>
              </w:rPr>
            </w:pPr>
            <w:r>
              <w:rPr>
                <w:spacing w:val="7"/>
                <w:sz w:val="20"/>
                <w:szCs w:val="20"/>
              </w:rPr>
              <w:t>（6）本项目属于“绿色节能环保建材产业化项目</w:t>
            </w:r>
            <w:r>
              <w:rPr>
                <w:spacing w:val="-57"/>
                <w:sz w:val="20"/>
                <w:szCs w:val="20"/>
              </w:rPr>
              <w:t xml:space="preserve"> </w:t>
            </w:r>
            <w:r>
              <w:rPr>
                <w:spacing w:val="7"/>
                <w:sz w:val="20"/>
                <w:szCs w:val="20"/>
              </w:rPr>
              <w:t>”的二期工程。原一</w:t>
            </w:r>
            <w:r>
              <w:rPr>
                <w:sz w:val="20"/>
                <w:szCs w:val="20"/>
              </w:rPr>
              <w:t xml:space="preserve"> </w:t>
            </w:r>
            <w:r>
              <w:rPr>
                <w:spacing w:val="10"/>
                <w:sz w:val="20"/>
                <w:szCs w:val="20"/>
              </w:rPr>
              <w:t>期工程位于本项目西侧，已建成蒸压加气混凝土</w:t>
            </w:r>
            <w:r>
              <w:rPr>
                <w:spacing w:val="9"/>
                <w:sz w:val="20"/>
                <w:szCs w:val="20"/>
              </w:rPr>
              <w:t>砌块生产车间、办公楼以</w:t>
            </w:r>
            <w:r>
              <w:rPr>
                <w:sz w:val="20"/>
                <w:szCs w:val="20"/>
              </w:rPr>
              <w:t xml:space="preserve">  </w:t>
            </w:r>
            <w:r>
              <w:rPr>
                <w:spacing w:val="10"/>
                <w:sz w:val="20"/>
                <w:szCs w:val="20"/>
              </w:rPr>
              <w:t>及职工生活及住宿的附属设施。本项目与原一期</w:t>
            </w:r>
            <w:r>
              <w:rPr>
                <w:spacing w:val="9"/>
                <w:sz w:val="20"/>
                <w:szCs w:val="20"/>
              </w:rPr>
              <w:t>工程毗邻，有助于实现环</w:t>
            </w:r>
            <w:r>
              <w:rPr>
                <w:sz w:val="20"/>
                <w:szCs w:val="20"/>
              </w:rPr>
              <w:t xml:space="preserve">  </w:t>
            </w:r>
            <w:r>
              <w:rPr>
                <w:spacing w:val="10"/>
                <w:sz w:val="20"/>
                <w:szCs w:val="20"/>
              </w:rPr>
              <w:t>保建材项目的产业化发展，也便于企业经营管理</w:t>
            </w:r>
            <w:r>
              <w:rPr>
                <w:spacing w:val="9"/>
                <w:sz w:val="20"/>
                <w:szCs w:val="20"/>
              </w:rPr>
              <w:t>。项目建成后可依托一期</w:t>
            </w:r>
            <w:r>
              <w:rPr>
                <w:sz w:val="20"/>
                <w:szCs w:val="20"/>
              </w:rPr>
              <w:t xml:space="preserve">  </w:t>
            </w:r>
            <w:r>
              <w:rPr>
                <w:spacing w:val="9"/>
                <w:sz w:val="20"/>
                <w:szCs w:val="20"/>
              </w:rPr>
              <w:t>工程配套建成的办公生活设施，有利于项目建设经营。</w:t>
            </w:r>
          </w:p>
          <w:p w14:paraId="28671905">
            <w:pPr>
              <w:pStyle w:val="6"/>
              <w:spacing w:before="153" w:line="322" w:lineRule="auto"/>
              <w:ind w:left="99" w:right="92" w:firstLine="427"/>
              <w:rPr>
                <w:sz w:val="20"/>
                <w:szCs w:val="20"/>
              </w:rPr>
            </w:pPr>
            <w:r>
              <w:rPr>
                <w:spacing w:val="8"/>
                <w:sz w:val="20"/>
                <w:szCs w:val="20"/>
              </w:rPr>
              <w:t>（</w:t>
            </w:r>
            <w:r>
              <w:rPr>
                <w:rFonts w:ascii="Times New Roman" w:hAnsi="Times New Roman" w:eastAsia="Times New Roman" w:cs="Times New Roman"/>
                <w:spacing w:val="8"/>
                <w:sz w:val="20"/>
                <w:szCs w:val="20"/>
              </w:rPr>
              <w:t>7</w:t>
            </w:r>
            <w:r>
              <w:rPr>
                <w:spacing w:val="8"/>
                <w:sz w:val="20"/>
                <w:szCs w:val="20"/>
              </w:rPr>
              <w:t>）项目所处的园区已经过多年的发展，园区各项配套设施完善，供</w:t>
            </w:r>
            <w:r>
              <w:rPr>
                <w:spacing w:val="12"/>
                <w:sz w:val="20"/>
                <w:szCs w:val="20"/>
              </w:rPr>
              <w:t xml:space="preserve"> </w:t>
            </w:r>
            <w:r>
              <w:rPr>
                <w:spacing w:val="9"/>
                <w:sz w:val="20"/>
                <w:szCs w:val="20"/>
              </w:rPr>
              <w:t>水、供电、供气及外部交通网络通畅交通便利，能够满足本项目生产、生</w:t>
            </w:r>
            <w:r>
              <w:rPr>
                <w:spacing w:val="8"/>
                <w:sz w:val="20"/>
                <w:szCs w:val="20"/>
              </w:rPr>
              <w:t xml:space="preserve">  活需要，利于本项目的建设。</w:t>
            </w:r>
          </w:p>
          <w:p w14:paraId="2B84455A">
            <w:pPr>
              <w:pStyle w:val="6"/>
              <w:spacing w:before="155" w:line="227" w:lineRule="auto"/>
              <w:ind w:left="519"/>
              <w:rPr>
                <w:sz w:val="20"/>
                <w:szCs w:val="20"/>
              </w:rPr>
            </w:pPr>
            <w:r>
              <w:rPr>
                <w:b/>
                <w:bCs/>
                <w:spacing w:val="7"/>
                <w:sz w:val="20"/>
                <w:szCs w:val="20"/>
              </w:rPr>
              <w:t>综上分析，本项目选址合理可行。</w:t>
            </w:r>
          </w:p>
        </w:tc>
      </w:tr>
    </w:tbl>
    <w:p w14:paraId="003B59DB">
      <w:pPr>
        <w:pStyle w:val="2"/>
      </w:pPr>
    </w:p>
    <w:p w14:paraId="6B57139A">
      <w:pPr>
        <w:sectPr>
          <w:footerReference r:id="rId29" w:type="default"/>
          <w:pgSz w:w="11906" w:h="16839"/>
          <w:pgMar w:top="1431" w:right="1532" w:bottom="1260" w:left="1543" w:header="0" w:footer="1080" w:gutter="0"/>
          <w:cols w:space="720" w:num="1"/>
        </w:sectPr>
      </w:pPr>
    </w:p>
    <w:p w14:paraId="3D343CFE">
      <w:pPr>
        <w:pStyle w:val="2"/>
        <w:spacing w:line="246" w:lineRule="auto"/>
      </w:pPr>
    </w:p>
    <w:p w14:paraId="462DEF7E">
      <w:pPr>
        <w:pStyle w:val="2"/>
        <w:spacing w:line="247" w:lineRule="auto"/>
      </w:pPr>
    </w:p>
    <w:p w14:paraId="5EAC0ECC">
      <w:pPr>
        <w:spacing w:before="97" w:line="222" w:lineRule="auto"/>
        <w:ind w:left="2935"/>
        <w:outlineLvl w:val="1"/>
        <w:rPr>
          <w:rFonts w:ascii="黑体" w:hAnsi="黑体" w:eastAsia="黑体" w:cs="黑体"/>
          <w:sz w:val="30"/>
          <w:szCs w:val="30"/>
        </w:rPr>
      </w:pPr>
      <w:r>
        <w:rPr>
          <w:rFonts w:ascii="黑体" w:hAnsi="黑体" w:eastAsia="黑体" w:cs="黑体"/>
          <w:spacing w:val="-2"/>
          <w:sz w:val="30"/>
          <w:szCs w:val="30"/>
        </w:rPr>
        <w:t>二、建设项目工程分析</w:t>
      </w:r>
    </w:p>
    <w:p w14:paraId="69134663">
      <w:pPr>
        <w:spacing w:before="22"/>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5070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14:paraId="0AC08443">
            <w:pPr>
              <w:spacing w:line="243" w:lineRule="auto"/>
              <w:rPr>
                <w:rFonts w:ascii="Arial"/>
                <w:sz w:val="21"/>
              </w:rPr>
            </w:pPr>
          </w:p>
          <w:p w14:paraId="74CA01F6">
            <w:pPr>
              <w:spacing w:line="243" w:lineRule="auto"/>
              <w:rPr>
                <w:rFonts w:ascii="Arial"/>
                <w:sz w:val="21"/>
              </w:rPr>
            </w:pPr>
          </w:p>
          <w:p w14:paraId="0E53259A">
            <w:pPr>
              <w:spacing w:line="243" w:lineRule="auto"/>
              <w:rPr>
                <w:rFonts w:ascii="Arial"/>
                <w:sz w:val="21"/>
              </w:rPr>
            </w:pPr>
          </w:p>
          <w:p w14:paraId="6F64701A">
            <w:pPr>
              <w:spacing w:line="243" w:lineRule="auto"/>
              <w:rPr>
                <w:rFonts w:ascii="Arial"/>
                <w:sz w:val="21"/>
              </w:rPr>
            </w:pPr>
          </w:p>
          <w:p w14:paraId="2B2A92A9">
            <w:pPr>
              <w:spacing w:line="243" w:lineRule="auto"/>
              <w:rPr>
                <w:rFonts w:ascii="Arial"/>
                <w:sz w:val="21"/>
              </w:rPr>
            </w:pPr>
          </w:p>
          <w:p w14:paraId="4A3C22D6">
            <w:pPr>
              <w:spacing w:line="243" w:lineRule="auto"/>
              <w:rPr>
                <w:rFonts w:ascii="Arial"/>
                <w:sz w:val="21"/>
              </w:rPr>
            </w:pPr>
          </w:p>
          <w:p w14:paraId="7B0949A9">
            <w:pPr>
              <w:spacing w:line="243" w:lineRule="auto"/>
              <w:rPr>
                <w:rFonts w:ascii="Arial"/>
                <w:sz w:val="21"/>
              </w:rPr>
            </w:pPr>
          </w:p>
          <w:p w14:paraId="662026AC">
            <w:pPr>
              <w:spacing w:line="243" w:lineRule="auto"/>
              <w:rPr>
                <w:rFonts w:ascii="Arial"/>
                <w:sz w:val="21"/>
              </w:rPr>
            </w:pPr>
          </w:p>
          <w:p w14:paraId="69BA6A99">
            <w:pPr>
              <w:spacing w:line="243" w:lineRule="auto"/>
              <w:rPr>
                <w:rFonts w:ascii="Arial"/>
                <w:sz w:val="21"/>
              </w:rPr>
            </w:pPr>
          </w:p>
          <w:p w14:paraId="16EB8323">
            <w:pPr>
              <w:spacing w:line="243" w:lineRule="auto"/>
              <w:rPr>
                <w:rFonts w:ascii="Arial"/>
                <w:sz w:val="21"/>
              </w:rPr>
            </w:pPr>
          </w:p>
          <w:p w14:paraId="15C377A4">
            <w:pPr>
              <w:spacing w:line="243" w:lineRule="auto"/>
              <w:rPr>
                <w:rFonts w:ascii="Arial"/>
                <w:sz w:val="21"/>
              </w:rPr>
            </w:pPr>
          </w:p>
          <w:p w14:paraId="0933E45B">
            <w:pPr>
              <w:spacing w:line="243" w:lineRule="auto"/>
              <w:rPr>
                <w:rFonts w:ascii="Arial"/>
                <w:sz w:val="21"/>
              </w:rPr>
            </w:pPr>
          </w:p>
          <w:p w14:paraId="746C99B7">
            <w:pPr>
              <w:spacing w:line="244" w:lineRule="auto"/>
              <w:rPr>
                <w:rFonts w:ascii="Arial"/>
                <w:sz w:val="21"/>
              </w:rPr>
            </w:pPr>
          </w:p>
          <w:p w14:paraId="1150E1CE">
            <w:pPr>
              <w:spacing w:line="244" w:lineRule="auto"/>
              <w:rPr>
                <w:rFonts w:ascii="Arial"/>
                <w:sz w:val="21"/>
              </w:rPr>
            </w:pPr>
          </w:p>
          <w:p w14:paraId="6FECF84C">
            <w:pPr>
              <w:spacing w:line="244" w:lineRule="auto"/>
              <w:rPr>
                <w:rFonts w:ascii="Arial"/>
                <w:sz w:val="21"/>
              </w:rPr>
            </w:pPr>
          </w:p>
          <w:p w14:paraId="12995CF8">
            <w:pPr>
              <w:spacing w:line="244" w:lineRule="auto"/>
              <w:rPr>
                <w:rFonts w:ascii="Arial"/>
                <w:sz w:val="21"/>
              </w:rPr>
            </w:pPr>
          </w:p>
          <w:p w14:paraId="7B58E237">
            <w:pPr>
              <w:spacing w:line="244" w:lineRule="auto"/>
              <w:rPr>
                <w:rFonts w:ascii="Arial"/>
                <w:sz w:val="21"/>
              </w:rPr>
            </w:pPr>
          </w:p>
          <w:p w14:paraId="3B8C37CA">
            <w:pPr>
              <w:spacing w:line="244" w:lineRule="auto"/>
              <w:rPr>
                <w:rFonts w:ascii="Arial"/>
                <w:sz w:val="21"/>
              </w:rPr>
            </w:pPr>
          </w:p>
          <w:p w14:paraId="1461EF72">
            <w:pPr>
              <w:spacing w:line="244" w:lineRule="auto"/>
              <w:rPr>
                <w:rFonts w:ascii="Arial"/>
                <w:sz w:val="21"/>
              </w:rPr>
            </w:pPr>
          </w:p>
          <w:p w14:paraId="1ADD9544">
            <w:pPr>
              <w:spacing w:line="244" w:lineRule="auto"/>
              <w:rPr>
                <w:rFonts w:ascii="Arial"/>
                <w:sz w:val="21"/>
              </w:rPr>
            </w:pPr>
          </w:p>
          <w:p w14:paraId="44C847BC">
            <w:pPr>
              <w:spacing w:line="244" w:lineRule="auto"/>
              <w:rPr>
                <w:rFonts w:ascii="Arial"/>
                <w:sz w:val="21"/>
              </w:rPr>
            </w:pPr>
          </w:p>
          <w:p w14:paraId="3AB955F4">
            <w:pPr>
              <w:spacing w:line="244" w:lineRule="auto"/>
              <w:rPr>
                <w:rFonts w:ascii="Arial"/>
                <w:sz w:val="21"/>
              </w:rPr>
            </w:pPr>
          </w:p>
          <w:p w14:paraId="072E24F7">
            <w:pPr>
              <w:spacing w:line="244" w:lineRule="auto"/>
              <w:rPr>
                <w:rFonts w:ascii="Arial"/>
                <w:sz w:val="21"/>
              </w:rPr>
            </w:pPr>
          </w:p>
          <w:p w14:paraId="4F03076A">
            <w:pPr>
              <w:spacing w:line="244" w:lineRule="auto"/>
              <w:rPr>
                <w:rFonts w:ascii="Arial"/>
                <w:sz w:val="21"/>
              </w:rPr>
            </w:pPr>
          </w:p>
          <w:p w14:paraId="2BF76DB2">
            <w:pPr>
              <w:pStyle w:val="6"/>
              <w:spacing w:before="71" w:line="229" w:lineRule="auto"/>
              <w:ind w:left="219" w:right="194" w:hanging="24"/>
            </w:pPr>
            <w:r>
              <w:rPr>
                <w:spacing w:val="-5"/>
              </w:rPr>
              <w:t>建设</w:t>
            </w:r>
            <w:r>
              <w:t xml:space="preserve"> </w:t>
            </w:r>
            <w:r>
              <w:rPr>
                <w:spacing w:val="-17"/>
              </w:rPr>
              <w:t>内容</w:t>
            </w:r>
          </w:p>
        </w:tc>
        <w:tc>
          <w:tcPr>
            <w:tcW w:w="7992" w:type="dxa"/>
            <w:tcBorders>
              <w:left w:val="single" w:color="000000" w:sz="2" w:space="0"/>
              <w:bottom w:val="single" w:color="000000" w:sz="2" w:space="0"/>
            </w:tcBorders>
            <w:vAlign w:val="top"/>
          </w:tcPr>
          <w:p w14:paraId="363614F0">
            <w:pPr>
              <w:spacing w:before="137" w:line="222" w:lineRule="auto"/>
              <w:ind w:left="103"/>
              <w:rPr>
                <w:rFonts w:ascii="黑体" w:hAnsi="黑体" w:eastAsia="黑体" w:cs="黑体"/>
                <w:sz w:val="22"/>
                <w:szCs w:val="22"/>
              </w:rPr>
            </w:pPr>
            <w:r>
              <w:rPr>
                <w:rFonts w:ascii="黑体" w:hAnsi="黑体" w:eastAsia="黑体" w:cs="黑体"/>
                <w:spacing w:val="-3"/>
                <w:sz w:val="22"/>
                <w:szCs w:val="22"/>
              </w:rPr>
              <w:t>1、项目由来</w:t>
            </w:r>
          </w:p>
          <w:p w14:paraId="0806548A">
            <w:pPr>
              <w:pStyle w:val="6"/>
              <w:spacing w:before="132" w:line="329" w:lineRule="auto"/>
              <w:ind w:left="91" w:right="11" w:firstLine="439"/>
              <w:jc w:val="both"/>
            </w:pPr>
            <w:r>
              <w:rPr>
                <w:spacing w:val="-3"/>
              </w:rPr>
              <w:t>推进建筑节能和绿色建筑发展，是落实国家能源</w:t>
            </w:r>
            <w:r>
              <w:rPr>
                <w:spacing w:val="-4"/>
              </w:rPr>
              <w:t>生产和消费革命战略的客观要</w:t>
            </w:r>
            <w:r>
              <w:t xml:space="preserve"> </w:t>
            </w:r>
            <w:r>
              <w:rPr>
                <w:spacing w:val="-3"/>
              </w:rPr>
              <w:t>求，是加快生态文明建设、走建筑工业化道路的重要体现，是推</w:t>
            </w:r>
            <w:r>
              <w:rPr>
                <w:spacing w:val="-4"/>
              </w:rPr>
              <w:t>进节能减排的有效</w:t>
            </w:r>
            <w:r>
              <w:t xml:space="preserve"> </w:t>
            </w:r>
            <w:r>
              <w:rPr>
                <w:spacing w:val="-3"/>
              </w:rPr>
              <w:t>手段，对于建设节能低碳、绿色生态、集约高效的建筑用能体系</w:t>
            </w:r>
            <w:r>
              <w:rPr>
                <w:spacing w:val="-4"/>
              </w:rPr>
              <w:t>，推动住房城乡建</w:t>
            </w:r>
            <w:r>
              <w:t xml:space="preserve"> </w:t>
            </w:r>
            <w:r>
              <w:rPr>
                <w:spacing w:val="-1"/>
              </w:rPr>
              <w:t>设领域供给侧结构性改革，实现绿色发展具有重要的现实意义和深远</w:t>
            </w:r>
            <w:r>
              <w:rPr>
                <w:spacing w:val="-2"/>
              </w:rPr>
              <w:t>的战略意义。</w:t>
            </w:r>
          </w:p>
          <w:p w14:paraId="692BCD24">
            <w:pPr>
              <w:pStyle w:val="6"/>
              <w:spacing w:before="35" w:line="332" w:lineRule="auto"/>
              <w:ind w:left="91" w:right="11" w:firstLine="441"/>
              <w:jc w:val="both"/>
            </w:pPr>
            <w:r>
              <w:rPr>
                <w:spacing w:val="-3"/>
              </w:rPr>
              <w:t>建材行业是国民经济中非常重要的基础性行</w:t>
            </w:r>
            <w:r>
              <w:rPr>
                <w:spacing w:val="-4"/>
              </w:rPr>
              <w:t>业，也是资源消耗最为巨大的行业</w:t>
            </w:r>
            <w:r>
              <w:t xml:space="preserve"> </w:t>
            </w:r>
            <w:r>
              <w:rPr>
                <w:spacing w:val="-3"/>
              </w:rPr>
              <w:t>之一，其对能源、水资源和原材料的需求量相当庞大。推行建材</w:t>
            </w:r>
            <w:r>
              <w:rPr>
                <w:spacing w:val="-4"/>
              </w:rPr>
              <w:t>行业的绿化节能环</w:t>
            </w:r>
            <w:r>
              <w:t xml:space="preserve"> </w:t>
            </w:r>
            <w:r>
              <w:rPr>
                <w:spacing w:val="-3"/>
              </w:rPr>
              <w:t>保，发展节能环保型建材是必经之路。近年来，我国在传统建筑</w:t>
            </w:r>
            <w:r>
              <w:rPr>
                <w:spacing w:val="-4"/>
              </w:rPr>
              <w:t>材料基础上大力发</w:t>
            </w:r>
            <w:r>
              <w:t xml:space="preserve"> </w:t>
            </w:r>
            <w:r>
              <w:rPr>
                <w:spacing w:val="-1"/>
              </w:rPr>
              <w:t>展新型建筑材料也是节能建材研究领域一个重要的方面，主要包括新</w:t>
            </w:r>
            <w:r>
              <w:rPr>
                <w:spacing w:val="-2"/>
              </w:rPr>
              <w:t>型墙体材料、</w:t>
            </w:r>
            <w:r>
              <w:t xml:space="preserve"> </w:t>
            </w:r>
            <w:r>
              <w:rPr>
                <w:spacing w:val="-3"/>
              </w:rPr>
              <w:t>保温隔热材料、防水密封材料、陶瓷材料、新型化学建材、装饰</w:t>
            </w:r>
            <w:r>
              <w:rPr>
                <w:spacing w:val="-4"/>
              </w:rPr>
              <w:t>装修材料以及各种</w:t>
            </w:r>
            <w:r>
              <w:t xml:space="preserve"> 工业或建筑固废综合利用等。因此，发展新型节能型建筑材料</w:t>
            </w:r>
            <w:r>
              <w:rPr>
                <w:rFonts w:ascii="Times New Roman" w:hAnsi="Times New Roman" w:eastAsia="Times New Roman" w:cs="Times New Roman"/>
              </w:rPr>
              <w:t>,</w:t>
            </w:r>
            <w:r>
              <w:rPr>
                <w:spacing w:val="-1"/>
              </w:rPr>
              <w:t>就成为未来建筑材</w:t>
            </w:r>
            <w:r>
              <w:t xml:space="preserve">  料的主要发展方向和趋势</w:t>
            </w:r>
            <w:r>
              <w:rPr>
                <w:rFonts w:ascii="Times New Roman" w:hAnsi="Times New Roman" w:eastAsia="Times New Roman" w:cs="Times New Roman"/>
              </w:rPr>
              <w:t>,</w:t>
            </w:r>
            <w:r>
              <w:t>对于落实科学发展观和构建资</w:t>
            </w:r>
            <w:r>
              <w:rPr>
                <w:spacing w:val="-1"/>
              </w:rPr>
              <w:t>源节约型社会具有重要的</w:t>
            </w:r>
            <w:r>
              <w:t xml:space="preserve">  </w:t>
            </w:r>
            <w:r>
              <w:rPr>
                <w:spacing w:val="-2"/>
              </w:rPr>
              <w:t>现实意义。</w:t>
            </w:r>
          </w:p>
          <w:p w14:paraId="2A1F1583">
            <w:pPr>
              <w:pStyle w:val="6"/>
              <w:spacing w:before="32" w:line="329" w:lineRule="auto"/>
              <w:ind w:left="92" w:right="84" w:firstLine="459"/>
              <w:jc w:val="both"/>
            </w:pPr>
            <w:r>
              <w:rPr>
                <w:spacing w:val="-5"/>
              </w:rPr>
              <w:t>四川鸿丙节能建材有限公司（以下简称“鸿丙建材公司</w:t>
            </w:r>
            <w:r>
              <w:rPr>
                <w:spacing w:val="-65"/>
              </w:rPr>
              <w:t xml:space="preserve"> </w:t>
            </w:r>
            <w:r>
              <w:rPr>
                <w:spacing w:val="-5"/>
              </w:rPr>
              <w:t>”）成立于</w:t>
            </w:r>
            <w:r>
              <w:rPr>
                <w:rFonts w:ascii="Times New Roman" w:hAnsi="Times New Roman" w:eastAsia="Times New Roman" w:cs="Times New Roman"/>
                <w:spacing w:val="-5"/>
              </w:rPr>
              <w:t>2016</w:t>
            </w:r>
            <w:r>
              <w:rPr>
                <w:spacing w:val="-5"/>
              </w:rPr>
              <w:t>年</w:t>
            </w:r>
            <w:r>
              <w:rPr>
                <w:rFonts w:ascii="Times New Roman" w:hAnsi="Times New Roman" w:eastAsia="Times New Roman" w:cs="Times New Roman"/>
                <w:spacing w:val="-5"/>
              </w:rPr>
              <w:t>05</w:t>
            </w:r>
            <w:r>
              <w:rPr>
                <w:spacing w:val="-5"/>
              </w:rPr>
              <w:t>月</w:t>
            </w:r>
            <w:r>
              <w:t xml:space="preserve"> </w:t>
            </w:r>
            <w:r>
              <w:rPr>
                <w:rFonts w:ascii="Times New Roman" w:hAnsi="Times New Roman" w:eastAsia="Times New Roman" w:cs="Times New Roman"/>
                <w:spacing w:val="-3"/>
              </w:rPr>
              <w:t>31</w:t>
            </w:r>
            <w:r>
              <w:rPr>
                <w:spacing w:val="-3"/>
              </w:rPr>
              <w:t>日，注册地位于四川省达州市通川区东岳镇有力村。鸿丙建材公司一</w:t>
            </w:r>
            <w:r>
              <w:rPr>
                <w:spacing w:val="-4"/>
              </w:rPr>
              <w:t>直深耕于节</w:t>
            </w:r>
            <w:r>
              <w:t xml:space="preserve"> </w:t>
            </w:r>
            <w:r>
              <w:rPr>
                <w:spacing w:val="-3"/>
              </w:rPr>
              <w:t>能环保型建筑砌块制造、轻质建筑材料制造领域，有深厚的资源</w:t>
            </w:r>
            <w:r>
              <w:rPr>
                <w:spacing w:val="-4"/>
              </w:rPr>
              <w:t>再生利用技术研发</w:t>
            </w:r>
            <w:r>
              <w:t xml:space="preserve"> </w:t>
            </w:r>
            <w:r>
              <w:rPr>
                <w:spacing w:val="-2"/>
              </w:rPr>
              <w:t>和生产制造经验。</w:t>
            </w:r>
          </w:p>
          <w:p w14:paraId="008A227A">
            <w:pPr>
              <w:pStyle w:val="6"/>
              <w:spacing w:before="30" w:line="330" w:lineRule="auto"/>
              <w:ind w:left="84" w:right="84" w:firstLine="442"/>
            </w:pPr>
            <w:r>
              <w:rPr>
                <w:rFonts w:ascii="Times New Roman" w:hAnsi="Times New Roman" w:eastAsia="Times New Roman" w:cs="Times New Roman"/>
              </w:rPr>
              <w:t>2017</w:t>
            </w:r>
            <w:r>
              <w:t>年</w:t>
            </w:r>
            <w:r>
              <w:rPr>
                <w:rFonts w:ascii="Times New Roman" w:hAnsi="Times New Roman" w:eastAsia="Times New Roman" w:cs="Times New Roman"/>
              </w:rPr>
              <w:t>3</w:t>
            </w:r>
            <w:r>
              <w:t>月</w:t>
            </w:r>
            <w:r>
              <w:rPr>
                <w:rFonts w:ascii="Times New Roman" w:hAnsi="Times New Roman" w:eastAsia="Times New Roman" w:cs="Times New Roman"/>
              </w:rPr>
              <w:t>29</w:t>
            </w:r>
            <w:r>
              <w:t>日，鸿丙建材公司拟投资</w:t>
            </w:r>
            <w:r>
              <w:rPr>
                <w:rFonts w:ascii="Times New Roman" w:hAnsi="Times New Roman" w:eastAsia="Times New Roman" w:cs="Times New Roman"/>
              </w:rPr>
              <w:t>3000</w:t>
            </w:r>
            <w:r>
              <w:t>万元，选址于通川区</w:t>
            </w:r>
            <w:r>
              <w:rPr>
                <w:spacing w:val="-1"/>
              </w:rPr>
              <w:t>东岳新型工业</w:t>
            </w:r>
            <w:r>
              <w:t xml:space="preserve"> </w:t>
            </w:r>
            <w:r>
              <w:rPr>
                <w:spacing w:val="-3"/>
              </w:rPr>
              <w:t>集聚区，占地约</w:t>
            </w:r>
            <w:r>
              <w:rPr>
                <w:rFonts w:ascii="Times New Roman" w:hAnsi="Times New Roman" w:eastAsia="Times New Roman" w:cs="Times New Roman"/>
                <w:spacing w:val="-3"/>
              </w:rPr>
              <w:t>38</w:t>
            </w:r>
            <w:r>
              <w:rPr>
                <w:spacing w:val="-3"/>
              </w:rPr>
              <w:t>亩，建设“环保节能灰渣混凝土空心轻质隔墙板新型建材生产项</w:t>
            </w:r>
            <w:r>
              <w:rPr>
                <w:spacing w:val="2"/>
              </w:rPr>
              <w:t xml:space="preserve"> </w:t>
            </w:r>
            <w:r>
              <w:rPr>
                <w:spacing w:val="-4"/>
              </w:rPr>
              <w:t>目</w:t>
            </w:r>
            <w:r>
              <w:rPr>
                <w:spacing w:val="-76"/>
              </w:rPr>
              <w:t xml:space="preserve"> </w:t>
            </w:r>
            <w:r>
              <w:rPr>
                <w:spacing w:val="-4"/>
              </w:rPr>
              <w:t>”。该项目主要以水泥、石灰、粉煤灰、黄沙等为原料生产混凝土隔墙板</w:t>
            </w:r>
            <w:r>
              <w:rPr>
                <w:rFonts w:ascii="Times New Roman" w:hAnsi="Times New Roman" w:eastAsia="Times New Roman" w:cs="Times New Roman"/>
                <w:spacing w:val="-4"/>
              </w:rPr>
              <w:t>100</w:t>
            </w:r>
            <w:r>
              <w:rPr>
                <w:spacing w:val="-4"/>
              </w:rPr>
              <w:t>万</w:t>
            </w:r>
            <w: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3"/>
                <w:position w:val="7"/>
                <w:sz w:val="14"/>
                <w:szCs w:val="14"/>
              </w:rPr>
              <w:t xml:space="preserve"> </w:t>
            </w:r>
            <w:r>
              <w:rPr>
                <w:spacing w:val="-1"/>
              </w:rPr>
              <w:t>。</w:t>
            </w:r>
            <w:r>
              <w:rPr>
                <w:rFonts w:ascii="Times New Roman" w:hAnsi="Times New Roman" w:eastAsia="Times New Roman" w:cs="Times New Roman"/>
                <w:spacing w:val="-1"/>
              </w:rPr>
              <w:t>2017</w:t>
            </w:r>
            <w:r>
              <w:rPr>
                <w:spacing w:val="-1"/>
              </w:rPr>
              <w:t>年</w:t>
            </w:r>
            <w:r>
              <w:rPr>
                <w:rFonts w:ascii="Times New Roman" w:hAnsi="Times New Roman" w:eastAsia="Times New Roman" w:cs="Times New Roman"/>
                <w:spacing w:val="-1"/>
              </w:rPr>
              <w:t>7</w:t>
            </w:r>
            <w:r>
              <w:rPr>
                <w:spacing w:val="-1"/>
              </w:rPr>
              <w:t>月</w:t>
            </w:r>
            <w:r>
              <w:rPr>
                <w:rFonts w:ascii="Times New Roman" w:hAnsi="Times New Roman" w:eastAsia="Times New Roman" w:cs="Times New Roman"/>
                <w:spacing w:val="-1"/>
              </w:rPr>
              <w:t>17</w:t>
            </w:r>
            <w:r>
              <w:rPr>
                <w:spacing w:val="-1"/>
              </w:rPr>
              <w:t>日，原达州市通川区环境保护局出具</w:t>
            </w:r>
            <w:r>
              <w:rPr>
                <w:spacing w:val="-2"/>
              </w:rPr>
              <w:t>了《关于环保节能灰渣混凝</w:t>
            </w:r>
            <w:r>
              <w:t xml:space="preserve"> 土空心轻质隔墙板新型建材生产项目环境影响报告表的批复意见》</w:t>
            </w:r>
            <w:r>
              <w:rPr>
                <w:rFonts w:ascii="Times New Roman" w:hAnsi="Times New Roman" w:eastAsia="Times New Roman" w:cs="Times New Roman"/>
              </w:rPr>
              <w:t>(</w:t>
            </w:r>
            <w:r>
              <w:t>通</w:t>
            </w:r>
            <w:r>
              <w:rPr>
                <w:spacing w:val="-1"/>
              </w:rPr>
              <w:t>区环审批</w:t>
            </w:r>
          </w:p>
          <w:p w14:paraId="1C169927">
            <w:pPr>
              <w:pStyle w:val="6"/>
              <w:spacing w:before="35" w:line="213" w:lineRule="auto"/>
              <w:ind w:left="117"/>
            </w:pPr>
            <w:r>
              <w:rPr>
                <w:spacing w:val="-3"/>
              </w:rPr>
              <w:t>〔</w:t>
            </w:r>
            <w:r>
              <w:rPr>
                <w:rFonts w:ascii="Times New Roman" w:hAnsi="Times New Roman" w:eastAsia="Times New Roman" w:cs="Times New Roman"/>
                <w:spacing w:val="-3"/>
              </w:rPr>
              <w:t>2017</w:t>
            </w:r>
            <w:r>
              <w:rPr>
                <w:spacing w:val="-3"/>
              </w:rPr>
              <w:t>〕</w:t>
            </w:r>
            <w:r>
              <w:rPr>
                <w:rFonts w:ascii="Times New Roman" w:hAnsi="Times New Roman" w:eastAsia="Times New Roman" w:cs="Times New Roman"/>
                <w:spacing w:val="-3"/>
              </w:rPr>
              <w:t>13</w:t>
            </w:r>
            <w:r>
              <w:rPr>
                <w:spacing w:val="-3"/>
              </w:rPr>
              <w:t>号</w:t>
            </w:r>
            <w:r>
              <w:rPr>
                <w:rFonts w:ascii="Times New Roman" w:hAnsi="Times New Roman" w:eastAsia="Times New Roman" w:cs="Times New Roman"/>
                <w:spacing w:val="-3"/>
              </w:rPr>
              <w:t>)</w:t>
            </w:r>
            <w:r>
              <w:rPr>
                <w:rFonts w:ascii="Times New Roman" w:hAnsi="Times New Roman" w:eastAsia="Times New Roman" w:cs="Times New Roman"/>
                <w:spacing w:val="-9"/>
              </w:rPr>
              <w:t xml:space="preserve"> </w:t>
            </w:r>
            <w:r>
              <w:rPr>
                <w:spacing w:val="-3"/>
              </w:rPr>
              <w:t>。该项目于</w:t>
            </w:r>
            <w:r>
              <w:rPr>
                <w:rFonts w:ascii="Times New Roman" w:hAnsi="Times New Roman" w:eastAsia="Times New Roman" w:cs="Times New Roman"/>
                <w:spacing w:val="-3"/>
              </w:rPr>
              <w:t>2019</w:t>
            </w:r>
            <w:r>
              <w:rPr>
                <w:spacing w:val="-3"/>
              </w:rPr>
              <w:t>年</w:t>
            </w:r>
            <w:r>
              <w:rPr>
                <w:rFonts w:ascii="Times New Roman" w:hAnsi="Times New Roman" w:eastAsia="Times New Roman" w:cs="Times New Roman"/>
                <w:spacing w:val="-3"/>
              </w:rPr>
              <w:t>3</w:t>
            </w:r>
            <w:r>
              <w:rPr>
                <w:spacing w:val="-3"/>
              </w:rPr>
              <w:t>月开工建设。</w:t>
            </w:r>
          </w:p>
          <w:p w14:paraId="07B252F7">
            <w:pPr>
              <w:pStyle w:val="6"/>
              <w:spacing w:before="148" w:line="321" w:lineRule="auto"/>
              <w:ind w:left="87" w:right="11" w:firstLine="439"/>
            </w:pPr>
            <w:r>
              <w:rPr>
                <w:rFonts w:ascii="Times New Roman" w:hAnsi="Times New Roman" w:eastAsia="Times New Roman" w:cs="Times New Roman"/>
                <w:spacing w:val="-3"/>
              </w:rPr>
              <w:t>2019</w:t>
            </w:r>
            <w:r>
              <w:rPr>
                <w:spacing w:val="-3"/>
              </w:rPr>
              <w:t>年</w:t>
            </w:r>
            <w:r>
              <w:rPr>
                <w:rFonts w:ascii="Times New Roman" w:hAnsi="Times New Roman" w:eastAsia="Times New Roman" w:cs="Times New Roman"/>
                <w:spacing w:val="-3"/>
              </w:rPr>
              <w:t>11</w:t>
            </w:r>
            <w:r>
              <w:rPr>
                <w:spacing w:val="-3"/>
              </w:rPr>
              <w:t>月，鸿丙建材公司经过充分的市场调研发现混凝土新型建材类产品的</w:t>
            </w:r>
            <w:r>
              <w:t xml:space="preserve"> </w:t>
            </w:r>
            <w:r>
              <w:rPr>
                <w:spacing w:val="-3"/>
              </w:rPr>
              <w:t>需求侧已发生变化，促使供给侧必须改革。鸿丙建材公司立即调整经营策</w:t>
            </w:r>
            <w:r>
              <w:rPr>
                <w:spacing w:val="-4"/>
              </w:rPr>
              <w:t>略，并在</w:t>
            </w:r>
            <w:r>
              <w:t xml:space="preserve"> </w:t>
            </w:r>
            <w:r>
              <w:rPr>
                <w:spacing w:val="-4"/>
              </w:rPr>
              <w:t>通川区发展和改革局以“绿色节能环保建材产业化项目</w:t>
            </w:r>
            <w:r>
              <w:rPr>
                <w:spacing w:val="-78"/>
              </w:rPr>
              <w:t xml:space="preserve"> </w:t>
            </w:r>
            <w:r>
              <w:rPr>
                <w:spacing w:val="-4"/>
              </w:rPr>
              <w:t>”名称进行了立项备案（备</w:t>
            </w:r>
            <w:r>
              <w:t xml:space="preserve"> </w:t>
            </w:r>
            <w:r>
              <w:rPr>
                <w:spacing w:val="-4"/>
              </w:rPr>
              <w:t>案号：川投资备【</w:t>
            </w:r>
            <w:r>
              <w:rPr>
                <w:rFonts w:ascii="Times New Roman" w:hAnsi="Times New Roman" w:eastAsia="Times New Roman" w:cs="Times New Roman"/>
                <w:spacing w:val="-4"/>
              </w:rPr>
              <w:t>2019-511702-30-03-4065</w:t>
            </w:r>
            <w:r>
              <w:rPr>
                <w:rFonts w:ascii="Times New Roman" w:hAnsi="Times New Roman" w:eastAsia="Times New Roman" w:cs="Times New Roman"/>
                <w:spacing w:val="-5"/>
              </w:rPr>
              <w:t>58</w:t>
            </w:r>
            <w:r>
              <w:rPr>
                <w:spacing w:val="-5"/>
              </w:rPr>
              <w:t>】</w:t>
            </w:r>
            <w:r>
              <w:rPr>
                <w:rFonts w:ascii="Times New Roman" w:hAnsi="Times New Roman" w:eastAsia="Times New Roman" w:cs="Times New Roman"/>
                <w:spacing w:val="-5"/>
              </w:rPr>
              <w:t>FGQB-0126</w:t>
            </w:r>
            <w:r>
              <w:rPr>
                <w:spacing w:val="-5"/>
              </w:rPr>
              <w:t>号）。“绿色节能环保建</w:t>
            </w:r>
            <w:r>
              <w:t xml:space="preserve">  </w:t>
            </w:r>
            <w:r>
              <w:rPr>
                <w:spacing w:val="-6"/>
              </w:rPr>
              <w:t>材产业化项目</w:t>
            </w:r>
            <w:r>
              <w:rPr>
                <w:spacing w:val="-81"/>
              </w:rPr>
              <w:t xml:space="preserve"> </w:t>
            </w:r>
            <w:r>
              <w:rPr>
                <w:spacing w:val="-6"/>
              </w:rPr>
              <w:t>”，总投资</w:t>
            </w:r>
            <w:r>
              <w:rPr>
                <w:rFonts w:ascii="Times New Roman" w:hAnsi="Times New Roman" w:eastAsia="Times New Roman" w:cs="Times New Roman"/>
                <w:spacing w:val="-6"/>
              </w:rPr>
              <w:t>11300</w:t>
            </w:r>
            <w:r>
              <w:rPr>
                <w:spacing w:val="-6"/>
              </w:rPr>
              <w:t>万元，主要以</w:t>
            </w:r>
            <w:r>
              <w:rPr>
                <w:spacing w:val="-7"/>
              </w:rPr>
              <w:t>水泥、粉煤灰和脱硫石膏等工业固废和</w:t>
            </w:r>
            <w:r>
              <w:t xml:space="preserve"> </w:t>
            </w:r>
            <w:r>
              <w:rPr>
                <w:spacing w:val="-1"/>
              </w:rPr>
              <w:t>废弃石材或水泥制品等建筑固废为原料，设计年产</w:t>
            </w:r>
            <w:r>
              <w:rPr>
                <w:rFonts w:ascii="Times New Roman" w:hAnsi="Times New Roman" w:eastAsia="Times New Roman" w:cs="Times New Roman"/>
                <w:spacing w:val="-1"/>
              </w:rPr>
              <w:t>80</w:t>
            </w:r>
            <w:r>
              <w:rPr>
                <w:spacing w:val="-1"/>
              </w:rPr>
              <w:t>万立方蒸压加气混凝土砌块、</w:t>
            </w:r>
            <w:r>
              <w:t xml:space="preserve"> </w:t>
            </w:r>
            <w:r>
              <w:rPr>
                <w:rFonts w:ascii="Times New Roman" w:hAnsi="Times New Roman" w:eastAsia="Times New Roman" w:cs="Times New Roman"/>
              </w:rPr>
              <w:t>20</w:t>
            </w:r>
            <w:r>
              <w:t>万立方蒸压加气混凝土板材以及</w:t>
            </w:r>
            <w:r>
              <w:rPr>
                <w:rFonts w:ascii="Times New Roman" w:hAnsi="Times New Roman" w:eastAsia="Times New Roman" w:cs="Times New Roman"/>
              </w:rPr>
              <w:t>30</w:t>
            </w:r>
            <w:r>
              <w:t>万吨干混砂浆系列产品，实</w:t>
            </w:r>
            <w:r>
              <w:rPr>
                <w:spacing w:val="-1"/>
              </w:rPr>
              <w:t>现固体废物减量</w:t>
            </w:r>
            <w:r>
              <w:t xml:space="preserve">  </w:t>
            </w:r>
            <w:r>
              <w:rPr>
                <w:spacing w:val="-3"/>
              </w:rPr>
              <w:t>化、资源化、无害化的综合利用。同时，将“环保节能灰渣混凝土空</w:t>
            </w:r>
            <w:r>
              <w:rPr>
                <w:spacing w:val="-4"/>
              </w:rPr>
              <w:t>心轻质隔墙板</w:t>
            </w:r>
          </w:p>
        </w:tc>
      </w:tr>
    </w:tbl>
    <w:p w14:paraId="70116C70">
      <w:pPr>
        <w:pStyle w:val="2"/>
      </w:pPr>
    </w:p>
    <w:p w14:paraId="5FED6FA9">
      <w:pPr>
        <w:sectPr>
          <w:footerReference r:id="rId30" w:type="default"/>
          <w:pgSz w:w="11906" w:h="16839"/>
          <w:pgMar w:top="1431" w:right="1534" w:bottom="1260" w:left="1533" w:header="0" w:footer="1080" w:gutter="0"/>
          <w:cols w:space="720" w:num="1"/>
        </w:sectPr>
      </w:pPr>
    </w:p>
    <w:p w14:paraId="349217EC">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13A6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45CE02D4">
            <w:pPr>
              <w:rPr>
                <w:rFonts w:ascii="Arial"/>
                <w:sz w:val="21"/>
              </w:rPr>
            </w:pPr>
          </w:p>
        </w:tc>
        <w:tc>
          <w:tcPr>
            <w:tcW w:w="7992" w:type="dxa"/>
            <w:tcBorders>
              <w:left w:val="single" w:color="000000" w:sz="2" w:space="0"/>
              <w:bottom w:val="single" w:color="000000" w:sz="2" w:space="0"/>
            </w:tcBorders>
            <w:vAlign w:val="top"/>
          </w:tcPr>
          <w:p w14:paraId="6C4138A4">
            <w:pPr>
              <w:pStyle w:val="6"/>
              <w:tabs>
                <w:tab w:val="left" w:pos="7974"/>
              </w:tabs>
              <w:spacing w:before="134" w:line="332" w:lineRule="auto"/>
              <w:ind w:left="87" w:right="6" w:firstLine="4"/>
              <w:jc w:val="both"/>
            </w:pPr>
            <w:r>
              <w:rPr>
                <w:spacing w:val="-5"/>
              </w:rPr>
              <w:t>新型建材生产项目</w:t>
            </w:r>
            <w:r>
              <w:rPr>
                <w:spacing w:val="-78"/>
              </w:rPr>
              <w:t xml:space="preserve"> </w:t>
            </w:r>
            <w:r>
              <w:rPr>
                <w:spacing w:val="-5"/>
              </w:rPr>
              <w:t>”按照“绿色节能环保建材产业化项目</w:t>
            </w:r>
            <w:r>
              <w:rPr>
                <w:spacing w:val="-81"/>
              </w:rPr>
              <w:t xml:space="preserve"> </w:t>
            </w:r>
            <w:r>
              <w:rPr>
                <w:spacing w:val="-5"/>
              </w:rPr>
              <w:t>”的相应要求进行了建设</w:t>
            </w:r>
            <w:r>
              <w:t xml:space="preserve"> </w:t>
            </w:r>
            <w:r>
              <w:rPr>
                <w:spacing w:val="-9"/>
              </w:rPr>
              <w:t>调整，将产品从灰渣混凝土空心隔墙板调整为蒸压加气混凝土砌块，但产量不变（隔</w:t>
            </w:r>
            <w:r>
              <w:t xml:space="preserve"> 墙板</w:t>
            </w:r>
            <w:r>
              <w:rPr>
                <w:rFonts w:ascii="Times New Roman" w:hAnsi="Times New Roman" w:eastAsia="Times New Roman" w:cs="Times New Roman"/>
              </w:rPr>
              <w:t>100</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2</w:t>
            </w:r>
            <w:r>
              <w:t>可折算砌块</w:t>
            </w:r>
            <w:r>
              <w:rPr>
                <w:rFonts w:ascii="Times New Roman" w:hAnsi="Times New Roman" w:eastAsia="Times New Roman" w:cs="Times New Roman"/>
              </w:rPr>
              <w:t>40</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3</w:t>
            </w:r>
            <w:r>
              <w:rPr>
                <w:spacing w:val="-50"/>
              </w:rPr>
              <w:t>）；</w:t>
            </w:r>
            <w:r>
              <w:t>生产工艺</w:t>
            </w:r>
            <w:r>
              <w:rPr>
                <w:spacing w:val="-1"/>
              </w:rPr>
              <w:t>上增加湿法球磨、室温养护改成蒸汽</w:t>
            </w:r>
            <w:r>
              <w:tab/>
            </w:r>
            <w:r>
              <w:t xml:space="preserve"> </w:t>
            </w:r>
            <w:r>
              <w:rPr>
                <w:spacing w:val="-8"/>
              </w:rPr>
              <w:t>养护，并作为“绿色节能环保建材产业化项目</w:t>
            </w:r>
            <w:r>
              <w:rPr>
                <w:spacing w:val="-68"/>
              </w:rPr>
              <w:t xml:space="preserve"> </w:t>
            </w:r>
            <w:r>
              <w:rPr>
                <w:spacing w:val="-8"/>
              </w:rPr>
              <w:t>”的一期工程纳入公司统一经营管理。</w:t>
            </w:r>
            <w:r>
              <w:t xml:space="preserve"> </w:t>
            </w:r>
            <w:r>
              <w:rPr>
                <w:rFonts w:ascii="Times New Roman" w:hAnsi="Times New Roman" w:eastAsia="Times New Roman" w:cs="Times New Roman"/>
              </w:rPr>
              <w:t>2020</w:t>
            </w:r>
            <w:r>
              <w:t>年</w:t>
            </w:r>
            <w:r>
              <w:rPr>
                <w:rFonts w:ascii="Times New Roman" w:hAnsi="Times New Roman" w:eastAsia="Times New Roman" w:cs="Times New Roman"/>
              </w:rPr>
              <w:t>8</w:t>
            </w:r>
            <w:r>
              <w:t>月，该一期工程已建成进入竣工调试试运行。</w:t>
            </w:r>
            <w:r>
              <w:rPr>
                <w:rFonts w:ascii="Times New Roman" w:hAnsi="Times New Roman" w:eastAsia="Times New Roman" w:cs="Times New Roman"/>
                <w:spacing w:val="-1"/>
              </w:rPr>
              <w:t>2020</w:t>
            </w:r>
            <w:r>
              <w:rPr>
                <w:spacing w:val="-1"/>
              </w:rPr>
              <w:t>年</w:t>
            </w:r>
            <w:r>
              <w:rPr>
                <w:rFonts w:ascii="Times New Roman" w:hAnsi="Times New Roman" w:eastAsia="Times New Roman" w:cs="Times New Roman"/>
                <w:spacing w:val="-1"/>
              </w:rPr>
              <w:t>11</w:t>
            </w:r>
            <w:r>
              <w:rPr>
                <w:spacing w:val="-1"/>
              </w:rPr>
              <w:t>月</w:t>
            </w:r>
            <w:r>
              <w:rPr>
                <w:rFonts w:ascii="Times New Roman" w:hAnsi="Times New Roman" w:eastAsia="Times New Roman" w:cs="Times New Roman"/>
                <w:spacing w:val="-1"/>
              </w:rPr>
              <w:t>30</w:t>
            </w:r>
            <w:r>
              <w:rPr>
                <w:spacing w:val="-1"/>
              </w:rPr>
              <w:t>日，该一期工</w:t>
            </w:r>
            <w:r>
              <w:t xml:space="preserve">  程完成了竣工环境保护验收工作。</w:t>
            </w:r>
            <w:r>
              <w:rPr>
                <w:rFonts w:ascii="Times New Roman" w:hAnsi="Times New Roman" w:eastAsia="Times New Roman" w:cs="Times New Roman"/>
              </w:rPr>
              <w:t>2020</w:t>
            </w:r>
            <w:r>
              <w:t>年</w:t>
            </w:r>
            <w:r>
              <w:rPr>
                <w:rFonts w:ascii="Times New Roman" w:hAnsi="Times New Roman" w:eastAsia="Times New Roman" w:cs="Times New Roman"/>
              </w:rPr>
              <w:t>5</w:t>
            </w:r>
            <w:r>
              <w:t>月</w:t>
            </w:r>
            <w:r>
              <w:rPr>
                <w:rFonts w:ascii="Times New Roman" w:hAnsi="Times New Roman" w:eastAsia="Times New Roman" w:cs="Times New Roman"/>
              </w:rPr>
              <w:t>14</w:t>
            </w:r>
            <w:r>
              <w:t>日，四川鸿丙节能建</w:t>
            </w:r>
            <w:r>
              <w:rPr>
                <w:spacing w:val="-1"/>
              </w:rPr>
              <w:t>材有限公司办</w:t>
            </w:r>
            <w:r>
              <w:t xml:space="preserve"> 理排污许可登记，登记号</w:t>
            </w:r>
            <w:r>
              <w:rPr>
                <w:rFonts w:ascii="Times New Roman" w:hAnsi="Times New Roman" w:eastAsia="Times New Roman" w:cs="Times New Roman"/>
              </w:rPr>
              <w:t>:91511702MA</w:t>
            </w:r>
            <w:r>
              <w:rPr>
                <w:rFonts w:ascii="Times New Roman" w:hAnsi="Times New Roman" w:eastAsia="Times New Roman" w:cs="Times New Roman"/>
                <w:spacing w:val="-1"/>
              </w:rPr>
              <w:t>62E5P33K001W</w:t>
            </w:r>
            <w:r>
              <w:rPr>
                <w:spacing w:val="-1"/>
              </w:rPr>
              <w:t>。</w:t>
            </w:r>
          </w:p>
          <w:p w14:paraId="3AFD4A95">
            <w:pPr>
              <w:pStyle w:val="6"/>
              <w:spacing w:before="32" w:line="330" w:lineRule="auto"/>
              <w:ind w:left="92" w:right="84" w:firstLine="439"/>
              <w:jc w:val="both"/>
            </w:pPr>
            <w:r>
              <w:rPr>
                <w:spacing w:val="-4"/>
              </w:rPr>
              <w:t>本次项目主要是建设“绿色节能环保建材产业化项目</w:t>
            </w:r>
            <w:r>
              <w:rPr>
                <w:spacing w:val="-84"/>
              </w:rPr>
              <w:t xml:space="preserve"> </w:t>
            </w:r>
            <w:r>
              <w:rPr>
                <w:spacing w:val="-4"/>
              </w:rPr>
              <w:t>”的二期工</w:t>
            </w:r>
            <w:r>
              <w:rPr>
                <w:spacing w:val="-5"/>
              </w:rPr>
              <w:t>程。二期工程</w:t>
            </w:r>
            <w:r>
              <w:t xml:space="preserve"> </w:t>
            </w:r>
            <w:r>
              <w:rPr>
                <w:spacing w:val="-2"/>
              </w:rPr>
              <w:t>新增占地面积约</w:t>
            </w:r>
            <w:r>
              <w:rPr>
                <w:rFonts w:ascii="Times New Roman" w:hAnsi="Times New Roman" w:eastAsia="Times New Roman" w:cs="Times New Roman"/>
                <w:spacing w:val="-2"/>
              </w:rPr>
              <w:t>26</w:t>
            </w:r>
            <w:r>
              <w:rPr>
                <w:spacing w:val="-2"/>
              </w:rPr>
              <w:t>亩，投资约</w:t>
            </w:r>
            <w:r>
              <w:rPr>
                <w:rFonts w:ascii="Times New Roman" w:hAnsi="Times New Roman" w:eastAsia="Times New Roman" w:cs="Times New Roman"/>
                <w:spacing w:val="-2"/>
              </w:rPr>
              <w:t>8300</w:t>
            </w:r>
            <w:r>
              <w:rPr>
                <w:spacing w:val="-2"/>
              </w:rPr>
              <w:t>万元（两期总投资</w:t>
            </w:r>
            <w:r>
              <w:rPr>
                <w:rFonts w:ascii="Times New Roman" w:hAnsi="Times New Roman" w:eastAsia="Times New Roman" w:cs="Times New Roman"/>
                <w:spacing w:val="-3"/>
              </w:rPr>
              <w:t>11300</w:t>
            </w:r>
            <w:r>
              <w:rPr>
                <w:spacing w:val="-3"/>
              </w:rPr>
              <w:t>万元</w:t>
            </w:r>
            <w:r>
              <w:rPr>
                <w:spacing w:val="-55"/>
                <w:w w:val="95"/>
              </w:rPr>
              <w:t>），</w:t>
            </w:r>
            <w:r>
              <w:rPr>
                <w:spacing w:val="-3"/>
              </w:rPr>
              <w:t>主要建设生产车</w:t>
            </w:r>
            <w:r>
              <w:t xml:space="preserve"> 间两栋，设计年产</w:t>
            </w:r>
            <w:r>
              <w:rPr>
                <w:rFonts w:ascii="Times New Roman" w:hAnsi="Times New Roman" w:eastAsia="Times New Roman" w:cs="Times New Roman"/>
              </w:rPr>
              <w:t>40</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3</w:t>
            </w:r>
            <w:r>
              <w:t>混凝土砌块、</w:t>
            </w:r>
            <w:r>
              <w:rPr>
                <w:rFonts w:ascii="Times New Roman" w:hAnsi="Times New Roman" w:eastAsia="Times New Roman" w:cs="Times New Roman"/>
              </w:rPr>
              <w:t>20</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3</w:t>
            </w:r>
            <w:r>
              <w:t>混凝土板材、</w:t>
            </w:r>
            <w:r>
              <w:rPr>
                <w:rFonts w:ascii="Times New Roman" w:hAnsi="Times New Roman" w:eastAsia="Times New Roman" w:cs="Times New Roman"/>
              </w:rPr>
              <w:t>30</w:t>
            </w:r>
            <w:r>
              <w:rPr>
                <w:spacing w:val="-1"/>
              </w:rPr>
              <w:t>万</w:t>
            </w:r>
            <w:r>
              <w:rPr>
                <w:rFonts w:ascii="Times New Roman" w:hAnsi="Times New Roman" w:eastAsia="Times New Roman" w:cs="Times New Roman"/>
                <w:spacing w:val="-1"/>
              </w:rPr>
              <w:t>t</w:t>
            </w:r>
            <w:r>
              <w:rPr>
                <w:spacing w:val="-1"/>
              </w:rPr>
              <w:t>干混砂浆系列产</w:t>
            </w:r>
            <w:r>
              <w:t xml:space="preserve"> </w:t>
            </w:r>
            <w:r>
              <w:rPr>
                <w:spacing w:val="-5"/>
              </w:rPr>
              <w:t>品。</w:t>
            </w:r>
          </w:p>
          <w:p w14:paraId="226CB172">
            <w:pPr>
              <w:pStyle w:val="6"/>
              <w:spacing w:before="28" w:line="331" w:lineRule="auto"/>
              <w:ind w:left="90" w:right="84" w:firstLine="442"/>
            </w:pPr>
            <w:r>
              <w:rPr>
                <w:spacing w:val="-10"/>
              </w:rPr>
              <w:t>为做好本项目的环境保护工作，根据《中华人民共和国环境影响评价法》和《建</w:t>
            </w:r>
            <w:r>
              <w:rPr>
                <w:spacing w:val="13"/>
              </w:rPr>
              <w:t xml:space="preserve"> </w:t>
            </w:r>
            <w:r>
              <w:rPr>
                <w:spacing w:val="-6"/>
              </w:rPr>
              <w:t>设项目环境保护管理条例》（国务院令第</w:t>
            </w:r>
            <w:r>
              <w:rPr>
                <w:rFonts w:ascii="Times New Roman" w:hAnsi="Times New Roman" w:eastAsia="Times New Roman" w:cs="Times New Roman"/>
                <w:spacing w:val="-6"/>
              </w:rPr>
              <w:t>682</w:t>
            </w:r>
            <w:r>
              <w:rPr>
                <w:spacing w:val="-6"/>
              </w:rPr>
              <w:t>号）的有关规定，该项目应当开展环境</w:t>
            </w:r>
            <w:r>
              <w:rPr>
                <w:spacing w:val="3"/>
              </w:rPr>
              <w:t xml:space="preserve"> </w:t>
            </w:r>
            <w:r>
              <w:rPr>
                <w:spacing w:val="-1"/>
              </w:rPr>
              <w:t>影响评价工作。根据《国民经济行业分类》</w:t>
            </w:r>
            <w:r>
              <w:rPr>
                <w:rFonts w:ascii="Times New Roman" w:hAnsi="Times New Roman" w:eastAsia="Times New Roman" w:cs="Times New Roman"/>
                <w:spacing w:val="-1"/>
              </w:rPr>
              <w:t>(GB</w:t>
            </w:r>
            <w:r>
              <w:rPr>
                <w:rFonts w:ascii="Times New Roman" w:hAnsi="Times New Roman" w:eastAsia="Times New Roman" w:cs="Times New Roman"/>
                <w:spacing w:val="-2"/>
              </w:rPr>
              <w:t>/T4754-2017)</w:t>
            </w:r>
            <w:r>
              <w:rPr>
                <w:spacing w:val="-2"/>
              </w:rPr>
              <w:t>及第</w:t>
            </w:r>
            <w:r>
              <w:rPr>
                <w:rFonts w:ascii="Times New Roman" w:hAnsi="Times New Roman" w:eastAsia="Times New Roman" w:cs="Times New Roman"/>
                <w:spacing w:val="-2"/>
              </w:rPr>
              <w:t>1</w:t>
            </w:r>
            <w:r>
              <w:rPr>
                <w:spacing w:val="-2"/>
              </w:rPr>
              <w:t>号修改单，本项</w:t>
            </w:r>
            <w:r>
              <w:t xml:space="preserve"> </w:t>
            </w:r>
            <w:r>
              <w:rPr>
                <w:spacing w:val="-2"/>
              </w:rPr>
              <w:t>目蒸汽加压混凝土砌块和板材产品属于“</w:t>
            </w:r>
            <w:r>
              <w:rPr>
                <w:rFonts w:ascii="Times New Roman" w:hAnsi="Times New Roman" w:eastAsia="Times New Roman" w:cs="Times New Roman"/>
                <w:spacing w:val="-2"/>
              </w:rPr>
              <w:t>C3031</w:t>
            </w:r>
            <w:r>
              <w:rPr>
                <w:spacing w:val="-2"/>
              </w:rPr>
              <w:t>粘土砖瓦及建筑砌块制造</w:t>
            </w:r>
            <w:r>
              <w:rPr>
                <w:spacing w:val="-75"/>
              </w:rPr>
              <w:t xml:space="preserve"> </w:t>
            </w:r>
            <w:r>
              <w:rPr>
                <w:spacing w:val="-2"/>
              </w:rPr>
              <w:t>”类别，</w:t>
            </w:r>
            <w:r>
              <w:t xml:space="preserve"> </w:t>
            </w:r>
            <w:r>
              <w:rPr>
                <w:spacing w:val="-2"/>
              </w:rPr>
              <w:t>干混砂浆系列产品属于“</w:t>
            </w:r>
            <w:r>
              <w:rPr>
                <w:rFonts w:ascii="Times New Roman" w:hAnsi="Times New Roman" w:eastAsia="Times New Roman" w:cs="Times New Roman"/>
                <w:spacing w:val="-2"/>
              </w:rPr>
              <w:t>C3039</w:t>
            </w:r>
            <w:r>
              <w:rPr>
                <w:spacing w:val="-2"/>
              </w:rPr>
              <w:t>其他建筑材料制造业</w:t>
            </w:r>
            <w:r>
              <w:rPr>
                <w:spacing w:val="-75"/>
              </w:rPr>
              <w:t xml:space="preserve"> </w:t>
            </w:r>
            <w:r>
              <w:rPr>
                <w:spacing w:val="-2"/>
              </w:rPr>
              <w:t>”类别。对照《建设项目环境</w:t>
            </w:r>
            <w:r>
              <w:t xml:space="preserve"> </w:t>
            </w:r>
            <w:r>
              <w:rPr>
                <w:spacing w:val="-3"/>
              </w:rPr>
              <w:t>影响评价分类管理名录</w:t>
            </w:r>
            <w:r>
              <w:rPr>
                <w:rFonts w:ascii="Times New Roman" w:hAnsi="Times New Roman" w:eastAsia="Times New Roman" w:cs="Times New Roman"/>
                <w:spacing w:val="-3"/>
              </w:rPr>
              <w:t>(2021</w:t>
            </w:r>
            <w:r>
              <w:rPr>
                <w:spacing w:val="-3"/>
              </w:rPr>
              <w:t>年版</w:t>
            </w:r>
            <w:r>
              <w:rPr>
                <w:rFonts w:ascii="Times New Roman" w:hAnsi="Times New Roman" w:eastAsia="Times New Roman" w:cs="Times New Roman"/>
                <w:spacing w:val="-3"/>
              </w:rPr>
              <w:t>)</w:t>
            </w:r>
            <w:r>
              <w:rPr>
                <w:spacing w:val="-3"/>
              </w:rPr>
              <w:t>》</w:t>
            </w:r>
            <w:r>
              <w:rPr>
                <w:rFonts w:ascii="Times New Roman" w:hAnsi="Times New Roman" w:eastAsia="Times New Roman" w:cs="Times New Roman"/>
                <w:spacing w:val="-3"/>
              </w:rPr>
              <w:t>(</w:t>
            </w:r>
            <w:r>
              <w:rPr>
                <w:spacing w:val="-3"/>
              </w:rPr>
              <w:t>部令第</w:t>
            </w:r>
            <w:r>
              <w:rPr>
                <w:spacing w:val="26"/>
              </w:rPr>
              <w:t xml:space="preserve"> </w:t>
            </w:r>
            <w:r>
              <w:rPr>
                <w:rFonts w:ascii="Times New Roman" w:hAnsi="Times New Roman" w:eastAsia="Times New Roman" w:cs="Times New Roman"/>
                <w:spacing w:val="-3"/>
              </w:rPr>
              <w:t>16</w:t>
            </w:r>
            <w:r>
              <w:rPr>
                <w:spacing w:val="-3"/>
              </w:rPr>
              <w:t>号</w:t>
            </w:r>
            <w:r>
              <w:rPr>
                <w:rFonts w:ascii="Times New Roman" w:hAnsi="Times New Roman" w:eastAsia="Times New Roman" w:cs="Times New Roman"/>
                <w:spacing w:val="-3"/>
              </w:rPr>
              <w:t>)</w:t>
            </w:r>
            <w:r>
              <w:rPr>
                <w:rFonts w:ascii="Times New Roman" w:hAnsi="Times New Roman" w:eastAsia="Times New Roman" w:cs="Times New Roman"/>
                <w:spacing w:val="-30"/>
              </w:rPr>
              <w:t xml:space="preserve"> </w:t>
            </w:r>
            <w:r>
              <w:rPr>
                <w:spacing w:val="-3"/>
              </w:rPr>
              <w:t>，项目应属于“二</w:t>
            </w:r>
            <w:r>
              <w:rPr>
                <w:spacing w:val="-4"/>
              </w:rPr>
              <w:t>十七、非金属</w:t>
            </w:r>
            <w:r>
              <w:t xml:space="preserve"> </w:t>
            </w:r>
            <w:r>
              <w:rPr>
                <w:spacing w:val="-4"/>
              </w:rPr>
              <w:t>矿物制品业</w:t>
            </w:r>
            <w:r>
              <w:rPr>
                <w:spacing w:val="-84"/>
              </w:rPr>
              <w:t xml:space="preserve"> </w:t>
            </w:r>
            <w:r>
              <w:rPr>
                <w:spacing w:val="-4"/>
              </w:rPr>
              <w:t>”中的“56 砖瓦、石材等建筑材料制造303</w:t>
            </w:r>
            <w:r>
              <w:rPr>
                <w:spacing w:val="-83"/>
              </w:rPr>
              <w:t xml:space="preserve"> </w:t>
            </w:r>
            <w:r>
              <w:rPr>
                <w:spacing w:val="-5"/>
              </w:rPr>
              <w:t>”类别，需编制环境环境影</w:t>
            </w:r>
            <w:r>
              <w:t xml:space="preserve"> </w:t>
            </w:r>
            <w:r>
              <w:rPr>
                <w:spacing w:val="-2"/>
              </w:rPr>
              <w:t>响报告表。</w:t>
            </w:r>
          </w:p>
          <w:p w14:paraId="3F512661">
            <w:pPr>
              <w:spacing w:before="43" w:line="222" w:lineRule="auto"/>
              <w:ind w:left="90"/>
              <w:rPr>
                <w:rFonts w:ascii="黑体" w:hAnsi="黑体" w:eastAsia="黑体" w:cs="黑体"/>
                <w:sz w:val="22"/>
                <w:szCs w:val="22"/>
              </w:rPr>
            </w:pPr>
            <w:r>
              <w:rPr>
                <w:rFonts w:ascii="黑体" w:hAnsi="黑体" w:eastAsia="黑体" w:cs="黑体"/>
                <w:spacing w:val="-1"/>
                <w:sz w:val="22"/>
                <w:szCs w:val="22"/>
              </w:rPr>
              <w:t>2、建设内容</w:t>
            </w:r>
          </w:p>
          <w:p w14:paraId="2384E88C">
            <w:pPr>
              <w:pStyle w:val="6"/>
              <w:spacing w:before="133" w:line="332" w:lineRule="auto"/>
              <w:ind w:left="90" w:right="84" w:firstLine="444"/>
            </w:pPr>
            <w:r>
              <w:rPr>
                <w:spacing w:val="-1"/>
              </w:rPr>
              <w:t>项目新增占地面积</w:t>
            </w:r>
            <w:r>
              <w:rPr>
                <w:rFonts w:ascii="Times New Roman" w:hAnsi="Times New Roman" w:eastAsia="Times New Roman" w:cs="Times New Roman"/>
                <w:spacing w:val="-1"/>
              </w:rPr>
              <w:t>26</w:t>
            </w:r>
            <w:r>
              <w:rPr>
                <w:spacing w:val="-1"/>
              </w:rPr>
              <w:t>亩（约</w:t>
            </w:r>
            <w:r>
              <w:rPr>
                <w:rFonts w:ascii="Times New Roman" w:hAnsi="Times New Roman" w:eastAsia="Times New Roman" w:cs="Times New Roman"/>
                <w:spacing w:val="-1"/>
              </w:rPr>
              <w:t>17342m</w:t>
            </w:r>
            <w:r>
              <w:rPr>
                <w:rFonts w:ascii="Times New Roman" w:hAnsi="Times New Roman" w:eastAsia="Times New Roman" w:cs="Times New Roman"/>
                <w:spacing w:val="-1"/>
                <w:position w:val="7"/>
                <w:sz w:val="14"/>
                <w:szCs w:val="14"/>
              </w:rPr>
              <w:t xml:space="preserve">2 </w:t>
            </w:r>
            <w:r>
              <w:rPr>
                <w:spacing w:val="-5"/>
              </w:rPr>
              <w:t>），</w:t>
            </w:r>
            <w:r>
              <w:rPr>
                <w:spacing w:val="-1"/>
              </w:rPr>
              <w:t>建设生产车间</w:t>
            </w:r>
            <w:r>
              <w:rPr>
                <w:rFonts w:ascii="Times New Roman" w:hAnsi="Times New Roman" w:eastAsia="Times New Roman" w:cs="Times New Roman"/>
                <w:spacing w:val="-1"/>
              </w:rPr>
              <w:t>2</w:t>
            </w:r>
            <w:r>
              <w:rPr>
                <w:spacing w:val="-1"/>
              </w:rPr>
              <w:t>栋，</w:t>
            </w:r>
            <w:r>
              <w:rPr>
                <w:rFonts w:ascii="Times New Roman" w:hAnsi="Times New Roman" w:eastAsia="Times New Roman" w:cs="Times New Roman"/>
                <w:spacing w:val="-1"/>
              </w:rPr>
              <w:t>1#</w:t>
            </w:r>
            <w:r>
              <w:rPr>
                <w:spacing w:val="-1"/>
              </w:rPr>
              <w:t>车间建筑面积</w:t>
            </w:r>
            <w:r>
              <w:t xml:space="preserve">  </w:t>
            </w:r>
            <w:r>
              <w:rPr>
                <w:spacing w:val="-1"/>
              </w:rPr>
              <w:t>约</w:t>
            </w:r>
            <w:r>
              <w:rPr>
                <w:rFonts w:ascii="Times New Roman" w:hAnsi="Times New Roman" w:eastAsia="Times New Roman" w:cs="Times New Roman"/>
                <w:spacing w:val="-1"/>
              </w:rPr>
              <w:t>9900m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3"/>
                <w:position w:val="7"/>
                <w:sz w:val="14"/>
                <w:szCs w:val="14"/>
              </w:rPr>
              <w:t xml:space="preserve"> </w:t>
            </w:r>
            <w:r>
              <w:rPr>
                <w:spacing w:val="-1"/>
              </w:rPr>
              <w:t>，作为蒸压加气混凝土砌块和板材生产车间，设蒸压加气混凝土建材生</w:t>
            </w:r>
            <w:r>
              <w:t xml:space="preserve">  产线</w:t>
            </w:r>
            <w:r>
              <w:rPr>
                <w:rFonts w:ascii="Times New Roman" w:hAnsi="Times New Roman" w:eastAsia="Times New Roman" w:cs="Times New Roman"/>
              </w:rPr>
              <w:t>1</w:t>
            </w:r>
            <w:r>
              <w:t>条，包括球磨机、原浆罐、配料罐、浇注设备、蒸养釜</w:t>
            </w:r>
            <w:r>
              <w:rPr>
                <w:spacing w:val="-1"/>
              </w:rPr>
              <w:t>以及带肋钢筋网加工</w:t>
            </w:r>
            <w:r>
              <w:t xml:space="preserve"> </w:t>
            </w:r>
            <w:r>
              <w:rPr>
                <w:spacing w:val="-1"/>
              </w:rPr>
              <w:t>设施等，设计年产蒸压加气混凝土砌块</w:t>
            </w:r>
            <w:r>
              <w:rPr>
                <w:rFonts w:ascii="Times New Roman" w:hAnsi="Times New Roman" w:eastAsia="Times New Roman" w:cs="Times New Roman"/>
                <w:spacing w:val="-1"/>
              </w:rPr>
              <w:t>40</w:t>
            </w:r>
            <w:r>
              <w:rPr>
                <w:spacing w:val="-1"/>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9"/>
                <w:position w:val="7"/>
                <w:sz w:val="14"/>
                <w:szCs w:val="14"/>
              </w:rPr>
              <w:t xml:space="preserve"> </w:t>
            </w:r>
            <w:r>
              <w:rPr>
                <w:spacing w:val="-2"/>
              </w:rPr>
              <w:t>，蒸压加气混凝土板材</w:t>
            </w:r>
            <w:r>
              <w:rPr>
                <w:rFonts w:ascii="Times New Roman" w:hAnsi="Times New Roman" w:eastAsia="Times New Roman" w:cs="Times New Roman"/>
                <w:spacing w:val="-2"/>
              </w:rPr>
              <w:t>20</w:t>
            </w:r>
            <w:r>
              <w:rPr>
                <w:spacing w:val="-2"/>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7"/>
                <w:position w:val="7"/>
                <w:sz w:val="14"/>
                <w:szCs w:val="14"/>
              </w:rPr>
              <w:t xml:space="preserve"> </w:t>
            </w:r>
            <w:r>
              <w:rPr>
                <w:spacing w:val="-2"/>
              </w:rPr>
              <w:t>；</w:t>
            </w:r>
            <w:r>
              <w:rPr>
                <w:rFonts w:ascii="Times New Roman" w:hAnsi="Times New Roman" w:eastAsia="Times New Roman" w:cs="Times New Roman"/>
                <w:spacing w:val="-2"/>
              </w:rPr>
              <w:t>2#</w:t>
            </w:r>
            <w:r>
              <w:rPr>
                <w:rFonts w:ascii="Times New Roman" w:hAnsi="Times New Roman" w:eastAsia="Times New Roman" w:cs="Times New Roman"/>
              </w:rPr>
              <w:t xml:space="preserve">  </w:t>
            </w:r>
            <w:r>
              <w:rPr>
                <w:spacing w:val="-1"/>
              </w:rPr>
              <w:t>车间建筑面积</w:t>
            </w:r>
            <w:r>
              <w:rPr>
                <w:rFonts w:ascii="Times New Roman" w:hAnsi="Times New Roman" w:eastAsia="Times New Roman" w:cs="Times New Roman"/>
                <w:spacing w:val="-1"/>
              </w:rPr>
              <w:t>5000m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7"/>
                <w:position w:val="7"/>
                <w:sz w:val="14"/>
                <w:szCs w:val="14"/>
              </w:rPr>
              <w:t xml:space="preserve"> </w:t>
            </w:r>
            <w:r>
              <w:rPr>
                <w:spacing w:val="-1"/>
              </w:rPr>
              <w:t>，作为干混砂浆生产车间，设</w:t>
            </w:r>
            <w:r>
              <w:rPr>
                <w:spacing w:val="-2"/>
              </w:rPr>
              <w:t>干混砂浆生产线</w:t>
            </w:r>
            <w:r>
              <w:rPr>
                <w:rFonts w:ascii="Times New Roman" w:hAnsi="Times New Roman" w:eastAsia="Times New Roman" w:cs="Times New Roman"/>
                <w:spacing w:val="-2"/>
              </w:rPr>
              <w:t>2</w:t>
            </w:r>
            <w:r>
              <w:rPr>
                <w:spacing w:val="-2"/>
              </w:rPr>
              <w:t>条（普通砂浆</w:t>
            </w:r>
            <w:r>
              <w:t xml:space="preserve"> </w:t>
            </w:r>
            <w:r>
              <w:rPr>
                <w:spacing w:val="-2"/>
              </w:rPr>
              <w:t>和特种砂浆</w:t>
            </w:r>
            <w:r>
              <w:rPr>
                <w:spacing w:val="-16"/>
              </w:rPr>
              <w:t>），</w:t>
            </w:r>
            <w:r>
              <w:rPr>
                <w:spacing w:val="-2"/>
              </w:rPr>
              <w:t>包括球磨机、筛分机、搅拌机、</w:t>
            </w:r>
            <w:r>
              <w:rPr>
                <w:spacing w:val="-3"/>
              </w:rPr>
              <w:t>三回程筒式烘干装置、小料投料装</w:t>
            </w:r>
            <w:r>
              <w:rPr>
                <w:spacing w:val="1"/>
              </w:rPr>
              <w:t xml:space="preserve"> </w:t>
            </w:r>
            <w:r>
              <w:rPr>
                <w:spacing w:val="-1"/>
              </w:rPr>
              <w:t>置以及粉料筒仓等，设计年产干混砂浆系统产品</w:t>
            </w:r>
            <w:r>
              <w:rPr>
                <w:rFonts w:ascii="Times New Roman" w:hAnsi="Times New Roman" w:eastAsia="Times New Roman" w:cs="Times New Roman"/>
                <w:spacing w:val="-1"/>
              </w:rPr>
              <w:t>20</w:t>
            </w:r>
            <w:r>
              <w:rPr>
                <w:spacing w:val="-1"/>
              </w:rPr>
              <w:t>万吨。</w:t>
            </w:r>
          </w:p>
          <w:p w14:paraId="0CD4270F">
            <w:pPr>
              <w:pStyle w:val="6"/>
              <w:spacing w:before="30" w:line="323" w:lineRule="auto"/>
              <w:ind w:left="92" w:right="6" w:firstLine="441"/>
            </w:pPr>
            <w:r>
              <w:rPr>
                <w:spacing w:val="-2"/>
              </w:rPr>
              <w:t>项目配套</w:t>
            </w:r>
            <w:r>
              <w:rPr>
                <w:rFonts w:hint="eastAsia"/>
                <w:spacing w:val="-2"/>
              </w:rPr>
              <w:t>建设用地</w:t>
            </w:r>
            <w:r>
              <w:rPr>
                <w:spacing w:val="-2"/>
              </w:rPr>
              <w:t>下式原料堆场，占地面积约</w:t>
            </w:r>
            <w:r>
              <w:rPr>
                <w:rFonts w:ascii="Times New Roman" w:hAnsi="Times New Roman" w:eastAsia="Times New Roman" w:cs="Times New Roman"/>
                <w:spacing w:val="-2"/>
              </w:rPr>
              <w:t>35</w:t>
            </w:r>
            <w:r>
              <w:rPr>
                <w:rFonts w:ascii="Times New Roman" w:hAnsi="Times New Roman" w:eastAsia="Times New Roman" w:cs="Times New Roman"/>
                <w:spacing w:val="-3"/>
              </w:rPr>
              <w:t>00m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8"/>
                <w:position w:val="7"/>
                <w:sz w:val="14"/>
                <w:szCs w:val="14"/>
              </w:rPr>
              <w:t xml:space="preserve"> </w:t>
            </w:r>
            <w:r>
              <w:rPr>
                <w:spacing w:val="-3"/>
              </w:rPr>
              <w:t>，配套有原料转运铲车、</w:t>
            </w:r>
            <w:r>
              <w:t xml:space="preserve"> </w:t>
            </w:r>
            <w:r>
              <w:rPr>
                <w:spacing w:val="-1"/>
              </w:rPr>
              <w:t>颚破机及筛分机、上料料斗及封闭式输送皮带。</w:t>
            </w:r>
          </w:p>
          <w:p w14:paraId="6C5AA395">
            <w:pPr>
              <w:pStyle w:val="6"/>
              <w:spacing w:before="33" w:line="220" w:lineRule="auto"/>
              <w:ind w:left="534"/>
            </w:pPr>
            <w:r>
              <w:rPr>
                <w:spacing w:val="-1"/>
              </w:rPr>
              <w:t>项目组成和可能产生的环境问题见下表。</w:t>
            </w:r>
          </w:p>
        </w:tc>
      </w:tr>
    </w:tbl>
    <w:p w14:paraId="50882A6E">
      <w:pPr>
        <w:pStyle w:val="2"/>
      </w:pPr>
    </w:p>
    <w:p w14:paraId="74B7D90F">
      <w:pPr>
        <w:sectPr>
          <w:footerReference r:id="rId31" w:type="default"/>
          <w:pgSz w:w="11906" w:h="16839"/>
          <w:pgMar w:top="1431" w:right="1532" w:bottom="1260" w:left="1533" w:header="0" w:footer="1080" w:gutter="0"/>
          <w:cols w:space="720" w:num="1"/>
        </w:sectPr>
      </w:pPr>
    </w:p>
    <w:p w14:paraId="015612AE">
      <w:pPr>
        <w:spacing w:before="28"/>
      </w:pPr>
    </w:p>
    <w:tbl>
      <w:tblPr>
        <w:tblStyle w:val="5"/>
        <w:tblW w:w="8823" w:type="dxa"/>
        <w:tblInd w:w="7"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23"/>
      </w:tblGrid>
      <w:tr w14:paraId="656EEEDF">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127" w:hRule="atLeast"/>
        </w:trPr>
        <w:tc>
          <w:tcPr>
            <w:tcW w:w="8823" w:type="dxa"/>
            <w:vAlign w:val="top"/>
          </w:tcPr>
          <w:p w14:paraId="115C9F0E">
            <w:pPr>
              <w:spacing w:line="43" w:lineRule="auto"/>
              <w:rPr>
                <w:rFonts w:ascii="Arial"/>
                <w:sz w:val="2"/>
              </w:rPr>
            </w:pPr>
            <w:r>
              <w:drawing>
                <wp:anchor distT="0" distB="0" distL="0" distR="0" simplePos="0" relativeHeight="251681792" behindDoc="0" locked="0" layoutInCell="1" allowOverlap="1">
                  <wp:simplePos x="0" y="0"/>
                  <wp:positionH relativeFrom="rightMargin">
                    <wp:posOffset>-4977765</wp:posOffset>
                  </wp:positionH>
                  <wp:positionV relativeFrom="topMargin">
                    <wp:posOffset>257175</wp:posOffset>
                  </wp:positionV>
                  <wp:extent cx="6350" cy="807783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2"/>
                          <a:stretch>
                            <a:fillRect/>
                          </a:stretch>
                        </pic:blipFill>
                        <pic:spPr>
                          <a:xfrm>
                            <a:off x="0" y="0"/>
                            <a:ext cx="6350" cy="8077834"/>
                          </a:xfrm>
                          <a:prstGeom prst="rect">
                            <a:avLst/>
                          </a:prstGeom>
                        </pic:spPr>
                      </pic:pic>
                    </a:graphicData>
                  </a:graphic>
                </wp:anchor>
              </w:drawing>
            </w:r>
          </w:p>
          <w:tbl>
            <w:tblPr>
              <w:tblStyle w:val="5"/>
              <w:tblW w:w="7843" w:type="dxa"/>
              <w:tblInd w:w="8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3850"/>
              <w:gridCol w:w="983"/>
              <w:gridCol w:w="1238"/>
              <w:gridCol w:w="740"/>
            </w:tblGrid>
            <w:tr w14:paraId="6A757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43" w:type="dxa"/>
                  <w:gridSpan w:val="5"/>
                  <w:tcBorders>
                    <w:top w:val="nil"/>
                    <w:right w:val="nil"/>
                  </w:tcBorders>
                  <w:vAlign w:val="top"/>
                </w:tcPr>
                <w:p w14:paraId="03A7A636">
                  <w:pPr>
                    <w:spacing w:before="166" w:line="221" w:lineRule="auto"/>
                    <w:ind w:left="2448"/>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2-1    </w:t>
                  </w:r>
                  <w:r>
                    <w:rPr>
                      <w:rFonts w:ascii="黑体" w:hAnsi="黑体" w:eastAsia="黑体" w:cs="黑体"/>
                      <w:spacing w:val="-1"/>
                      <w:sz w:val="18"/>
                      <w:szCs w:val="18"/>
                    </w:rPr>
                    <w:t>项目组成及可能产生的主要环境问题</w:t>
                  </w:r>
                </w:p>
              </w:tc>
            </w:tr>
            <w:tr w14:paraId="7D1C6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032" w:type="dxa"/>
                  <w:vMerge w:val="restart"/>
                  <w:tcBorders>
                    <w:bottom w:val="nil"/>
                  </w:tcBorders>
                  <w:vAlign w:val="top"/>
                </w:tcPr>
                <w:p w14:paraId="6FE221B6">
                  <w:pPr>
                    <w:pStyle w:val="6"/>
                    <w:spacing w:before="216" w:line="221" w:lineRule="auto"/>
                    <w:ind w:left="419"/>
                    <w:rPr>
                      <w:sz w:val="18"/>
                      <w:szCs w:val="18"/>
                    </w:rPr>
                  </w:pPr>
                  <w:r>
                    <w:rPr>
                      <w:b/>
                      <w:bCs/>
                      <w:spacing w:val="-7"/>
                      <w:sz w:val="18"/>
                      <w:szCs w:val="18"/>
                    </w:rPr>
                    <w:t>名称</w:t>
                  </w:r>
                </w:p>
              </w:tc>
              <w:tc>
                <w:tcPr>
                  <w:tcW w:w="3850" w:type="dxa"/>
                  <w:vMerge w:val="restart"/>
                  <w:tcBorders>
                    <w:bottom w:val="nil"/>
                  </w:tcBorders>
                  <w:vAlign w:val="top"/>
                </w:tcPr>
                <w:p w14:paraId="7A50281D">
                  <w:pPr>
                    <w:pStyle w:val="6"/>
                    <w:spacing w:before="216" w:line="219" w:lineRule="auto"/>
                    <w:ind w:left="1298"/>
                    <w:rPr>
                      <w:sz w:val="18"/>
                      <w:szCs w:val="18"/>
                    </w:rPr>
                  </w:pPr>
                  <w:r>
                    <w:rPr>
                      <w:b/>
                      <w:bCs/>
                      <w:spacing w:val="-3"/>
                      <w:sz w:val="18"/>
                      <w:szCs w:val="18"/>
                    </w:rPr>
                    <w:t>建设内容及规模</w:t>
                  </w:r>
                </w:p>
              </w:tc>
              <w:tc>
                <w:tcPr>
                  <w:tcW w:w="2221" w:type="dxa"/>
                  <w:gridSpan w:val="2"/>
                  <w:vAlign w:val="top"/>
                </w:tcPr>
                <w:p w14:paraId="765282C8">
                  <w:pPr>
                    <w:pStyle w:val="6"/>
                    <w:spacing w:before="70" w:line="210" w:lineRule="auto"/>
                    <w:ind w:left="123"/>
                    <w:rPr>
                      <w:sz w:val="18"/>
                      <w:szCs w:val="18"/>
                    </w:rPr>
                  </w:pPr>
                  <w:r>
                    <w:rPr>
                      <w:b/>
                      <w:bCs/>
                      <w:spacing w:val="-3"/>
                      <w:sz w:val="18"/>
                      <w:szCs w:val="18"/>
                    </w:rPr>
                    <w:t>可能产生的主要环境问题</w:t>
                  </w:r>
                </w:p>
              </w:tc>
              <w:tc>
                <w:tcPr>
                  <w:tcW w:w="740" w:type="dxa"/>
                  <w:vMerge w:val="restart"/>
                  <w:tcBorders>
                    <w:bottom w:val="nil"/>
                  </w:tcBorders>
                  <w:vAlign w:val="top"/>
                </w:tcPr>
                <w:p w14:paraId="55E5F0B3">
                  <w:pPr>
                    <w:pStyle w:val="6"/>
                    <w:spacing w:before="216" w:line="221" w:lineRule="auto"/>
                    <w:ind w:left="195"/>
                    <w:rPr>
                      <w:sz w:val="18"/>
                      <w:szCs w:val="18"/>
                    </w:rPr>
                  </w:pPr>
                  <w:r>
                    <w:rPr>
                      <w:b/>
                      <w:bCs/>
                      <w:spacing w:val="-7"/>
                      <w:sz w:val="18"/>
                      <w:szCs w:val="18"/>
                    </w:rPr>
                    <w:t>备注</w:t>
                  </w:r>
                </w:p>
              </w:tc>
            </w:tr>
            <w:tr w14:paraId="611DD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032" w:type="dxa"/>
                  <w:vMerge w:val="continue"/>
                  <w:tcBorders>
                    <w:top w:val="nil"/>
                  </w:tcBorders>
                  <w:vAlign w:val="top"/>
                </w:tcPr>
                <w:p w14:paraId="1D92FAD2">
                  <w:pPr>
                    <w:rPr>
                      <w:rFonts w:ascii="Arial"/>
                      <w:sz w:val="21"/>
                    </w:rPr>
                  </w:pPr>
                </w:p>
              </w:tc>
              <w:tc>
                <w:tcPr>
                  <w:tcW w:w="3850" w:type="dxa"/>
                  <w:vMerge w:val="continue"/>
                  <w:tcBorders>
                    <w:top w:val="nil"/>
                  </w:tcBorders>
                  <w:vAlign w:val="top"/>
                </w:tcPr>
                <w:p w14:paraId="6D088052">
                  <w:pPr>
                    <w:rPr>
                      <w:rFonts w:ascii="Arial"/>
                      <w:sz w:val="21"/>
                    </w:rPr>
                  </w:pPr>
                </w:p>
              </w:tc>
              <w:tc>
                <w:tcPr>
                  <w:tcW w:w="983" w:type="dxa"/>
                  <w:vAlign w:val="top"/>
                </w:tcPr>
                <w:p w14:paraId="5A6FC7BE">
                  <w:pPr>
                    <w:pStyle w:val="6"/>
                    <w:spacing w:before="70" w:line="210" w:lineRule="auto"/>
                    <w:ind w:left="224"/>
                    <w:rPr>
                      <w:sz w:val="18"/>
                      <w:szCs w:val="18"/>
                    </w:rPr>
                  </w:pPr>
                  <w:r>
                    <w:rPr>
                      <w:b/>
                      <w:bCs/>
                      <w:spacing w:val="-4"/>
                      <w:sz w:val="18"/>
                      <w:szCs w:val="18"/>
                    </w:rPr>
                    <w:t>施工期</w:t>
                  </w:r>
                </w:p>
              </w:tc>
              <w:tc>
                <w:tcPr>
                  <w:tcW w:w="1238" w:type="dxa"/>
                  <w:vAlign w:val="top"/>
                </w:tcPr>
                <w:p w14:paraId="5D945453">
                  <w:pPr>
                    <w:pStyle w:val="6"/>
                    <w:spacing w:before="70" w:line="210" w:lineRule="auto"/>
                    <w:ind w:left="358"/>
                    <w:rPr>
                      <w:sz w:val="18"/>
                      <w:szCs w:val="18"/>
                    </w:rPr>
                  </w:pPr>
                  <w:r>
                    <w:rPr>
                      <w:b/>
                      <w:bCs/>
                      <w:spacing w:val="-6"/>
                      <w:sz w:val="18"/>
                      <w:szCs w:val="18"/>
                    </w:rPr>
                    <w:t>营运期</w:t>
                  </w:r>
                </w:p>
              </w:tc>
              <w:tc>
                <w:tcPr>
                  <w:tcW w:w="740" w:type="dxa"/>
                  <w:vMerge w:val="continue"/>
                  <w:tcBorders>
                    <w:top w:val="nil"/>
                  </w:tcBorders>
                  <w:vAlign w:val="top"/>
                </w:tcPr>
                <w:p w14:paraId="7B595A5B">
                  <w:pPr>
                    <w:rPr>
                      <w:rFonts w:ascii="Arial"/>
                      <w:sz w:val="21"/>
                    </w:rPr>
                  </w:pPr>
                </w:p>
              </w:tc>
            </w:tr>
            <w:tr w14:paraId="45342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1032" w:type="dxa"/>
                  <w:vMerge w:val="restart"/>
                  <w:tcBorders>
                    <w:bottom w:val="nil"/>
                  </w:tcBorders>
                  <w:vAlign w:val="top"/>
                </w:tcPr>
                <w:p w14:paraId="7110682F">
                  <w:pPr>
                    <w:spacing w:line="257" w:lineRule="auto"/>
                    <w:rPr>
                      <w:rFonts w:ascii="Arial"/>
                      <w:sz w:val="21"/>
                    </w:rPr>
                  </w:pPr>
                </w:p>
                <w:p w14:paraId="77A6F6FA">
                  <w:pPr>
                    <w:spacing w:line="257" w:lineRule="auto"/>
                    <w:rPr>
                      <w:rFonts w:ascii="Arial"/>
                      <w:sz w:val="21"/>
                    </w:rPr>
                  </w:pPr>
                </w:p>
                <w:p w14:paraId="0087E672">
                  <w:pPr>
                    <w:spacing w:line="257" w:lineRule="auto"/>
                    <w:rPr>
                      <w:rFonts w:ascii="Arial"/>
                      <w:sz w:val="21"/>
                    </w:rPr>
                  </w:pPr>
                </w:p>
                <w:p w14:paraId="48C079D8">
                  <w:pPr>
                    <w:spacing w:line="257" w:lineRule="auto"/>
                    <w:rPr>
                      <w:rFonts w:ascii="Arial"/>
                      <w:sz w:val="21"/>
                    </w:rPr>
                  </w:pPr>
                </w:p>
                <w:p w14:paraId="6D36272F">
                  <w:pPr>
                    <w:spacing w:line="258" w:lineRule="auto"/>
                    <w:rPr>
                      <w:rFonts w:ascii="Arial"/>
                      <w:sz w:val="21"/>
                    </w:rPr>
                  </w:pPr>
                </w:p>
                <w:p w14:paraId="1FCD4B81">
                  <w:pPr>
                    <w:spacing w:line="258" w:lineRule="auto"/>
                    <w:rPr>
                      <w:rFonts w:ascii="Arial"/>
                      <w:sz w:val="21"/>
                    </w:rPr>
                  </w:pPr>
                </w:p>
                <w:p w14:paraId="487C3C50">
                  <w:pPr>
                    <w:spacing w:line="258" w:lineRule="auto"/>
                    <w:rPr>
                      <w:rFonts w:ascii="Arial"/>
                      <w:sz w:val="21"/>
                    </w:rPr>
                  </w:pPr>
                </w:p>
                <w:p w14:paraId="4627B67E">
                  <w:pPr>
                    <w:spacing w:line="258" w:lineRule="auto"/>
                    <w:rPr>
                      <w:rFonts w:ascii="Arial"/>
                      <w:sz w:val="21"/>
                    </w:rPr>
                  </w:pPr>
                </w:p>
                <w:p w14:paraId="761FD6C3">
                  <w:pPr>
                    <w:spacing w:line="258" w:lineRule="auto"/>
                    <w:rPr>
                      <w:rFonts w:ascii="Arial"/>
                      <w:sz w:val="21"/>
                    </w:rPr>
                  </w:pPr>
                </w:p>
                <w:p w14:paraId="2FB4BB7C">
                  <w:pPr>
                    <w:spacing w:line="258" w:lineRule="auto"/>
                    <w:rPr>
                      <w:rFonts w:ascii="Arial"/>
                      <w:sz w:val="21"/>
                    </w:rPr>
                  </w:pPr>
                </w:p>
                <w:p w14:paraId="5A11404A">
                  <w:pPr>
                    <w:spacing w:line="258" w:lineRule="auto"/>
                    <w:rPr>
                      <w:rFonts w:ascii="Arial"/>
                      <w:sz w:val="21"/>
                    </w:rPr>
                  </w:pPr>
                </w:p>
                <w:p w14:paraId="13239F42">
                  <w:pPr>
                    <w:spacing w:line="258" w:lineRule="auto"/>
                    <w:rPr>
                      <w:rFonts w:ascii="Arial"/>
                      <w:sz w:val="21"/>
                    </w:rPr>
                  </w:pPr>
                </w:p>
                <w:p w14:paraId="4C3FCD6B">
                  <w:pPr>
                    <w:pStyle w:val="6"/>
                    <w:spacing w:before="58" w:line="272" w:lineRule="auto"/>
                    <w:ind w:left="419" w:right="256"/>
                    <w:rPr>
                      <w:sz w:val="18"/>
                      <w:szCs w:val="18"/>
                    </w:rPr>
                  </w:pPr>
                  <w:r>
                    <w:rPr>
                      <w:spacing w:val="-5"/>
                      <w:sz w:val="18"/>
                      <w:szCs w:val="18"/>
                    </w:rPr>
                    <w:t>主体</w:t>
                  </w:r>
                  <w:r>
                    <w:rPr>
                      <w:sz w:val="18"/>
                      <w:szCs w:val="18"/>
                    </w:rPr>
                    <w:t xml:space="preserve"> </w:t>
                  </w:r>
                  <w:r>
                    <w:rPr>
                      <w:spacing w:val="-5"/>
                      <w:sz w:val="18"/>
                      <w:szCs w:val="18"/>
                    </w:rPr>
                    <w:t>工程</w:t>
                  </w:r>
                </w:p>
              </w:tc>
              <w:tc>
                <w:tcPr>
                  <w:tcW w:w="3850" w:type="dxa"/>
                  <w:vAlign w:val="top"/>
                </w:tcPr>
                <w:p w14:paraId="097212F2">
                  <w:pPr>
                    <w:pStyle w:val="6"/>
                    <w:spacing w:before="69" w:line="276" w:lineRule="auto"/>
                    <w:ind w:left="69" w:right="62" w:firstLine="14"/>
                    <w:jc w:val="both"/>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1#</w:t>
                  </w:r>
                  <w:r>
                    <w:rPr>
                      <w:spacing w:val="-4"/>
                      <w:sz w:val="18"/>
                      <w:szCs w:val="18"/>
                    </w:rPr>
                    <w:t>生产车间：作为蒸压加气混凝土砌块和板材生</w:t>
                  </w:r>
                  <w:r>
                    <w:rPr>
                      <w:spacing w:val="5"/>
                      <w:sz w:val="18"/>
                      <w:szCs w:val="18"/>
                    </w:rPr>
                    <w:t xml:space="preserve"> </w:t>
                  </w:r>
                  <w:r>
                    <w:rPr>
                      <w:spacing w:val="-2"/>
                      <w:sz w:val="18"/>
                      <w:szCs w:val="18"/>
                    </w:rPr>
                    <w:t>产车间，建筑面积约</w:t>
                  </w:r>
                  <w:r>
                    <w:rPr>
                      <w:spacing w:val="-27"/>
                      <w:sz w:val="18"/>
                      <w:szCs w:val="18"/>
                    </w:rPr>
                    <w:t xml:space="preserve"> </w:t>
                  </w:r>
                  <w:r>
                    <w:rPr>
                      <w:rFonts w:ascii="Times New Roman" w:hAnsi="Times New Roman" w:eastAsia="Times New Roman" w:cs="Times New Roman"/>
                      <w:spacing w:val="-2"/>
                      <w:sz w:val="18"/>
                      <w:szCs w:val="18"/>
                    </w:rPr>
                    <w:t>9900m</w:t>
                  </w:r>
                  <w:r>
                    <w:rPr>
                      <w:rFonts w:ascii="Times New Roman" w:hAnsi="Times New Roman" w:eastAsia="Times New Roman" w:cs="Times New Roman"/>
                      <w:spacing w:val="-2"/>
                      <w:position w:val="6"/>
                      <w:sz w:val="11"/>
                      <w:szCs w:val="11"/>
                    </w:rPr>
                    <w:t>2</w:t>
                  </w:r>
                  <w:r>
                    <w:rPr>
                      <w:rFonts w:ascii="Times New Roman" w:hAnsi="Times New Roman" w:eastAsia="Times New Roman" w:cs="Times New Roman"/>
                      <w:spacing w:val="-6"/>
                      <w:position w:val="6"/>
                      <w:sz w:val="11"/>
                      <w:szCs w:val="11"/>
                    </w:rPr>
                    <w:t xml:space="preserve"> </w:t>
                  </w:r>
                  <w:r>
                    <w:rPr>
                      <w:spacing w:val="-2"/>
                      <w:sz w:val="18"/>
                      <w:szCs w:val="18"/>
                    </w:rPr>
                    <w:t>，设蒸压加气混凝</w:t>
                  </w:r>
                  <w:r>
                    <w:rPr>
                      <w:sz w:val="18"/>
                      <w:szCs w:val="18"/>
                    </w:rPr>
                    <w:t xml:space="preserve"> </w:t>
                  </w:r>
                  <w:r>
                    <w:rPr>
                      <w:spacing w:val="-5"/>
                      <w:sz w:val="18"/>
                      <w:szCs w:val="18"/>
                    </w:rPr>
                    <w:t>土建材生产线</w:t>
                  </w:r>
                  <w:r>
                    <w:rPr>
                      <w:spacing w:val="-19"/>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0"/>
                      <w:sz w:val="18"/>
                      <w:szCs w:val="18"/>
                    </w:rPr>
                    <w:t xml:space="preserve"> </w:t>
                  </w:r>
                  <w:r>
                    <w:rPr>
                      <w:spacing w:val="-5"/>
                      <w:sz w:val="18"/>
                      <w:szCs w:val="18"/>
                    </w:rPr>
                    <w:t>条，包括球磨机、原浆罐、配料</w:t>
                  </w:r>
                  <w:r>
                    <w:rPr>
                      <w:sz w:val="18"/>
                      <w:szCs w:val="18"/>
                    </w:rPr>
                    <w:t xml:space="preserve"> </w:t>
                  </w:r>
                  <w:r>
                    <w:rPr>
                      <w:spacing w:val="-4"/>
                      <w:sz w:val="18"/>
                      <w:szCs w:val="18"/>
                    </w:rPr>
                    <w:t>罐、浇注设备、初养道、蒸养釜以及带肋钢筋网</w:t>
                  </w:r>
                  <w:r>
                    <w:rPr>
                      <w:spacing w:val="15"/>
                      <w:sz w:val="18"/>
                      <w:szCs w:val="18"/>
                    </w:rPr>
                    <w:t xml:space="preserve"> </w:t>
                  </w:r>
                  <w:r>
                    <w:rPr>
                      <w:spacing w:val="-4"/>
                      <w:sz w:val="18"/>
                      <w:szCs w:val="18"/>
                    </w:rPr>
                    <w:t>加工设施（包括切割、焊接和浸漆防腐）等，设</w:t>
                  </w:r>
                  <w:r>
                    <w:rPr>
                      <w:spacing w:val="15"/>
                      <w:sz w:val="18"/>
                      <w:szCs w:val="18"/>
                    </w:rPr>
                    <w:t xml:space="preserve"> </w:t>
                  </w:r>
                  <w:r>
                    <w:rPr>
                      <w:spacing w:val="-3"/>
                      <w:sz w:val="18"/>
                      <w:szCs w:val="18"/>
                    </w:rPr>
                    <w:t>计年产蒸压加气混凝土砌块</w:t>
                  </w:r>
                  <w:r>
                    <w:rPr>
                      <w:spacing w:val="-30"/>
                      <w:sz w:val="18"/>
                      <w:szCs w:val="18"/>
                    </w:rPr>
                    <w:t xml:space="preserve"> </w:t>
                  </w:r>
                  <w:r>
                    <w:rPr>
                      <w:rFonts w:ascii="Times New Roman" w:hAnsi="Times New Roman" w:eastAsia="Times New Roman" w:cs="Times New Roman"/>
                      <w:spacing w:val="-3"/>
                      <w:sz w:val="18"/>
                      <w:szCs w:val="18"/>
                    </w:rPr>
                    <w:t>40</w:t>
                  </w:r>
                  <w:r>
                    <w:rPr>
                      <w:rFonts w:ascii="Times New Roman" w:hAnsi="Times New Roman" w:eastAsia="Times New Roman" w:cs="Times New Roman"/>
                      <w:spacing w:val="10"/>
                      <w:sz w:val="18"/>
                      <w:szCs w:val="18"/>
                    </w:rPr>
                    <w:t xml:space="preserve"> </w:t>
                  </w:r>
                  <w:r>
                    <w:rPr>
                      <w:spacing w:val="-3"/>
                      <w:sz w:val="18"/>
                      <w:szCs w:val="18"/>
                    </w:rPr>
                    <w:t>万</w:t>
                  </w:r>
                  <w:r>
                    <w:rPr>
                      <w:spacing w:val="-43"/>
                      <w:sz w:val="18"/>
                      <w:szCs w:val="18"/>
                    </w:rPr>
                    <w:t xml:space="preserve"> </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r>
                    <w:rPr>
                      <w:spacing w:val="-3"/>
                      <w:sz w:val="18"/>
                      <w:szCs w:val="18"/>
                    </w:rPr>
                    <w:t>，蒸压加气</w:t>
                  </w:r>
                  <w:r>
                    <w:rPr>
                      <w:sz w:val="18"/>
                      <w:szCs w:val="18"/>
                    </w:rPr>
                    <w:t xml:space="preserve"> </w:t>
                  </w:r>
                  <w:r>
                    <w:rPr>
                      <w:spacing w:val="-1"/>
                      <w:sz w:val="18"/>
                      <w:szCs w:val="18"/>
                    </w:rPr>
                    <w:t>混凝土板材</w:t>
                  </w:r>
                  <w:r>
                    <w:rPr>
                      <w:spacing w:val="-43"/>
                      <w:sz w:val="18"/>
                      <w:szCs w:val="18"/>
                    </w:rPr>
                    <w:t xml:space="preserve"> </w:t>
                  </w:r>
                  <w:r>
                    <w:rPr>
                      <w:rFonts w:ascii="Times New Roman" w:hAnsi="Times New Roman" w:eastAsia="Times New Roman" w:cs="Times New Roman"/>
                      <w:spacing w:val="-1"/>
                      <w:sz w:val="18"/>
                      <w:szCs w:val="18"/>
                    </w:rPr>
                    <w:t xml:space="preserve">20 </w:t>
                  </w:r>
                  <w:r>
                    <w:rPr>
                      <w:spacing w:val="-1"/>
                      <w:sz w:val="18"/>
                      <w:szCs w:val="18"/>
                    </w:rPr>
                    <w:t>万</w:t>
                  </w:r>
                  <w:r>
                    <w:rPr>
                      <w:spacing w:val="-43"/>
                      <w:sz w:val="18"/>
                      <w:szCs w:val="18"/>
                    </w:rPr>
                    <w:t xml:space="preserve"> </w:t>
                  </w: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6"/>
                      <w:sz w:val="11"/>
                      <w:szCs w:val="11"/>
                    </w:rPr>
                    <w:t>3</w:t>
                  </w:r>
                </w:p>
              </w:tc>
              <w:tc>
                <w:tcPr>
                  <w:tcW w:w="983" w:type="dxa"/>
                  <w:vMerge w:val="restart"/>
                  <w:tcBorders>
                    <w:bottom w:val="nil"/>
                  </w:tcBorders>
                  <w:vAlign w:val="top"/>
                </w:tcPr>
                <w:p w14:paraId="3DC9B82B">
                  <w:pPr>
                    <w:spacing w:line="242" w:lineRule="auto"/>
                    <w:rPr>
                      <w:rFonts w:ascii="Arial"/>
                      <w:sz w:val="21"/>
                    </w:rPr>
                  </w:pPr>
                </w:p>
                <w:p w14:paraId="15CA4D65">
                  <w:pPr>
                    <w:spacing w:line="242" w:lineRule="auto"/>
                    <w:rPr>
                      <w:rFonts w:ascii="Arial"/>
                      <w:sz w:val="21"/>
                    </w:rPr>
                  </w:pPr>
                </w:p>
                <w:p w14:paraId="223E0E50">
                  <w:pPr>
                    <w:spacing w:line="242" w:lineRule="auto"/>
                    <w:rPr>
                      <w:rFonts w:ascii="Arial"/>
                      <w:sz w:val="21"/>
                    </w:rPr>
                  </w:pPr>
                </w:p>
                <w:p w14:paraId="20E03B8D">
                  <w:pPr>
                    <w:spacing w:line="242" w:lineRule="auto"/>
                    <w:rPr>
                      <w:rFonts w:ascii="Arial"/>
                      <w:sz w:val="21"/>
                    </w:rPr>
                  </w:pPr>
                </w:p>
                <w:p w14:paraId="53D7D257">
                  <w:pPr>
                    <w:spacing w:line="242" w:lineRule="auto"/>
                    <w:rPr>
                      <w:rFonts w:ascii="Arial"/>
                      <w:sz w:val="21"/>
                    </w:rPr>
                  </w:pPr>
                </w:p>
                <w:p w14:paraId="3AD94F08">
                  <w:pPr>
                    <w:spacing w:line="242" w:lineRule="auto"/>
                    <w:rPr>
                      <w:rFonts w:ascii="Arial"/>
                      <w:sz w:val="21"/>
                    </w:rPr>
                  </w:pPr>
                </w:p>
                <w:p w14:paraId="4AA627F5">
                  <w:pPr>
                    <w:spacing w:line="242" w:lineRule="auto"/>
                    <w:rPr>
                      <w:rFonts w:ascii="Arial"/>
                      <w:sz w:val="21"/>
                    </w:rPr>
                  </w:pPr>
                </w:p>
                <w:p w14:paraId="3E0B32E0">
                  <w:pPr>
                    <w:spacing w:line="242" w:lineRule="auto"/>
                    <w:rPr>
                      <w:rFonts w:ascii="Arial"/>
                      <w:sz w:val="21"/>
                    </w:rPr>
                  </w:pPr>
                </w:p>
                <w:p w14:paraId="74E577FB">
                  <w:pPr>
                    <w:spacing w:line="243" w:lineRule="auto"/>
                    <w:rPr>
                      <w:rFonts w:ascii="Arial"/>
                      <w:sz w:val="21"/>
                    </w:rPr>
                  </w:pPr>
                </w:p>
                <w:p w14:paraId="13794FEA">
                  <w:pPr>
                    <w:spacing w:line="243" w:lineRule="auto"/>
                    <w:rPr>
                      <w:rFonts w:ascii="Arial"/>
                      <w:sz w:val="21"/>
                    </w:rPr>
                  </w:pPr>
                </w:p>
                <w:p w14:paraId="0B72E36D">
                  <w:pPr>
                    <w:spacing w:line="243" w:lineRule="auto"/>
                    <w:rPr>
                      <w:rFonts w:ascii="Arial"/>
                      <w:sz w:val="21"/>
                    </w:rPr>
                  </w:pPr>
                </w:p>
                <w:p w14:paraId="4FD0B17D">
                  <w:pPr>
                    <w:spacing w:line="243" w:lineRule="auto"/>
                    <w:rPr>
                      <w:rFonts w:ascii="Arial"/>
                      <w:sz w:val="21"/>
                    </w:rPr>
                  </w:pPr>
                </w:p>
                <w:p w14:paraId="6CEB4E6B">
                  <w:pPr>
                    <w:spacing w:line="243" w:lineRule="auto"/>
                    <w:rPr>
                      <w:rFonts w:ascii="Arial"/>
                      <w:sz w:val="21"/>
                    </w:rPr>
                  </w:pPr>
                </w:p>
                <w:p w14:paraId="04D807CE">
                  <w:pPr>
                    <w:spacing w:line="243" w:lineRule="auto"/>
                    <w:rPr>
                      <w:rFonts w:ascii="Arial"/>
                      <w:sz w:val="21"/>
                    </w:rPr>
                  </w:pPr>
                </w:p>
                <w:p w14:paraId="567AA4E7">
                  <w:pPr>
                    <w:spacing w:line="243" w:lineRule="auto"/>
                    <w:rPr>
                      <w:rFonts w:ascii="Arial"/>
                      <w:sz w:val="21"/>
                    </w:rPr>
                  </w:pPr>
                </w:p>
                <w:p w14:paraId="12B44A1F">
                  <w:pPr>
                    <w:spacing w:line="243" w:lineRule="auto"/>
                    <w:rPr>
                      <w:rFonts w:ascii="Arial"/>
                      <w:sz w:val="21"/>
                    </w:rPr>
                  </w:pPr>
                </w:p>
                <w:p w14:paraId="11135805">
                  <w:pPr>
                    <w:spacing w:line="243" w:lineRule="auto"/>
                    <w:rPr>
                      <w:rFonts w:ascii="Arial"/>
                      <w:sz w:val="21"/>
                    </w:rPr>
                  </w:pPr>
                </w:p>
                <w:p w14:paraId="7F25198A">
                  <w:pPr>
                    <w:spacing w:line="243" w:lineRule="auto"/>
                    <w:rPr>
                      <w:rFonts w:ascii="Arial"/>
                      <w:sz w:val="21"/>
                    </w:rPr>
                  </w:pPr>
                </w:p>
                <w:p w14:paraId="227D6BA5">
                  <w:pPr>
                    <w:spacing w:line="243" w:lineRule="auto"/>
                    <w:rPr>
                      <w:rFonts w:ascii="Arial"/>
                      <w:sz w:val="21"/>
                    </w:rPr>
                  </w:pPr>
                </w:p>
                <w:p w14:paraId="6F6FB24A">
                  <w:pPr>
                    <w:spacing w:line="243" w:lineRule="auto"/>
                    <w:rPr>
                      <w:rFonts w:ascii="Arial"/>
                      <w:sz w:val="21"/>
                    </w:rPr>
                  </w:pPr>
                </w:p>
                <w:p w14:paraId="5D34B315">
                  <w:pPr>
                    <w:spacing w:line="243" w:lineRule="auto"/>
                    <w:rPr>
                      <w:rFonts w:ascii="Arial"/>
                      <w:sz w:val="21"/>
                    </w:rPr>
                  </w:pPr>
                </w:p>
                <w:p w14:paraId="18A8CBF9">
                  <w:pPr>
                    <w:spacing w:line="243" w:lineRule="auto"/>
                    <w:rPr>
                      <w:rFonts w:ascii="Arial"/>
                      <w:sz w:val="21"/>
                    </w:rPr>
                  </w:pPr>
                </w:p>
                <w:p w14:paraId="412A5A44">
                  <w:pPr>
                    <w:pStyle w:val="6"/>
                    <w:spacing w:before="59" w:line="220" w:lineRule="auto"/>
                    <w:ind w:left="70"/>
                    <w:rPr>
                      <w:sz w:val="18"/>
                      <w:szCs w:val="18"/>
                    </w:rPr>
                  </w:pPr>
                  <w:r>
                    <w:rPr>
                      <w:spacing w:val="-2"/>
                      <w:sz w:val="18"/>
                      <w:szCs w:val="18"/>
                    </w:rPr>
                    <w:t>施工废气、</w:t>
                  </w:r>
                </w:p>
                <w:p w14:paraId="03ACC3ED">
                  <w:pPr>
                    <w:pStyle w:val="6"/>
                    <w:spacing w:before="66" w:line="219" w:lineRule="auto"/>
                    <w:ind w:left="70"/>
                    <w:rPr>
                      <w:sz w:val="18"/>
                      <w:szCs w:val="18"/>
                    </w:rPr>
                  </w:pPr>
                  <w:r>
                    <w:rPr>
                      <w:spacing w:val="-2"/>
                      <w:sz w:val="18"/>
                      <w:szCs w:val="18"/>
                    </w:rPr>
                    <w:t>施工废水、</w:t>
                  </w:r>
                </w:p>
                <w:p w14:paraId="0156D805">
                  <w:pPr>
                    <w:pStyle w:val="6"/>
                    <w:spacing w:before="66" w:line="220" w:lineRule="auto"/>
                    <w:ind w:left="135"/>
                    <w:rPr>
                      <w:sz w:val="18"/>
                      <w:szCs w:val="18"/>
                    </w:rPr>
                  </w:pPr>
                  <w:r>
                    <w:rPr>
                      <w:spacing w:val="-2"/>
                      <w:sz w:val="18"/>
                      <w:szCs w:val="18"/>
                    </w:rPr>
                    <w:t>施工噪声</w:t>
                  </w:r>
                </w:p>
                <w:p w14:paraId="095F5662">
                  <w:pPr>
                    <w:pStyle w:val="6"/>
                    <w:spacing w:before="63" w:line="220" w:lineRule="auto"/>
                    <w:ind w:left="135"/>
                    <w:rPr>
                      <w:sz w:val="18"/>
                      <w:szCs w:val="18"/>
                    </w:rPr>
                  </w:pPr>
                  <w:r>
                    <w:rPr>
                      <w:spacing w:val="-2"/>
                      <w:sz w:val="18"/>
                      <w:szCs w:val="18"/>
                    </w:rPr>
                    <w:t>及固体废</w:t>
                  </w:r>
                </w:p>
                <w:p w14:paraId="36D6117B">
                  <w:pPr>
                    <w:pStyle w:val="6"/>
                    <w:spacing w:before="65" w:line="221" w:lineRule="auto"/>
                    <w:ind w:left="407"/>
                    <w:rPr>
                      <w:sz w:val="18"/>
                      <w:szCs w:val="18"/>
                    </w:rPr>
                  </w:pPr>
                  <w:r>
                    <w:rPr>
                      <w:sz w:val="18"/>
                      <w:szCs w:val="18"/>
                    </w:rPr>
                    <w:t>物</w:t>
                  </w:r>
                </w:p>
              </w:tc>
              <w:tc>
                <w:tcPr>
                  <w:tcW w:w="1238" w:type="dxa"/>
                  <w:vAlign w:val="top"/>
                </w:tcPr>
                <w:p w14:paraId="04137A89">
                  <w:pPr>
                    <w:spacing w:line="354" w:lineRule="auto"/>
                    <w:rPr>
                      <w:rFonts w:ascii="Arial"/>
                      <w:sz w:val="21"/>
                    </w:rPr>
                  </w:pPr>
                </w:p>
                <w:p w14:paraId="12CFF9AA">
                  <w:pPr>
                    <w:spacing w:line="354" w:lineRule="auto"/>
                    <w:rPr>
                      <w:rFonts w:ascii="Arial"/>
                      <w:sz w:val="21"/>
                    </w:rPr>
                  </w:pPr>
                </w:p>
                <w:p w14:paraId="15F2082F">
                  <w:pPr>
                    <w:pStyle w:val="6"/>
                    <w:spacing w:before="59" w:line="272" w:lineRule="auto"/>
                    <w:ind w:left="80" w:right="92" w:hanging="9"/>
                    <w:rPr>
                      <w:sz w:val="18"/>
                      <w:szCs w:val="18"/>
                    </w:rPr>
                  </w:pPr>
                  <w:r>
                    <w:rPr>
                      <w:spacing w:val="-2"/>
                      <w:sz w:val="18"/>
                      <w:szCs w:val="18"/>
                    </w:rPr>
                    <w:t>废气、废水、</w:t>
                  </w:r>
                  <w:r>
                    <w:rPr>
                      <w:sz w:val="18"/>
                      <w:szCs w:val="18"/>
                    </w:rPr>
                    <w:t xml:space="preserve"> </w:t>
                  </w:r>
                  <w:r>
                    <w:rPr>
                      <w:spacing w:val="-4"/>
                      <w:sz w:val="18"/>
                      <w:szCs w:val="18"/>
                    </w:rPr>
                    <w:t>噪声、固废</w:t>
                  </w:r>
                </w:p>
              </w:tc>
              <w:tc>
                <w:tcPr>
                  <w:tcW w:w="740" w:type="dxa"/>
                  <w:vAlign w:val="top"/>
                </w:tcPr>
                <w:p w14:paraId="112D7B31">
                  <w:pPr>
                    <w:spacing w:line="282" w:lineRule="auto"/>
                    <w:rPr>
                      <w:rFonts w:ascii="Arial"/>
                      <w:sz w:val="21"/>
                    </w:rPr>
                  </w:pPr>
                </w:p>
                <w:p w14:paraId="5C19A129">
                  <w:pPr>
                    <w:spacing w:line="282" w:lineRule="auto"/>
                    <w:rPr>
                      <w:rFonts w:ascii="Arial"/>
                      <w:sz w:val="21"/>
                    </w:rPr>
                  </w:pPr>
                </w:p>
                <w:p w14:paraId="5B648A04">
                  <w:pPr>
                    <w:spacing w:line="282" w:lineRule="auto"/>
                    <w:rPr>
                      <w:rFonts w:ascii="Arial"/>
                      <w:sz w:val="21"/>
                    </w:rPr>
                  </w:pPr>
                </w:p>
                <w:p w14:paraId="371A1786">
                  <w:pPr>
                    <w:pStyle w:val="6"/>
                    <w:spacing w:before="58" w:line="220" w:lineRule="auto"/>
                    <w:ind w:left="196"/>
                    <w:rPr>
                      <w:sz w:val="18"/>
                      <w:szCs w:val="18"/>
                    </w:rPr>
                  </w:pPr>
                  <w:r>
                    <w:rPr>
                      <w:spacing w:val="-4"/>
                      <w:sz w:val="18"/>
                      <w:szCs w:val="18"/>
                    </w:rPr>
                    <w:t>新建</w:t>
                  </w:r>
                </w:p>
              </w:tc>
            </w:tr>
            <w:tr w14:paraId="4E82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32" w:type="dxa"/>
                  <w:vMerge w:val="continue"/>
                  <w:tcBorders>
                    <w:top w:val="nil"/>
                    <w:bottom w:val="nil"/>
                  </w:tcBorders>
                  <w:vAlign w:val="top"/>
                </w:tcPr>
                <w:p w14:paraId="0669B2D1">
                  <w:pPr>
                    <w:rPr>
                      <w:rFonts w:ascii="Arial"/>
                      <w:sz w:val="21"/>
                    </w:rPr>
                  </w:pPr>
                </w:p>
              </w:tc>
              <w:tc>
                <w:tcPr>
                  <w:tcW w:w="3850" w:type="dxa"/>
                  <w:vAlign w:val="top"/>
                </w:tcPr>
                <w:p w14:paraId="52E7E153">
                  <w:pPr>
                    <w:pStyle w:val="6"/>
                    <w:spacing w:before="72" w:line="271" w:lineRule="auto"/>
                    <w:ind w:left="68" w:right="33" w:hanging="2"/>
                    <w:jc w:val="both"/>
                    <w:rPr>
                      <w:sz w:val="18"/>
                      <w:szCs w:val="18"/>
                    </w:rPr>
                  </w:pPr>
                  <w:r>
                    <w:rPr>
                      <w:rFonts w:ascii="Times New Roman" w:hAnsi="Times New Roman" w:eastAsia="Times New Roman" w:cs="Times New Roman"/>
                      <w:spacing w:val="-3"/>
                      <w:sz w:val="18"/>
                      <w:szCs w:val="18"/>
                    </w:rPr>
                    <w:t>2#</w:t>
                  </w:r>
                  <w:r>
                    <w:rPr>
                      <w:spacing w:val="-3"/>
                      <w:sz w:val="18"/>
                      <w:szCs w:val="18"/>
                    </w:rPr>
                    <w:t>生产车间：作为干混砂浆生产车间，建筑面积</w:t>
                  </w:r>
                  <w:r>
                    <w:rPr>
                      <w:spacing w:val="1"/>
                      <w:sz w:val="18"/>
                      <w:szCs w:val="18"/>
                    </w:rPr>
                    <w:t xml:space="preserve"> </w:t>
                  </w:r>
                  <w:r>
                    <w:rPr>
                      <w:spacing w:val="-2"/>
                      <w:sz w:val="18"/>
                      <w:szCs w:val="18"/>
                    </w:rPr>
                    <w:t>约</w:t>
                  </w:r>
                  <w:r>
                    <w:rPr>
                      <w:spacing w:val="-29"/>
                      <w:sz w:val="18"/>
                      <w:szCs w:val="18"/>
                    </w:rPr>
                    <w:t xml:space="preserve"> </w:t>
                  </w:r>
                  <w:r>
                    <w:rPr>
                      <w:rFonts w:ascii="Times New Roman" w:hAnsi="Times New Roman" w:eastAsia="Times New Roman" w:cs="Times New Roman"/>
                      <w:spacing w:val="-2"/>
                      <w:sz w:val="18"/>
                      <w:szCs w:val="18"/>
                    </w:rPr>
                    <w:t>5000m</w:t>
                  </w:r>
                  <w:r>
                    <w:rPr>
                      <w:rFonts w:ascii="Times New Roman" w:hAnsi="Times New Roman" w:eastAsia="Times New Roman" w:cs="Times New Roman"/>
                      <w:spacing w:val="-2"/>
                      <w:position w:val="5"/>
                      <w:sz w:val="11"/>
                      <w:szCs w:val="11"/>
                    </w:rPr>
                    <w:t>2</w:t>
                  </w:r>
                  <w:r>
                    <w:rPr>
                      <w:rFonts w:ascii="Times New Roman" w:hAnsi="Times New Roman" w:eastAsia="Times New Roman" w:cs="Times New Roman"/>
                      <w:spacing w:val="-5"/>
                      <w:position w:val="5"/>
                      <w:sz w:val="11"/>
                      <w:szCs w:val="11"/>
                    </w:rPr>
                    <w:t xml:space="preserve"> </w:t>
                  </w:r>
                  <w:r>
                    <w:rPr>
                      <w:spacing w:val="-2"/>
                      <w:sz w:val="18"/>
                      <w:szCs w:val="18"/>
                    </w:rPr>
                    <w:t>，设干混砂浆生产线</w:t>
                  </w:r>
                  <w:r>
                    <w:rPr>
                      <w:spacing w:val="-41"/>
                      <w:sz w:val="18"/>
                      <w:szCs w:val="18"/>
                    </w:rPr>
                    <w:t xml:space="preserve"> </w:t>
                  </w:r>
                  <w:r>
                    <w:rPr>
                      <w:rFonts w:ascii="Times New Roman" w:hAnsi="Times New Roman" w:eastAsia="Times New Roman" w:cs="Times New Roman"/>
                      <w:spacing w:val="-2"/>
                      <w:sz w:val="18"/>
                      <w:szCs w:val="18"/>
                    </w:rPr>
                    <w:t xml:space="preserve">2 </w:t>
                  </w:r>
                  <w:r>
                    <w:rPr>
                      <w:spacing w:val="-2"/>
                      <w:sz w:val="18"/>
                      <w:szCs w:val="18"/>
                    </w:rPr>
                    <w:t>条（普通砂浆</w:t>
                  </w:r>
                  <w:r>
                    <w:rPr>
                      <w:sz w:val="18"/>
                      <w:szCs w:val="18"/>
                    </w:rPr>
                    <w:t xml:space="preserve">  </w:t>
                  </w:r>
                  <w:r>
                    <w:rPr>
                      <w:spacing w:val="-3"/>
                      <w:sz w:val="18"/>
                      <w:szCs w:val="18"/>
                    </w:rPr>
                    <w:t>和特种砂浆</w:t>
                  </w:r>
                  <w:r>
                    <w:rPr>
                      <w:spacing w:val="9"/>
                      <w:sz w:val="18"/>
                      <w:szCs w:val="18"/>
                    </w:rPr>
                    <w:t>），</w:t>
                  </w:r>
                  <w:r>
                    <w:rPr>
                      <w:spacing w:val="-3"/>
                      <w:sz w:val="18"/>
                      <w:szCs w:val="18"/>
                    </w:rPr>
                    <w:t>包括球磨机、筛分机、搅拌机、</w:t>
                  </w:r>
                  <w:r>
                    <w:rPr>
                      <w:sz w:val="18"/>
                      <w:szCs w:val="18"/>
                    </w:rPr>
                    <w:t xml:space="preserve"> </w:t>
                  </w:r>
                  <w:r>
                    <w:rPr>
                      <w:spacing w:val="-4"/>
                      <w:sz w:val="18"/>
                      <w:szCs w:val="18"/>
                    </w:rPr>
                    <w:t>三回程筒式烘干装置、小料投料装置以及粉料筒</w:t>
                  </w:r>
                  <w:r>
                    <w:rPr>
                      <w:spacing w:val="16"/>
                      <w:sz w:val="18"/>
                      <w:szCs w:val="18"/>
                    </w:rPr>
                    <w:t xml:space="preserve"> </w:t>
                  </w:r>
                  <w:r>
                    <w:rPr>
                      <w:spacing w:val="1"/>
                      <w:sz w:val="18"/>
                      <w:szCs w:val="18"/>
                    </w:rPr>
                    <w:t>仓等，设计年产干混砂浆系统产品</w:t>
                  </w:r>
                  <w:r>
                    <w:rPr>
                      <w:rFonts w:ascii="Times New Roman" w:hAnsi="Times New Roman" w:eastAsia="Times New Roman" w:cs="Times New Roman"/>
                      <w:spacing w:val="1"/>
                      <w:sz w:val="18"/>
                      <w:szCs w:val="18"/>
                    </w:rPr>
                    <w:t xml:space="preserve">30 </w:t>
                  </w:r>
                  <w:r>
                    <w:rPr>
                      <w:spacing w:val="1"/>
                      <w:sz w:val="18"/>
                      <w:szCs w:val="18"/>
                    </w:rPr>
                    <w:t>万吨</w:t>
                  </w:r>
                </w:p>
              </w:tc>
              <w:tc>
                <w:tcPr>
                  <w:tcW w:w="983" w:type="dxa"/>
                  <w:vMerge w:val="continue"/>
                  <w:tcBorders>
                    <w:top w:val="nil"/>
                    <w:bottom w:val="nil"/>
                  </w:tcBorders>
                  <w:vAlign w:val="top"/>
                </w:tcPr>
                <w:p w14:paraId="47AF051C">
                  <w:pPr>
                    <w:rPr>
                      <w:rFonts w:ascii="Arial"/>
                      <w:sz w:val="21"/>
                    </w:rPr>
                  </w:pPr>
                </w:p>
              </w:tc>
              <w:tc>
                <w:tcPr>
                  <w:tcW w:w="1238" w:type="dxa"/>
                  <w:vAlign w:val="top"/>
                </w:tcPr>
                <w:p w14:paraId="4D5BA1E0">
                  <w:pPr>
                    <w:spacing w:line="430" w:lineRule="auto"/>
                    <w:rPr>
                      <w:rFonts w:ascii="Arial"/>
                      <w:sz w:val="21"/>
                    </w:rPr>
                  </w:pPr>
                </w:p>
                <w:p w14:paraId="42DC615E">
                  <w:pPr>
                    <w:pStyle w:val="6"/>
                    <w:spacing w:before="59" w:line="272" w:lineRule="auto"/>
                    <w:ind w:left="80" w:right="92" w:hanging="9"/>
                    <w:rPr>
                      <w:sz w:val="18"/>
                      <w:szCs w:val="18"/>
                    </w:rPr>
                  </w:pPr>
                  <w:r>
                    <w:rPr>
                      <w:spacing w:val="-2"/>
                      <w:sz w:val="18"/>
                      <w:szCs w:val="18"/>
                    </w:rPr>
                    <w:t>废气、废水、</w:t>
                  </w:r>
                  <w:r>
                    <w:rPr>
                      <w:sz w:val="18"/>
                      <w:szCs w:val="18"/>
                    </w:rPr>
                    <w:t xml:space="preserve"> </w:t>
                  </w:r>
                  <w:r>
                    <w:rPr>
                      <w:spacing w:val="-4"/>
                      <w:sz w:val="18"/>
                      <w:szCs w:val="18"/>
                    </w:rPr>
                    <w:t>噪声、固废</w:t>
                  </w:r>
                </w:p>
              </w:tc>
              <w:tc>
                <w:tcPr>
                  <w:tcW w:w="740" w:type="dxa"/>
                  <w:vAlign w:val="top"/>
                </w:tcPr>
                <w:p w14:paraId="60877806">
                  <w:pPr>
                    <w:spacing w:line="284" w:lineRule="auto"/>
                    <w:rPr>
                      <w:rFonts w:ascii="Arial"/>
                      <w:sz w:val="21"/>
                    </w:rPr>
                  </w:pPr>
                </w:p>
                <w:p w14:paraId="3EC273AA">
                  <w:pPr>
                    <w:spacing w:line="284" w:lineRule="auto"/>
                    <w:rPr>
                      <w:rFonts w:ascii="Arial"/>
                      <w:sz w:val="21"/>
                    </w:rPr>
                  </w:pPr>
                </w:p>
                <w:p w14:paraId="41AC229F">
                  <w:pPr>
                    <w:pStyle w:val="6"/>
                    <w:spacing w:before="58" w:line="220" w:lineRule="auto"/>
                    <w:ind w:left="196"/>
                    <w:rPr>
                      <w:sz w:val="18"/>
                      <w:szCs w:val="18"/>
                    </w:rPr>
                  </w:pPr>
                  <w:r>
                    <w:rPr>
                      <w:spacing w:val="-4"/>
                      <w:sz w:val="18"/>
                      <w:szCs w:val="18"/>
                    </w:rPr>
                    <w:t>新建</w:t>
                  </w:r>
                </w:p>
              </w:tc>
            </w:tr>
            <w:tr w14:paraId="4CEFC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32" w:type="dxa"/>
                  <w:vMerge w:val="continue"/>
                  <w:tcBorders>
                    <w:top w:val="nil"/>
                    <w:bottom w:val="nil"/>
                  </w:tcBorders>
                  <w:vAlign w:val="top"/>
                </w:tcPr>
                <w:p w14:paraId="13ACFC27">
                  <w:pPr>
                    <w:rPr>
                      <w:rFonts w:ascii="Arial"/>
                      <w:sz w:val="21"/>
                    </w:rPr>
                  </w:pPr>
                </w:p>
              </w:tc>
              <w:tc>
                <w:tcPr>
                  <w:tcW w:w="3850" w:type="dxa"/>
                  <w:vAlign w:val="top"/>
                </w:tcPr>
                <w:p w14:paraId="4A13FCB4">
                  <w:pPr>
                    <w:pStyle w:val="6"/>
                    <w:spacing w:before="68" w:line="268" w:lineRule="auto"/>
                    <w:ind w:left="68" w:right="62"/>
                    <w:jc w:val="both"/>
                    <w:rPr>
                      <w:sz w:val="18"/>
                      <w:szCs w:val="18"/>
                    </w:rPr>
                  </w:pPr>
                  <w:r>
                    <w:rPr>
                      <w:spacing w:val="-1"/>
                      <w:sz w:val="18"/>
                      <w:szCs w:val="18"/>
                    </w:rPr>
                    <w:t>黄沙烘干生产线：位于</w:t>
                  </w:r>
                  <w:r>
                    <w:rPr>
                      <w:spacing w:val="-34"/>
                      <w:sz w:val="18"/>
                      <w:szCs w:val="18"/>
                    </w:rPr>
                    <w:t xml:space="preserve"> </w:t>
                  </w:r>
                  <w:r>
                    <w:rPr>
                      <w:rFonts w:ascii="Times New Roman" w:hAnsi="Times New Roman" w:eastAsia="Times New Roman" w:cs="Times New Roman"/>
                      <w:spacing w:val="-1"/>
                      <w:sz w:val="18"/>
                      <w:szCs w:val="18"/>
                    </w:rPr>
                    <w:t>2#</w:t>
                  </w:r>
                  <w:r>
                    <w:rPr>
                      <w:spacing w:val="-1"/>
                      <w:sz w:val="18"/>
                      <w:szCs w:val="18"/>
                    </w:rPr>
                    <w:t>车间内，主要设备包</w:t>
                  </w:r>
                  <w:r>
                    <w:rPr>
                      <w:sz w:val="18"/>
                      <w:szCs w:val="18"/>
                    </w:rPr>
                    <w:t xml:space="preserve">  </w:t>
                  </w:r>
                  <w:r>
                    <w:rPr>
                      <w:spacing w:val="-4"/>
                      <w:sz w:val="18"/>
                      <w:szCs w:val="18"/>
                    </w:rPr>
                    <w:t>括进料斗、输送皮带、三回程筒式烘干机、输送</w:t>
                  </w:r>
                  <w:r>
                    <w:rPr>
                      <w:spacing w:val="15"/>
                      <w:sz w:val="18"/>
                      <w:szCs w:val="18"/>
                    </w:rPr>
                    <w:t xml:space="preserve"> </w:t>
                  </w:r>
                  <w:r>
                    <w:rPr>
                      <w:spacing w:val="-4"/>
                      <w:sz w:val="18"/>
                      <w:szCs w:val="18"/>
                    </w:rPr>
                    <w:t>管道及斗式提升机，以蒸汽为热源，采用间接接</w:t>
                  </w:r>
                  <w:r>
                    <w:rPr>
                      <w:spacing w:val="15"/>
                      <w:sz w:val="18"/>
                      <w:szCs w:val="18"/>
                    </w:rPr>
                    <w:t xml:space="preserve"> </w:t>
                  </w:r>
                  <w:r>
                    <w:rPr>
                      <w:spacing w:val="-2"/>
                      <w:sz w:val="18"/>
                      <w:szCs w:val="18"/>
                    </w:rPr>
                    <w:t>触式烘干工艺</w:t>
                  </w:r>
                </w:p>
              </w:tc>
              <w:tc>
                <w:tcPr>
                  <w:tcW w:w="983" w:type="dxa"/>
                  <w:vMerge w:val="continue"/>
                  <w:tcBorders>
                    <w:top w:val="nil"/>
                    <w:bottom w:val="nil"/>
                  </w:tcBorders>
                  <w:vAlign w:val="top"/>
                </w:tcPr>
                <w:p w14:paraId="1C608580">
                  <w:pPr>
                    <w:rPr>
                      <w:rFonts w:ascii="Arial"/>
                      <w:sz w:val="21"/>
                    </w:rPr>
                  </w:pPr>
                </w:p>
              </w:tc>
              <w:tc>
                <w:tcPr>
                  <w:tcW w:w="1238" w:type="dxa"/>
                  <w:vAlign w:val="top"/>
                </w:tcPr>
                <w:p w14:paraId="7C8B7F1B">
                  <w:pPr>
                    <w:spacing w:line="289" w:lineRule="auto"/>
                    <w:rPr>
                      <w:rFonts w:ascii="Arial"/>
                      <w:sz w:val="21"/>
                    </w:rPr>
                  </w:pPr>
                </w:p>
                <w:p w14:paraId="673A7E05">
                  <w:pPr>
                    <w:pStyle w:val="6"/>
                    <w:spacing w:before="58" w:line="275" w:lineRule="auto"/>
                    <w:ind w:left="73" w:right="92" w:hanging="2"/>
                    <w:rPr>
                      <w:sz w:val="18"/>
                      <w:szCs w:val="18"/>
                    </w:rPr>
                  </w:pPr>
                  <w:r>
                    <w:rPr>
                      <w:spacing w:val="-2"/>
                      <w:sz w:val="18"/>
                      <w:szCs w:val="18"/>
                    </w:rPr>
                    <w:t>废气、粉尘、</w:t>
                  </w:r>
                  <w:r>
                    <w:rPr>
                      <w:sz w:val="18"/>
                      <w:szCs w:val="18"/>
                    </w:rPr>
                    <w:t xml:space="preserve"> </w:t>
                  </w:r>
                  <w:r>
                    <w:rPr>
                      <w:spacing w:val="-2"/>
                      <w:sz w:val="18"/>
                      <w:szCs w:val="18"/>
                    </w:rPr>
                    <w:t>蒸汽冷凝水</w:t>
                  </w:r>
                </w:p>
              </w:tc>
              <w:tc>
                <w:tcPr>
                  <w:tcW w:w="740" w:type="dxa"/>
                  <w:vAlign w:val="top"/>
                </w:tcPr>
                <w:p w14:paraId="79B977A1">
                  <w:pPr>
                    <w:spacing w:line="428" w:lineRule="auto"/>
                    <w:rPr>
                      <w:rFonts w:ascii="Arial"/>
                      <w:sz w:val="21"/>
                    </w:rPr>
                  </w:pPr>
                </w:p>
                <w:p w14:paraId="4825DE6B">
                  <w:pPr>
                    <w:pStyle w:val="6"/>
                    <w:spacing w:before="59" w:line="220" w:lineRule="auto"/>
                    <w:ind w:left="196"/>
                    <w:rPr>
                      <w:sz w:val="18"/>
                      <w:szCs w:val="18"/>
                    </w:rPr>
                  </w:pPr>
                  <w:r>
                    <w:rPr>
                      <w:spacing w:val="-4"/>
                      <w:sz w:val="18"/>
                      <w:szCs w:val="18"/>
                    </w:rPr>
                    <w:t>新建</w:t>
                  </w:r>
                </w:p>
              </w:tc>
            </w:tr>
            <w:tr w14:paraId="5898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32" w:type="dxa"/>
                  <w:vMerge w:val="continue"/>
                  <w:tcBorders>
                    <w:top w:val="nil"/>
                    <w:bottom w:val="nil"/>
                  </w:tcBorders>
                  <w:vAlign w:val="top"/>
                </w:tcPr>
                <w:p w14:paraId="7D01A8DD">
                  <w:pPr>
                    <w:rPr>
                      <w:rFonts w:ascii="Arial"/>
                      <w:sz w:val="21"/>
                    </w:rPr>
                  </w:pPr>
                </w:p>
              </w:tc>
              <w:tc>
                <w:tcPr>
                  <w:tcW w:w="3850" w:type="dxa"/>
                  <w:vAlign w:val="top"/>
                </w:tcPr>
                <w:p w14:paraId="05FE4AFE">
                  <w:pPr>
                    <w:pStyle w:val="6"/>
                    <w:spacing w:before="68" w:line="268" w:lineRule="auto"/>
                    <w:ind w:left="70" w:right="127" w:firstLine="4"/>
                    <w:jc w:val="both"/>
                    <w:rPr>
                      <w:sz w:val="18"/>
                      <w:szCs w:val="18"/>
                    </w:rPr>
                  </w:pPr>
                  <w:r>
                    <w:rPr>
                      <w:spacing w:val="-2"/>
                      <w:sz w:val="18"/>
                      <w:szCs w:val="18"/>
                    </w:rPr>
                    <w:t>带肋钢筋网加工：位于</w:t>
                  </w:r>
                  <w:r>
                    <w:rPr>
                      <w:spacing w:val="-18"/>
                      <w:sz w:val="18"/>
                      <w:szCs w:val="18"/>
                    </w:rPr>
                    <w:t xml:space="preserve"> </w:t>
                  </w:r>
                  <w:r>
                    <w:rPr>
                      <w:rFonts w:ascii="Times New Roman" w:hAnsi="Times New Roman" w:eastAsia="Times New Roman" w:cs="Times New Roman"/>
                      <w:spacing w:val="-2"/>
                      <w:sz w:val="18"/>
                      <w:szCs w:val="18"/>
                    </w:rPr>
                    <w:t>1#</w:t>
                  </w:r>
                  <w:r>
                    <w:rPr>
                      <w:spacing w:val="-2"/>
                      <w:sz w:val="18"/>
                      <w:szCs w:val="18"/>
                    </w:rPr>
                    <w:t>车间内，带肋钢筋网</w:t>
                  </w:r>
                  <w:r>
                    <w:rPr>
                      <w:sz w:val="18"/>
                      <w:szCs w:val="18"/>
                    </w:rPr>
                    <w:t xml:space="preserve"> </w:t>
                  </w:r>
                  <w:r>
                    <w:rPr>
                      <w:spacing w:val="-1"/>
                      <w:sz w:val="18"/>
                      <w:szCs w:val="18"/>
                    </w:rPr>
                    <w:t>主要用于蒸压加气混凝土板材生产用。采用φ</w:t>
                  </w:r>
                  <w:r>
                    <w:rPr>
                      <w:spacing w:val="11"/>
                      <w:sz w:val="18"/>
                      <w:szCs w:val="18"/>
                    </w:rPr>
                    <w:t xml:space="preserve"> </w:t>
                  </w:r>
                  <w:r>
                    <w:rPr>
                      <w:rFonts w:ascii="Times New Roman" w:hAnsi="Times New Roman" w:eastAsia="Times New Roman" w:cs="Times New Roman"/>
                      <w:spacing w:val="-1"/>
                      <w:sz w:val="18"/>
                      <w:szCs w:val="18"/>
                    </w:rPr>
                    <w:t>8mm</w:t>
                  </w:r>
                  <w:r>
                    <w:rPr>
                      <w:rFonts w:ascii="Times New Roman" w:hAnsi="Times New Roman" w:eastAsia="Times New Roman" w:cs="Times New Roman"/>
                      <w:spacing w:val="14"/>
                      <w:sz w:val="18"/>
                      <w:szCs w:val="18"/>
                    </w:rPr>
                    <w:t xml:space="preserve"> </w:t>
                  </w:r>
                  <w:r>
                    <w:rPr>
                      <w:spacing w:val="-1"/>
                      <w:sz w:val="18"/>
                      <w:szCs w:val="18"/>
                    </w:rPr>
                    <w:t>带肋钢筋，按板材规格要求焊接后，</w:t>
                  </w:r>
                  <w:r>
                    <w:rPr>
                      <w:spacing w:val="-2"/>
                      <w:sz w:val="18"/>
                      <w:szCs w:val="18"/>
                    </w:rPr>
                    <w:t>送入</w:t>
                  </w:r>
                  <w:r>
                    <w:rPr>
                      <w:sz w:val="18"/>
                      <w:szCs w:val="18"/>
                    </w:rPr>
                    <w:t xml:space="preserve"> </w:t>
                  </w:r>
                  <w:r>
                    <w:rPr>
                      <w:spacing w:val="-1"/>
                      <w:sz w:val="18"/>
                      <w:szCs w:val="18"/>
                    </w:rPr>
                    <w:t>专用浸漆间和烘干间进行防腐处理</w:t>
                  </w:r>
                </w:p>
              </w:tc>
              <w:tc>
                <w:tcPr>
                  <w:tcW w:w="983" w:type="dxa"/>
                  <w:vMerge w:val="continue"/>
                  <w:tcBorders>
                    <w:top w:val="nil"/>
                    <w:bottom w:val="nil"/>
                  </w:tcBorders>
                  <w:vAlign w:val="top"/>
                </w:tcPr>
                <w:p w14:paraId="7534660D">
                  <w:pPr>
                    <w:rPr>
                      <w:rFonts w:ascii="Arial"/>
                      <w:sz w:val="21"/>
                    </w:rPr>
                  </w:pPr>
                </w:p>
              </w:tc>
              <w:tc>
                <w:tcPr>
                  <w:tcW w:w="1238" w:type="dxa"/>
                  <w:vAlign w:val="top"/>
                </w:tcPr>
                <w:p w14:paraId="5801E92C">
                  <w:pPr>
                    <w:pStyle w:val="6"/>
                    <w:spacing w:before="68" w:line="268" w:lineRule="auto"/>
                    <w:ind w:left="71" w:right="61" w:firstLine="1"/>
                    <w:rPr>
                      <w:sz w:val="18"/>
                      <w:szCs w:val="18"/>
                    </w:rPr>
                  </w:pPr>
                  <w:r>
                    <w:rPr>
                      <w:spacing w:val="3"/>
                      <w:sz w:val="18"/>
                      <w:szCs w:val="18"/>
                    </w:rPr>
                    <w:t>焊接烟尘、噪</w:t>
                  </w:r>
                  <w:r>
                    <w:rPr>
                      <w:sz w:val="18"/>
                      <w:szCs w:val="18"/>
                    </w:rPr>
                    <w:t xml:space="preserve"> </w:t>
                  </w:r>
                  <w:r>
                    <w:rPr>
                      <w:spacing w:val="3"/>
                      <w:sz w:val="18"/>
                      <w:szCs w:val="18"/>
                    </w:rPr>
                    <w:t>声、废钢筋、</w:t>
                  </w:r>
                  <w:r>
                    <w:rPr>
                      <w:spacing w:val="1"/>
                      <w:sz w:val="18"/>
                      <w:szCs w:val="18"/>
                    </w:rPr>
                    <w:t xml:space="preserve"> </w:t>
                  </w:r>
                  <w:r>
                    <w:rPr>
                      <w:spacing w:val="3"/>
                      <w:sz w:val="18"/>
                      <w:szCs w:val="18"/>
                    </w:rPr>
                    <w:t>切割粉尘、有</w:t>
                  </w:r>
                  <w:r>
                    <w:rPr>
                      <w:spacing w:val="1"/>
                      <w:sz w:val="18"/>
                      <w:szCs w:val="18"/>
                    </w:rPr>
                    <w:t xml:space="preserve"> </w:t>
                  </w:r>
                  <w:r>
                    <w:rPr>
                      <w:spacing w:val="-3"/>
                      <w:sz w:val="18"/>
                      <w:szCs w:val="18"/>
                    </w:rPr>
                    <w:t>机废气</w:t>
                  </w:r>
                </w:p>
              </w:tc>
              <w:tc>
                <w:tcPr>
                  <w:tcW w:w="740" w:type="dxa"/>
                  <w:vAlign w:val="top"/>
                </w:tcPr>
                <w:p w14:paraId="3BD37748">
                  <w:pPr>
                    <w:spacing w:line="429" w:lineRule="auto"/>
                    <w:rPr>
                      <w:rFonts w:ascii="Arial"/>
                      <w:sz w:val="21"/>
                    </w:rPr>
                  </w:pPr>
                </w:p>
                <w:p w14:paraId="01322606">
                  <w:pPr>
                    <w:pStyle w:val="6"/>
                    <w:spacing w:before="58" w:line="220" w:lineRule="auto"/>
                    <w:ind w:left="196"/>
                    <w:rPr>
                      <w:sz w:val="18"/>
                      <w:szCs w:val="18"/>
                    </w:rPr>
                  </w:pPr>
                  <w:r>
                    <w:rPr>
                      <w:spacing w:val="-4"/>
                      <w:sz w:val="18"/>
                      <w:szCs w:val="18"/>
                    </w:rPr>
                    <w:t>新建</w:t>
                  </w:r>
                </w:p>
              </w:tc>
            </w:tr>
            <w:tr w14:paraId="13EA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32" w:type="dxa"/>
                  <w:vMerge w:val="continue"/>
                  <w:tcBorders>
                    <w:top w:val="nil"/>
                  </w:tcBorders>
                  <w:vAlign w:val="top"/>
                </w:tcPr>
                <w:p w14:paraId="39D1B449">
                  <w:pPr>
                    <w:rPr>
                      <w:rFonts w:ascii="Arial"/>
                      <w:sz w:val="21"/>
                    </w:rPr>
                  </w:pPr>
                </w:p>
              </w:tc>
              <w:tc>
                <w:tcPr>
                  <w:tcW w:w="3850" w:type="dxa"/>
                  <w:vAlign w:val="top"/>
                </w:tcPr>
                <w:p w14:paraId="3CB910A4">
                  <w:pPr>
                    <w:pStyle w:val="6"/>
                    <w:spacing w:before="72" w:line="267" w:lineRule="auto"/>
                    <w:ind w:left="70" w:right="62" w:firstLine="1"/>
                    <w:jc w:val="both"/>
                    <w:rPr>
                      <w:sz w:val="18"/>
                      <w:szCs w:val="18"/>
                    </w:rPr>
                  </w:pPr>
                  <w:r>
                    <w:rPr>
                      <w:spacing w:val="-4"/>
                      <w:sz w:val="18"/>
                      <w:szCs w:val="18"/>
                    </w:rPr>
                    <w:t>建筑垃圾预处理：位于地下原料堆场内，主要进</w:t>
                  </w:r>
                  <w:r>
                    <w:rPr>
                      <w:spacing w:val="13"/>
                      <w:sz w:val="18"/>
                      <w:szCs w:val="18"/>
                    </w:rPr>
                    <w:t xml:space="preserve"> </w:t>
                  </w:r>
                  <w:r>
                    <w:rPr>
                      <w:spacing w:val="-4"/>
                      <w:sz w:val="18"/>
                      <w:szCs w:val="18"/>
                    </w:rPr>
                    <w:t>行建筑垃圾的破碎、筛分和上料输送，设备包括</w:t>
                  </w:r>
                  <w:r>
                    <w:rPr>
                      <w:spacing w:val="15"/>
                      <w:sz w:val="18"/>
                      <w:szCs w:val="18"/>
                    </w:rPr>
                    <w:t xml:space="preserve"> </w:t>
                  </w:r>
                  <w:r>
                    <w:rPr>
                      <w:spacing w:val="-4"/>
                      <w:sz w:val="18"/>
                      <w:szCs w:val="18"/>
                    </w:rPr>
                    <w:t>颚破机、筛分机、上料料斗、装载机械和输送皮</w:t>
                  </w:r>
                  <w:r>
                    <w:rPr>
                      <w:spacing w:val="15"/>
                      <w:sz w:val="18"/>
                      <w:szCs w:val="18"/>
                    </w:rPr>
                    <w:t xml:space="preserve"> </w:t>
                  </w:r>
                  <w:r>
                    <w:rPr>
                      <w:spacing w:val="-4"/>
                      <w:sz w:val="18"/>
                      <w:szCs w:val="18"/>
                    </w:rPr>
                    <w:t>带等</w:t>
                  </w:r>
                </w:p>
              </w:tc>
              <w:tc>
                <w:tcPr>
                  <w:tcW w:w="983" w:type="dxa"/>
                  <w:vMerge w:val="continue"/>
                  <w:tcBorders>
                    <w:top w:val="nil"/>
                    <w:bottom w:val="nil"/>
                  </w:tcBorders>
                  <w:vAlign w:val="top"/>
                </w:tcPr>
                <w:p w14:paraId="338DA9A1">
                  <w:pPr>
                    <w:rPr>
                      <w:rFonts w:ascii="Arial"/>
                      <w:sz w:val="21"/>
                    </w:rPr>
                  </w:pPr>
                </w:p>
              </w:tc>
              <w:tc>
                <w:tcPr>
                  <w:tcW w:w="1238" w:type="dxa"/>
                  <w:vAlign w:val="top"/>
                </w:tcPr>
                <w:p w14:paraId="0E9C6947">
                  <w:pPr>
                    <w:spacing w:line="429" w:lineRule="auto"/>
                    <w:rPr>
                      <w:rFonts w:ascii="Arial"/>
                      <w:sz w:val="21"/>
                    </w:rPr>
                  </w:pPr>
                </w:p>
                <w:p w14:paraId="76BAE0BC">
                  <w:pPr>
                    <w:pStyle w:val="6"/>
                    <w:spacing w:before="59" w:line="219" w:lineRule="auto"/>
                    <w:ind w:left="81"/>
                    <w:rPr>
                      <w:sz w:val="18"/>
                      <w:szCs w:val="18"/>
                    </w:rPr>
                  </w:pPr>
                  <w:r>
                    <w:rPr>
                      <w:spacing w:val="-4"/>
                      <w:sz w:val="18"/>
                      <w:szCs w:val="18"/>
                    </w:rPr>
                    <w:t>噪声、粉尘</w:t>
                  </w:r>
                </w:p>
              </w:tc>
              <w:tc>
                <w:tcPr>
                  <w:tcW w:w="740" w:type="dxa"/>
                  <w:vAlign w:val="top"/>
                </w:tcPr>
                <w:p w14:paraId="586CD3C6">
                  <w:pPr>
                    <w:spacing w:line="429" w:lineRule="auto"/>
                    <w:rPr>
                      <w:rFonts w:ascii="Arial"/>
                      <w:sz w:val="21"/>
                    </w:rPr>
                  </w:pPr>
                </w:p>
                <w:p w14:paraId="5977AA28">
                  <w:pPr>
                    <w:pStyle w:val="6"/>
                    <w:spacing w:before="58" w:line="220" w:lineRule="auto"/>
                    <w:ind w:left="196"/>
                    <w:rPr>
                      <w:sz w:val="18"/>
                      <w:szCs w:val="18"/>
                    </w:rPr>
                  </w:pPr>
                  <w:r>
                    <w:rPr>
                      <w:spacing w:val="-4"/>
                      <w:sz w:val="18"/>
                      <w:szCs w:val="18"/>
                    </w:rPr>
                    <w:t>新建</w:t>
                  </w:r>
                </w:p>
              </w:tc>
            </w:tr>
            <w:tr w14:paraId="59F4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32" w:type="dxa"/>
                  <w:vMerge w:val="restart"/>
                  <w:tcBorders>
                    <w:bottom w:val="nil"/>
                  </w:tcBorders>
                  <w:vAlign w:val="top"/>
                </w:tcPr>
                <w:p w14:paraId="47C699F7">
                  <w:pPr>
                    <w:spacing w:line="284" w:lineRule="auto"/>
                    <w:rPr>
                      <w:rFonts w:ascii="Arial"/>
                      <w:sz w:val="21"/>
                    </w:rPr>
                  </w:pPr>
                </w:p>
                <w:p w14:paraId="787B49BA">
                  <w:pPr>
                    <w:spacing w:line="284" w:lineRule="auto"/>
                    <w:rPr>
                      <w:rFonts w:ascii="Arial"/>
                      <w:sz w:val="21"/>
                    </w:rPr>
                  </w:pPr>
                </w:p>
                <w:p w14:paraId="67A4926C">
                  <w:pPr>
                    <w:spacing w:line="284" w:lineRule="auto"/>
                    <w:rPr>
                      <w:rFonts w:ascii="Arial"/>
                      <w:sz w:val="21"/>
                    </w:rPr>
                  </w:pPr>
                </w:p>
                <w:p w14:paraId="58E2F286">
                  <w:pPr>
                    <w:pStyle w:val="6"/>
                    <w:spacing w:before="59" w:line="272" w:lineRule="auto"/>
                    <w:ind w:left="419" w:right="256"/>
                    <w:rPr>
                      <w:sz w:val="18"/>
                      <w:szCs w:val="18"/>
                    </w:rPr>
                  </w:pPr>
                  <w:r>
                    <w:rPr>
                      <w:spacing w:val="-5"/>
                      <w:sz w:val="18"/>
                      <w:szCs w:val="18"/>
                    </w:rPr>
                    <w:t>辅助</w:t>
                  </w:r>
                  <w:r>
                    <w:rPr>
                      <w:sz w:val="18"/>
                      <w:szCs w:val="18"/>
                    </w:rPr>
                    <w:t xml:space="preserve"> </w:t>
                  </w:r>
                  <w:r>
                    <w:rPr>
                      <w:spacing w:val="-5"/>
                      <w:sz w:val="18"/>
                      <w:szCs w:val="18"/>
                    </w:rPr>
                    <w:t>工程</w:t>
                  </w:r>
                </w:p>
              </w:tc>
              <w:tc>
                <w:tcPr>
                  <w:tcW w:w="3850" w:type="dxa"/>
                  <w:vAlign w:val="top"/>
                </w:tcPr>
                <w:p w14:paraId="78A6F2AE">
                  <w:pPr>
                    <w:pStyle w:val="6"/>
                    <w:spacing w:before="72" w:line="271" w:lineRule="auto"/>
                    <w:ind w:left="68" w:right="62" w:firstLine="3"/>
                    <w:rPr>
                      <w:sz w:val="18"/>
                      <w:szCs w:val="18"/>
                    </w:rPr>
                  </w:pPr>
                  <w:r>
                    <w:rPr>
                      <w:spacing w:val="-1"/>
                      <w:sz w:val="18"/>
                      <w:szCs w:val="18"/>
                    </w:rPr>
                    <w:t>备用燃气锅炉：在一期工程生产车间北侧空坝</w:t>
                  </w:r>
                  <w:r>
                    <w:rPr>
                      <w:spacing w:val="4"/>
                      <w:sz w:val="18"/>
                      <w:szCs w:val="18"/>
                    </w:rPr>
                    <w:t xml:space="preserve">  </w:t>
                  </w:r>
                  <w:r>
                    <w:rPr>
                      <w:spacing w:val="-4"/>
                      <w:sz w:val="18"/>
                      <w:szCs w:val="18"/>
                    </w:rPr>
                    <w:t>处，建设一个锅炉房建筑面积约</w:t>
                  </w:r>
                  <w:r>
                    <w:rPr>
                      <w:spacing w:val="-12"/>
                      <w:sz w:val="18"/>
                      <w:szCs w:val="18"/>
                    </w:rPr>
                    <w:t xml:space="preserve"> </w:t>
                  </w:r>
                  <w:r>
                    <w:rPr>
                      <w:rFonts w:ascii="Times New Roman" w:hAnsi="Times New Roman" w:eastAsia="Times New Roman" w:cs="Times New Roman"/>
                      <w:spacing w:val="-4"/>
                      <w:sz w:val="18"/>
                      <w:szCs w:val="18"/>
                    </w:rPr>
                    <w:t>150m</w:t>
                  </w:r>
                  <w:r>
                    <w:rPr>
                      <w:rFonts w:ascii="Times New Roman" w:hAnsi="Times New Roman" w:eastAsia="Times New Roman" w:cs="Times New Roman"/>
                      <w:spacing w:val="-4"/>
                      <w:position w:val="5"/>
                      <w:sz w:val="11"/>
                      <w:szCs w:val="11"/>
                    </w:rPr>
                    <w:t>2</w:t>
                  </w:r>
                  <w:r>
                    <w:rPr>
                      <w:rFonts w:ascii="Times New Roman" w:hAnsi="Times New Roman" w:eastAsia="Times New Roman" w:cs="Times New Roman"/>
                      <w:spacing w:val="-6"/>
                      <w:position w:val="5"/>
                      <w:sz w:val="11"/>
                      <w:szCs w:val="11"/>
                    </w:rPr>
                    <w:t xml:space="preserve"> </w:t>
                  </w:r>
                  <w:r>
                    <w:rPr>
                      <w:spacing w:val="-4"/>
                      <w:sz w:val="18"/>
                      <w:szCs w:val="18"/>
                    </w:rPr>
                    <w:t>，安装一</w:t>
                  </w:r>
                  <w:r>
                    <w:rPr>
                      <w:sz w:val="18"/>
                      <w:szCs w:val="18"/>
                    </w:rPr>
                    <w:t xml:space="preserve"> </w:t>
                  </w:r>
                  <w:r>
                    <w:rPr>
                      <w:spacing w:val="-5"/>
                      <w:sz w:val="18"/>
                      <w:szCs w:val="18"/>
                    </w:rPr>
                    <w:t>台</w:t>
                  </w:r>
                  <w:r>
                    <w:rPr>
                      <w:spacing w:val="-36"/>
                      <w:sz w:val="18"/>
                      <w:szCs w:val="18"/>
                    </w:rPr>
                    <w:t xml:space="preserve"> </w:t>
                  </w:r>
                  <w:r>
                    <w:rPr>
                      <w:rFonts w:ascii="Times New Roman" w:hAnsi="Times New Roman" w:eastAsia="Times New Roman" w:cs="Times New Roman"/>
                      <w:spacing w:val="-5"/>
                      <w:sz w:val="18"/>
                      <w:szCs w:val="18"/>
                    </w:rPr>
                    <w:t>8</w:t>
                  </w:r>
                  <w:r>
                    <w:rPr>
                      <w:rFonts w:ascii="Times New Roman" w:hAnsi="Times New Roman" w:eastAsia="Times New Roman" w:cs="Times New Roman"/>
                      <w:spacing w:val="11"/>
                      <w:sz w:val="18"/>
                      <w:szCs w:val="18"/>
                    </w:rPr>
                    <w:t xml:space="preserve"> </w:t>
                  </w:r>
                  <w:r>
                    <w:rPr>
                      <w:spacing w:val="-5"/>
                      <w:sz w:val="18"/>
                      <w:szCs w:val="18"/>
                    </w:rPr>
                    <w:t>蒸吨</w:t>
                  </w:r>
                  <w:r>
                    <w:rPr>
                      <w:rFonts w:ascii="Times New Roman" w:hAnsi="Times New Roman" w:eastAsia="Times New Roman" w:cs="Times New Roman"/>
                      <w:spacing w:val="-5"/>
                      <w:sz w:val="18"/>
                      <w:szCs w:val="18"/>
                    </w:rPr>
                    <w:t>/h</w:t>
                  </w:r>
                  <w:r>
                    <w:rPr>
                      <w:rFonts w:ascii="Times New Roman" w:hAnsi="Times New Roman" w:eastAsia="Times New Roman" w:cs="Times New Roman"/>
                      <w:spacing w:val="21"/>
                      <w:sz w:val="18"/>
                      <w:szCs w:val="18"/>
                    </w:rPr>
                    <w:t xml:space="preserve"> </w:t>
                  </w:r>
                  <w:r>
                    <w:rPr>
                      <w:spacing w:val="-5"/>
                      <w:sz w:val="18"/>
                      <w:szCs w:val="18"/>
                    </w:rPr>
                    <w:t>的燃气锅炉，作为东岳电厂停</w:t>
                  </w:r>
                  <w:r>
                    <w:rPr>
                      <w:spacing w:val="-6"/>
                      <w:sz w:val="18"/>
                      <w:szCs w:val="18"/>
                    </w:rPr>
                    <w:t>供蒸汽</w:t>
                  </w:r>
                  <w:r>
                    <w:rPr>
                      <w:sz w:val="18"/>
                      <w:szCs w:val="18"/>
                    </w:rPr>
                    <w:t xml:space="preserve"> </w:t>
                  </w:r>
                  <w:r>
                    <w:rPr>
                      <w:spacing w:val="-4"/>
                      <w:sz w:val="18"/>
                      <w:szCs w:val="18"/>
                    </w:rPr>
                    <w:t>时的备用蒸汽源。锅炉配套有阳离子树脂软水装</w:t>
                  </w:r>
                  <w:r>
                    <w:rPr>
                      <w:spacing w:val="17"/>
                      <w:sz w:val="18"/>
                      <w:szCs w:val="18"/>
                    </w:rPr>
                    <w:t xml:space="preserve"> </w:t>
                  </w:r>
                  <w:r>
                    <w:rPr>
                      <w:spacing w:val="2"/>
                      <w:sz w:val="18"/>
                      <w:szCs w:val="18"/>
                    </w:rPr>
                    <w:t>置和低氮燃烧器，预计年运行时间约</w:t>
                  </w:r>
                  <w:r>
                    <w:rPr>
                      <w:rFonts w:ascii="Times New Roman" w:hAnsi="Times New Roman" w:eastAsia="Times New Roman" w:cs="Times New Roman"/>
                      <w:spacing w:val="2"/>
                      <w:sz w:val="18"/>
                      <w:szCs w:val="18"/>
                    </w:rPr>
                    <w:t xml:space="preserve">30 </w:t>
                  </w:r>
                  <w:r>
                    <w:rPr>
                      <w:spacing w:val="2"/>
                      <w:sz w:val="18"/>
                      <w:szCs w:val="18"/>
                    </w:rPr>
                    <w:t>天</w:t>
                  </w:r>
                </w:p>
              </w:tc>
              <w:tc>
                <w:tcPr>
                  <w:tcW w:w="983" w:type="dxa"/>
                  <w:vMerge w:val="continue"/>
                  <w:tcBorders>
                    <w:top w:val="nil"/>
                    <w:bottom w:val="nil"/>
                  </w:tcBorders>
                  <w:vAlign w:val="top"/>
                </w:tcPr>
                <w:p w14:paraId="2C81AA3D">
                  <w:pPr>
                    <w:rPr>
                      <w:rFonts w:ascii="Arial"/>
                      <w:sz w:val="21"/>
                    </w:rPr>
                  </w:pPr>
                </w:p>
              </w:tc>
              <w:tc>
                <w:tcPr>
                  <w:tcW w:w="1238" w:type="dxa"/>
                  <w:vAlign w:val="top"/>
                </w:tcPr>
                <w:p w14:paraId="354D6B73">
                  <w:pPr>
                    <w:spacing w:line="289" w:lineRule="auto"/>
                    <w:rPr>
                      <w:rFonts w:ascii="Arial"/>
                      <w:sz w:val="21"/>
                    </w:rPr>
                  </w:pPr>
                </w:p>
                <w:p w14:paraId="5C2E3875">
                  <w:pPr>
                    <w:pStyle w:val="6"/>
                    <w:spacing w:before="58" w:line="279" w:lineRule="auto"/>
                    <w:ind w:left="75" w:right="61" w:hanging="2"/>
                    <w:jc w:val="both"/>
                    <w:rPr>
                      <w:sz w:val="18"/>
                      <w:szCs w:val="18"/>
                    </w:rPr>
                  </w:pPr>
                  <w:r>
                    <w:rPr>
                      <w:spacing w:val="3"/>
                      <w:sz w:val="18"/>
                      <w:szCs w:val="18"/>
                    </w:rPr>
                    <w:t>燃烧废气、噪</w:t>
                  </w:r>
                  <w:r>
                    <w:rPr>
                      <w:sz w:val="18"/>
                      <w:szCs w:val="18"/>
                    </w:rPr>
                    <w:t xml:space="preserve"> </w:t>
                  </w:r>
                  <w:r>
                    <w:rPr>
                      <w:spacing w:val="2"/>
                      <w:sz w:val="18"/>
                      <w:szCs w:val="18"/>
                    </w:rPr>
                    <w:t xml:space="preserve">声、废水、废 </w:t>
                  </w:r>
                  <w:r>
                    <w:rPr>
                      <w:spacing w:val="-3"/>
                      <w:sz w:val="18"/>
                      <w:szCs w:val="18"/>
                    </w:rPr>
                    <w:t>交换树脂</w:t>
                  </w:r>
                </w:p>
              </w:tc>
              <w:tc>
                <w:tcPr>
                  <w:tcW w:w="740" w:type="dxa"/>
                  <w:vAlign w:val="top"/>
                </w:tcPr>
                <w:p w14:paraId="642EDDE9">
                  <w:pPr>
                    <w:spacing w:line="284" w:lineRule="auto"/>
                    <w:rPr>
                      <w:rFonts w:ascii="Arial"/>
                      <w:sz w:val="21"/>
                    </w:rPr>
                  </w:pPr>
                </w:p>
                <w:p w14:paraId="19E950EB">
                  <w:pPr>
                    <w:spacing w:line="284" w:lineRule="auto"/>
                    <w:rPr>
                      <w:rFonts w:ascii="Arial"/>
                      <w:sz w:val="21"/>
                    </w:rPr>
                  </w:pPr>
                </w:p>
                <w:p w14:paraId="170E90A4">
                  <w:pPr>
                    <w:pStyle w:val="6"/>
                    <w:spacing w:before="58" w:line="220" w:lineRule="auto"/>
                    <w:ind w:left="196"/>
                    <w:rPr>
                      <w:sz w:val="18"/>
                      <w:szCs w:val="18"/>
                    </w:rPr>
                  </w:pPr>
                  <w:r>
                    <w:rPr>
                      <w:spacing w:val="-4"/>
                      <w:sz w:val="18"/>
                      <w:szCs w:val="18"/>
                    </w:rPr>
                    <w:t>新建</w:t>
                  </w:r>
                </w:p>
              </w:tc>
            </w:tr>
            <w:tr w14:paraId="5D5F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32" w:type="dxa"/>
                  <w:vMerge w:val="continue"/>
                  <w:tcBorders>
                    <w:top w:val="nil"/>
                  </w:tcBorders>
                  <w:vAlign w:val="top"/>
                </w:tcPr>
                <w:p w14:paraId="55EDB644">
                  <w:pPr>
                    <w:rPr>
                      <w:rFonts w:ascii="Arial"/>
                      <w:sz w:val="21"/>
                    </w:rPr>
                  </w:pPr>
                </w:p>
              </w:tc>
              <w:tc>
                <w:tcPr>
                  <w:tcW w:w="3850" w:type="dxa"/>
                  <w:vAlign w:val="top"/>
                </w:tcPr>
                <w:p w14:paraId="26EE0C6B">
                  <w:pPr>
                    <w:pStyle w:val="6"/>
                    <w:spacing w:before="70" w:line="261" w:lineRule="auto"/>
                    <w:ind w:left="68" w:right="62"/>
                    <w:jc w:val="both"/>
                    <w:rPr>
                      <w:rFonts w:ascii="Times New Roman" w:hAnsi="Times New Roman" w:eastAsia="Times New Roman" w:cs="Times New Roman"/>
                      <w:sz w:val="11"/>
                      <w:szCs w:val="11"/>
                    </w:rPr>
                  </w:pPr>
                  <w:r>
                    <w:rPr>
                      <w:spacing w:val="-4"/>
                      <w:sz w:val="18"/>
                      <w:szCs w:val="18"/>
                    </w:rPr>
                    <w:t>机修间：利用一期工程已建的机修间开展设备维</w:t>
                  </w:r>
                  <w:r>
                    <w:rPr>
                      <w:spacing w:val="16"/>
                      <w:sz w:val="18"/>
                      <w:szCs w:val="18"/>
                    </w:rPr>
                    <w:t xml:space="preserve"> </w:t>
                  </w:r>
                  <w:r>
                    <w:rPr>
                      <w:spacing w:val="-4"/>
                      <w:sz w:val="18"/>
                      <w:szCs w:val="18"/>
                    </w:rPr>
                    <w:t>修作业，机修间位于一期工程的职工住宿用房旁</w:t>
                  </w:r>
                  <w:r>
                    <w:rPr>
                      <w:spacing w:val="16"/>
                      <w:sz w:val="18"/>
                      <w:szCs w:val="18"/>
                    </w:rPr>
                    <w:t xml:space="preserve"> </w:t>
                  </w:r>
                  <w:r>
                    <w:rPr>
                      <w:spacing w:val="-1"/>
                      <w:sz w:val="18"/>
                      <w:szCs w:val="18"/>
                    </w:rPr>
                    <w:t>边，建筑面积约</w:t>
                  </w:r>
                  <w:r>
                    <w:rPr>
                      <w:spacing w:val="-40"/>
                      <w:sz w:val="18"/>
                      <w:szCs w:val="18"/>
                    </w:rPr>
                    <w:t xml:space="preserve"> </w:t>
                  </w:r>
                  <w:r>
                    <w:rPr>
                      <w:rFonts w:ascii="Times New Roman" w:hAnsi="Times New Roman" w:eastAsia="Times New Roman" w:cs="Times New Roman"/>
                      <w:spacing w:val="-1"/>
                      <w:sz w:val="18"/>
                      <w:szCs w:val="18"/>
                    </w:rPr>
                    <w:t>20m</w:t>
                  </w:r>
                  <w:r>
                    <w:rPr>
                      <w:rFonts w:ascii="Times New Roman" w:hAnsi="Times New Roman" w:eastAsia="Times New Roman" w:cs="Times New Roman"/>
                      <w:spacing w:val="-1"/>
                      <w:position w:val="6"/>
                      <w:sz w:val="11"/>
                      <w:szCs w:val="11"/>
                    </w:rPr>
                    <w:t>2</w:t>
                  </w:r>
                </w:p>
              </w:tc>
              <w:tc>
                <w:tcPr>
                  <w:tcW w:w="983" w:type="dxa"/>
                  <w:vMerge w:val="continue"/>
                  <w:tcBorders>
                    <w:top w:val="nil"/>
                    <w:bottom w:val="nil"/>
                  </w:tcBorders>
                  <w:vAlign w:val="top"/>
                </w:tcPr>
                <w:p w14:paraId="72B0119B">
                  <w:pPr>
                    <w:rPr>
                      <w:rFonts w:ascii="Arial"/>
                      <w:sz w:val="21"/>
                    </w:rPr>
                  </w:pPr>
                </w:p>
              </w:tc>
              <w:tc>
                <w:tcPr>
                  <w:tcW w:w="1238" w:type="dxa"/>
                  <w:vAlign w:val="top"/>
                </w:tcPr>
                <w:p w14:paraId="76A00479">
                  <w:pPr>
                    <w:pStyle w:val="6"/>
                    <w:spacing w:before="211" w:line="272" w:lineRule="auto"/>
                    <w:ind w:left="71" w:right="61"/>
                    <w:rPr>
                      <w:sz w:val="18"/>
                      <w:szCs w:val="18"/>
                    </w:rPr>
                  </w:pPr>
                  <w:r>
                    <w:rPr>
                      <w:spacing w:val="40"/>
                      <w:sz w:val="18"/>
                      <w:szCs w:val="18"/>
                    </w:rPr>
                    <w:t>废机械零部</w:t>
                  </w:r>
                  <w:r>
                    <w:rPr>
                      <w:sz w:val="18"/>
                      <w:szCs w:val="18"/>
                    </w:rPr>
                    <w:t xml:space="preserve"> </w:t>
                  </w:r>
                  <w:r>
                    <w:rPr>
                      <w:spacing w:val="-2"/>
                      <w:sz w:val="18"/>
                      <w:szCs w:val="18"/>
                    </w:rPr>
                    <w:t>件、废机油</w:t>
                  </w:r>
                </w:p>
              </w:tc>
              <w:tc>
                <w:tcPr>
                  <w:tcW w:w="740" w:type="dxa"/>
                  <w:vAlign w:val="top"/>
                </w:tcPr>
                <w:p w14:paraId="7C87CF52">
                  <w:pPr>
                    <w:spacing w:line="290" w:lineRule="auto"/>
                    <w:rPr>
                      <w:rFonts w:ascii="Arial"/>
                      <w:sz w:val="21"/>
                    </w:rPr>
                  </w:pPr>
                </w:p>
                <w:p w14:paraId="03CF6A4C">
                  <w:pPr>
                    <w:pStyle w:val="6"/>
                    <w:spacing w:before="59" w:line="221" w:lineRule="auto"/>
                    <w:ind w:left="196"/>
                    <w:rPr>
                      <w:sz w:val="18"/>
                      <w:szCs w:val="18"/>
                    </w:rPr>
                  </w:pPr>
                  <w:r>
                    <w:rPr>
                      <w:spacing w:val="-4"/>
                      <w:sz w:val="18"/>
                      <w:szCs w:val="18"/>
                    </w:rPr>
                    <w:t>利旧</w:t>
                  </w:r>
                </w:p>
              </w:tc>
            </w:tr>
            <w:tr w14:paraId="57AB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1032" w:type="dxa"/>
                  <w:vMerge w:val="restart"/>
                  <w:tcBorders>
                    <w:bottom w:val="nil"/>
                  </w:tcBorders>
                  <w:vAlign w:val="top"/>
                </w:tcPr>
                <w:p w14:paraId="66798D73">
                  <w:pPr>
                    <w:spacing w:line="255" w:lineRule="auto"/>
                    <w:rPr>
                      <w:rFonts w:ascii="Arial"/>
                      <w:sz w:val="21"/>
                    </w:rPr>
                  </w:pPr>
                </w:p>
                <w:p w14:paraId="4DFD2ED9">
                  <w:pPr>
                    <w:spacing w:line="255" w:lineRule="auto"/>
                    <w:rPr>
                      <w:rFonts w:ascii="Arial"/>
                      <w:sz w:val="21"/>
                    </w:rPr>
                  </w:pPr>
                </w:p>
                <w:p w14:paraId="2962BF79">
                  <w:pPr>
                    <w:spacing w:line="255" w:lineRule="auto"/>
                    <w:rPr>
                      <w:rFonts w:ascii="Arial"/>
                      <w:sz w:val="21"/>
                    </w:rPr>
                  </w:pPr>
                </w:p>
                <w:p w14:paraId="3745DD25">
                  <w:pPr>
                    <w:spacing w:line="255" w:lineRule="auto"/>
                    <w:rPr>
                      <w:rFonts w:ascii="Arial"/>
                      <w:sz w:val="21"/>
                    </w:rPr>
                  </w:pPr>
                </w:p>
                <w:p w14:paraId="520536AE">
                  <w:pPr>
                    <w:spacing w:line="255" w:lineRule="auto"/>
                    <w:rPr>
                      <w:rFonts w:ascii="Arial"/>
                      <w:sz w:val="21"/>
                    </w:rPr>
                  </w:pPr>
                </w:p>
                <w:p w14:paraId="39704568">
                  <w:pPr>
                    <w:pStyle w:val="6"/>
                    <w:spacing w:before="59" w:line="272" w:lineRule="auto"/>
                    <w:ind w:left="418" w:right="256" w:hanging="2"/>
                    <w:rPr>
                      <w:sz w:val="18"/>
                      <w:szCs w:val="18"/>
                    </w:rPr>
                  </w:pPr>
                  <w:r>
                    <w:rPr>
                      <w:spacing w:val="-4"/>
                      <w:sz w:val="18"/>
                      <w:szCs w:val="18"/>
                    </w:rPr>
                    <w:t>仓储</w:t>
                  </w:r>
                  <w:r>
                    <w:rPr>
                      <w:sz w:val="18"/>
                      <w:szCs w:val="18"/>
                    </w:rPr>
                    <w:t xml:space="preserve"> </w:t>
                  </w:r>
                  <w:r>
                    <w:rPr>
                      <w:spacing w:val="-5"/>
                      <w:sz w:val="18"/>
                      <w:szCs w:val="18"/>
                    </w:rPr>
                    <w:t>工程</w:t>
                  </w:r>
                </w:p>
              </w:tc>
              <w:tc>
                <w:tcPr>
                  <w:tcW w:w="3850" w:type="dxa"/>
                  <w:vAlign w:val="top"/>
                </w:tcPr>
                <w:p w14:paraId="1FA9333B">
                  <w:pPr>
                    <w:pStyle w:val="6"/>
                    <w:spacing w:before="69" w:line="275" w:lineRule="auto"/>
                    <w:ind w:left="69" w:right="139"/>
                    <w:rPr>
                      <w:sz w:val="18"/>
                      <w:szCs w:val="18"/>
                    </w:rPr>
                  </w:pPr>
                  <w:r>
                    <w:rPr>
                      <w:spacing w:val="-4"/>
                      <w:sz w:val="18"/>
                      <w:szCs w:val="18"/>
                    </w:rPr>
                    <w:t>地下原料堆场；位于</w:t>
                  </w:r>
                  <w:r>
                    <w:rPr>
                      <w:spacing w:val="-8"/>
                      <w:sz w:val="18"/>
                      <w:szCs w:val="18"/>
                    </w:rPr>
                    <w:t xml:space="preserve"> </w:t>
                  </w:r>
                  <w:r>
                    <w:rPr>
                      <w:rFonts w:ascii="Times New Roman" w:hAnsi="Times New Roman" w:eastAsia="Times New Roman" w:cs="Times New Roman"/>
                      <w:spacing w:val="-4"/>
                      <w:sz w:val="18"/>
                      <w:szCs w:val="18"/>
                    </w:rPr>
                    <w:t>1#</w:t>
                  </w:r>
                  <w:r>
                    <w:rPr>
                      <w:spacing w:val="-4"/>
                      <w:sz w:val="18"/>
                      <w:szCs w:val="18"/>
                    </w:rPr>
                    <w:t>生产车间的地下，</w:t>
                  </w:r>
                  <w:r>
                    <w:rPr>
                      <w:spacing w:val="-53"/>
                      <w:sz w:val="18"/>
                      <w:szCs w:val="18"/>
                    </w:rPr>
                    <w:t xml:space="preserve"> </w:t>
                  </w:r>
                  <w:r>
                    <w:rPr>
                      <w:spacing w:val="-4"/>
                      <w:sz w:val="18"/>
                      <w:szCs w:val="18"/>
                    </w:rPr>
                    <w:t>占地</w:t>
                  </w:r>
                  <w:r>
                    <w:rPr>
                      <w:sz w:val="18"/>
                      <w:szCs w:val="18"/>
                    </w:rPr>
                    <w:t xml:space="preserve"> </w:t>
                  </w:r>
                  <w:r>
                    <w:rPr>
                      <w:spacing w:val="-4"/>
                      <w:sz w:val="18"/>
                      <w:szCs w:val="18"/>
                    </w:rPr>
                    <w:t>面积约</w:t>
                  </w:r>
                  <w:r>
                    <w:rPr>
                      <w:spacing w:val="-40"/>
                      <w:sz w:val="18"/>
                      <w:szCs w:val="18"/>
                    </w:rPr>
                    <w:t xml:space="preserve"> </w:t>
                  </w:r>
                  <w:r>
                    <w:rPr>
                      <w:rFonts w:ascii="Times New Roman" w:hAnsi="Times New Roman" w:eastAsia="Times New Roman" w:cs="Times New Roman"/>
                      <w:spacing w:val="-4"/>
                      <w:sz w:val="18"/>
                      <w:szCs w:val="18"/>
                    </w:rPr>
                    <w:t>3500m</w:t>
                  </w:r>
                  <w:r>
                    <w:rPr>
                      <w:rFonts w:ascii="Times New Roman" w:hAnsi="Times New Roman" w:eastAsia="Times New Roman" w:cs="Times New Roman"/>
                      <w:spacing w:val="-4"/>
                      <w:position w:val="5"/>
                      <w:sz w:val="11"/>
                      <w:szCs w:val="11"/>
                    </w:rPr>
                    <w:t>2</w:t>
                  </w:r>
                  <w:r>
                    <w:rPr>
                      <w:rFonts w:ascii="Times New Roman" w:hAnsi="Times New Roman" w:eastAsia="Times New Roman" w:cs="Times New Roman"/>
                      <w:spacing w:val="-5"/>
                      <w:position w:val="5"/>
                      <w:sz w:val="11"/>
                      <w:szCs w:val="11"/>
                    </w:rPr>
                    <w:t xml:space="preserve"> </w:t>
                  </w:r>
                  <w:r>
                    <w:rPr>
                      <w:spacing w:val="-4"/>
                      <w:sz w:val="18"/>
                      <w:szCs w:val="18"/>
                    </w:rPr>
                    <w:t>，层高</w:t>
                  </w:r>
                  <w:r>
                    <w:rPr>
                      <w:spacing w:val="-41"/>
                      <w:sz w:val="18"/>
                      <w:szCs w:val="18"/>
                    </w:rPr>
                    <w:t xml:space="preserve"> </w:t>
                  </w:r>
                  <w:r>
                    <w:rPr>
                      <w:rFonts w:ascii="Times New Roman" w:hAnsi="Times New Roman" w:eastAsia="Times New Roman" w:cs="Times New Roman"/>
                      <w:spacing w:val="-4"/>
                      <w:sz w:val="18"/>
                      <w:szCs w:val="18"/>
                    </w:rPr>
                    <w:t>20m</w:t>
                  </w:r>
                  <w:r>
                    <w:rPr>
                      <w:rFonts w:ascii="Times New Roman" w:hAnsi="Times New Roman" w:eastAsia="Times New Roman" w:cs="Times New Roman"/>
                      <w:spacing w:val="-24"/>
                      <w:sz w:val="18"/>
                      <w:szCs w:val="18"/>
                    </w:rPr>
                    <w:t xml:space="preserve"> </w:t>
                  </w:r>
                  <w:r>
                    <w:rPr>
                      <w:spacing w:val="-4"/>
                      <w:sz w:val="18"/>
                      <w:szCs w:val="18"/>
                    </w:rPr>
                    <w:t>，配套有通</w:t>
                  </w:r>
                  <w:r>
                    <w:rPr>
                      <w:spacing w:val="-5"/>
                      <w:sz w:val="18"/>
                      <w:szCs w:val="18"/>
                    </w:rPr>
                    <w:t>风系统，</w:t>
                  </w:r>
                </w:p>
                <w:p w14:paraId="3C0D1F32">
                  <w:pPr>
                    <w:pStyle w:val="6"/>
                    <w:spacing w:before="27" w:line="271" w:lineRule="auto"/>
                    <w:ind w:left="68" w:right="33" w:firstLine="2"/>
                    <w:rPr>
                      <w:sz w:val="18"/>
                      <w:szCs w:val="18"/>
                    </w:rPr>
                  </w:pPr>
                  <w:r>
                    <w:rPr>
                      <w:spacing w:val="-4"/>
                      <w:sz w:val="18"/>
                      <w:szCs w:val="18"/>
                    </w:rPr>
                    <w:t>主要堆放作为原料的建筑垃圾、黄沙等。地下堆</w:t>
                  </w:r>
                  <w:r>
                    <w:rPr>
                      <w:spacing w:val="14"/>
                      <w:sz w:val="18"/>
                      <w:szCs w:val="18"/>
                    </w:rPr>
                    <w:t xml:space="preserve"> </w:t>
                  </w:r>
                  <w:r>
                    <w:rPr>
                      <w:spacing w:val="-2"/>
                      <w:sz w:val="18"/>
                      <w:szCs w:val="18"/>
                    </w:rPr>
                    <w:t>场卸料口位于</w:t>
                  </w:r>
                  <w:r>
                    <w:rPr>
                      <w:spacing w:val="-13"/>
                      <w:sz w:val="18"/>
                      <w:szCs w:val="18"/>
                    </w:rPr>
                    <w:t xml:space="preserve"> </w:t>
                  </w:r>
                  <w:r>
                    <w:rPr>
                      <w:rFonts w:ascii="Times New Roman" w:hAnsi="Times New Roman" w:eastAsia="Times New Roman" w:cs="Times New Roman"/>
                      <w:spacing w:val="-2"/>
                      <w:sz w:val="18"/>
                      <w:szCs w:val="18"/>
                    </w:rPr>
                    <w:t>1#</w:t>
                  </w:r>
                  <w:r>
                    <w:rPr>
                      <w:spacing w:val="-2"/>
                      <w:sz w:val="18"/>
                      <w:szCs w:val="18"/>
                    </w:rPr>
                    <w:t>生产车间内，卸料口连接有溜</w:t>
                  </w:r>
                  <w:r>
                    <w:rPr>
                      <w:sz w:val="18"/>
                      <w:szCs w:val="18"/>
                    </w:rPr>
                    <w:t xml:space="preserve">  </w:t>
                  </w:r>
                  <w:r>
                    <w:rPr>
                      <w:spacing w:val="-2"/>
                      <w:sz w:val="18"/>
                      <w:szCs w:val="18"/>
                    </w:rPr>
                    <w:t>槽，溜槽底部距离地下堆场地面约</w:t>
                  </w:r>
                  <w:r>
                    <w:rPr>
                      <w:spacing w:val="-41"/>
                      <w:sz w:val="18"/>
                      <w:szCs w:val="18"/>
                    </w:rPr>
                    <w:t xml:space="preserve"> </w:t>
                  </w:r>
                  <w:r>
                    <w:rPr>
                      <w:rFonts w:ascii="Times New Roman" w:hAnsi="Times New Roman" w:eastAsia="Times New Roman" w:cs="Times New Roman"/>
                      <w:spacing w:val="-2"/>
                      <w:sz w:val="18"/>
                      <w:szCs w:val="18"/>
                    </w:rPr>
                    <w:t>2m</w:t>
                  </w:r>
                  <w:r>
                    <w:rPr>
                      <w:rFonts w:ascii="Times New Roman" w:hAnsi="Times New Roman" w:eastAsia="Times New Roman" w:cs="Times New Roman"/>
                      <w:spacing w:val="12"/>
                      <w:w w:val="101"/>
                      <w:sz w:val="18"/>
                      <w:szCs w:val="18"/>
                    </w:rPr>
                    <w:t xml:space="preserve"> </w:t>
                  </w:r>
                  <w:r>
                    <w:rPr>
                      <w:spacing w:val="-2"/>
                      <w:sz w:val="18"/>
                      <w:szCs w:val="18"/>
                    </w:rPr>
                    <w:t>高，</w:t>
                  </w:r>
                  <w:r>
                    <w:rPr>
                      <w:spacing w:val="-3"/>
                      <w:sz w:val="18"/>
                      <w:szCs w:val="18"/>
                    </w:rPr>
                    <w:t>目的</w:t>
                  </w:r>
                  <w:r>
                    <w:rPr>
                      <w:sz w:val="18"/>
                      <w:szCs w:val="18"/>
                    </w:rPr>
                    <w:t xml:space="preserve"> </w:t>
                  </w:r>
                  <w:r>
                    <w:rPr>
                      <w:spacing w:val="-2"/>
                      <w:sz w:val="18"/>
                      <w:szCs w:val="18"/>
                    </w:rPr>
                    <w:t>是减缓落料速度和高度；堆场设有破碎、筛分、</w:t>
                  </w:r>
                  <w:r>
                    <w:rPr>
                      <w:spacing w:val="3"/>
                      <w:sz w:val="18"/>
                      <w:szCs w:val="18"/>
                    </w:rPr>
                    <w:t xml:space="preserve"> </w:t>
                  </w:r>
                  <w:r>
                    <w:rPr>
                      <w:spacing w:val="-1"/>
                      <w:sz w:val="18"/>
                      <w:szCs w:val="18"/>
                    </w:rPr>
                    <w:t>上料料斗及输送皮带等设备</w:t>
                  </w:r>
                </w:p>
              </w:tc>
              <w:tc>
                <w:tcPr>
                  <w:tcW w:w="983" w:type="dxa"/>
                  <w:vMerge w:val="continue"/>
                  <w:tcBorders>
                    <w:top w:val="nil"/>
                    <w:bottom w:val="nil"/>
                  </w:tcBorders>
                  <w:vAlign w:val="top"/>
                </w:tcPr>
                <w:p w14:paraId="177F8689">
                  <w:pPr>
                    <w:rPr>
                      <w:rFonts w:ascii="Arial"/>
                      <w:sz w:val="21"/>
                    </w:rPr>
                  </w:pPr>
                </w:p>
              </w:tc>
              <w:tc>
                <w:tcPr>
                  <w:tcW w:w="1238" w:type="dxa"/>
                  <w:vAlign w:val="top"/>
                </w:tcPr>
                <w:p w14:paraId="6BC97069">
                  <w:pPr>
                    <w:spacing w:line="282" w:lineRule="auto"/>
                    <w:rPr>
                      <w:rFonts w:ascii="Arial"/>
                      <w:sz w:val="21"/>
                    </w:rPr>
                  </w:pPr>
                </w:p>
                <w:p w14:paraId="5AAB99A0">
                  <w:pPr>
                    <w:spacing w:line="282" w:lineRule="auto"/>
                    <w:rPr>
                      <w:rFonts w:ascii="Arial"/>
                      <w:sz w:val="21"/>
                    </w:rPr>
                  </w:pPr>
                </w:p>
                <w:p w14:paraId="224ABF3C">
                  <w:pPr>
                    <w:spacing w:line="282" w:lineRule="auto"/>
                    <w:rPr>
                      <w:rFonts w:ascii="Arial"/>
                      <w:sz w:val="21"/>
                    </w:rPr>
                  </w:pPr>
                </w:p>
                <w:p w14:paraId="7B979EBA">
                  <w:pPr>
                    <w:pStyle w:val="6"/>
                    <w:spacing w:before="58" w:line="219" w:lineRule="auto"/>
                    <w:ind w:left="443"/>
                    <w:rPr>
                      <w:sz w:val="18"/>
                      <w:szCs w:val="18"/>
                    </w:rPr>
                  </w:pPr>
                  <w:r>
                    <w:rPr>
                      <w:spacing w:val="-4"/>
                      <w:sz w:val="18"/>
                      <w:szCs w:val="18"/>
                    </w:rPr>
                    <w:t>粉尘</w:t>
                  </w:r>
                </w:p>
              </w:tc>
              <w:tc>
                <w:tcPr>
                  <w:tcW w:w="740" w:type="dxa"/>
                  <w:vAlign w:val="top"/>
                </w:tcPr>
                <w:p w14:paraId="40831E8A">
                  <w:pPr>
                    <w:spacing w:line="281" w:lineRule="auto"/>
                    <w:rPr>
                      <w:rFonts w:ascii="Arial"/>
                      <w:sz w:val="21"/>
                    </w:rPr>
                  </w:pPr>
                </w:p>
                <w:p w14:paraId="60F65AD7">
                  <w:pPr>
                    <w:spacing w:line="282" w:lineRule="auto"/>
                    <w:rPr>
                      <w:rFonts w:ascii="Arial"/>
                      <w:sz w:val="21"/>
                    </w:rPr>
                  </w:pPr>
                </w:p>
                <w:p w14:paraId="2D2EBC7F">
                  <w:pPr>
                    <w:spacing w:line="282" w:lineRule="auto"/>
                    <w:rPr>
                      <w:rFonts w:ascii="Arial"/>
                      <w:sz w:val="21"/>
                    </w:rPr>
                  </w:pPr>
                </w:p>
                <w:p w14:paraId="5F9F4157">
                  <w:pPr>
                    <w:pStyle w:val="6"/>
                    <w:spacing w:before="59" w:line="220" w:lineRule="auto"/>
                    <w:ind w:left="196"/>
                    <w:rPr>
                      <w:sz w:val="18"/>
                      <w:szCs w:val="18"/>
                    </w:rPr>
                  </w:pPr>
                  <w:r>
                    <w:rPr>
                      <w:spacing w:val="-4"/>
                      <w:sz w:val="18"/>
                      <w:szCs w:val="18"/>
                    </w:rPr>
                    <w:t>新建</w:t>
                  </w:r>
                </w:p>
              </w:tc>
            </w:tr>
            <w:tr w14:paraId="32273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32" w:type="dxa"/>
                  <w:vMerge w:val="continue"/>
                  <w:tcBorders>
                    <w:top w:val="nil"/>
                    <w:bottom w:val="nil"/>
                  </w:tcBorders>
                  <w:vAlign w:val="top"/>
                </w:tcPr>
                <w:p w14:paraId="6BFF7166">
                  <w:pPr>
                    <w:rPr>
                      <w:rFonts w:ascii="Arial"/>
                      <w:sz w:val="21"/>
                    </w:rPr>
                  </w:pPr>
                </w:p>
              </w:tc>
              <w:tc>
                <w:tcPr>
                  <w:tcW w:w="3850" w:type="dxa"/>
                  <w:vAlign w:val="top"/>
                </w:tcPr>
                <w:p w14:paraId="42431B9F">
                  <w:pPr>
                    <w:pStyle w:val="6"/>
                    <w:spacing w:before="70" w:line="261" w:lineRule="auto"/>
                    <w:ind w:left="68" w:right="62" w:firstLine="14"/>
                    <w:jc w:val="both"/>
                    <w:rPr>
                      <w:sz w:val="18"/>
                      <w:szCs w:val="18"/>
                    </w:rPr>
                  </w:pPr>
                  <w:r>
                    <w:rPr>
                      <w:rFonts w:ascii="Times New Roman" w:hAnsi="Times New Roman" w:eastAsia="Times New Roman" w:cs="Times New Roman"/>
                      <w:spacing w:val="-4"/>
                      <w:sz w:val="18"/>
                      <w:szCs w:val="18"/>
                    </w:rPr>
                    <w:t>1#</w:t>
                  </w:r>
                  <w:r>
                    <w:rPr>
                      <w:spacing w:val="-4"/>
                      <w:sz w:val="18"/>
                      <w:szCs w:val="18"/>
                    </w:rPr>
                    <w:t>车间粉料筒仓：蒸压加气混凝土建材车间设置</w:t>
                  </w:r>
                  <w:r>
                    <w:rPr>
                      <w:spacing w:val="5"/>
                      <w:sz w:val="18"/>
                      <w:szCs w:val="18"/>
                    </w:rPr>
                    <w:t xml:space="preserve"> </w:t>
                  </w:r>
                  <w:r>
                    <w:rPr>
                      <w:spacing w:val="-4"/>
                      <w:sz w:val="18"/>
                      <w:szCs w:val="18"/>
                    </w:rPr>
                    <w:t>粉料筒仓</w:t>
                  </w:r>
                  <w:r>
                    <w:rPr>
                      <w:spacing w:val="-26"/>
                      <w:sz w:val="18"/>
                      <w:szCs w:val="18"/>
                    </w:rPr>
                    <w:t xml:space="preserve"> </w:t>
                  </w:r>
                  <w:r>
                    <w:rPr>
                      <w:rFonts w:ascii="Times New Roman" w:hAnsi="Times New Roman" w:eastAsia="Times New Roman" w:cs="Times New Roman"/>
                      <w:spacing w:val="-4"/>
                      <w:sz w:val="18"/>
                      <w:szCs w:val="18"/>
                    </w:rPr>
                    <w:t xml:space="preserve">3 </w:t>
                  </w:r>
                  <w:r>
                    <w:rPr>
                      <w:spacing w:val="-4"/>
                      <w:sz w:val="18"/>
                      <w:szCs w:val="18"/>
                    </w:rPr>
                    <w:t>个，单个筒仓可储存粉料</w:t>
                  </w:r>
                  <w:r>
                    <w:rPr>
                      <w:spacing w:val="-41"/>
                      <w:sz w:val="18"/>
                      <w:szCs w:val="18"/>
                    </w:rPr>
                    <w:t xml:space="preserve"> </w:t>
                  </w:r>
                  <w:r>
                    <w:rPr>
                      <w:rFonts w:ascii="Times New Roman" w:hAnsi="Times New Roman" w:eastAsia="Times New Roman" w:cs="Times New Roman"/>
                      <w:spacing w:val="-4"/>
                      <w:sz w:val="18"/>
                      <w:szCs w:val="18"/>
                    </w:rPr>
                    <w:t>200t</w:t>
                  </w:r>
                  <w:r>
                    <w:rPr>
                      <w:spacing w:val="-4"/>
                      <w:sz w:val="18"/>
                      <w:szCs w:val="18"/>
                    </w:rPr>
                    <w:t>。包括</w:t>
                  </w:r>
                  <w:r>
                    <w:rPr>
                      <w:sz w:val="18"/>
                      <w:szCs w:val="18"/>
                    </w:rPr>
                    <w:t xml:space="preserve"> </w:t>
                  </w:r>
                  <w:r>
                    <w:rPr>
                      <w:spacing w:val="-6"/>
                      <w:sz w:val="18"/>
                      <w:szCs w:val="18"/>
                    </w:rPr>
                    <w:t>水泥筒仓</w:t>
                  </w:r>
                  <w:r>
                    <w:rPr>
                      <w:spacing w:val="-10"/>
                      <w:sz w:val="18"/>
                      <w:szCs w:val="18"/>
                    </w:rPr>
                    <w:t xml:space="preserve"> </w:t>
                  </w:r>
                  <w:r>
                    <w:rPr>
                      <w:rFonts w:ascii="Times New Roman" w:hAnsi="Times New Roman" w:eastAsia="Times New Roman" w:cs="Times New Roman"/>
                      <w:spacing w:val="-6"/>
                      <w:sz w:val="18"/>
                      <w:szCs w:val="18"/>
                    </w:rPr>
                    <w:t xml:space="preserve">1 </w:t>
                  </w:r>
                  <w:r>
                    <w:rPr>
                      <w:spacing w:val="-6"/>
                      <w:sz w:val="18"/>
                      <w:szCs w:val="18"/>
                    </w:rPr>
                    <w:t>个、石灰筒仓</w:t>
                  </w:r>
                  <w:r>
                    <w:rPr>
                      <w:spacing w:val="-23"/>
                      <w:sz w:val="18"/>
                      <w:szCs w:val="18"/>
                    </w:rPr>
                    <w:t xml:space="preserve"> </w:t>
                  </w:r>
                  <w:r>
                    <w:rPr>
                      <w:rFonts w:ascii="Times New Roman" w:hAnsi="Times New Roman" w:eastAsia="Times New Roman" w:cs="Times New Roman"/>
                      <w:spacing w:val="-6"/>
                      <w:sz w:val="18"/>
                      <w:szCs w:val="18"/>
                    </w:rPr>
                    <w:t xml:space="preserve">1 </w:t>
                  </w:r>
                  <w:r>
                    <w:rPr>
                      <w:spacing w:val="-6"/>
                      <w:sz w:val="18"/>
                      <w:szCs w:val="18"/>
                    </w:rPr>
                    <w:t>个、粉煤灰筒仓</w:t>
                  </w:r>
                  <w:r>
                    <w:rPr>
                      <w:spacing w:val="-26"/>
                      <w:sz w:val="18"/>
                      <w:szCs w:val="18"/>
                    </w:rPr>
                    <w:t xml:space="preserve"> </w:t>
                  </w:r>
                  <w:r>
                    <w:rPr>
                      <w:rFonts w:ascii="Times New Roman" w:hAnsi="Times New Roman" w:eastAsia="Times New Roman" w:cs="Times New Roman"/>
                      <w:spacing w:val="-6"/>
                      <w:sz w:val="18"/>
                      <w:szCs w:val="18"/>
                    </w:rPr>
                    <w:t xml:space="preserve">1 </w:t>
                  </w:r>
                  <w:r>
                    <w:rPr>
                      <w:spacing w:val="-6"/>
                      <w:sz w:val="18"/>
                      <w:szCs w:val="18"/>
                    </w:rPr>
                    <w:t>个</w:t>
                  </w:r>
                </w:p>
              </w:tc>
              <w:tc>
                <w:tcPr>
                  <w:tcW w:w="983" w:type="dxa"/>
                  <w:vMerge w:val="continue"/>
                  <w:tcBorders>
                    <w:top w:val="nil"/>
                    <w:bottom w:val="nil"/>
                  </w:tcBorders>
                  <w:vAlign w:val="top"/>
                </w:tcPr>
                <w:p w14:paraId="0F1E1CCF">
                  <w:pPr>
                    <w:rPr>
                      <w:rFonts w:ascii="Arial"/>
                      <w:sz w:val="21"/>
                    </w:rPr>
                  </w:pPr>
                </w:p>
              </w:tc>
              <w:tc>
                <w:tcPr>
                  <w:tcW w:w="1238" w:type="dxa"/>
                  <w:vAlign w:val="top"/>
                </w:tcPr>
                <w:p w14:paraId="54D55D14">
                  <w:pPr>
                    <w:spacing w:line="290" w:lineRule="auto"/>
                    <w:rPr>
                      <w:rFonts w:ascii="Arial"/>
                      <w:sz w:val="21"/>
                    </w:rPr>
                  </w:pPr>
                </w:p>
                <w:p w14:paraId="7745499F">
                  <w:pPr>
                    <w:pStyle w:val="6"/>
                    <w:spacing w:before="58" w:line="219" w:lineRule="auto"/>
                    <w:ind w:left="443"/>
                    <w:rPr>
                      <w:sz w:val="18"/>
                      <w:szCs w:val="18"/>
                    </w:rPr>
                  </w:pPr>
                  <w:r>
                    <w:rPr>
                      <w:spacing w:val="-4"/>
                      <w:sz w:val="18"/>
                      <w:szCs w:val="18"/>
                    </w:rPr>
                    <w:t>粉尘</w:t>
                  </w:r>
                </w:p>
              </w:tc>
              <w:tc>
                <w:tcPr>
                  <w:tcW w:w="740" w:type="dxa"/>
                  <w:vAlign w:val="top"/>
                </w:tcPr>
                <w:p w14:paraId="688EE95F">
                  <w:pPr>
                    <w:spacing w:line="290" w:lineRule="auto"/>
                    <w:rPr>
                      <w:rFonts w:ascii="Arial"/>
                      <w:sz w:val="21"/>
                    </w:rPr>
                  </w:pPr>
                </w:p>
                <w:p w14:paraId="23A887C8">
                  <w:pPr>
                    <w:pStyle w:val="6"/>
                    <w:spacing w:before="58" w:line="220" w:lineRule="auto"/>
                    <w:ind w:left="196"/>
                    <w:rPr>
                      <w:sz w:val="18"/>
                      <w:szCs w:val="18"/>
                    </w:rPr>
                  </w:pPr>
                  <w:r>
                    <w:rPr>
                      <w:spacing w:val="-4"/>
                      <w:sz w:val="18"/>
                      <w:szCs w:val="18"/>
                    </w:rPr>
                    <w:t>新建</w:t>
                  </w:r>
                </w:p>
              </w:tc>
            </w:tr>
            <w:tr w14:paraId="75A93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32" w:type="dxa"/>
                  <w:vMerge w:val="continue"/>
                  <w:tcBorders>
                    <w:top w:val="nil"/>
                    <w:bottom w:val="nil"/>
                  </w:tcBorders>
                  <w:vAlign w:val="top"/>
                </w:tcPr>
                <w:p w14:paraId="7FA019A8">
                  <w:pPr>
                    <w:rPr>
                      <w:rFonts w:ascii="Arial"/>
                      <w:sz w:val="21"/>
                    </w:rPr>
                  </w:pPr>
                </w:p>
              </w:tc>
              <w:tc>
                <w:tcPr>
                  <w:tcW w:w="3850" w:type="dxa"/>
                  <w:tcBorders>
                    <w:bottom w:val="nil"/>
                  </w:tcBorders>
                  <w:vAlign w:val="top"/>
                </w:tcPr>
                <w:p w14:paraId="2FC08D9E">
                  <w:pPr>
                    <w:pStyle w:val="6"/>
                    <w:spacing w:before="70" w:line="206" w:lineRule="auto"/>
                    <w:ind w:right="2"/>
                    <w:jc w:val="right"/>
                    <w:rPr>
                      <w:sz w:val="18"/>
                      <w:szCs w:val="18"/>
                    </w:rPr>
                  </w:pPr>
                  <w:r>
                    <w:rPr>
                      <w:rFonts w:ascii="Times New Roman" w:hAnsi="Times New Roman" w:eastAsia="Times New Roman" w:cs="Times New Roman"/>
                      <w:spacing w:val="-1"/>
                      <w:sz w:val="18"/>
                      <w:szCs w:val="18"/>
                    </w:rPr>
                    <w:t>2#</w:t>
                  </w:r>
                  <w:r>
                    <w:rPr>
                      <w:spacing w:val="-1"/>
                      <w:sz w:val="18"/>
                      <w:szCs w:val="18"/>
                    </w:rPr>
                    <w:t>车间粉料筒仓：干混砂浆车间的两条生产线，</w:t>
                  </w:r>
                </w:p>
              </w:tc>
              <w:tc>
                <w:tcPr>
                  <w:tcW w:w="983" w:type="dxa"/>
                  <w:vMerge w:val="continue"/>
                  <w:tcBorders>
                    <w:top w:val="nil"/>
                    <w:bottom w:val="nil"/>
                  </w:tcBorders>
                  <w:vAlign w:val="top"/>
                </w:tcPr>
                <w:p w14:paraId="6C82E51C">
                  <w:pPr>
                    <w:rPr>
                      <w:rFonts w:ascii="Arial"/>
                      <w:sz w:val="21"/>
                    </w:rPr>
                  </w:pPr>
                </w:p>
              </w:tc>
              <w:tc>
                <w:tcPr>
                  <w:tcW w:w="1238" w:type="dxa"/>
                  <w:tcBorders>
                    <w:bottom w:val="nil"/>
                  </w:tcBorders>
                  <w:vAlign w:val="top"/>
                </w:tcPr>
                <w:p w14:paraId="1D8AC554">
                  <w:pPr>
                    <w:pStyle w:val="6"/>
                    <w:spacing w:before="70" w:line="206" w:lineRule="auto"/>
                    <w:ind w:left="443"/>
                    <w:rPr>
                      <w:sz w:val="18"/>
                      <w:szCs w:val="18"/>
                    </w:rPr>
                  </w:pPr>
                  <w:r>
                    <w:rPr>
                      <w:spacing w:val="-4"/>
                      <w:sz w:val="18"/>
                      <w:szCs w:val="18"/>
                    </w:rPr>
                    <w:t>粉尘</w:t>
                  </w:r>
                </w:p>
              </w:tc>
              <w:tc>
                <w:tcPr>
                  <w:tcW w:w="740" w:type="dxa"/>
                  <w:tcBorders>
                    <w:bottom w:val="nil"/>
                  </w:tcBorders>
                  <w:vAlign w:val="top"/>
                </w:tcPr>
                <w:p w14:paraId="5613660A">
                  <w:pPr>
                    <w:pStyle w:val="6"/>
                    <w:spacing w:before="70" w:line="206" w:lineRule="auto"/>
                    <w:ind w:left="196"/>
                    <w:rPr>
                      <w:sz w:val="18"/>
                      <w:szCs w:val="18"/>
                    </w:rPr>
                  </w:pPr>
                  <w:r>
                    <w:rPr>
                      <w:spacing w:val="-4"/>
                      <w:sz w:val="18"/>
                      <w:szCs w:val="18"/>
                    </w:rPr>
                    <w:t>新建</w:t>
                  </w:r>
                </w:p>
              </w:tc>
            </w:tr>
          </w:tbl>
          <w:p w14:paraId="7AF77534">
            <w:pPr>
              <w:spacing w:line="14" w:lineRule="auto"/>
              <w:rPr>
                <w:rFonts w:ascii="Arial"/>
                <w:sz w:val="2"/>
              </w:rPr>
            </w:pPr>
          </w:p>
        </w:tc>
      </w:tr>
    </w:tbl>
    <w:p w14:paraId="57C48CA0">
      <w:pPr>
        <w:pStyle w:val="2"/>
      </w:pPr>
    </w:p>
    <w:p w14:paraId="4E75579F">
      <w:pPr>
        <w:sectPr>
          <w:footerReference r:id="rId32" w:type="default"/>
          <w:pgSz w:w="11906" w:h="16839"/>
          <w:pgMar w:top="1431" w:right="1534" w:bottom="1260" w:left="1533" w:header="0" w:footer="1080" w:gutter="0"/>
          <w:cols w:space="720" w:num="1"/>
        </w:sectPr>
      </w:pPr>
    </w:p>
    <w:p w14:paraId="21AD47FD">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70"/>
        <w:gridCol w:w="636"/>
        <w:gridCol w:w="3210"/>
        <w:gridCol w:w="982"/>
        <w:gridCol w:w="1237"/>
        <w:gridCol w:w="735"/>
        <w:gridCol w:w="166"/>
      </w:tblGrid>
      <w:tr w14:paraId="36CCB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987" w:type="dxa"/>
            <w:vMerge w:val="restart"/>
            <w:tcBorders>
              <w:top w:val="single" w:color="000000" w:sz="6" w:space="0"/>
              <w:left w:val="single" w:color="000000" w:sz="6" w:space="0"/>
              <w:bottom w:val="nil"/>
            </w:tcBorders>
            <w:vAlign w:val="top"/>
          </w:tcPr>
          <w:p w14:paraId="26C7E1DC">
            <w:pPr>
              <w:rPr>
                <w:rFonts w:ascii="Arial"/>
                <w:sz w:val="21"/>
              </w:rPr>
            </w:pPr>
            <w:r>
              <w:pict>
                <v:shape id="_x0000_s1035" o:spid="_x0000_s1035" style="position:absolute;left:0pt;margin-left:41.05pt;margin-top:0.95pt;height:666.45pt;width:0.5pt;mso-position-horizontal-relative:page;mso-position-vertical-relative:page;z-index:251682816;mso-width-relative:page;mso-height-relative:page;" filled="f" stroked="t" coordsize="10,13329" path="m4,0l4,13328e">
                  <v:fill on="f" focussize="0,0"/>
                  <v:stroke weight="0.48pt" color="#000000" miterlimit="2" joinstyle="bevel"/>
                  <v:imagedata o:title=""/>
                  <o:lock v:ext="edit"/>
                </v:shape>
              </w:pict>
            </w:r>
          </w:p>
        </w:tc>
        <w:tc>
          <w:tcPr>
            <w:tcW w:w="870" w:type="dxa"/>
            <w:vMerge w:val="restart"/>
            <w:tcBorders>
              <w:bottom w:val="nil"/>
            </w:tcBorders>
            <w:vAlign w:val="top"/>
          </w:tcPr>
          <w:p w14:paraId="46C726E0">
            <w:pPr>
              <w:rPr>
                <w:rFonts w:ascii="Arial"/>
                <w:sz w:val="21"/>
              </w:rPr>
            </w:pPr>
          </w:p>
        </w:tc>
        <w:tc>
          <w:tcPr>
            <w:tcW w:w="3846" w:type="dxa"/>
            <w:gridSpan w:val="2"/>
            <w:vAlign w:val="top"/>
          </w:tcPr>
          <w:p w14:paraId="4194E23E">
            <w:pPr>
              <w:pStyle w:val="6"/>
              <w:spacing w:before="85" w:line="261" w:lineRule="auto"/>
              <w:ind w:left="66" w:right="2" w:firstLine="2"/>
              <w:jc w:val="both"/>
              <w:rPr>
                <w:sz w:val="18"/>
                <w:szCs w:val="18"/>
              </w:rPr>
            </w:pPr>
            <w:r>
              <w:rPr>
                <w:spacing w:val="-3"/>
                <w:sz w:val="18"/>
                <w:szCs w:val="18"/>
              </w:rPr>
              <w:t>各设置粉料筒仓</w:t>
            </w:r>
            <w:r>
              <w:rPr>
                <w:spacing w:val="-37"/>
                <w:sz w:val="18"/>
                <w:szCs w:val="18"/>
              </w:rPr>
              <w:t xml:space="preserve"> </w:t>
            </w:r>
            <w:r>
              <w:rPr>
                <w:rFonts w:ascii="Times New Roman" w:hAnsi="Times New Roman" w:eastAsia="Times New Roman" w:cs="Times New Roman"/>
                <w:spacing w:val="-3"/>
                <w:sz w:val="18"/>
                <w:szCs w:val="18"/>
              </w:rPr>
              <w:t xml:space="preserve">5 </w:t>
            </w:r>
            <w:r>
              <w:rPr>
                <w:spacing w:val="-3"/>
                <w:sz w:val="18"/>
                <w:szCs w:val="18"/>
              </w:rPr>
              <w:t>个（共</w:t>
            </w:r>
            <w:r>
              <w:rPr>
                <w:spacing w:val="-26"/>
                <w:sz w:val="18"/>
                <w:szCs w:val="18"/>
              </w:rPr>
              <w:t xml:space="preserve"> </w:t>
            </w:r>
            <w:r>
              <w:rPr>
                <w:rFonts w:ascii="Times New Roman" w:hAnsi="Times New Roman" w:eastAsia="Times New Roman" w:cs="Times New Roman"/>
                <w:spacing w:val="-3"/>
                <w:sz w:val="18"/>
                <w:szCs w:val="18"/>
              </w:rPr>
              <w:t xml:space="preserve">10 </w:t>
            </w:r>
            <w:r>
              <w:rPr>
                <w:spacing w:val="-3"/>
                <w:sz w:val="18"/>
                <w:szCs w:val="18"/>
              </w:rPr>
              <w:t>个</w:t>
            </w:r>
            <w:r>
              <w:rPr>
                <w:spacing w:val="12"/>
                <w:sz w:val="18"/>
                <w:szCs w:val="18"/>
              </w:rPr>
              <w:t>），</w:t>
            </w:r>
            <w:r>
              <w:rPr>
                <w:spacing w:val="-3"/>
                <w:sz w:val="18"/>
                <w:szCs w:val="18"/>
              </w:rPr>
              <w:t>单个筒仓可</w:t>
            </w:r>
            <w:r>
              <w:rPr>
                <w:sz w:val="18"/>
                <w:szCs w:val="18"/>
              </w:rPr>
              <w:t xml:space="preserve">  </w:t>
            </w:r>
            <w:r>
              <w:rPr>
                <w:spacing w:val="-9"/>
                <w:sz w:val="18"/>
                <w:szCs w:val="18"/>
              </w:rPr>
              <w:t>储存粉料</w:t>
            </w:r>
            <w:r>
              <w:rPr>
                <w:spacing w:val="-24"/>
                <w:sz w:val="18"/>
                <w:szCs w:val="18"/>
              </w:rPr>
              <w:t xml:space="preserve"> </w:t>
            </w:r>
            <w:r>
              <w:rPr>
                <w:rFonts w:ascii="Times New Roman" w:hAnsi="Times New Roman" w:eastAsia="Times New Roman" w:cs="Times New Roman"/>
                <w:spacing w:val="-9"/>
                <w:sz w:val="18"/>
                <w:szCs w:val="18"/>
              </w:rPr>
              <w:t>100t</w:t>
            </w:r>
            <w:r>
              <w:rPr>
                <w:spacing w:val="-9"/>
                <w:sz w:val="18"/>
                <w:szCs w:val="18"/>
              </w:rPr>
              <w:t>。储存的原料包括水泥、烘干黄沙、</w:t>
            </w:r>
            <w:r>
              <w:rPr>
                <w:sz w:val="18"/>
                <w:szCs w:val="18"/>
              </w:rPr>
              <w:t xml:space="preserve"> </w:t>
            </w:r>
            <w:r>
              <w:rPr>
                <w:spacing w:val="-1"/>
                <w:sz w:val="18"/>
                <w:szCs w:val="18"/>
              </w:rPr>
              <w:t>粉煤灰、石膏或消石灰、废矿粉、玻化微珠等</w:t>
            </w:r>
          </w:p>
        </w:tc>
        <w:tc>
          <w:tcPr>
            <w:tcW w:w="982" w:type="dxa"/>
            <w:vMerge w:val="restart"/>
            <w:tcBorders>
              <w:bottom w:val="nil"/>
            </w:tcBorders>
            <w:vAlign w:val="top"/>
          </w:tcPr>
          <w:p w14:paraId="06E9FCDF">
            <w:pPr>
              <w:rPr>
                <w:rFonts w:ascii="Arial"/>
                <w:sz w:val="21"/>
              </w:rPr>
            </w:pPr>
          </w:p>
        </w:tc>
        <w:tc>
          <w:tcPr>
            <w:tcW w:w="1237" w:type="dxa"/>
            <w:vAlign w:val="top"/>
          </w:tcPr>
          <w:p w14:paraId="4AD10D15">
            <w:pPr>
              <w:rPr>
                <w:rFonts w:ascii="Arial"/>
                <w:sz w:val="21"/>
              </w:rPr>
            </w:pPr>
          </w:p>
        </w:tc>
        <w:tc>
          <w:tcPr>
            <w:tcW w:w="735" w:type="dxa"/>
            <w:vAlign w:val="top"/>
          </w:tcPr>
          <w:p w14:paraId="5F6A6434">
            <w:pPr>
              <w:rPr>
                <w:rFonts w:ascii="Arial"/>
                <w:sz w:val="21"/>
              </w:rPr>
            </w:pPr>
          </w:p>
        </w:tc>
        <w:tc>
          <w:tcPr>
            <w:tcW w:w="166" w:type="dxa"/>
            <w:vMerge w:val="restart"/>
            <w:tcBorders>
              <w:top w:val="single" w:color="000000" w:sz="6" w:space="0"/>
              <w:bottom w:val="nil"/>
              <w:right w:val="single" w:color="000000" w:sz="6" w:space="0"/>
            </w:tcBorders>
            <w:vAlign w:val="top"/>
          </w:tcPr>
          <w:p w14:paraId="73628687">
            <w:pPr>
              <w:rPr>
                <w:rFonts w:ascii="Arial"/>
                <w:sz w:val="21"/>
              </w:rPr>
            </w:pPr>
          </w:p>
        </w:tc>
      </w:tr>
      <w:tr w14:paraId="224F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4" w:hRule="atLeast"/>
        </w:trPr>
        <w:tc>
          <w:tcPr>
            <w:tcW w:w="987" w:type="dxa"/>
            <w:vMerge w:val="continue"/>
            <w:tcBorders>
              <w:top w:val="nil"/>
              <w:left w:val="single" w:color="000000" w:sz="6" w:space="0"/>
              <w:bottom w:val="nil"/>
            </w:tcBorders>
            <w:vAlign w:val="top"/>
          </w:tcPr>
          <w:p w14:paraId="06002B9E">
            <w:pPr>
              <w:rPr>
                <w:rFonts w:ascii="Arial"/>
                <w:sz w:val="21"/>
              </w:rPr>
            </w:pPr>
          </w:p>
        </w:tc>
        <w:tc>
          <w:tcPr>
            <w:tcW w:w="870" w:type="dxa"/>
            <w:vMerge w:val="continue"/>
            <w:tcBorders>
              <w:top w:val="nil"/>
              <w:bottom w:val="nil"/>
            </w:tcBorders>
            <w:vAlign w:val="top"/>
          </w:tcPr>
          <w:p w14:paraId="7AC0BD18">
            <w:pPr>
              <w:rPr>
                <w:rFonts w:ascii="Arial"/>
                <w:sz w:val="21"/>
              </w:rPr>
            </w:pPr>
          </w:p>
        </w:tc>
        <w:tc>
          <w:tcPr>
            <w:tcW w:w="3846" w:type="dxa"/>
            <w:gridSpan w:val="2"/>
            <w:vAlign w:val="top"/>
          </w:tcPr>
          <w:p w14:paraId="2C16A27B">
            <w:pPr>
              <w:pStyle w:val="6"/>
              <w:spacing w:before="72" w:line="267" w:lineRule="auto"/>
              <w:ind w:left="67" w:right="89" w:firstLine="4"/>
              <w:jc w:val="both"/>
              <w:rPr>
                <w:sz w:val="18"/>
                <w:szCs w:val="18"/>
              </w:rPr>
            </w:pPr>
            <w:r>
              <w:rPr>
                <w:spacing w:val="-1"/>
                <w:sz w:val="18"/>
                <w:szCs w:val="18"/>
              </w:rPr>
              <w:t>小料贮存区：</w:t>
            </w:r>
            <w:r>
              <w:rPr>
                <w:rFonts w:ascii="Times New Roman" w:hAnsi="Times New Roman" w:eastAsia="Times New Roman" w:cs="Times New Roman"/>
                <w:spacing w:val="-1"/>
                <w:sz w:val="18"/>
                <w:szCs w:val="18"/>
              </w:rPr>
              <w:t>1#</w:t>
            </w:r>
            <w:r>
              <w:rPr>
                <w:spacing w:val="-1"/>
                <w:sz w:val="18"/>
                <w:szCs w:val="18"/>
              </w:rPr>
              <w:t>和</w:t>
            </w:r>
            <w:r>
              <w:rPr>
                <w:spacing w:val="-38"/>
                <w:sz w:val="18"/>
                <w:szCs w:val="18"/>
              </w:rPr>
              <w:t xml:space="preserve"> </w:t>
            </w:r>
            <w:r>
              <w:rPr>
                <w:rFonts w:ascii="Times New Roman" w:hAnsi="Times New Roman" w:eastAsia="Times New Roman" w:cs="Times New Roman"/>
                <w:spacing w:val="-1"/>
                <w:sz w:val="18"/>
                <w:szCs w:val="18"/>
              </w:rPr>
              <w:t>2#</w:t>
            </w:r>
            <w:r>
              <w:rPr>
                <w:spacing w:val="-1"/>
                <w:sz w:val="18"/>
                <w:szCs w:val="18"/>
              </w:rPr>
              <w:t>车间均设有小料专用贮存</w:t>
            </w:r>
            <w:r>
              <w:rPr>
                <w:sz w:val="18"/>
                <w:szCs w:val="18"/>
              </w:rPr>
              <w:t xml:space="preserve"> </w:t>
            </w:r>
            <w:r>
              <w:rPr>
                <w:spacing w:val="-2"/>
                <w:sz w:val="18"/>
                <w:szCs w:val="18"/>
              </w:rPr>
              <w:t>区。其中</w:t>
            </w:r>
            <w:r>
              <w:rPr>
                <w:spacing w:val="-9"/>
                <w:sz w:val="18"/>
                <w:szCs w:val="18"/>
              </w:rPr>
              <w:t xml:space="preserve"> </w:t>
            </w:r>
            <w:r>
              <w:rPr>
                <w:rFonts w:ascii="Times New Roman" w:hAnsi="Times New Roman" w:eastAsia="Times New Roman" w:cs="Times New Roman"/>
                <w:spacing w:val="-2"/>
                <w:sz w:val="18"/>
                <w:szCs w:val="18"/>
              </w:rPr>
              <w:t>1#</w:t>
            </w:r>
            <w:r>
              <w:rPr>
                <w:spacing w:val="-2"/>
                <w:sz w:val="18"/>
                <w:szCs w:val="18"/>
              </w:rPr>
              <w:t>车间主要贮存袋装发泡铝粉（</w:t>
            </w:r>
            <w:r>
              <w:rPr>
                <w:rFonts w:ascii="Times New Roman" w:hAnsi="Times New Roman" w:eastAsia="Times New Roman" w:cs="Times New Roman"/>
                <w:spacing w:val="-2"/>
                <w:sz w:val="18"/>
                <w:szCs w:val="18"/>
              </w:rPr>
              <w:t>25kg/</w:t>
            </w:r>
            <w:r>
              <w:rPr>
                <w:rFonts w:ascii="Times New Roman" w:hAnsi="Times New Roman" w:eastAsia="Times New Roman" w:cs="Times New Roman"/>
                <w:sz w:val="18"/>
                <w:szCs w:val="18"/>
              </w:rPr>
              <w:t xml:space="preserve"> </w:t>
            </w:r>
            <w:r>
              <w:rPr>
                <w:spacing w:val="-1"/>
                <w:sz w:val="18"/>
                <w:szCs w:val="18"/>
              </w:rPr>
              <w:t>袋</w:t>
            </w:r>
            <w:r>
              <w:rPr>
                <w:spacing w:val="5"/>
                <w:sz w:val="18"/>
                <w:szCs w:val="18"/>
              </w:rPr>
              <w:t>），</w:t>
            </w:r>
            <w:r>
              <w:rPr>
                <w:rFonts w:ascii="Times New Roman" w:hAnsi="Times New Roman" w:eastAsia="Times New Roman" w:cs="Times New Roman"/>
                <w:spacing w:val="-1"/>
                <w:sz w:val="18"/>
                <w:szCs w:val="18"/>
              </w:rPr>
              <w:t>2#</w:t>
            </w:r>
            <w:r>
              <w:rPr>
                <w:spacing w:val="-1"/>
                <w:sz w:val="18"/>
                <w:szCs w:val="18"/>
              </w:rPr>
              <w:t>车间主要贮存袋装的可再分散乳胶粉</w:t>
            </w:r>
            <w:r>
              <w:rPr>
                <w:sz w:val="18"/>
                <w:szCs w:val="18"/>
              </w:rPr>
              <w:t xml:space="preserve">  </w:t>
            </w:r>
            <w:r>
              <w:rPr>
                <w:spacing w:val="-1"/>
                <w:sz w:val="18"/>
                <w:szCs w:val="18"/>
              </w:rPr>
              <w:t>（</w:t>
            </w:r>
            <w:r>
              <w:rPr>
                <w:rFonts w:ascii="Times New Roman" w:hAnsi="Times New Roman" w:eastAsia="Times New Roman" w:cs="Times New Roman"/>
                <w:spacing w:val="-1"/>
                <w:sz w:val="18"/>
                <w:szCs w:val="18"/>
              </w:rPr>
              <w:t>25kg/</w:t>
            </w:r>
            <w:r>
              <w:rPr>
                <w:spacing w:val="-1"/>
                <w:sz w:val="18"/>
                <w:szCs w:val="18"/>
              </w:rPr>
              <w:t>袋）或玻璃纤维（</w:t>
            </w:r>
            <w:r>
              <w:rPr>
                <w:rFonts w:ascii="Times New Roman" w:hAnsi="Times New Roman" w:eastAsia="Times New Roman" w:cs="Times New Roman"/>
                <w:spacing w:val="-1"/>
                <w:sz w:val="18"/>
                <w:szCs w:val="18"/>
              </w:rPr>
              <w:t>25kg/</w:t>
            </w:r>
            <w:r>
              <w:rPr>
                <w:spacing w:val="-1"/>
                <w:sz w:val="18"/>
                <w:szCs w:val="18"/>
              </w:rPr>
              <w:t>袋）</w:t>
            </w:r>
          </w:p>
        </w:tc>
        <w:tc>
          <w:tcPr>
            <w:tcW w:w="982" w:type="dxa"/>
            <w:vMerge w:val="continue"/>
            <w:tcBorders>
              <w:top w:val="nil"/>
              <w:bottom w:val="nil"/>
            </w:tcBorders>
            <w:vAlign w:val="top"/>
          </w:tcPr>
          <w:p w14:paraId="7B591EFC">
            <w:pPr>
              <w:rPr>
                <w:rFonts w:ascii="Arial"/>
                <w:sz w:val="21"/>
              </w:rPr>
            </w:pPr>
          </w:p>
        </w:tc>
        <w:tc>
          <w:tcPr>
            <w:tcW w:w="1237" w:type="dxa"/>
            <w:vAlign w:val="top"/>
          </w:tcPr>
          <w:p w14:paraId="72B34276">
            <w:pPr>
              <w:spacing w:line="431" w:lineRule="auto"/>
              <w:rPr>
                <w:rFonts w:ascii="Arial"/>
                <w:sz w:val="21"/>
              </w:rPr>
            </w:pPr>
          </w:p>
          <w:p w14:paraId="18F9C499">
            <w:pPr>
              <w:pStyle w:val="6"/>
              <w:spacing w:before="58" w:line="224" w:lineRule="auto"/>
              <w:ind w:left="581"/>
              <w:rPr>
                <w:sz w:val="18"/>
                <w:szCs w:val="18"/>
              </w:rPr>
            </w:pPr>
            <w:r>
              <w:rPr>
                <w:sz w:val="18"/>
                <w:szCs w:val="18"/>
              </w:rPr>
              <w:t>/</w:t>
            </w:r>
          </w:p>
        </w:tc>
        <w:tc>
          <w:tcPr>
            <w:tcW w:w="735" w:type="dxa"/>
            <w:vAlign w:val="top"/>
          </w:tcPr>
          <w:p w14:paraId="242C9ECE">
            <w:pPr>
              <w:spacing w:line="430" w:lineRule="auto"/>
              <w:rPr>
                <w:rFonts w:ascii="Arial"/>
                <w:sz w:val="21"/>
              </w:rPr>
            </w:pPr>
          </w:p>
          <w:p w14:paraId="2B69C8D4">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59CB6B6D">
            <w:pPr>
              <w:rPr>
                <w:rFonts w:ascii="Arial"/>
                <w:sz w:val="21"/>
              </w:rPr>
            </w:pPr>
          </w:p>
        </w:tc>
      </w:tr>
      <w:tr w14:paraId="0AE5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87" w:type="dxa"/>
            <w:vMerge w:val="continue"/>
            <w:tcBorders>
              <w:top w:val="nil"/>
              <w:left w:val="single" w:color="000000" w:sz="6" w:space="0"/>
              <w:bottom w:val="nil"/>
            </w:tcBorders>
            <w:vAlign w:val="top"/>
          </w:tcPr>
          <w:p w14:paraId="7CA9F6CC">
            <w:pPr>
              <w:rPr>
                <w:rFonts w:ascii="Arial"/>
                <w:sz w:val="21"/>
              </w:rPr>
            </w:pPr>
          </w:p>
        </w:tc>
        <w:tc>
          <w:tcPr>
            <w:tcW w:w="870" w:type="dxa"/>
            <w:vMerge w:val="continue"/>
            <w:tcBorders>
              <w:top w:val="nil"/>
              <w:bottom w:val="nil"/>
            </w:tcBorders>
            <w:vAlign w:val="top"/>
          </w:tcPr>
          <w:p w14:paraId="70CCDCE4">
            <w:pPr>
              <w:rPr>
                <w:rFonts w:ascii="Arial"/>
                <w:sz w:val="21"/>
              </w:rPr>
            </w:pPr>
          </w:p>
        </w:tc>
        <w:tc>
          <w:tcPr>
            <w:tcW w:w="3846" w:type="dxa"/>
            <w:gridSpan w:val="2"/>
            <w:vAlign w:val="top"/>
          </w:tcPr>
          <w:p w14:paraId="2ED911DD">
            <w:pPr>
              <w:pStyle w:val="6"/>
              <w:spacing w:before="73" w:line="260" w:lineRule="auto"/>
              <w:ind w:left="69" w:right="60"/>
              <w:jc w:val="both"/>
              <w:rPr>
                <w:sz w:val="18"/>
                <w:szCs w:val="18"/>
              </w:rPr>
            </w:pPr>
            <w:r>
              <w:rPr>
                <w:spacing w:val="-2"/>
                <w:sz w:val="18"/>
                <w:szCs w:val="18"/>
              </w:rPr>
              <w:t>蒸汽加气混凝土建材产品堆场：在</w:t>
            </w:r>
            <w:r>
              <w:rPr>
                <w:spacing w:val="-15"/>
                <w:sz w:val="18"/>
                <w:szCs w:val="18"/>
              </w:rPr>
              <w:t xml:space="preserve"> </w:t>
            </w:r>
            <w:r>
              <w:rPr>
                <w:rFonts w:ascii="Times New Roman" w:hAnsi="Times New Roman" w:eastAsia="Times New Roman" w:cs="Times New Roman"/>
                <w:spacing w:val="-2"/>
                <w:sz w:val="18"/>
                <w:szCs w:val="18"/>
              </w:rPr>
              <w:t>1#</w:t>
            </w:r>
            <w:r>
              <w:rPr>
                <w:spacing w:val="-2"/>
                <w:sz w:val="18"/>
                <w:szCs w:val="18"/>
              </w:rPr>
              <w:t>生产车间</w:t>
            </w:r>
            <w:r>
              <w:rPr>
                <w:sz w:val="18"/>
                <w:szCs w:val="18"/>
              </w:rPr>
              <w:t xml:space="preserve">  </w:t>
            </w:r>
            <w:r>
              <w:rPr>
                <w:spacing w:val="-2"/>
                <w:sz w:val="18"/>
                <w:szCs w:val="18"/>
              </w:rPr>
              <w:t>内设置产品堆放区，占地面约</w:t>
            </w:r>
            <w:r>
              <w:rPr>
                <w:spacing w:val="-40"/>
                <w:sz w:val="18"/>
                <w:szCs w:val="18"/>
              </w:rPr>
              <w:t xml:space="preserve"> </w:t>
            </w:r>
            <w:r>
              <w:rPr>
                <w:rFonts w:ascii="Times New Roman" w:hAnsi="Times New Roman" w:eastAsia="Times New Roman" w:cs="Times New Roman"/>
                <w:spacing w:val="-2"/>
                <w:sz w:val="18"/>
                <w:szCs w:val="18"/>
              </w:rPr>
              <w:t>300m</w:t>
            </w:r>
            <w:r>
              <w:rPr>
                <w:rFonts w:ascii="Times New Roman" w:hAnsi="Times New Roman" w:eastAsia="Times New Roman" w:cs="Times New Roman"/>
                <w:spacing w:val="-2"/>
                <w:position w:val="5"/>
                <w:sz w:val="11"/>
                <w:szCs w:val="11"/>
              </w:rPr>
              <w:t>2</w:t>
            </w:r>
            <w:r>
              <w:rPr>
                <w:spacing w:val="-2"/>
                <w:sz w:val="18"/>
                <w:szCs w:val="18"/>
              </w:rPr>
              <w:t>，在车间外</w:t>
            </w:r>
            <w:r>
              <w:rPr>
                <w:sz w:val="18"/>
                <w:szCs w:val="18"/>
              </w:rPr>
              <w:t xml:space="preserve"> </w:t>
            </w:r>
            <w:r>
              <w:rPr>
                <w:spacing w:val="-1"/>
                <w:sz w:val="18"/>
                <w:szCs w:val="18"/>
              </w:rPr>
              <w:t>设置包装好的产品临时堆放区</w:t>
            </w:r>
          </w:p>
        </w:tc>
        <w:tc>
          <w:tcPr>
            <w:tcW w:w="982" w:type="dxa"/>
            <w:vMerge w:val="continue"/>
            <w:tcBorders>
              <w:top w:val="nil"/>
              <w:bottom w:val="nil"/>
            </w:tcBorders>
            <w:vAlign w:val="top"/>
          </w:tcPr>
          <w:p w14:paraId="6B0B4386">
            <w:pPr>
              <w:rPr>
                <w:rFonts w:ascii="Arial"/>
                <w:sz w:val="21"/>
              </w:rPr>
            </w:pPr>
          </w:p>
        </w:tc>
        <w:tc>
          <w:tcPr>
            <w:tcW w:w="1237" w:type="dxa"/>
            <w:vAlign w:val="top"/>
          </w:tcPr>
          <w:p w14:paraId="2001FC4F">
            <w:pPr>
              <w:spacing w:line="291" w:lineRule="auto"/>
              <w:rPr>
                <w:rFonts w:ascii="Arial"/>
                <w:sz w:val="21"/>
              </w:rPr>
            </w:pPr>
          </w:p>
          <w:p w14:paraId="41C51EB2">
            <w:pPr>
              <w:pStyle w:val="6"/>
              <w:spacing w:before="59" w:line="224" w:lineRule="auto"/>
              <w:ind w:left="581"/>
              <w:rPr>
                <w:sz w:val="18"/>
                <w:szCs w:val="18"/>
              </w:rPr>
            </w:pPr>
            <w:r>
              <w:rPr>
                <w:sz w:val="18"/>
                <w:szCs w:val="18"/>
              </w:rPr>
              <w:t>/</w:t>
            </w:r>
          </w:p>
        </w:tc>
        <w:tc>
          <w:tcPr>
            <w:tcW w:w="735" w:type="dxa"/>
            <w:vAlign w:val="top"/>
          </w:tcPr>
          <w:p w14:paraId="5D3EEF2B">
            <w:pPr>
              <w:spacing w:line="291" w:lineRule="auto"/>
              <w:rPr>
                <w:rFonts w:ascii="Arial"/>
                <w:sz w:val="21"/>
              </w:rPr>
            </w:pPr>
          </w:p>
          <w:p w14:paraId="76B6D4C7">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4C84E70B">
            <w:pPr>
              <w:rPr>
                <w:rFonts w:ascii="Arial"/>
                <w:sz w:val="21"/>
              </w:rPr>
            </w:pPr>
          </w:p>
        </w:tc>
      </w:tr>
      <w:tr w14:paraId="38AD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87" w:type="dxa"/>
            <w:vMerge w:val="continue"/>
            <w:tcBorders>
              <w:top w:val="nil"/>
              <w:left w:val="single" w:color="000000" w:sz="6" w:space="0"/>
              <w:bottom w:val="nil"/>
            </w:tcBorders>
            <w:vAlign w:val="top"/>
          </w:tcPr>
          <w:p w14:paraId="7A0A8C12">
            <w:pPr>
              <w:rPr>
                <w:rFonts w:ascii="Arial"/>
                <w:sz w:val="21"/>
              </w:rPr>
            </w:pPr>
          </w:p>
        </w:tc>
        <w:tc>
          <w:tcPr>
            <w:tcW w:w="870" w:type="dxa"/>
            <w:vMerge w:val="continue"/>
            <w:tcBorders>
              <w:top w:val="nil"/>
              <w:bottom w:val="nil"/>
            </w:tcBorders>
            <w:vAlign w:val="top"/>
          </w:tcPr>
          <w:p w14:paraId="0A01BE5B">
            <w:pPr>
              <w:rPr>
                <w:rFonts w:ascii="Arial"/>
                <w:sz w:val="21"/>
              </w:rPr>
            </w:pPr>
          </w:p>
        </w:tc>
        <w:tc>
          <w:tcPr>
            <w:tcW w:w="3846" w:type="dxa"/>
            <w:gridSpan w:val="2"/>
            <w:vAlign w:val="top"/>
          </w:tcPr>
          <w:p w14:paraId="40DF7E4D">
            <w:pPr>
              <w:pStyle w:val="6"/>
              <w:spacing w:before="73" w:line="260" w:lineRule="auto"/>
              <w:ind w:left="66" w:right="60"/>
              <w:jc w:val="both"/>
              <w:rPr>
                <w:sz w:val="18"/>
                <w:szCs w:val="18"/>
              </w:rPr>
            </w:pPr>
            <w:r>
              <w:rPr>
                <w:spacing w:val="-4"/>
                <w:sz w:val="18"/>
                <w:szCs w:val="18"/>
              </w:rPr>
              <w:t>物资库：利用一期工程生产车间东侧设置的物资</w:t>
            </w:r>
            <w:r>
              <w:rPr>
                <w:spacing w:val="15"/>
                <w:sz w:val="18"/>
                <w:szCs w:val="18"/>
              </w:rPr>
              <w:t xml:space="preserve"> </w:t>
            </w:r>
            <w:r>
              <w:rPr>
                <w:spacing w:val="-2"/>
                <w:sz w:val="18"/>
                <w:szCs w:val="18"/>
              </w:rPr>
              <w:t>库，建筑面积约</w:t>
            </w:r>
            <w:r>
              <w:rPr>
                <w:spacing w:val="-37"/>
                <w:sz w:val="18"/>
                <w:szCs w:val="18"/>
              </w:rPr>
              <w:t xml:space="preserve"> </w:t>
            </w:r>
            <w:r>
              <w:rPr>
                <w:rFonts w:ascii="Times New Roman" w:hAnsi="Times New Roman" w:eastAsia="Times New Roman" w:cs="Times New Roman"/>
                <w:spacing w:val="-2"/>
                <w:sz w:val="18"/>
                <w:szCs w:val="18"/>
              </w:rPr>
              <w:t>200m</w:t>
            </w:r>
            <w:r>
              <w:rPr>
                <w:rFonts w:ascii="Times New Roman" w:hAnsi="Times New Roman" w:eastAsia="Times New Roman" w:cs="Times New Roman"/>
                <w:spacing w:val="-2"/>
                <w:position w:val="5"/>
                <w:sz w:val="11"/>
                <w:szCs w:val="11"/>
              </w:rPr>
              <w:t>2</w:t>
            </w:r>
            <w:r>
              <w:rPr>
                <w:spacing w:val="-2"/>
                <w:sz w:val="18"/>
                <w:szCs w:val="18"/>
              </w:rPr>
              <w:t>。物资库内分为材料区和</w:t>
            </w:r>
            <w:r>
              <w:rPr>
                <w:sz w:val="18"/>
                <w:szCs w:val="18"/>
              </w:rPr>
              <w:t xml:space="preserve"> </w:t>
            </w:r>
            <w:r>
              <w:rPr>
                <w:spacing w:val="-3"/>
                <w:sz w:val="18"/>
                <w:szCs w:val="18"/>
              </w:rPr>
              <w:t>废品区</w:t>
            </w:r>
          </w:p>
        </w:tc>
        <w:tc>
          <w:tcPr>
            <w:tcW w:w="982" w:type="dxa"/>
            <w:vMerge w:val="continue"/>
            <w:tcBorders>
              <w:top w:val="nil"/>
              <w:bottom w:val="nil"/>
            </w:tcBorders>
            <w:vAlign w:val="top"/>
          </w:tcPr>
          <w:p w14:paraId="787E4D83">
            <w:pPr>
              <w:rPr>
                <w:rFonts w:ascii="Arial"/>
                <w:sz w:val="21"/>
              </w:rPr>
            </w:pPr>
          </w:p>
        </w:tc>
        <w:tc>
          <w:tcPr>
            <w:tcW w:w="1237" w:type="dxa"/>
            <w:vAlign w:val="top"/>
          </w:tcPr>
          <w:p w14:paraId="733FFD4D">
            <w:pPr>
              <w:spacing w:line="292" w:lineRule="auto"/>
              <w:rPr>
                <w:rFonts w:ascii="Arial"/>
                <w:sz w:val="21"/>
              </w:rPr>
            </w:pPr>
          </w:p>
          <w:p w14:paraId="2982A7B6">
            <w:pPr>
              <w:pStyle w:val="6"/>
              <w:spacing w:before="58" w:line="220" w:lineRule="auto"/>
              <w:ind w:left="267"/>
              <w:rPr>
                <w:sz w:val="18"/>
                <w:szCs w:val="18"/>
              </w:rPr>
            </w:pPr>
            <w:r>
              <w:rPr>
                <w:spacing w:val="-2"/>
                <w:sz w:val="18"/>
                <w:szCs w:val="18"/>
              </w:rPr>
              <w:t>环境风险</w:t>
            </w:r>
          </w:p>
        </w:tc>
        <w:tc>
          <w:tcPr>
            <w:tcW w:w="735" w:type="dxa"/>
            <w:vAlign w:val="top"/>
          </w:tcPr>
          <w:p w14:paraId="705F274D">
            <w:pPr>
              <w:spacing w:line="292" w:lineRule="auto"/>
              <w:rPr>
                <w:rFonts w:ascii="Arial"/>
                <w:sz w:val="21"/>
              </w:rPr>
            </w:pPr>
          </w:p>
          <w:p w14:paraId="1173F69F">
            <w:pPr>
              <w:pStyle w:val="6"/>
              <w:spacing w:before="59"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27542B65">
            <w:pPr>
              <w:rPr>
                <w:rFonts w:ascii="Arial"/>
                <w:sz w:val="21"/>
              </w:rPr>
            </w:pPr>
          </w:p>
        </w:tc>
      </w:tr>
      <w:tr w14:paraId="70F8E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4506AD15">
            <w:pPr>
              <w:rPr>
                <w:rFonts w:ascii="Arial"/>
                <w:sz w:val="21"/>
              </w:rPr>
            </w:pPr>
          </w:p>
        </w:tc>
        <w:tc>
          <w:tcPr>
            <w:tcW w:w="870" w:type="dxa"/>
            <w:vMerge w:val="continue"/>
            <w:tcBorders>
              <w:top w:val="nil"/>
            </w:tcBorders>
            <w:vAlign w:val="top"/>
          </w:tcPr>
          <w:p w14:paraId="19E5CF79">
            <w:pPr>
              <w:rPr>
                <w:rFonts w:ascii="Arial"/>
                <w:sz w:val="21"/>
              </w:rPr>
            </w:pPr>
          </w:p>
        </w:tc>
        <w:tc>
          <w:tcPr>
            <w:tcW w:w="3846" w:type="dxa"/>
            <w:gridSpan w:val="2"/>
            <w:vAlign w:val="top"/>
          </w:tcPr>
          <w:p w14:paraId="5564C076">
            <w:pPr>
              <w:pStyle w:val="6"/>
              <w:spacing w:before="75" w:line="270" w:lineRule="auto"/>
              <w:ind w:left="66" w:right="60"/>
              <w:rPr>
                <w:rFonts w:ascii="Times New Roman" w:hAnsi="Times New Roman" w:eastAsia="Times New Roman" w:cs="Times New Roman"/>
                <w:sz w:val="11"/>
                <w:szCs w:val="11"/>
              </w:rPr>
            </w:pPr>
            <w:r>
              <w:rPr>
                <w:spacing w:val="-4"/>
                <w:sz w:val="18"/>
                <w:szCs w:val="18"/>
              </w:rPr>
              <w:t>干混砂浆产品堆场：项目干混砂浆产品采用袋装</w:t>
            </w:r>
            <w:r>
              <w:rPr>
                <w:spacing w:val="16"/>
                <w:sz w:val="18"/>
                <w:szCs w:val="18"/>
              </w:rPr>
              <w:t xml:space="preserve"> </w:t>
            </w:r>
            <w:r>
              <w:rPr>
                <w:spacing w:val="-3"/>
                <w:sz w:val="18"/>
                <w:szCs w:val="18"/>
              </w:rPr>
              <w:t>包装后，临时堆放在生产车间内，</w:t>
            </w:r>
            <w:r>
              <w:rPr>
                <w:spacing w:val="-39"/>
                <w:sz w:val="18"/>
                <w:szCs w:val="18"/>
              </w:rPr>
              <w:t xml:space="preserve"> </w:t>
            </w:r>
            <w:r>
              <w:rPr>
                <w:spacing w:val="-3"/>
                <w:sz w:val="18"/>
                <w:szCs w:val="18"/>
              </w:rPr>
              <w:t>占地面积约</w:t>
            </w:r>
            <w:r>
              <w:rPr>
                <w:sz w:val="18"/>
                <w:szCs w:val="18"/>
              </w:rPr>
              <w:t xml:space="preserve">  </w:t>
            </w:r>
            <w:r>
              <w:rPr>
                <w:rFonts w:ascii="Times New Roman" w:hAnsi="Times New Roman" w:eastAsia="Times New Roman" w:cs="Times New Roman"/>
                <w:spacing w:val="-2"/>
                <w:sz w:val="18"/>
                <w:szCs w:val="18"/>
              </w:rPr>
              <w:t>100m</w:t>
            </w:r>
            <w:r>
              <w:rPr>
                <w:rFonts w:ascii="Times New Roman" w:hAnsi="Times New Roman" w:eastAsia="Times New Roman" w:cs="Times New Roman"/>
                <w:spacing w:val="-2"/>
                <w:position w:val="5"/>
                <w:sz w:val="11"/>
                <w:szCs w:val="11"/>
              </w:rPr>
              <w:t>2</w:t>
            </w:r>
          </w:p>
        </w:tc>
        <w:tc>
          <w:tcPr>
            <w:tcW w:w="982" w:type="dxa"/>
            <w:vMerge w:val="continue"/>
            <w:tcBorders>
              <w:top w:val="nil"/>
              <w:bottom w:val="nil"/>
            </w:tcBorders>
            <w:vAlign w:val="top"/>
          </w:tcPr>
          <w:p w14:paraId="280F5413">
            <w:pPr>
              <w:rPr>
                <w:rFonts w:ascii="Arial"/>
                <w:sz w:val="21"/>
              </w:rPr>
            </w:pPr>
          </w:p>
        </w:tc>
        <w:tc>
          <w:tcPr>
            <w:tcW w:w="1237" w:type="dxa"/>
            <w:vAlign w:val="top"/>
          </w:tcPr>
          <w:p w14:paraId="530D8300">
            <w:pPr>
              <w:spacing w:line="295" w:lineRule="auto"/>
              <w:rPr>
                <w:rFonts w:ascii="Arial"/>
                <w:sz w:val="21"/>
              </w:rPr>
            </w:pPr>
          </w:p>
          <w:p w14:paraId="63391FCE">
            <w:pPr>
              <w:pStyle w:val="6"/>
              <w:spacing w:before="58" w:line="224" w:lineRule="auto"/>
              <w:ind w:left="581"/>
              <w:rPr>
                <w:sz w:val="18"/>
                <w:szCs w:val="18"/>
              </w:rPr>
            </w:pPr>
            <w:r>
              <w:rPr>
                <w:sz w:val="18"/>
                <w:szCs w:val="18"/>
              </w:rPr>
              <w:t>/</w:t>
            </w:r>
          </w:p>
        </w:tc>
        <w:tc>
          <w:tcPr>
            <w:tcW w:w="735" w:type="dxa"/>
            <w:vAlign w:val="top"/>
          </w:tcPr>
          <w:p w14:paraId="1B1C7A9E">
            <w:pPr>
              <w:spacing w:line="295" w:lineRule="auto"/>
              <w:rPr>
                <w:rFonts w:ascii="Arial"/>
                <w:sz w:val="21"/>
              </w:rPr>
            </w:pPr>
          </w:p>
          <w:p w14:paraId="47A012BD">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1707CABC">
            <w:pPr>
              <w:rPr>
                <w:rFonts w:ascii="Arial"/>
                <w:sz w:val="21"/>
              </w:rPr>
            </w:pPr>
          </w:p>
        </w:tc>
      </w:tr>
      <w:tr w14:paraId="199B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87" w:type="dxa"/>
            <w:vMerge w:val="continue"/>
            <w:tcBorders>
              <w:top w:val="nil"/>
              <w:left w:val="single" w:color="000000" w:sz="6" w:space="0"/>
              <w:bottom w:val="nil"/>
            </w:tcBorders>
            <w:vAlign w:val="top"/>
          </w:tcPr>
          <w:p w14:paraId="325D33ED">
            <w:pPr>
              <w:rPr>
                <w:rFonts w:ascii="Arial"/>
                <w:sz w:val="21"/>
              </w:rPr>
            </w:pPr>
          </w:p>
        </w:tc>
        <w:tc>
          <w:tcPr>
            <w:tcW w:w="870" w:type="dxa"/>
            <w:vMerge w:val="restart"/>
            <w:tcBorders>
              <w:bottom w:val="nil"/>
            </w:tcBorders>
            <w:vAlign w:val="top"/>
          </w:tcPr>
          <w:p w14:paraId="233DD7BB">
            <w:pPr>
              <w:spacing w:line="285" w:lineRule="auto"/>
              <w:rPr>
                <w:rFonts w:ascii="Arial"/>
                <w:sz w:val="21"/>
              </w:rPr>
            </w:pPr>
          </w:p>
          <w:p w14:paraId="0B98FD88">
            <w:pPr>
              <w:spacing w:line="286" w:lineRule="auto"/>
              <w:rPr>
                <w:rFonts w:ascii="Arial"/>
                <w:sz w:val="21"/>
              </w:rPr>
            </w:pPr>
          </w:p>
          <w:p w14:paraId="1FBAD19B">
            <w:pPr>
              <w:spacing w:line="286" w:lineRule="auto"/>
              <w:rPr>
                <w:rFonts w:ascii="Arial"/>
                <w:sz w:val="21"/>
              </w:rPr>
            </w:pPr>
          </w:p>
          <w:p w14:paraId="5AD0DCD6">
            <w:pPr>
              <w:spacing w:line="286" w:lineRule="auto"/>
              <w:rPr>
                <w:rFonts w:ascii="Arial"/>
                <w:sz w:val="21"/>
              </w:rPr>
            </w:pPr>
          </w:p>
          <w:p w14:paraId="7A09DE66">
            <w:pPr>
              <w:pStyle w:val="6"/>
              <w:spacing w:before="59" w:line="275" w:lineRule="auto"/>
              <w:ind w:left="255" w:right="258" w:firstLine="3"/>
              <w:rPr>
                <w:sz w:val="18"/>
                <w:szCs w:val="18"/>
              </w:rPr>
            </w:pPr>
            <w:r>
              <w:rPr>
                <w:spacing w:val="-7"/>
                <w:sz w:val="18"/>
                <w:szCs w:val="18"/>
              </w:rPr>
              <w:t>公用</w:t>
            </w:r>
            <w:r>
              <w:rPr>
                <w:sz w:val="18"/>
                <w:szCs w:val="18"/>
              </w:rPr>
              <w:t xml:space="preserve"> </w:t>
            </w:r>
            <w:r>
              <w:rPr>
                <w:spacing w:val="-5"/>
                <w:sz w:val="18"/>
                <w:szCs w:val="18"/>
              </w:rPr>
              <w:t>工程</w:t>
            </w:r>
          </w:p>
        </w:tc>
        <w:tc>
          <w:tcPr>
            <w:tcW w:w="3846" w:type="dxa"/>
            <w:gridSpan w:val="2"/>
            <w:vAlign w:val="top"/>
          </w:tcPr>
          <w:p w14:paraId="5C1B8F8C">
            <w:pPr>
              <w:pStyle w:val="6"/>
              <w:spacing w:before="72" w:line="267" w:lineRule="auto"/>
              <w:ind w:left="67" w:right="9"/>
              <w:jc w:val="both"/>
              <w:rPr>
                <w:sz w:val="18"/>
                <w:szCs w:val="18"/>
              </w:rPr>
            </w:pPr>
            <w:r>
              <w:rPr>
                <w:spacing w:val="-12"/>
                <w:sz w:val="18"/>
                <w:szCs w:val="18"/>
              </w:rPr>
              <w:t>供电系统：利用位于一期工程生产车间南侧已建的</w:t>
            </w:r>
            <w:r>
              <w:rPr>
                <w:spacing w:val="3"/>
                <w:sz w:val="18"/>
                <w:szCs w:val="18"/>
              </w:rPr>
              <w:t xml:space="preserve"> </w:t>
            </w:r>
            <w:r>
              <w:rPr>
                <w:spacing w:val="-15"/>
                <w:sz w:val="18"/>
                <w:szCs w:val="18"/>
              </w:rPr>
              <w:t>供电设施，包括</w:t>
            </w:r>
            <w:r>
              <w:rPr>
                <w:spacing w:val="-48"/>
                <w:sz w:val="18"/>
                <w:szCs w:val="18"/>
              </w:rPr>
              <w:t xml:space="preserve"> </w:t>
            </w:r>
            <w:r>
              <w:rPr>
                <w:spacing w:val="-15"/>
                <w:sz w:val="18"/>
                <w:szCs w:val="18"/>
              </w:rPr>
              <w:t>2</w:t>
            </w:r>
            <w:r>
              <w:rPr>
                <w:spacing w:val="-45"/>
                <w:sz w:val="18"/>
                <w:szCs w:val="18"/>
              </w:rPr>
              <w:t xml:space="preserve"> </w:t>
            </w:r>
            <w:r>
              <w:rPr>
                <w:spacing w:val="-15"/>
                <w:sz w:val="18"/>
                <w:szCs w:val="18"/>
              </w:rPr>
              <w:t>个</w:t>
            </w:r>
            <w:r>
              <w:rPr>
                <w:spacing w:val="-41"/>
                <w:sz w:val="18"/>
                <w:szCs w:val="18"/>
              </w:rPr>
              <w:t xml:space="preserve"> </w:t>
            </w:r>
            <w:r>
              <w:rPr>
                <w:spacing w:val="-15"/>
                <w:sz w:val="18"/>
                <w:szCs w:val="18"/>
              </w:rPr>
              <w:t>1630kva</w:t>
            </w:r>
            <w:r>
              <w:rPr>
                <w:spacing w:val="-34"/>
                <w:sz w:val="18"/>
                <w:szCs w:val="18"/>
              </w:rPr>
              <w:t xml:space="preserve"> </w:t>
            </w:r>
            <w:r>
              <w:rPr>
                <w:spacing w:val="-15"/>
                <w:sz w:val="18"/>
                <w:szCs w:val="18"/>
              </w:rPr>
              <w:t>的变压器和配电设施，</w:t>
            </w:r>
            <w:r>
              <w:rPr>
                <w:sz w:val="18"/>
                <w:szCs w:val="18"/>
              </w:rPr>
              <w:t xml:space="preserve"> </w:t>
            </w:r>
            <w:r>
              <w:rPr>
                <w:spacing w:val="-12"/>
                <w:sz w:val="18"/>
                <w:szCs w:val="18"/>
              </w:rPr>
              <w:t>电源来自附近场镇电网。该供电设施建设时已预留</w:t>
            </w:r>
            <w:r>
              <w:rPr>
                <w:spacing w:val="3"/>
                <w:sz w:val="18"/>
                <w:szCs w:val="18"/>
              </w:rPr>
              <w:t xml:space="preserve"> </w:t>
            </w:r>
            <w:r>
              <w:rPr>
                <w:spacing w:val="-11"/>
                <w:sz w:val="18"/>
                <w:szCs w:val="18"/>
              </w:rPr>
              <w:t>项目二期工程用电负荷</w:t>
            </w:r>
          </w:p>
        </w:tc>
        <w:tc>
          <w:tcPr>
            <w:tcW w:w="982" w:type="dxa"/>
            <w:vMerge w:val="continue"/>
            <w:tcBorders>
              <w:top w:val="nil"/>
              <w:bottom w:val="nil"/>
            </w:tcBorders>
            <w:vAlign w:val="top"/>
          </w:tcPr>
          <w:p w14:paraId="4B40F981">
            <w:pPr>
              <w:rPr>
                <w:rFonts w:ascii="Arial"/>
                <w:sz w:val="21"/>
              </w:rPr>
            </w:pPr>
          </w:p>
        </w:tc>
        <w:tc>
          <w:tcPr>
            <w:tcW w:w="1237" w:type="dxa"/>
            <w:vAlign w:val="top"/>
          </w:tcPr>
          <w:p w14:paraId="6265E5C2">
            <w:pPr>
              <w:spacing w:line="433" w:lineRule="auto"/>
              <w:rPr>
                <w:rFonts w:ascii="Arial"/>
                <w:sz w:val="21"/>
              </w:rPr>
            </w:pPr>
          </w:p>
          <w:p w14:paraId="1A8A4FEF">
            <w:pPr>
              <w:pStyle w:val="6"/>
              <w:spacing w:before="58" w:line="220" w:lineRule="auto"/>
              <w:ind w:left="455"/>
              <w:rPr>
                <w:sz w:val="18"/>
                <w:szCs w:val="18"/>
              </w:rPr>
            </w:pPr>
            <w:r>
              <w:rPr>
                <w:spacing w:val="-8"/>
                <w:sz w:val="18"/>
                <w:szCs w:val="18"/>
              </w:rPr>
              <w:t>噪声</w:t>
            </w:r>
          </w:p>
        </w:tc>
        <w:tc>
          <w:tcPr>
            <w:tcW w:w="735" w:type="dxa"/>
            <w:vAlign w:val="top"/>
          </w:tcPr>
          <w:p w14:paraId="21974571">
            <w:pPr>
              <w:spacing w:line="433" w:lineRule="auto"/>
              <w:rPr>
                <w:rFonts w:ascii="Arial"/>
                <w:sz w:val="21"/>
              </w:rPr>
            </w:pPr>
          </w:p>
          <w:p w14:paraId="2C9C317B">
            <w:pPr>
              <w:pStyle w:val="6"/>
              <w:spacing w:before="58"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44A21DD6">
            <w:pPr>
              <w:rPr>
                <w:rFonts w:ascii="Arial"/>
                <w:sz w:val="21"/>
              </w:rPr>
            </w:pPr>
          </w:p>
        </w:tc>
      </w:tr>
      <w:tr w14:paraId="02397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21B608E1">
            <w:pPr>
              <w:rPr>
                <w:rFonts w:ascii="Arial"/>
                <w:sz w:val="21"/>
              </w:rPr>
            </w:pPr>
          </w:p>
        </w:tc>
        <w:tc>
          <w:tcPr>
            <w:tcW w:w="870" w:type="dxa"/>
            <w:vMerge w:val="continue"/>
            <w:tcBorders>
              <w:top w:val="nil"/>
              <w:bottom w:val="nil"/>
            </w:tcBorders>
            <w:vAlign w:val="top"/>
          </w:tcPr>
          <w:p w14:paraId="6ED71B69">
            <w:pPr>
              <w:rPr>
                <w:rFonts w:ascii="Arial"/>
                <w:sz w:val="21"/>
              </w:rPr>
            </w:pPr>
          </w:p>
        </w:tc>
        <w:tc>
          <w:tcPr>
            <w:tcW w:w="3846" w:type="dxa"/>
            <w:gridSpan w:val="2"/>
            <w:vAlign w:val="top"/>
          </w:tcPr>
          <w:p w14:paraId="02869CAB">
            <w:pPr>
              <w:pStyle w:val="6"/>
              <w:spacing w:before="75" w:line="246" w:lineRule="auto"/>
              <w:ind w:left="101" w:right="60" w:hanging="34"/>
              <w:rPr>
                <w:sz w:val="18"/>
                <w:szCs w:val="18"/>
              </w:rPr>
            </w:pPr>
            <w:r>
              <w:rPr>
                <w:spacing w:val="-4"/>
                <w:sz w:val="18"/>
                <w:szCs w:val="18"/>
              </w:rPr>
              <w:t>供水系统：水源来自附近场镇供水管网，利用项</w:t>
            </w:r>
            <w:r>
              <w:rPr>
                <w:spacing w:val="15"/>
                <w:sz w:val="18"/>
                <w:szCs w:val="18"/>
              </w:rPr>
              <w:t xml:space="preserve"> </w:t>
            </w:r>
            <w:r>
              <w:rPr>
                <w:spacing w:val="-4"/>
                <w:sz w:val="18"/>
                <w:szCs w:val="18"/>
              </w:rPr>
              <w:t>目一期工程已建的供水设施</w:t>
            </w:r>
          </w:p>
        </w:tc>
        <w:tc>
          <w:tcPr>
            <w:tcW w:w="982" w:type="dxa"/>
            <w:vMerge w:val="continue"/>
            <w:tcBorders>
              <w:top w:val="nil"/>
              <w:bottom w:val="nil"/>
            </w:tcBorders>
            <w:vAlign w:val="top"/>
          </w:tcPr>
          <w:p w14:paraId="3B06CD6D">
            <w:pPr>
              <w:rPr>
                <w:rFonts w:ascii="Arial"/>
                <w:sz w:val="21"/>
              </w:rPr>
            </w:pPr>
          </w:p>
        </w:tc>
        <w:tc>
          <w:tcPr>
            <w:tcW w:w="1237" w:type="dxa"/>
            <w:vAlign w:val="top"/>
          </w:tcPr>
          <w:p w14:paraId="2B0ED4C8">
            <w:pPr>
              <w:pStyle w:val="6"/>
              <w:spacing w:before="215" w:line="224" w:lineRule="auto"/>
              <w:ind w:left="581"/>
              <w:rPr>
                <w:sz w:val="18"/>
                <w:szCs w:val="18"/>
              </w:rPr>
            </w:pPr>
            <w:r>
              <w:rPr>
                <w:sz w:val="18"/>
                <w:szCs w:val="18"/>
              </w:rPr>
              <w:t>/</w:t>
            </w:r>
          </w:p>
        </w:tc>
        <w:tc>
          <w:tcPr>
            <w:tcW w:w="735" w:type="dxa"/>
            <w:vAlign w:val="top"/>
          </w:tcPr>
          <w:p w14:paraId="0A234CBC">
            <w:pPr>
              <w:pStyle w:val="6"/>
              <w:spacing w:before="215"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3F8D7F97">
            <w:pPr>
              <w:rPr>
                <w:rFonts w:ascii="Arial"/>
                <w:sz w:val="21"/>
              </w:rPr>
            </w:pPr>
          </w:p>
        </w:tc>
      </w:tr>
      <w:tr w14:paraId="0EDB4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16D99526">
            <w:pPr>
              <w:rPr>
                <w:rFonts w:ascii="Arial"/>
                <w:sz w:val="21"/>
              </w:rPr>
            </w:pPr>
          </w:p>
        </w:tc>
        <w:tc>
          <w:tcPr>
            <w:tcW w:w="870" w:type="dxa"/>
            <w:vMerge w:val="continue"/>
            <w:tcBorders>
              <w:top w:val="nil"/>
              <w:bottom w:val="nil"/>
            </w:tcBorders>
            <w:vAlign w:val="top"/>
          </w:tcPr>
          <w:p w14:paraId="336E15D7">
            <w:pPr>
              <w:rPr>
                <w:rFonts w:ascii="Arial"/>
                <w:sz w:val="21"/>
              </w:rPr>
            </w:pPr>
          </w:p>
        </w:tc>
        <w:tc>
          <w:tcPr>
            <w:tcW w:w="3846" w:type="dxa"/>
            <w:gridSpan w:val="2"/>
            <w:vAlign w:val="top"/>
          </w:tcPr>
          <w:p w14:paraId="1864B8B2">
            <w:pPr>
              <w:pStyle w:val="6"/>
              <w:spacing w:before="74" w:line="260" w:lineRule="auto"/>
              <w:ind w:left="66" w:right="60"/>
              <w:jc w:val="both"/>
              <w:rPr>
                <w:sz w:val="18"/>
                <w:szCs w:val="18"/>
              </w:rPr>
            </w:pPr>
            <w:r>
              <w:rPr>
                <w:spacing w:val="-4"/>
                <w:sz w:val="18"/>
                <w:szCs w:val="18"/>
              </w:rPr>
              <w:t>排水系统：采取雨污分流，生产车间外的雨水进</w:t>
            </w:r>
            <w:r>
              <w:rPr>
                <w:spacing w:val="15"/>
                <w:sz w:val="18"/>
                <w:szCs w:val="18"/>
              </w:rPr>
              <w:t xml:space="preserve"> </w:t>
            </w:r>
            <w:r>
              <w:rPr>
                <w:spacing w:val="-4"/>
                <w:sz w:val="18"/>
                <w:szCs w:val="18"/>
              </w:rPr>
              <w:t>入厂区雨水沟后，排入附近雨水管网。生产废水</w:t>
            </w:r>
            <w:r>
              <w:rPr>
                <w:spacing w:val="16"/>
                <w:sz w:val="18"/>
                <w:szCs w:val="18"/>
              </w:rPr>
              <w:t xml:space="preserve"> </w:t>
            </w:r>
            <w:r>
              <w:rPr>
                <w:spacing w:val="-1"/>
                <w:sz w:val="18"/>
                <w:szCs w:val="18"/>
              </w:rPr>
              <w:t>经管沟收集处理后，循环利用不外排。</w:t>
            </w:r>
          </w:p>
        </w:tc>
        <w:tc>
          <w:tcPr>
            <w:tcW w:w="982" w:type="dxa"/>
            <w:vMerge w:val="continue"/>
            <w:tcBorders>
              <w:top w:val="nil"/>
              <w:bottom w:val="nil"/>
            </w:tcBorders>
            <w:vAlign w:val="top"/>
          </w:tcPr>
          <w:p w14:paraId="5572897A">
            <w:pPr>
              <w:rPr>
                <w:rFonts w:ascii="Arial"/>
                <w:sz w:val="21"/>
              </w:rPr>
            </w:pPr>
          </w:p>
        </w:tc>
        <w:tc>
          <w:tcPr>
            <w:tcW w:w="1237" w:type="dxa"/>
            <w:vAlign w:val="top"/>
          </w:tcPr>
          <w:p w14:paraId="43DFC298">
            <w:pPr>
              <w:spacing w:line="295" w:lineRule="auto"/>
              <w:rPr>
                <w:rFonts w:ascii="Arial"/>
                <w:sz w:val="21"/>
              </w:rPr>
            </w:pPr>
          </w:p>
          <w:p w14:paraId="0411D4FC">
            <w:pPr>
              <w:pStyle w:val="6"/>
              <w:spacing w:before="58" w:line="224" w:lineRule="auto"/>
              <w:ind w:left="581"/>
              <w:rPr>
                <w:sz w:val="18"/>
                <w:szCs w:val="18"/>
              </w:rPr>
            </w:pPr>
            <w:r>
              <w:rPr>
                <w:sz w:val="18"/>
                <w:szCs w:val="18"/>
              </w:rPr>
              <w:t>/</w:t>
            </w:r>
          </w:p>
        </w:tc>
        <w:tc>
          <w:tcPr>
            <w:tcW w:w="735" w:type="dxa"/>
            <w:vAlign w:val="top"/>
          </w:tcPr>
          <w:p w14:paraId="68E94619">
            <w:pPr>
              <w:spacing w:line="294" w:lineRule="auto"/>
              <w:rPr>
                <w:rFonts w:ascii="Arial"/>
                <w:sz w:val="21"/>
              </w:rPr>
            </w:pPr>
          </w:p>
          <w:p w14:paraId="6DBE1932">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1CB3A902">
            <w:pPr>
              <w:rPr>
                <w:rFonts w:ascii="Arial"/>
                <w:sz w:val="21"/>
              </w:rPr>
            </w:pPr>
          </w:p>
        </w:tc>
      </w:tr>
      <w:tr w14:paraId="665F8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87" w:type="dxa"/>
            <w:vMerge w:val="continue"/>
            <w:tcBorders>
              <w:top w:val="nil"/>
              <w:left w:val="single" w:color="000000" w:sz="6" w:space="0"/>
              <w:bottom w:val="nil"/>
            </w:tcBorders>
            <w:vAlign w:val="top"/>
          </w:tcPr>
          <w:p w14:paraId="04DA6B8C">
            <w:pPr>
              <w:rPr>
                <w:rFonts w:ascii="Arial"/>
                <w:sz w:val="21"/>
              </w:rPr>
            </w:pPr>
          </w:p>
        </w:tc>
        <w:tc>
          <w:tcPr>
            <w:tcW w:w="870" w:type="dxa"/>
            <w:vMerge w:val="continue"/>
            <w:tcBorders>
              <w:top w:val="nil"/>
            </w:tcBorders>
            <w:vAlign w:val="top"/>
          </w:tcPr>
          <w:p w14:paraId="31692BA6">
            <w:pPr>
              <w:rPr>
                <w:rFonts w:ascii="Arial"/>
                <w:sz w:val="21"/>
              </w:rPr>
            </w:pPr>
          </w:p>
        </w:tc>
        <w:tc>
          <w:tcPr>
            <w:tcW w:w="3846" w:type="dxa"/>
            <w:gridSpan w:val="2"/>
            <w:vAlign w:val="top"/>
          </w:tcPr>
          <w:p w14:paraId="11A5522E">
            <w:pPr>
              <w:pStyle w:val="6"/>
              <w:spacing w:before="76" w:line="204" w:lineRule="auto"/>
              <w:ind w:left="67"/>
              <w:rPr>
                <w:sz w:val="18"/>
                <w:szCs w:val="18"/>
              </w:rPr>
            </w:pPr>
            <w:r>
              <w:rPr>
                <w:spacing w:val="-4"/>
                <w:sz w:val="18"/>
                <w:szCs w:val="18"/>
              </w:rPr>
              <w:t>运输道路：依托园区道路或魏复路开展运输作业</w:t>
            </w:r>
          </w:p>
        </w:tc>
        <w:tc>
          <w:tcPr>
            <w:tcW w:w="982" w:type="dxa"/>
            <w:vMerge w:val="continue"/>
            <w:tcBorders>
              <w:top w:val="nil"/>
              <w:bottom w:val="nil"/>
            </w:tcBorders>
            <w:vAlign w:val="top"/>
          </w:tcPr>
          <w:p w14:paraId="4826BC33">
            <w:pPr>
              <w:rPr>
                <w:rFonts w:ascii="Arial"/>
                <w:sz w:val="21"/>
              </w:rPr>
            </w:pPr>
          </w:p>
        </w:tc>
        <w:tc>
          <w:tcPr>
            <w:tcW w:w="1237" w:type="dxa"/>
            <w:vAlign w:val="top"/>
          </w:tcPr>
          <w:p w14:paraId="36CF3863">
            <w:pPr>
              <w:pStyle w:val="6"/>
              <w:spacing w:before="76" w:line="204" w:lineRule="auto"/>
              <w:ind w:left="581"/>
              <w:rPr>
                <w:sz w:val="18"/>
                <w:szCs w:val="18"/>
              </w:rPr>
            </w:pPr>
            <w:r>
              <w:rPr>
                <w:sz w:val="18"/>
                <w:szCs w:val="18"/>
              </w:rPr>
              <w:t>/</w:t>
            </w:r>
          </w:p>
        </w:tc>
        <w:tc>
          <w:tcPr>
            <w:tcW w:w="735" w:type="dxa"/>
            <w:vAlign w:val="top"/>
          </w:tcPr>
          <w:p w14:paraId="556A2B9E">
            <w:pPr>
              <w:pStyle w:val="6"/>
              <w:spacing w:before="76" w:line="204" w:lineRule="auto"/>
              <w:ind w:left="200"/>
              <w:rPr>
                <w:sz w:val="18"/>
                <w:szCs w:val="18"/>
              </w:rPr>
            </w:pPr>
            <w:r>
              <w:rPr>
                <w:spacing w:val="-5"/>
                <w:sz w:val="18"/>
                <w:szCs w:val="18"/>
              </w:rPr>
              <w:t>依托</w:t>
            </w:r>
          </w:p>
        </w:tc>
        <w:tc>
          <w:tcPr>
            <w:tcW w:w="166" w:type="dxa"/>
            <w:vMerge w:val="continue"/>
            <w:tcBorders>
              <w:top w:val="nil"/>
              <w:bottom w:val="nil"/>
              <w:right w:val="single" w:color="000000" w:sz="6" w:space="0"/>
            </w:tcBorders>
            <w:vAlign w:val="top"/>
          </w:tcPr>
          <w:p w14:paraId="7C1F4CBA">
            <w:pPr>
              <w:rPr>
                <w:rFonts w:ascii="Arial"/>
                <w:sz w:val="21"/>
              </w:rPr>
            </w:pPr>
          </w:p>
        </w:tc>
      </w:tr>
      <w:tr w14:paraId="139C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4E8C0A07">
            <w:pPr>
              <w:rPr>
                <w:rFonts w:ascii="Arial"/>
                <w:sz w:val="21"/>
              </w:rPr>
            </w:pPr>
          </w:p>
        </w:tc>
        <w:tc>
          <w:tcPr>
            <w:tcW w:w="870" w:type="dxa"/>
            <w:vMerge w:val="restart"/>
            <w:tcBorders>
              <w:bottom w:val="nil"/>
            </w:tcBorders>
            <w:vAlign w:val="top"/>
          </w:tcPr>
          <w:p w14:paraId="67725391">
            <w:pPr>
              <w:spacing w:line="244" w:lineRule="auto"/>
              <w:rPr>
                <w:rFonts w:ascii="Arial"/>
                <w:sz w:val="21"/>
              </w:rPr>
            </w:pPr>
          </w:p>
          <w:p w14:paraId="3F594508">
            <w:pPr>
              <w:spacing w:line="245" w:lineRule="auto"/>
              <w:rPr>
                <w:rFonts w:ascii="Arial"/>
                <w:sz w:val="21"/>
              </w:rPr>
            </w:pPr>
          </w:p>
          <w:p w14:paraId="5157E9A6">
            <w:pPr>
              <w:spacing w:line="245" w:lineRule="auto"/>
              <w:rPr>
                <w:rFonts w:ascii="Arial"/>
                <w:sz w:val="21"/>
              </w:rPr>
            </w:pPr>
          </w:p>
          <w:p w14:paraId="27D709B8">
            <w:pPr>
              <w:spacing w:line="245" w:lineRule="auto"/>
              <w:rPr>
                <w:rFonts w:ascii="Arial"/>
                <w:sz w:val="21"/>
              </w:rPr>
            </w:pPr>
          </w:p>
          <w:p w14:paraId="53029DC2">
            <w:pPr>
              <w:spacing w:line="245" w:lineRule="auto"/>
              <w:rPr>
                <w:rFonts w:ascii="Arial"/>
                <w:sz w:val="21"/>
              </w:rPr>
            </w:pPr>
          </w:p>
          <w:p w14:paraId="06B3F93E">
            <w:pPr>
              <w:spacing w:line="245" w:lineRule="auto"/>
              <w:rPr>
                <w:rFonts w:ascii="Arial"/>
                <w:sz w:val="21"/>
              </w:rPr>
            </w:pPr>
          </w:p>
          <w:p w14:paraId="1D52CF03">
            <w:pPr>
              <w:spacing w:line="245" w:lineRule="auto"/>
              <w:rPr>
                <w:rFonts w:ascii="Arial"/>
                <w:sz w:val="21"/>
              </w:rPr>
            </w:pPr>
          </w:p>
          <w:p w14:paraId="4F80C645">
            <w:pPr>
              <w:spacing w:line="245" w:lineRule="auto"/>
              <w:rPr>
                <w:rFonts w:ascii="Arial"/>
                <w:sz w:val="21"/>
              </w:rPr>
            </w:pPr>
          </w:p>
          <w:p w14:paraId="11D448A9">
            <w:pPr>
              <w:spacing w:line="245" w:lineRule="auto"/>
              <w:rPr>
                <w:rFonts w:ascii="Arial"/>
                <w:sz w:val="21"/>
              </w:rPr>
            </w:pPr>
          </w:p>
          <w:p w14:paraId="40E92FA9">
            <w:pPr>
              <w:spacing w:line="245" w:lineRule="auto"/>
              <w:rPr>
                <w:rFonts w:ascii="Arial"/>
                <w:sz w:val="21"/>
              </w:rPr>
            </w:pPr>
          </w:p>
          <w:p w14:paraId="5B43E0C8">
            <w:pPr>
              <w:spacing w:line="245" w:lineRule="auto"/>
              <w:rPr>
                <w:rFonts w:ascii="Arial"/>
                <w:sz w:val="21"/>
              </w:rPr>
            </w:pPr>
          </w:p>
          <w:p w14:paraId="2184C1FC">
            <w:pPr>
              <w:pStyle w:val="6"/>
              <w:spacing w:before="59" w:line="275" w:lineRule="auto"/>
              <w:ind w:left="255" w:right="258" w:hanging="2"/>
              <w:rPr>
                <w:sz w:val="18"/>
                <w:szCs w:val="18"/>
              </w:rPr>
            </w:pPr>
            <w:r>
              <w:rPr>
                <w:spacing w:val="-4"/>
                <w:sz w:val="18"/>
                <w:szCs w:val="18"/>
              </w:rPr>
              <w:t>环保</w:t>
            </w:r>
            <w:r>
              <w:rPr>
                <w:sz w:val="18"/>
                <w:szCs w:val="18"/>
              </w:rPr>
              <w:t xml:space="preserve"> </w:t>
            </w:r>
            <w:r>
              <w:rPr>
                <w:spacing w:val="-5"/>
                <w:sz w:val="18"/>
                <w:szCs w:val="18"/>
              </w:rPr>
              <w:t>工程</w:t>
            </w:r>
          </w:p>
        </w:tc>
        <w:tc>
          <w:tcPr>
            <w:tcW w:w="636" w:type="dxa"/>
            <w:vMerge w:val="restart"/>
            <w:tcBorders>
              <w:bottom w:val="nil"/>
            </w:tcBorders>
            <w:vAlign w:val="top"/>
          </w:tcPr>
          <w:p w14:paraId="66241217">
            <w:pPr>
              <w:spacing w:line="244" w:lineRule="auto"/>
              <w:rPr>
                <w:rFonts w:ascii="Arial"/>
                <w:sz w:val="21"/>
              </w:rPr>
            </w:pPr>
          </w:p>
          <w:p w14:paraId="03E733F5">
            <w:pPr>
              <w:spacing w:line="245" w:lineRule="auto"/>
              <w:rPr>
                <w:rFonts w:ascii="Arial"/>
                <w:sz w:val="21"/>
              </w:rPr>
            </w:pPr>
          </w:p>
          <w:p w14:paraId="6FE40FB6">
            <w:pPr>
              <w:spacing w:line="245" w:lineRule="auto"/>
              <w:rPr>
                <w:rFonts w:ascii="Arial"/>
                <w:sz w:val="21"/>
              </w:rPr>
            </w:pPr>
          </w:p>
          <w:p w14:paraId="2B77C162">
            <w:pPr>
              <w:spacing w:line="245" w:lineRule="auto"/>
              <w:rPr>
                <w:rFonts w:ascii="Arial"/>
                <w:sz w:val="21"/>
              </w:rPr>
            </w:pPr>
          </w:p>
          <w:p w14:paraId="14AB10B3">
            <w:pPr>
              <w:spacing w:line="245" w:lineRule="auto"/>
              <w:rPr>
                <w:rFonts w:ascii="Arial"/>
                <w:sz w:val="21"/>
              </w:rPr>
            </w:pPr>
          </w:p>
          <w:p w14:paraId="3672ABDB">
            <w:pPr>
              <w:spacing w:line="245" w:lineRule="auto"/>
              <w:rPr>
                <w:rFonts w:ascii="Arial"/>
                <w:sz w:val="21"/>
              </w:rPr>
            </w:pPr>
          </w:p>
          <w:p w14:paraId="010AF55D">
            <w:pPr>
              <w:spacing w:line="245" w:lineRule="auto"/>
              <w:rPr>
                <w:rFonts w:ascii="Arial"/>
                <w:sz w:val="21"/>
              </w:rPr>
            </w:pPr>
          </w:p>
          <w:p w14:paraId="14308B3C">
            <w:pPr>
              <w:spacing w:line="245" w:lineRule="auto"/>
              <w:rPr>
                <w:rFonts w:ascii="Arial"/>
                <w:sz w:val="21"/>
              </w:rPr>
            </w:pPr>
          </w:p>
          <w:p w14:paraId="33C352D3">
            <w:pPr>
              <w:spacing w:line="245" w:lineRule="auto"/>
              <w:rPr>
                <w:rFonts w:ascii="Arial"/>
                <w:sz w:val="21"/>
              </w:rPr>
            </w:pPr>
          </w:p>
          <w:p w14:paraId="6CD8CE51">
            <w:pPr>
              <w:spacing w:line="245" w:lineRule="auto"/>
              <w:rPr>
                <w:rFonts w:ascii="Arial"/>
                <w:sz w:val="21"/>
              </w:rPr>
            </w:pPr>
          </w:p>
          <w:p w14:paraId="72B7BDB6">
            <w:pPr>
              <w:spacing w:line="245" w:lineRule="auto"/>
              <w:rPr>
                <w:rFonts w:ascii="Arial"/>
                <w:sz w:val="21"/>
              </w:rPr>
            </w:pPr>
          </w:p>
          <w:p w14:paraId="0B950A4C">
            <w:pPr>
              <w:pStyle w:val="6"/>
              <w:spacing w:before="58" w:line="277" w:lineRule="auto"/>
              <w:ind w:left="142" w:right="138" w:hanging="4"/>
              <w:rPr>
                <w:sz w:val="18"/>
                <w:szCs w:val="18"/>
              </w:rPr>
            </w:pPr>
            <w:r>
              <w:rPr>
                <w:spacing w:val="-4"/>
                <w:sz w:val="18"/>
                <w:szCs w:val="18"/>
              </w:rPr>
              <w:t>废气</w:t>
            </w:r>
            <w:r>
              <w:rPr>
                <w:sz w:val="18"/>
                <w:szCs w:val="18"/>
              </w:rPr>
              <w:t xml:space="preserve"> </w:t>
            </w:r>
            <w:r>
              <w:rPr>
                <w:spacing w:val="-6"/>
                <w:sz w:val="18"/>
                <w:szCs w:val="18"/>
              </w:rPr>
              <w:t>处理</w:t>
            </w:r>
          </w:p>
        </w:tc>
        <w:tc>
          <w:tcPr>
            <w:tcW w:w="3210" w:type="dxa"/>
            <w:vAlign w:val="top"/>
          </w:tcPr>
          <w:p w14:paraId="643A3664">
            <w:pPr>
              <w:pStyle w:val="6"/>
              <w:spacing w:before="75" w:line="246" w:lineRule="auto"/>
              <w:ind w:left="69" w:right="84" w:hanging="2"/>
              <w:rPr>
                <w:sz w:val="18"/>
                <w:szCs w:val="18"/>
              </w:rPr>
            </w:pPr>
            <w:r>
              <w:rPr>
                <w:spacing w:val="-1"/>
                <w:sz w:val="18"/>
                <w:szCs w:val="18"/>
              </w:rPr>
              <w:t>地下堆场卸料粉尘：喷雾、三面及顶部</w:t>
            </w:r>
            <w:r>
              <w:rPr>
                <w:spacing w:val="8"/>
                <w:sz w:val="18"/>
                <w:szCs w:val="18"/>
              </w:rPr>
              <w:t xml:space="preserve"> </w:t>
            </w:r>
            <w:r>
              <w:rPr>
                <w:spacing w:val="-4"/>
                <w:sz w:val="18"/>
                <w:szCs w:val="18"/>
              </w:rPr>
              <w:t>设围挡</w:t>
            </w:r>
          </w:p>
        </w:tc>
        <w:tc>
          <w:tcPr>
            <w:tcW w:w="982" w:type="dxa"/>
            <w:vMerge w:val="continue"/>
            <w:tcBorders>
              <w:top w:val="nil"/>
              <w:bottom w:val="nil"/>
            </w:tcBorders>
            <w:vAlign w:val="top"/>
          </w:tcPr>
          <w:p w14:paraId="2E152219">
            <w:pPr>
              <w:rPr>
                <w:rFonts w:ascii="Arial"/>
                <w:sz w:val="21"/>
              </w:rPr>
            </w:pPr>
          </w:p>
        </w:tc>
        <w:tc>
          <w:tcPr>
            <w:tcW w:w="1237" w:type="dxa"/>
            <w:vAlign w:val="top"/>
          </w:tcPr>
          <w:p w14:paraId="00AC4248">
            <w:pPr>
              <w:spacing w:before="241"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0145D79D">
            <w:pPr>
              <w:pStyle w:val="6"/>
              <w:spacing w:before="216"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2F16464E">
            <w:pPr>
              <w:rPr>
                <w:rFonts w:ascii="Arial"/>
                <w:sz w:val="21"/>
              </w:rPr>
            </w:pPr>
          </w:p>
        </w:tc>
      </w:tr>
      <w:tr w14:paraId="735FC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87" w:type="dxa"/>
            <w:vMerge w:val="continue"/>
            <w:tcBorders>
              <w:top w:val="nil"/>
              <w:left w:val="single" w:color="000000" w:sz="6" w:space="0"/>
              <w:bottom w:val="nil"/>
            </w:tcBorders>
            <w:vAlign w:val="top"/>
          </w:tcPr>
          <w:p w14:paraId="0B465166">
            <w:pPr>
              <w:rPr>
                <w:rFonts w:ascii="Arial"/>
                <w:sz w:val="21"/>
              </w:rPr>
            </w:pPr>
          </w:p>
        </w:tc>
        <w:tc>
          <w:tcPr>
            <w:tcW w:w="870" w:type="dxa"/>
            <w:vMerge w:val="continue"/>
            <w:tcBorders>
              <w:top w:val="nil"/>
              <w:bottom w:val="nil"/>
            </w:tcBorders>
            <w:vAlign w:val="top"/>
          </w:tcPr>
          <w:p w14:paraId="33688839">
            <w:pPr>
              <w:rPr>
                <w:rFonts w:ascii="Arial"/>
                <w:sz w:val="21"/>
              </w:rPr>
            </w:pPr>
          </w:p>
        </w:tc>
        <w:tc>
          <w:tcPr>
            <w:tcW w:w="636" w:type="dxa"/>
            <w:vMerge w:val="continue"/>
            <w:tcBorders>
              <w:top w:val="nil"/>
              <w:bottom w:val="nil"/>
            </w:tcBorders>
            <w:vAlign w:val="top"/>
          </w:tcPr>
          <w:p w14:paraId="5C14DB4F">
            <w:pPr>
              <w:rPr>
                <w:rFonts w:ascii="Arial"/>
                <w:sz w:val="21"/>
              </w:rPr>
            </w:pPr>
          </w:p>
        </w:tc>
        <w:tc>
          <w:tcPr>
            <w:tcW w:w="3210" w:type="dxa"/>
            <w:vAlign w:val="top"/>
          </w:tcPr>
          <w:p w14:paraId="0E5C6D7F">
            <w:pPr>
              <w:pStyle w:val="6"/>
              <w:spacing w:before="76" w:line="266" w:lineRule="auto"/>
              <w:ind w:left="66" w:right="84"/>
              <w:rPr>
                <w:sz w:val="18"/>
                <w:szCs w:val="18"/>
              </w:rPr>
            </w:pPr>
            <w:r>
              <w:rPr>
                <w:spacing w:val="-1"/>
                <w:sz w:val="18"/>
                <w:szCs w:val="18"/>
              </w:rPr>
              <w:t>地下堆场破碎筛分及上料粉尘：采用密</w:t>
            </w:r>
            <w:r>
              <w:rPr>
                <w:spacing w:val="8"/>
                <w:sz w:val="18"/>
                <w:szCs w:val="18"/>
              </w:rPr>
              <w:t xml:space="preserve"> </w:t>
            </w:r>
            <w:r>
              <w:rPr>
                <w:spacing w:val="-1"/>
                <w:sz w:val="18"/>
                <w:szCs w:val="18"/>
              </w:rPr>
              <w:t>闭型生产设备，配套除尘器收尘处理，</w:t>
            </w:r>
            <w:r>
              <w:rPr>
                <w:spacing w:val="9"/>
                <w:sz w:val="18"/>
                <w:szCs w:val="18"/>
              </w:rPr>
              <w:t xml:space="preserve"> </w:t>
            </w:r>
            <w:r>
              <w:rPr>
                <w:spacing w:val="-1"/>
                <w:sz w:val="18"/>
                <w:szCs w:val="18"/>
              </w:rPr>
              <w:t>料斗采取三面围挡，喷雾降尘；地下堆</w:t>
            </w:r>
            <w:r>
              <w:rPr>
                <w:spacing w:val="9"/>
                <w:sz w:val="18"/>
                <w:szCs w:val="18"/>
              </w:rPr>
              <w:t xml:space="preserve"> </w:t>
            </w:r>
            <w:r>
              <w:rPr>
                <w:spacing w:val="-2"/>
                <w:sz w:val="18"/>
                <w:szCs w:val="18"/>
              </w:rPr>
              <w:t>场设喷雾降尘</w:t>
            </w:r>
          </w:p>
        </w:tc>
        <w:tc>
          <w:tcPr>
            <w:tcW w:w="982" w:type="dxa"/>
            <w:vMerge w:val="continue"/>
            <w:tcBorders>
              <w:top w:val="nil"/>
              <w:bottom w:val="nil"/>
            </w:tcBorders>
            <w:vAlign w:val="top"/>
          </w:tcPr>
          <w:p w14:paraId="0F4830A9">
            <w:pPr>
              <w:rPr>
                <w:rFonts w:ascii="Arial"/>
                <w:sz w:val="21"/>
              </w:rPr>
            </w:pPr>
          </w:p>
        </w:tc>
        <w:tc>
          <w:tcPr>
            <w:tcW w:w="1237" w:type="dxa"/>
            <w:vAlign w:val="top"/>
          </w:tcPr>
          <w:p w14:paraId="5B115ABB">
            <w:pPr>
              <w:spacing w:line="434" w:lineRule="auto"/>
              <w:rPr>
                <w:rFonts w:ascii="Arial"/>
                <w:sz w:val="21"/>
              </w:rPr>
            </w:pPr>
          </w:p>
          <w:p w14:paraId="52056B76">
            <w:pPr>
              <w:pStyle w:val="6"/>
              <w:spacing w:before="59" w:line="219" w:lineRule="auto"/>
              <w:ind w:left="93"/>
              <w:rPr>
                <w:sz w:val="18"/>
                <w:szCs w:val="18"/>
              </w:rPr>
            </w:pPr>
            <w:r>
              <w:rPr>
                <w:spacing w:val="-3"/>
                <w:sz w:val="18"/>
                <w:szCs w:val="18"/>
              </w:rPr>
              <w:t>收尘灰、噪声</w:t>
            </w:r>
          </w:p>
        </w:tc>
        <w:tc>
          <w:tcPr>
            <w:tcW w:w="735" w:type="dxa"/>
            <w:vAlign w:val="top"/>
          </w:tcPr>
          <w:p w14:paraId="1F4E1726">
            <w:pPr>
              <w:spacing w:line="434" w:lineRule="auto"/>
              <w:rPr>
                <w:rFonts w:ascii="Arial"/>
                <w:sz w:val="21"/>
              </w:rPr>
            </w:pPr>
          </w:p>
          <w:p w14:paraId="4361FF1B">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624B9D78">
            <w:pPr>
              <w:rPr>
                <w:rFonts w:ascii="Arial"/>
                <w:sz w:val="21"/>
              </w:rPr>
            </w:pPr>
          </w:p>
        </w:tc>
      </w:tr>
      <w:tr w14:paraId="188D0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083324D8">
            <w:pPr>
              <w:rPr>
                <w:rFonts w:ascii="Arial"/>
                <w:sz w:val="21"/>
              </w:rPr>
            </w:pPr>
          </w:p>
        </w:tc>
        <w:tc>
          <w:tcPr>
            <w:tcW w:w="870" w:type="dxa"/>
            <w:vMerge w:val="continue"/>
            <w:tcBorders>
              <w:top w:val="nil"/>
              <w:bottom w:val="nil"/>
            </w:tcBorders>
            <w:vAlign w:val="top"/>
          </w:tcPr>
          <w:p w14:paraId="4FD0A2CD">
            <w:pPr>
              <w:rPr>
                <w:rFonts w:ascii="Arial"/>
                <w:sz w:val="21"/>
              </w:rPr>
            </w:pPr>
          </w:p>
        </w:tc>
        <w:tc>
          <w:tcPr>
            <w:tcW w:w="636" w:type="dxa"/>
            <w:vMerge w:val="continue"/>
            <w:tcBorders>
              <w:top w:val="nil"/>
              <w:bottom w:val="nil"/>
            </w:tcBorders>
            <w:vAlign w:val="top"/>
          </w:tcPr>
          <w:p w14:paraId="34E9C882">
            <w:pPr>
              <w:rPr>
                <w:rFonts w:ascii="Arial"/>
                <w:sz w:val="21"/>
              </w:rPr>
            </w:pPr>
          </w:p>
        </w:tc>
        <w:tc>
          <w:tcPr>
            <w:tcW w:w="3210" w:type="dxa"/>
            <w:vAlign w:val="top"/>
          </w:tcPr>
          <w:p w14:paraId="79F029C0">
            <w:pPr>
              <w:pStyle w:val="6"/>
              <w:spacing w:before="77" w:line="245" w:lineRule="auto"/>
              <w:ind w:left="72" w:right="84" w:hanging="4"/>
              <w:rPr>
                <w:sz w:val="18"/>
                <w:szCs w:val="18"/>
              </w:rPr>
            </w:pPr>
            <w:r>
              <w:rPr>
                <w:spacing w:val="-1"/>
                <w:sz w:val="18"/>
                <w:szCs w:val="18"/>
              </w:rPr>
              <w:t>车间筒仓粉尘：每个筒仓仓顶设除尘器</w:t>
            </w:r>
            <w:r>
              <w:rPr>
                <w:spacing w:val="7"/>
                <w:sz w:val="18"/>
                <w:szCs w:val="18"/>
              </w:rPr>
              <w:t xml:space="preserve"> </w:t>
            </w:r>
            <w:r>
              <w:rPr>
                <w:spacing w:val="-3"/>
                <w:sz w:val="18"/>
                <w:szCs w:val="18"/>
              </w:rPr>
              <w:t>收尘处理。共计</w:t>
            </w:r>
            <w:r>
              <w:rPr>
                <w:spacing w:val="-11"/>
                <w:sz w:val="18"/>
                <w:szCs w:val="18"/>
              </w:rPr>
              <w:t xml:space="preserve"> </w:t>
            </w:r>
            <w:r>
              <w:rPr>
                <w:rFonts w:ascii="Times New Roman" w:hAnsi="Times New Roman" w:eastAsia="Times New Roman" w:cs="Times New Roman"/>
                <w:spacing w:val="-3"/>
                <w:sz w:val="18"/>
                <w:szCs w:val="18"/>
              </w:rPr>
              <w:t xml:space="preserve">13 </w:t>
            </w:r>
            <w:r>
              <w:rPr>
                <w:spacing w:val="-3"/>
                <w:sz w:val="18"/>
                <w:szCs w:val="18"/>
              </w:rPr>
              <w:t>个仓顶除尘器</w:t>
            </w:r>
          </w:p>
        </w:tc>
        <w:tc>
          <w:tcPr>
            <w:tcW w:w="982" w:type="dxa"/>
            <w:vMerge w:val="continue"/>
            <w:tcBorders>
              <w:top w:val="nil"/>
              <w:bottom w:val="nil"/>
            </w:tcBorders>
            <w:vAlign w:val="top"/>
          </w:tcPr>
          <w:p w14:paraId="42453694">
            <w:pPr>
              <w:rPr>
                <w:rFonts w:ascii="Arial"/>
                <w:sz w:val="21"/>
              </w:rPr>
            </w:pPr>
          </w:p>
        </w:tc>
        <w:tc>
          <w:tcPr>
            <w:tcW w:w="1237" w:type="dxa"/>
            <w:vAlign w:val="top"/>
          </w:tcPr>
          <w:p w14:paraId="209E5805">
            <w:pPr>
              <w:pStyle w:val="6"/>
              <w:spacing w:before="216" w:line="219" w:lineRule="auto"/>
              <w:ind w:left="93"/>
              <w:rPr>
                <w:sz w:val="18"/>
                <w:szCs w:val="18"/>
              </w:rPr>
            </w:pPr>
            <w:r>
              <w:rPr>
                <w:spacing w:val="-3"/>
                <w:sz w:val="18"/>
                <w:szCs w:val="18"/>
              </w:rPr>
              <w:t>收尘灰、噪声</w:t>
            </w:r>
          </w:p>
        </w:tc>
        <w:tc>
          <w:tcPr>
            <w:tcW w:w="735" w:type="dxa"/>
            <w:vAlign w:val="top"/>
          </w:tcPr>
          <w:p w14:paraId="7B230892">
            <w:pPr>
              <w:pStyle w:val="6"/>
              <w:spacing w:before="216"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2E0284E9">
            <w:pPr>
              <w:rPr>
                <w:rFonts w:ascii="Arial"/>
                <w:sz w:val="21"/>
              </w:rPr>
            </w:pPr>
          </w:p>
        </w:tc>
      </w:tr>
      <w:tr w14:paraId="0E33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6FE59B86">
            <w:pPr>
              <w:rPr>
                <w:rFonts w:ascii="Arial"/>
                <w:sz w:val="21"/>
              </w:rPr>
            </w:pPr>
          </w:p>
        </w:tc>
        <w:tc>
          <w:tcPr>
            <w:tcW w:w="870" w:type="dxa"/>
            <w:vMerge w:val="continue"/>
            <w:tcBorders>
              <w:top w:val="nil"/>
              <w:bottom w:val="nil"/>
            </w:tcBorders>
            <w:vAlign w:val="top"/>
          </w:tcPr>
          <w:p w14:paraId="3C528E09">
            <w:pPr>
              <w:rPr>
                <w:rFonts w:ascii="Arial"/>
                <w:sz w:val="21"/>
              </w:rPr>
            </w:pPr>
          </w:p>
        </w:tc>
        <w:tc>
          <w:tcPr>
            <w:tcW w:w="636" w:type="dxa"/>
            <w:vMerge w:val="continue"/>
            <w:tcBorders>
              <w:top w:val="nil"/>
              <w:bottom w:val="nil"/>
            </w:tcBorders>
            <w:vAlign w:val="top"/>
          </w:tcPr>
          <w:p w14:paraId="1AA52311">
            <w:pPr>
              <w:rPr>
                <w:rFonts w:ascii="Arial"/>
                <w:sz w:val="21"/>
              </w:rPr>
            </w:pPr>
          </w:p>
        </w:tc>
        <w:tc>
          <w:tcPr>
            <w:tcW w:w="3210" w:type="dxa"/>
            <w:vAlign w:val="top"/>
          </w:tcPr>
          <w:p w14:paraId="76881104">
            <w:pPr>
              <w:pStyle w:val="6"/>
              <w:spacing w:before="74" w:line="260" w:lineRule="auto"/>
              <w:ind w:left="67" w:right="60"/>
              <w:jc w:val="both"/>
              <w:rPr>
                <w:sz w:val="18"/>
                <w:szCs w:val="18"/>
              </w:rPr>
            </w:pPr>
            <w:r>
              <w:rPr>
                <w:spacing w:val="-4"/>
                <w:sz w:val="18"/>
                <w:szCs w:val="18"/>
              </w:rPr>
              <w:t>浸漆烤漆废气：采取负压收集，设“</w:t>
            </w:r>
            <w:r>
              <w:rPr>
                <w:rFonts w:ascii="Times New Roman" w:hAnsi="Times New Roman" w:eastAsia="Times New Roman" w:cs="Times New Roman"/>
                <w:spacing w:val="-4"/>
                <w:sz w:val="18"/>
                <w:szCs w:val="18"/>
              </w:rPr>
              <w:t>UV</w:t>
            </w:r>
            <w:r>
              <w:rPr>
                <w:rFonts w:ascii="Times New Roman" w:hAnsi="Times New Roman" w:eastAsia="Times New Roman" w:cs="Times New Roman"/>
                <w:spacing w:val="5"/>
                <w:sz w:val="18"/>
                <w:szCs w:val="18"/>
              </w:rPr>
              <w:t xml:space="preserve"> </w:t>
            </w:r>
            <w:r>
              <w:rPr>
                <w:spacing w:val="-7"/>
                <w:sz w:val="18"/>
                <w:szCs w:val="18"/>
              </w:rPr>
              <w:t>光解</w:t>
            </w:r>
            <w:r>
              <w:rPr>
                <w:rFonts w:ascii="Times New Roman" w:hAnsi="Times New Roman" w:eastAsia="Times New Roman" w:cs="Times New Roman"/>
                <w:spacing w:val="-7"/>
                <w:sz w:val="18"/>
                <w:szCs w:val="18"/>
              </w:rPr>
              <w:t>+</w:t>
            </w:r>
            <w:r>
              <w:rPr>
                <w:spacing w:val="-7"/>
                <w:sz w:val="18"/>
                <w:szCs w:val="18"/>
              </w:rPr>
              <w:t>两级活性炭吸附</w:t>
            </w:r>
            <w:r>
              <w:rPr>
                <w:spacing w:val="-50"/>
                <w:sz w:val="18"/>
                <w:szCs w:val="18"/>
              </w:rPr>
              <w:t xml:space="preserve"> </w:t>
            </w:r>
            <w:r>
              <w:rPr>
                <w:spacing w:val="-7"/>
                <w:sz w:val="18"/>
                <w:szCs w:val="18"/>
              </w:rPr>
              <w:t>”装置，废气经收</w:t>
            </w:r>
            <w:r>
              <w:rPr>
                <w:sz w:val="18"/>
                <w:szCs w:val="18"/>
              </w:rPr>
              <w:t xml:space="preserve"> </w:t>
            </w:r>
            <w:r>
              <w:rPr>
                <w:spacing w:val="-4"/>
                <w:sz w:val="18"/>
                <w:szCs w:val="18"/>
              </w:rPr>
              <w:t>集处理后引至</w:t>
            </w:r>
            <w:r>
              <w:rPr>
                <w:spacing w:val="-15"/>
                <w:sz w:val="18"/>
                <w:szCs w:val="18"/>
              </w:rPr>
              <w:t xml:space="preserve"> </w:t>
            </w:r>
            <w:r>
              <w:rPr>
                <w:rFonts w:ascii="Times New Roman" w:hAnsi="Times New Roman" w:eastAsia="Times New Roman" w:cs="Times New Roman"/>
                <w:spacing w:val="-4"/>
                <w:sz w:val="18"/>
                <w:szCs w:val="18"/>
              </w:rPr>
              <w:t xml:space="preserve">1 </w:t>
            </w:r>
            <w:r>
              <w:rPr>
                <w:spacing w:val="-4"/>
                <w:sz w:val="18"/>
                <w:szCs w:val="18"/>
              </w:rPr>
              <w:t>根</w:t>
            </w:r>
            <w:r>
              <w:rPr>
                <w:spacing w:val="-23"/>
                <w:sz w:val="18"/>
                <w:szCs w:val="18"/>
              </w:rPr>
              <w:t xml:space="preserve"> </w:t>
            </w:r>
            <w:r>
              <w:rPr>
                <w:rFonts w:ascii="Times New Roman" w:hAnsi="Times New Roman" w:eastAsia="Times New Roman" w:cs="Times New Roman"/>
                <w:spacing w:val="-4"/>
                <w:sz w:val="18"/>
                <w:szCs w:val="18"/>
              </w:rPr>
              <w:t>15m</w:t>
            </w:r>
            <w:r>
              <w:rPr>
                <w:rFonts w:ascii="Times New Roman" w:hAnsi="Times New Roman" w:eastAsia="Times New Roman" w:cs="Times New Roman"/>
                <w:spacing w:val="12"/>
                <w:sz w:val="18"/>
                <w:szCs w:val="18"/>
              </w:rPr>
              <w:t xml:space="preserve"> </w:t>
            </w:r>
            <w:r>
              <w:rPr>
                <w:spacing w:val="-4"/>
                <w:sz w:val="18"/>
                <w:szCs w:val="18"/>
              </w:rPr>
              <w:t>高排气筒排放</w:t>
            </w:r>
          </w:p>
        </w:tc>
        <w:tc>
          <w:tcPr>
            <w:tcW w:w="982" w:type="dxa"/>
            <w:vMerge w:val="continue"/>
            <w:tcBorders>
              <w:top w:val="nil"/>
              <w:bottom w:val="nil"/>
            </w:tcBorders>
            <w:vAlign w:val="top"/>
          </w:tcPr>
          <w:p w14:paraId="253D54C5">
            <w:pPr>
              <w:rPr>
                <w:rFonts w:ascii="Arial"/>
                <w:sz w:val="21"/>
              </w:rPr>
            </w:pPr>
          </w:p>
        </w:tc>
        <w:tc>
          <w:tcPr>
            <w:tcW w:w="1237" w:type="dxa"/>
            <w:vAlign w:val="top"/>
          </w:tcPr>
          <w:p w14:paraId="17058833">
            <w:pPr>
              <w:pStyle w:val="6"/>
              <w:spacing w:before="75" w:line="275" w:lineRule="auto"/>
              <w:ind w:left="86" w:right="71" w:firstLine="4"/>
              <w:rPr>
                <w:sz w:val="18"/>
                <w:szCs w:val="18"/>
              </w:rPr>
            </w:pPr>
            <w:r>
              <w:rPr>
                <w:spacing w:val="-1"/>
                <w:sz w:val="18"/>
                <w:szCs w:val="18"/>
              </w:rPr>
              <w:t>废</w:t>
            </w:r>
            <w:r>
              <w:rPr>
                <w:spacing w:val="-41"/>
                <w:sz w:val="18"/>
                <w:szCs w:val="18"/>
              </w:rPr>
              <w:t xml:space="preserve"> </w:t>
            </w:r>
            <w:r>
              <w:rPr>
                <w:rFonts w:ascii="Times New Roman" w:hAnsi="Times New Roman" w:eastAsia="Times New Roman" w:cs="Times New Roman"/>
                <w:spacing w:val="-1"/>
                <w:sz w:val="18"/>
                <w:szCs w:val="18"/>
              </w:rPr>
              <w:t xml:space="preserve">UV </w:t>
            </w:r>
            <w:r>
              <w:rPr>
                <w:spacing w:val="-1"/>
                <w:sz w:val="18"/>
                <w:szCs w:val="18"/>
              </w:rPr>
              <w:t>灯管、</w:t>
            </w:r>
            <w:r>
              <w:rPr>
                <w:sz w:val="18"/>
                <w:szCs w:val="18"/>
              </w:rPr>
              <w:t xml:space="preserve"> </w:t>
            </w:r>
            <w:r>
              <w:rPr>
                <w:spacing w:val="-2"/>
                <w:sz w:val="18"/>
                <w:szCs w:val="18"/>
              </w:rPr>
              <w:t>废活性炭、噪</w:t>
            </w:r>
          </w:p>
          <w:p w14:paraId="3DAE07F1">
            <w:pPr>
              <w:pStyle w:val="6"/>
              <w:spacing w:before="24" w:line="203" w:lineRule="auto"/>
              <w:ind w:left="542"/>
              <w:rPr>
                <w:sz w:val="18"/>
                <w:szCs w:val="18"/>
              </w:rPr>
            </w:pPr>
            <w:r>
              <w:rPr>
                <w:sz w:val="18"/>
                <w:szCs w:val="18"/>
              </w:rPr>
              <w:t>声</w:t>
            </w:r>
          </w:p>
        </w:tc>
        <w:tc>
          <w:tcPr>
            <w:tcW w:w="735" w:type="dxa"/>
            <w:vAlign w:val="top"/>
          </w:tcPr>
          <w:p w14:paraId="7D604360">
            <w:pPr>
              <w:spacing w:line="296" w:lineRule="auto"/>
              <w:rPr>
                <w:rFonts w:ascii="Arial"/>
                <w:sz w:val="21"/>
              </w:rPr>
            </w:pPr>
          </w:p>
          <w:p w14:paraId="6FD9C698">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5859A7A9">
            <w:pPr>
              <w:rPr>
                <w:rFonts w:ascii="Arial"/>
                <w:sz w:val="21"/>
              </w:rPr>
            </w:pPr>
          </w:p>
        </w:tc>
      </w:tr>
      <w:tr w14:paraId="6A19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445B60A4">
            <w:pPr>
              <w:rPr>
                <w:rFonts w:ascii="Arial"/>
                <w:sz w:val="21"/>
              </w:rPr>
            </w:pPr>
          </w:p>
        </w:tc>
        <w:tc>
          <w:tcPr>
            <w:tcW w:w="870" w:type="dxa"/>
            <w:vMerge w:val="continue"/>
            <w:tcBorders>
              <w:top w:val="nil"/>
              <w:bottom w:val="nil"/>
            </w:tcBorders>
            <w:vAlign w:val="top"/>
          </w:tcPr>
          <w:p w14:paraId="6AA96DCE">
            <w:pPr>
              <w:rPr>
                <w:rFonts w:ascii="Arial"/>
                <w:sz w:val="21"/>
              </w:rPr>
            </w:pPr>
          </w:p>
        </w:tc>
        <w:tc>
          <w:tcPr>
            <w:tcW w:w="636" w:type="dxa"/>
            <w:vMerge w:val="continue"/>
            <w:tcBorders>
              <w:top w:val="nil"/>
              <w:bottom w:val="nil"/>
            </w:tcBorders>
            <w:vAlign w:val="top"/>
          </w:tcPr>
          <w:p w14:paraId="19BCF576">
            <w:pPr>
              <w:rPr>
                <w:rFonts w:ascii="Arial"/>
                <w:sz w:val="21"/>
              </w:rPr>
            </w:pPr>
          </w:p>
        </w:tc>
        <w:tc>
          <w:tcPr>
            <w:tcW w:w="3210" w:type="dxa"/>
            <w:vAlign w:val="top"/>
          </w:tcPr>
          <w:p w14:paraId="2A3F3D21">
            <w:pPr>
              <w:pStyle w:val="6"/>
              <w:spacing w:before="74" w:line="260" w:lineRule="auto"/>
              <w:ind w:left="67" w:right="84" w:hanging="2"/>
              <w:jc w:val="both"/>
              <w:rPr>
                <w:sz w:val="18"/>
                <w:szCs w:val="18"/>
              </w:rPr>
            </w:pPr>
            <w:r>
              <w:rPr>
                <w:spacing w:val="-1"/>
                <w:sz w:val="18"/>
                <w:szCs w:val="18"/>
              </w:rPr>
              <w:t>钢筋切割机粉尘：设专用加工车间、切</w:t>
            </w:r>
            <w:r>
              <w:rPr>
                <w:spacing w:val="10"/>
                <w:sz w:val="18"/>
                <w:szCs w:val="18"/>
              </w:rPr>
              <w:t xml:space="preserve"> </w:t>
            </w:r>
            <w:r>
              <w:rPr>
                <w:spacing w:val="-1"/>
                <w:sz w:val="18"/>
                <w:szCs w:val="18"/>
              </w:rPr>
              <w:t>割机配除尘器、利用封闭式车间控制无</w:t>
            </w:r>
            <w:r>
              <w:rPr>
                <w:spacing w:val="7"/>
                <w:sz w:val="18"/>
                <w:szCs w:val="18"/>
              </w:rPr>
              <w:t xml:space="preserve"> </w:t>
            </w:r>
            <w:r>
              <w:rPr>
                <w:spacing w:val="-3"/>
                <w:sz w:val="18"/>
                <w:szCs w:val="18"/>
              </w:rPr>
              <w:t>组织粉尘</w:t>
            </w:r>
          </w:p>
        </w:tc>
        <w:tc>
          <w:tcPr>
            <w:tcW w:w="982" w:type="dxa"/>
            <w:vMerge w:val="continue"/>
            <w:tcBorders>
              <w:top w:val="nil"/>
              <w:bottom w:val="nil"/>
            </w:tcBorders>
            <w:vAlign w:val="top"/>
          </w:tcPr>
          <w:p w14:paraId="1F034743">
            <w:pPr>
              <w:rPr>
                <w:rFonts w:ascii="Arial"/>
                <w:sz w:val="21"/>
              </w:rPr>
            </w:pPr>
          </w:p>
        </w:tc>
        <w:tc>
          <w:tcPr>
            <w:tcW w:w="1237" w:type="dxa"/>
            <w:vAlign w:val="top"/>
          </w:tcPr>
          <w:p w14:paraId="482CBEBF">
            <w:pPr>
              <w:spacing w:line="296" w:lineRule="auto"/>
              <w:rPr>
                <w:rFonts w:ascii="Arial"/>
                <w:sz w:val="21"/>
              </w:rPr>
            </w:pPr>
          </w:p>
          <w:p w14:paraId="57F2958F">
            <w:pPr>
              <w:pStyle w:val="6"/>
              <w:spacing w:before="58" w:line="219" w:lineRule="auto"/>
              <w:ind w:left="93"/>
              <w:rPr>
                <w:sz w:val="18"/>
                <w:szCs w:val="18"/>
              </w:rPr>
            </w:pPr>
            <w:r>
              <w:rPr>
                <w:spacing w:val="-3"/>
                <w:sz w:val="18"/>
                <w:szCs w:val="18"/>
              </w:rPr>
              <w:t>收尘灰、噪声</w:t>
            </w:r>
          </w:p>
        </w:tc>
        <w:tc>
          <w:tcPr>
            <w:tcW w:w="735" w:type="dxa"/>
            <w:vAlign w:val="top"/>
          </w:tcPr>
          <w:p w14:paraId="101F2A49">
            <w:pPr>
              <w:spacing w:line="295" w:lineRule="auto"/>
              <w:rPr>
                <w:rFonts w:ascii="Arial"/>
                <w:sz w:val="21"/>
              </w:rPr>
            </w:pPr>
          </w:p>
          <w:p w14:paraId="6437CD7C">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72AD4A85">
            <w:pPr>
              <w:rPr>
                <w:rFonts w:ascii="Arial"/>
                <w:sz w:val="21"/>
              </w:rPr>
            </w:pPr>
          </w:p>
        </w:tc>
      </w:tr>
      <w:tr w14:paraId="34304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987" w:type="dxa"/>
            <w:vMerge w:val="continue"/>
            <w:tcBorders>
              <w:top w:val="nil"/>
              <w:left w:val="single" w:color="000000" w:sz="6" w:space="0"/>
              <w:bottom w:val="nil"/>
            </w:tcBorders>
            <w:vAlign w:val="top"/>
          </w:tcPr>
          <w:p w14:paraId="7CA44A49">
            <w:pPr>
              <w:rPr>
                <w:rFonts w:ascii="Arial"/>
                <w:sz w:val="21"/>
              </w:rPr>
            </w:pPr>
          </w:p>
        </w:tc>
        <w:tc>
          <w:tcPr>
            <w:tcW w:w="870" w:type="dxa"/>
            <w:vMerge w:val="continue"/>
            <w:tcBorders>
              <w:top w:val="nil"/>
              <w:bottom w:val="nil"/>
            </w:tcBorders>
            <w:vAlign w:val="top"/>
          </w:tcPr>
          <w:p w14:paraId="6436FD8B">
            <w:pPr>
              <w:rPr>
                <w:rFonts w:ascii="Arial"/>
                <w:sz w:val="21"/>
              </w:rPr>
            </w:pPr>
          </w:p>
        </w:tc>
        <w:tc>
          <w:tcPr>
            <w:tcW w:w="636" w:type="dxa"/>
            <w:vMerge w:val="continue"/>
            <w:tcBorders>
              <w:top w:val="nil"/>
              <w:bottom w:val="nil"/>
            </w:tcBorders>
            <w:vAlign w:val="top"/>
          </w:tcPr>
          <w:p w14:paraId="30CE508D">
            <w:pPr>
              <w:rPr>
                <w:rFonts w:ascii="Arial"/>
                <w:sz w:val="21"/>
              </w:rPr>
            </w:pPr>
          </w:p>
        </w:tc>
        <w:tc>
          <w:tcPr>
            <w:tcW w:w="3210" w:type="dxa"/>
            <w:vAlign w:val="top"/>
          </w:tcPr>
          <w:p w14:paraId="62AD05A7">
            <w:pPr>
              <w:pStyle w:val="6"/>
              <w:spacing w:before="77" w:line="259" w:lineRule="auto"/>
              <w:ind w:left="67" w:right="84" w:hanging="2"/>
              <w:jc w:val="both"/>
              <w:rPr>
                <w:sz w:val="18"/>
                <w:szCs w:val="18"/>
              </w:rPr>
            </w:pPr>
            <w:r>
              <w:rPr>
                <w:spacing w:val="-1"/>
                <w:sz w:val="18"/>
                <w:szCs w:val="18"/>
              </w:rPr>
              <w:t>碰焊机粉尘：设专用加工车间，设焊烟</w:t>
            </w:r>
            <w:r>
              <w:rPr>
                <w:spacing w:val="10"/>
                <w:sz w:val="18"/>
                <w:szCs w:val="18"/>
              </w:rPr>
              <w:t xml:space="preserve"> </w:t>
            </w:r>
            <w:r>
              <w:rPr>
                <w:spacing w:val="-1"/>
                <w:sz w:val="18"/>
                <w:szCs w:val="18"/>
              </w:rPr>
              <w:t>净化器、利用封闭式车间控制无组织粉</w:t>
            </w:r>
            <w:r>
              <w:rPr>
                <w:spacing w:val="7"/>
                <w:sz w:val="18"/>
                <w:szCs w:val="18"/>
              </w:rPr>
              <w:t xml:space="preserve"> </w:t>
            </w:r>
            <w:r>
              <w:rPr>
                <w:sz w:val="18"/>
                <w:szCs w:val="18"/>
              </w:rPr>
              <w:t>尘</w:t>
            </w:r>
          </w:p>
        </w:tc>
        <w:tc>
          <w:tcPr>
            <w:tcW w:w="982" w:type="dxa"/>
            <w:vMerge w:val="continue"/>
            <w:tcBorders>
              <w:top w:val="nil"/>
              <w:bottom w:val="nil"/>
            </w:tcBorders>
            <w:vAlign w:val="top"/>
          </w:tcPr>
          <w:p w14:paraId="47F99E96">
            <w:pPr>
              <w:rPr>
                <w:rFonts w:ascii="Arial"/>
                <w:sz w:val="21"/>
              </w:rPr>
            </w:pPr>
          </w:p>
        </w:tc>
        <w:tc>
          <w:tcPr>
            <w:tcW w:w="1237" w:type="dxa"/>
            <w:vAlign w:val="top"/>
          </w:tcPr>
          <w:p w14:paraId="3080D19E">
            <w:pPr>
              <w:spacing w:line="295" w:lineRule="auto"/>
              <w:rPr>
                <w:rFonts w:ascii="Arial"/>
                <w:sz w:val="21"/>
              </w:rPr>
            </w:pPr>
          </w:p>
          <w:p w14:paraId="7BAA1E8C">
            <w:pPr>
              <w:pStyle w:val="6"/>
              <w:spacing w:before="59" w:line="219" w:lineRule="auto"/>
              <w:ind w:left="93"/>
              <w:rPr>
                <w:sz w:val="18"/>
                <w:szCs w:val="18"/>
              </w:rPr>
            </w:pPr>
            <w:r>
              <w:rPr>
                <w:spacing w:val="-3"/>
                <w:sz w:val="18"/>
                <w:szCs w:val="18"/>
              </w:rPr>
              <w:t>收尘灰、噪声</w:t>
            </w:r>
          </w:p>
        </w:tc>
        <w:tc>
          <w:tcPr>
            <w:tcW w:w="735" w:type="dxa"/>
            <w:vAlign w:val="top"/>
          </w:tcPr>
          <w:p w14:paraId="0CA5C5BB">
            <w:pPr>
              <w:spacing w:line="295" w:lineRule="auto"/>
              <w:rPr>
                <w:rFonts w:ascii="Arial"/>
                <w:sz w:val="21"/>
              </w:rPr>
            </w:pPr>
          </w:p>
          <w:p w14:paraId="6FC16E3D">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2F68243D">
            <w:pPr>
              <w:rPr>
                <w:rFonts w:ascii="Arial"/>
                <w:sz w:val="21"/>
              </w:rPr>
            </w:pPr>
          </w:p>
        </w:tc>
      </w:tr>
      <w:tr w14:paraId="3903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5A09C3E4">
            <w:pPr>
              <w:rPr>
                <w:rFonts w:ascii="Arial"/>
                <w:sz w:val="21"/>
              </w:rPr>
            </w:pPr>
          </w:p>
        </w:tc>
        <w:tc>
          <w:tcPr>
            <w:tcW w:w="870" w:type="dxa"/>
            <w:vMerge w:val="continue"/>
            <w:tcBorders>
              <w:top w:val="nil"/>
              <w:bottom w:val="nil"/>
            </w:tcBorders>
            <w:vAlign w:val="top"/>
          </w:tcPr>
          <w:p w14:paraId="2531199C">
            <w:pPr>
              <w:rPr>
                <w:rFonts w:ascii="Arial"/>
                <w:sz w:val="21"/>
              </w:rPr>
            </w:pPr>
          </w:p>
        </w:tc>
        <w:tc>
          <w:tcPr>
            <w:tcW w:w="636" w:type="dxa"/>
            <w:vMerge w:val="continue"/>
            <w:tcBorders>
              <w:top w:val="nil"/>
              <w:bottom w:val="nil"/>
            </w:tcBorders>
            <w:vAlign w:val="top"/>
          </w:tcPr>
          <w:p w14:paraId="18AE43B3">
            <w:pPr>
              <w:rPr>
                <w:rFonts w:ascii="Arial"/>
                <w:sz w:val="21"/>
              </w:rPr>
            </w:pPr>
          </w:p>
        </w:tc>
        <w:tc>
          <w:tcPr>
            <w:tcW w:w="3210" w:type="dxa"/>
            <w:vAlign w:val="top"/>
          </w:tcPr>
          <w:p w14:paraId="71E7E1D0">
            <w:pPr>
              <w:pStyle w:val="6"/>
              <w:spacing w:before="77" w:line="259" w:lineRule="auto"/>
              <w:ind w:left="67" w:right="84"/>
              <w:jc w:val="both"/>
              <w:rPr>
                <w:sz w:val="18"/>
                <w:szCs w:val="18"/>
              </w:rPr>
            </w:pPr>
            <w:r>
              <w:rPr>
                <w:spacing w:val="-1"/>
                <w:sz w:val="18"/>
                <w:szCs w:val="18"/>
              </w:rPr>
              <w:t>球磨筛分、搅拌机及成品仓粉尘：各个</w:t>
            </w:r>
            <w:r>
              <w:rPr>
                <w:spacing w:val="8"/>
                <w:sz w:val="18"/>
                <w:szCs w:val="18"/>
              </w:rPr>
              <w:t xml:space="preserve"> </w:t>
            </w:r>
            <w:r>
              <w:rPr>
                <w:spacing w:val="-1"/>
                <w:sz w:val="18"/>
                <w:szCs w:val="18"/>
              </w:rPr>
              <w:t>环节均单独配备除尘器收尘处理后，三</w:t>
            </w:r>
            <w:r>
              <w:rPr>
                <w:spacing w:val="8"/>
                <w:sz w:val="18"/>
                <w:szCs w:val="18"/>
              </w:rPr>
              <w:t xml:space="preserve"> </w:t>
            </w:r>
            <w:r>
              <w:rPr>
                <w:spacing w:val="-3"/>
                <w:sz w:val="18"/>
                <w:szCs w:val="18"/>
              </w:rPr>
              <w:t>股废气经同一根</w:t>
            </w:r>
            <w:r>
              <w:rPr>
                <w:spacing w:val="-17"/>
                <w:sz w:val="18"/>
                <w:szCs w:val="18"/>
              </w:rPr>
              <w:t xml:space="preserve"> </w:t>
            </w:r>
            <w:r>
              <w:rPr>
                <w:rFonts w:ascii="Times New Roman" w:hAnsi="Times New Roman" w:eastAsia="Times New Roman" w:cs="Times New Roman"/>
                <w:spacing w:val="-3"/>
                <w:sz w:val="18"/>
                <w:szCs w:val="18"/>
              </w:rPr>
              <w:t>15m</w:t>
            </w:r>
            <w:r>
              <w:rPr>
                <w:rFonts w:ascii="Times New Roman" w:hAnsi="Times New Roman" w:eastAsia="Times New Roman" w:cs="Times New Roman"/>
                <w:spacing w:val="12"/>
                <w:sz w:val="18"/>
                <w:szCs w:val="18"/>
              </w:rPr>
              <w:t xml:space="preserve"> </w:t>
            </w:r>
            <w:r>
              <w:rPr>
                <w:spacing w:val="-3"/>
                <w:sz w:val="18"/>
                <w:szCs w:val="18"/>
              </w:rPr>
              <w:t>高排气筒排放</w:t>
            </w:r>
          </w:p>
        </w:tc>
        <w:tc>
          <w:tcPr>
            <w:tcW w:w="982" w:type="dxa"/>
            <w:vMerge w:val="continue"/>
            <w:tcBorders>
              <w:top w:val="nil"/>
              <w:bottom w:val="nil"/>
            </w:tcBorders>
            <w:vAlign w:val="top"/>
          </w:tcPr>
          <w:p w14:paraId="1642D80A">
            <w:pPr>
              <w:rPr>
                <w:rFonts w:ascii="Arial"/>
                <w:sz w:val="21"/>
              </w:rPr>
            </w:pPr>
          </w:p>
        </w:tc>
        <w:tc>
          <w:tcPr>
            <w:tcW w:w="1237" w:type="dxa"/>
            <w:vAlign w:val="top"/>
          </w:tcPr>
          <w:p w14:paraId="36BA5568">
            <w:pPr>
              <w:spacing w:line="295" w:lineRule="auto"/>
              <w:rPr>
                <w:rFonts w:ascii="Arial"/>
                <w:sz w:val="21"/>
              </w:rPr>
            </w:pPr>
          </w:p>
          <w:p w14:paraId="07CADF9E">
            <w:pPr>
              <w:pStyle w:val="6"/>
              <w:spacing w:before="58" w:line="219" w:lineRule="auto"/>
              <w:ind w:left="93"/>
              <w:rPr>
                <w:sz w:val="18"/>
                <w:szCs w:val="18"/>
              </w:rPr>
            </w:pPr>
            <w:r>
              <w:rPr>
                <w:spacing w:val="-3"/>
                <w:sz w:val="18"/>
                <w:szCs w:val="18"/>
              </w:rPr>
              <w:t>收尘灰、噪声</w:t>
            </w:r>
          </w:p>
        </w:tc>
        <w:tc>
          <w:tcPr>
            <w:tcW w:w="735" w:type="dxa"/>
            <w:vAlign w:val="top"/>
          </w:tcPr>
          <w:p w14:paraId="3666277D">
            <w:pPr>
              <w:spacing w:line="295" w:lineRule="auto"/>
              <w:rPr>
                <w:rFonts w:ascii="Arial"/>
                <w:sz w:val="21"/>
              </w:rPr>
            </w:pPr>
          </w:p>
          <w:p w14:paraId="5E5E3838">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75DEC04D">
            <w:pPr>
              <w:rPr>
                <w:rFonts w:ascii="Arial"/>
                <w:sz w:val="21"/>
              </w:rPr>
            </w:pPr>
          </w:p>
        </w:tc>
      </w:tr>
      <w:tr w14:paraId="196D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87" w:type="dxa"/>
            <w:vMerge w:val="continue"/>
            <w:tcBorders>
              <w:top w:val="nil"/>
              <w:left w:val="single" w:color="000000" w:sz="6" w:space="0"/>
            </w:tcBorders>
            <w:vAlign w:val="top"/>
          </w:tcPr>
          <w:p w14:paraId="11730C6D">
            <w:pPr>
              <w:rPr>
                <w:rFonts w:ascii="Arial"/>
                <w:sz w:val="21"/>
              </w:rPr>
            </w:pPr>
          </w:p>
        </w:tc>
        <w:tc>
          <w:tcPr>
            <w:tcW w:w="870" w:type="dxa"/>
            <w:vMerge w:val="continue"/>
            <w:tcBorders>
              <w:top w:val="nil"/>
            </w:tcBorders>
            <w:vAlign w:val="top"/>
          </w:tcPr>
          <w:p w14:paraId="345B793E">
            <w:pPr>
              <w:rPr>
                <w:rFonts w:ascii="Arial"/>
                <w:sz w:val="21"/>
              </w:rPr>
            </w:pPr>
          </w:p>
        </w:tc>
        <w:tc>
          <w:tcPr>
            <w:tcW w:w="636" w:type="dxa"/>
            <w:vMerge w:val="continue"/>
            <w:tcBorders>
              <w:top w:val="nil"/>
            </w:tcBorders>
            <w:vAlign w:val="top"/>
          </w:tcPr>
          <w:p w14:paraId="00C210D1">
            <w:pPr>
              <w:rPr>
                <w:rFonts w:ascii="Arial"/>
                <w:sz w:val="21"/>
              </w:rPr>
            </w:pPr>
          </w:p>
        </w:tc>
        <w:tc>
          <w:tcPr>
            <w:tcW w:w="3210" w:type="dxa"/>
            <w:vAlign w:val="top"/>
          </w:tcPr>
          <w:p w14:paraId="1309EC62">
            <w:pPr>
              <w:pStyle w:val="6"/>
              <w:spacing w:before="76" w:line="207" w:lineRule="auto"/>
              <w:ind w:left="66"/>
              <w:rPr>
                <w:sz w:val="18"/>
                <w:szCs w:val="18"/>
              </w:rPr>
            </w:pPr>
            <w:r>
              <w:rPr>
                <w:spacing w:val="-1"/>
                <w:sz w:val="18"/>
                <w:szCs w:val="18"/>
              </w:rPr>
              <w:t>黄沙烘干废气：采用密闭型设备，在进</w:t>
            </w:r>
          </w:p>
        </w:tc>
        <w:tc>
          <w:tcPr>
            <w:tcW w:w="982" w:type="dxa"/>
            <w:vMerge w:val="continue"/>
            <w:tcBorders>
              <w:top w:val="nil"/>
            </w:tcBorders>
            <w:vAlign w:val="top"/>
          </w:tcPr>
          <w:p w14:paraId="29883D3E">
            <w:pPr>
              <w:rPr>
                <w:rFonts w:ascii="Arial"/>
                <w:sz w:val="21"/>
              </w:rPr>
            </w:pPr>
          </w:p>
        </w:tc>
        <w:tc>
          <w:tcPr>
            <w:tcW w:w="1237" w:type="dxa"/>
            <w:vAlign w:val="top"/>
          </w:tcPr>
          <w:p w14:paraId="0A13CFC3">
            <w:pPr>
              <w:pStyle w:val="6"/>
              <w:spacing w:before="76" w:line="207" w:lineRule="auto"/>
              <w:ind w:left="93"/>
              <w:rPr>
                <w:sz w:val="18"/>
                <w:szCs w:val="18"/>
              </w:rPr>
            </w:pPr>
            <w:r>
              <w:rPr>
                <w:spacing w:val="-3"/>
                <w:sz w:val="18"/>
                <w:szCs w:val="18"/>
              </w:rPr>
              <w:t>收尘灰、噪声</w:t>
            </w:r>
          </w:p>
        </w:tc>
        <w:tc>
          <w:tcPr>
            <w:tcW w:w="735" w:type="dxa"/>
            <w:vAlign w:val="top"/>
          </w:tcPr>
          <w:p w14:paraId="210E06AC">
            <w:pPr>
              <w:pStyle w:val="6"/>
              <w:spacing w:before="76" w:line="207" w:lineRule="auto"/>
              <w:ind w:left="199"/>
              <w:rPr>
                <w:sz w:val="18"/>
                <w:szCs w:val="18"/>
              </w:rPr>
            </w:pPr>
            <w:r>
              <w:rPr>
                <w:spacing w:val="-4"/>
                <w:sz w:val="18"/>
                <w:szCs w:val="18"/>
              </w:rPr>
              <w:t>新建</w:t>
            </w:r>
          </w:p>
        </w:tc>
        <w:tc>
          <w:tcPr>
            <w:tcW w:w="166" w:type="dxa"/>
            <w:vMerge w:val="continue"/>
            <w:tcBorders>
              <w:top w:val="nil"/>
              <w:right w:val="single" w:color="000000" w:sz="6" w:space="0"/>
            </w:tcBorders>
            <w:vAlign w:val="top"/>
          </w:tcPr>
          <w:p w14:paraId="513586E2">
            <w:pPr>
              <w:rPr>
                <w:rFonts w:ascii="Arial"/>
                <w:sz w:val="21"/>
              </w:rPr>
            </w:pPr>
          </w:p>
        </w:tc>
      </w:tr>
    </w:tbl>
    <w:p w14:paraId="07F2ECCB">
      <w:pPr>
        <w:pStyle w:val="2"/>
      </w:pPr>
    </w:p>
    <w:p w14:paraId="1FD8AEFF">
      <w:pPr>
        <w:sectPr>
          <w:footerReference r:id="rId33" w:type="default"/>
          <w:pgSz w:w="11906" w:h="16839"/>
          <w:pgMar w:top="1431" w:right="1532" w:bottom="1260" w:left="1533" w:header="0" w:footer="1080" w:gutter="0"/>
          <w:cols w:space="720" w:num="1"/>
        </w:sectPr>
      </w:pPr>
    </w:p>
    <w:p w14:paraId="568C3CDF">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70"/>
        <w:gridCol w:w="636"/>
        <w:gridCol w:w="3210"/>
        <w:gridCol w:w="982"/>
        <w:gridCol w:w="1237"/>
        <w:gridCol w:w="735"/>
        <w:gridCol w:w="166"/>
      </w:tblGrid>
      <w:tr w14:paraId="5A76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987" w:type="dxa"/>
            <w:vMerge w:val="restart"/>
            <w:tcBorders>
              <w:top w:val="single" w:color="000000" w:sz="6" w:space="0"/>
              <w:left w:val="single" w:color="000000" w:sz="6" w:space="0"/>
              <w:bottom w:val="nil"/>
            </w:tcBorders>
            <w:vAlign w:val="top"/>
          </w:tcPr>
          <w:p w14:paraId="1D3060B7">
            <w:pPr>
              <w:rPr>
                <w:rFonts w:ascii="Arial"/>
                <w:sz w:val="21"/>
              </w:rPr>
            </w:pPr>
            <w:r>
              <w:pict>
                <v:shape id="_x0000_s1036" o:spid="_x0000_s1036" style="position:absolute;left:0pt;margin-left:41.05pt;margin-top:0.95pt;height:665.95pt;width:0.5pt;mso-position-horizontal-relative:page;mso-position-vertical-relative:page;z-index:251683840;mso-width-relative:page;mso-height-relative:page;" filled="f" stroked="t" coordsize="10,13319" path="m4,0l4,13318e">
                  <v:fill on="f" focussize="0,0"/>
                  <v:stroke weight="0.48pt" color="#000000" miterlimit="2" joinstyle="bevel"/>
                  <v:imagedata o:title=""/>
                  <o:lock v:ext="edit"/>
                </v:shape>
              </w:pict>
            </w:r>
          </w:p>
        </w:tc>
        <w:tc>
          <w:tcPr>
            <w:tcW w:w="870" w:type="dxa"/>
            <w:vMerge w:val="restart"/>
            <w:tcBorders>
              <w:bottom w:val="nil"/>
            </w:tcBorders>
            <w:vAlign w:val="top"/>
          </w:tcPr>
          <w:p w14:paraId="637050F3">
            <w:pPr>
              <w:rPr>
                <w:rFonts w:ascii="Arial"/>
                <w:sz w:val="21"/>
              </w:rPr>
            </w:pPr>
          </w:p>
        </w:tc>
        <w:tc>
          <w:tcPr>
            <w:tcW w:w="636" w:type="dxa"/>
            <w:vMerge w:val="restart"/>
            <w:tcBorders>
              <w:bottom w:val="nil"/>
            </w:tcBorders>
            <w:vAlign w:val="top"/>
          </w:tcPr>
          <w:p w14:paraId="173BBD5A">
            <w:pPr>
              <w:rPr>
                <w:rFonts w:ascii="Arial"/>
                <w:sz w:val="21"/>
              </w:rPr>
            </w:pPr>
          </w:p>
        </w:tc>
        <w:tc>
          <w:tcPr>
            <w:tcW w:w="3210" w:type="dxa"/>
            <w:vAlign w:val="top"/>
          </w:tcPr>
          <w:p w14:paraId="1CEB9555">
            <w:pPr>
              <w:pStyle w:val="6"/>
              <w:spacing w:before="86" w:line="209" w:lineRule="auto"/>
              <w:ind w:left="82"/>
              <w:rPr>
                <w:sz w:val="18"/>
                <w:szCs w:val="18"/>
              </w:rPr>
            </w:pPr>
            <w:r>
              <w:rPr>
                <w:spacing w:val="-2"/>
                <w:sz w:val="18"/>
                <w:szCs w:val="18"/>
              </w:rPr>
              <w:t>出料口设收尘装置，引至除尘器处理</w:t>
            </w:r>
          </w:p>
        </w:tc>
        <w:tc>
          <w:tcPr>
            <w:tcW w:w="982" w:type="dxa"/>
            <w:vMerge w:val="restart"/>
            <w:tcBorders>
              <w:bottom w:val="nil"/>
            </w:tcBorders>
            <w:vAlign w:val="top"/>
          </w:tcPr>
          <w:p w14:paraId="75DC5B9A">
            <w:pPr>
              <w:rPr>
                <w:rFonts w:ascii="Arial"/>
                <w:sz w:val="21"/>
              </w:rPr>
            </w:pPr>
          </w:p>
        </w:tc>
        <w:tc>
          <w:tcPr>
            <w:tcW w:w="1237" w:type="dxa"/>
            <w:vAlign w:val="top"/>
          </w:tcPr>
          <w:p w14:paraId="60F8B6D2">
            <w:pPr>
              <w:rPr>
                <w:rFonts w:ascii="Arial"/>
                <w:sz w:val="21"/>
              </w:rPr>
            </w:pPr>
          </w:p>
        </w:tc>
        <w:tc>
          <w:tcPr>
            <w:tcW w:w="735" w:type="dxa"/>
            <w:vAlign w:val="top"/>
          </w:tcPr>
          <w:p w14:paraId="22752FF6">
            <w:pPr>
              <w:rPr>
                <w:rFonts w:ascii="Arial"/>
                <w:sz w:val="21"/>
              </w:rPr>
            </w:pPr>
          </w:p>
        </w:tc>
        <w:tc>
          <w:tcPr>
            <w:tcW w:w="166" w:type="dxa"/>
            <w:vMerge w:val="restart"/>
            <w:tcBorders>
              <w:top w:val="single" w:color="000000" w:sz="6" w:space="0"/>
              <w:bottom w:val="nil"/>
              <w:right w:val="single" w:color="000000" w:sz="6" w:space="0"/>
            </w:tcBorders>
            <w:vAlign w:val="top"/>
          </w:tcPr>
          <w:p w14:paraId="354B0267">
            <w:pPr>
              <w:rPr>
                <w:rFonts w:ascii="Arial"/>
                <w:sz w:val="21"/>
              </w:rPr>
            </w:pPr>
          </w:p>
        </w:tc>
      </w:tr>
      <w:tr w14:paraId="41EBC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17A99BC8">
            <w:pPr>
              <w:rPr>
                <w:rFonts w:ascii="Arial"/>
                <w:sz w:val="21"/>
              </w:rPr>
            </w:pPr>
          </w:p>
        </w:tc>
        <w:tc>
          <w:tcPr>
            <w:tcW w:w="870" w:type="dxa"/>
            <w:vMerge w:val="continue"/>
            <w:tcBorders>
              <w:top w:val="nil"/>
              <w:bottom w:val="nil"/>
            </w:tcBorders>
            <w:vAlign w:val="top"/>
          </w:tcPr>
          <w:p w14:paraId="4CA99602">
            <w:pPr>
              <w:rPr>
                <w:rFonts w:ascii="Arial"/>
                <w:sz w:val="21"/>
              </w:rPr>
            </w:pPr>
          </w:p>
        </w:tc>
        <w:tc>
          <w:tcPr>
            <w:tcW w:w="636" w:type="dxa"/>
            <w:vMerge w:val="continue"/>
            <w:tcBorders>
              <w:top w:val="nil"/>
              <w:bottom w:val="nil"/>
            </w:tcBorders>
            <w:vAlign w:val="top"/>
          </w:tcPr>
          <w:p w14:paraId="1D1486F3">
            <w:pPr>
              <w:rPr>
                <w:rFonts w:ascii="Arial"/>
                <w:sz w:val="21"/>
              </w:rPr>
            </w:pPr>
          </w:p>
        </w:tc>
        <w:tc>
          <w:tcPr>
            <w:tcW w:w="3210" w:type="dxa"/>
            <w:vAlign w:val="top"/>
          </w:tcPr>
          <w:p w14:paraId="340AC61A">
            <w:pPr>
              <w:pStyle w:val="6"/>
              <w:spacing w:before="68" w:line="262" w:lineRule="auto"/>
              <w:ind w:left="67" w:right="60" w:firstLine="4"/>
              <w:jc w:val="both"/>
              <w:rPr>
                <w:sz w:val="18"/>
                <w:szCs w:val="18"/>
              </w:rPr>
            </w:pPr>
            <w:r>
              <w:rPr>
                <w:spacing w:val="-1"/>
                <w:sz w:val="18"/>
                <w:szCs w:val="18"/>
              </w:rPr>
              <w:t>小料上料粉尘：是专用小料平台，陪小</w:t>
            </w:r>
            <w:r>
              <w:rPr>
                <w:spacing w:val="4"/>
                <w:sz w:val="18"/>
                <w:szCs w:val="18"/>
              </w:rPr>
              <w:t xml:space="preserve"> </w:t>
            </w:r>
            <w:r>
              <w:rPr>
                <w:spacing w:val="-3"/>
                <w:sz w:val="18"/>
                <w:szCs w:val="18"/>
              </w:rPr>
              <w:t>料仓（</w:t>
            </w:r>
            <w:r>
              <w:rPr>
                <w:rFonts w:ascii="Times New Roman" w:hAnsi="Times New Roman" w:eastAsia="Times New Roman" w:cs="Times New Roman"/>
                <w:spacing w:val="-3"/>
                <w:sz w:val="18"/>
                <w:szCs w:val="18"/>
              </w:rPr>
              <w:t>0.5m</w:t>
            </w:r>
            <w:r>
              <w:rPr>
                <w:rFonts w:ascii="Times New Roman" w:hAnsi="Times New Roman" w:eastAsia="Times New Roman" w:cs="Times New Roman"/>
                <w:spacing w:val="-3"/>
                <w:position w:val="5"/>
                <w:sz w:val="11"/>
                <w:szCs w:val="11"/>
              </w:rPr>
              <w:t>3</w:t>
            </w:r>
            <w:r>
              <w:rPr>
                <w:spacing w:val="-3"/>
                <w:sz w:val="18"/>
                <w:szCs w:val="18"/>
              </w:rPr>
              <w:t>）和螺旋输送装置，以及脉</w:t>
            </w:r>
            <w:r>
              <w:rPr>
                <w:spacing w:val="15"/>
                <w:sz w:val="18"/>
                <w:szCs w:val="18"/>
              </w:rPr>
              <w:t xml:space="preserve"> </w:t>
            </w:r>
            <w:r>
              <w:rPr>
                <w:spacing w:val="-1"/>
                <w:sz w:val="18"/>
                <w:szCs w:val="18"/>
              </w:rPr>
              <w:t>冲除尘器收尘处理</w:t>
            </w:r>
          </w:p>
        </w:tc>
        <w:tc>
          <w:tcPr>
            <w:tcW w:w="982" w:type="dxa"/>
            <w:vMerge w:val="continue"/>
            <w:tcBorders>
              <w:top w:val="nil"/>
              <w:bottom w:val="nil"/>
            </w:tcBorders>
            <w:vAlign w:val="top"/>
          </w:tcPr>
          <w:p w14:paraId="2FA1BCD1">
            <w:pPr>
              <w:rPr>
                <w:rFonts w:ascii="Arial"/>
                <w:sz w:val="21"/>
              </w:rPr>
            </w:pPr>
          </w:p>
        </w:tc>
        <w:tc>
          <w:tcPr>
            <w:tcW w:w="1237" w:type="dxa"/>
            <w:vAlign w:val="top"/>
          </w:tcPr>
          <w:p w14:paraId="0A932DF8">
            <w:pPr>
              <w:spacing w:line="290" w:lineRule="auto"/>
              <w:rPr>
                <w:rFonts w:ascii="Arial"/>
                <w:sz w:val="21"/>
              </w:rPr>
            </w:pPr>
          </w:p>
          <w:p w14:paraId="2FFF05CC">
            <w:pPr>
              <w:pStyle w:val="6"/>
              <w:spacing w:before="58" w:line="219" w:lineRule="auto"/>
              <w:ind w:left="93"/>
              <w:rPr>
                <w:sz w:val="18"/>
                <w:szCs w:val="18"/>
              </w:rPr>
            </w:pPr>
            <w:r>
              <w:rPr>
                <w:spacing w:val="-3"/>
                <w:sz w:val="18"/>
                <w:szCs w:val="18"/>
              </w:rPr>
              <w:t>收尘灰、噪声</w:t>
            </w:r>
          </w:p>
        </w:tc>
        <w:tc>
          <w:tcPr>
            <w:tcW w:w="735" w:type="dxa"/>
            <w:vAlign w:val="top"/>
          </w:tcPr>
          <w:p w14:paraId="62BD6745">
            <w:pPr>
              <w:spacing w:line="289" w:lineRule="auto"/>
              <w:rPr>
                <w:rFonts w:ascii="Arial"/>
                <w:sz w:val="21"/>
              </w:rPr>
            </w:pPr>
          </w:p>
          <w:p w14:paraId="40BC52FE">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6BD4F2FB">
            <w:pPr>
              <w:rPr>
                <w:rFonts w:ascii="Arial"/>
                <w:sz w:val="21"/>
              </w:rPr>
            </w:pPr>
          </w:p>
        </w:tc>
      </w:tr>
      <w:tr w14:paraId="03A8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87" w:type="dxa"/>
            <w:vMerge w:val="continue"/>
            <w:tcBorders>
              <w:top w:val="nil"/>
              <w:left w:val="single" w:color="000000" w:sz="6" w:space="0"/>
              <w:bottom w:val="nil"/>
            </w:tcBorders>
            <w:vAlign w:val="top"/>
          </w:tcPr>
          <w:p w14:paraId="5111C37B">
            <w:pPr>
              <w:rPr>
                <w:rFonts w:ascii="Arial"/>
                <w:sz w:val="21"/>
              </w:rPr>
            </w:pPr>
          </w:p>
        </w:tc>
        <w:tc>
          <w:tcPr>
            <w:tcW w:w="870" w:type="dxa"/>
            <w:vMerge w:val="continue"/>
            <w:tcBorders>
              <w:top w:val="nil"/>
              <w:bottom w:val="nil"/>
            </w:tcBorders>
            <w:vAlign w:val="top"/>
          </w:tcPr>
          <w:p w14:paraId="06FCB925">
            <w:pPr>
              <w:rPr>
                <w:rFonts w:ascii="Arial"/>
                <w:sz w:val="21"/>
              </w:rPr>
            </w:pPr>
          </w:p>
        </w:tc>
        <w:tc>
          <w:tcPr>
            <w:tcW w:w="636" w:type="dxa"/>
            <w:vMerge w:val="continue"/>
            <w:tcBorders>
              <w:top w:val="nil"/>
              <w:bottom w:val="nil"/>
            </w:tcBorders>
            <w:vAlign w:val="top"/>
          </w:tcPr>
          <w:p w14:paraId="711A0AC9">
            <w:pPr>
              <w:rPr>
                <w:rFonts w:ascii="Arial"/>
                <w:sz w:val="21"/>
              </w:rPr>
            </w:pPr>
          </w:p>
        </w:tc>
        <w:tc>
          <w:tcPr>
            <w:tcW w:w="3210" w:type="dxa"/>
            <w:vAlign w:val="top"/>
          </w:tcPr>
          <w:p w14:paraId="37C06B09">
            <w:pPr>
              <w:pStyle w:val="6"/>
              <w:spacing w:before="70" w:line="261" w:lineRule="auto"/>
              <w:ind w:left="68" w:right="84" w:hanging="2"/>
              <w:jc w:val="both"/>
              <w:rPr>
                <w:sz w:val="18"/>
                <w:szCs w:val="18"/>
              </w:rPr>
            </w:pPr>
            <w:r>
              <w:rPr>
                <w:spacing w:val="-1"/>
                <w:sz w:val="18"/>
                <w:szCs w:val="18"/>
              </w:rPr>
              <w:t>干混砂浆车间无组织粉尘：利用封闭式</w:t>
            </w:r>
            <w:r>
              <w:rPr>
                <w:spacing w:val="9"/>
                <w:sz w:val="18"/>
                <w:szCs w:val="18"/>
              </w:rPr>
              <w:t xml:space="preserve"> </w:t>
            </w:r>
            <w:r>
              <w:rPr>
                <w:spacing w:val="-1"/>
                <w:sz w:val="18"/>
                <w:szCs w:val="18"/>
              </w:rPr>
              <w:t>车间阻挡粉尘外逸，在车间进出大门口</w:t>
            </w:r>
            <w:r>
              <w:rPr>
                <w:spacing w:val="7"/>
                <w:sz w:val="18"/>
                <w:szCs w:val="18"/>
              </w:rPr>
              <w:t xml:space="preserve"> </w:t>
            </w:r>
            <w:r>
              <w:rPr>
                <w:spacing w:val="-1"/>
                <w:sz w:val="18"/>
                <w:szCs w:val="18"/>
              </w:rPr>
              <w:t>设喷雾雾帘，降低粉尘逸散</w:t>
            </w:r>
          </w:p>
        </w:tc>
        <w:tc>
          <w:tcPr>
            <w:tcW w:w="982" w:type="dxa"/>
            <w:vMerge w:val="continue"/>
            <w:tcBorders>
              <w:top w:val="nil"/>
              <w:bottom w:val="nil"/>
            </w:tcBorders>
            <w:vAlign w:val="top"/>
          </w:tcPr>
          <w:p w14:paraId="7DA46769">
            <w:pPr>
              <w:rPr>
                <w:rFonts w:ascii="Arial"/>
                <w:sz w:val="21"/>
              </w:rPr>
            </w:pPr>
          </w:p>
        </w:tc>
        <w:tc>
          <w:tcPr>
            <w:tcW w:w="1237" w:type="dxa"/>
            <w:vAlign w:val="top"/>
          </w:tcPr>
          <w:p w14:paraId="0414B3B7">
            <w:pPr>
              <w:spacing w:line="323" w:lineRule="auto"/>
              <w:rPr>
                <w:rFonts w:ascii="Arial"/>
                <w:sz w:val="21"/>
              </w:rPr>
            </w:pPr>
          </w:p>
          <w:p w14:paraId="137FD1F4">
            <w:pPr>
              <w:spacing w:before="52"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7FC996C4">
            <w:pPr>
              <w:spacing w:line="289" w:lineRule="auto"/>
              <w:rPr>
                <w:rFonts w:ascii="Arial"/>
                <w:sz w:val="21"/>
              </w:rPr>
            </w:pPr>
          </w:p>
          <w:p w14:paraId="2688FAE7">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1361028B">
            <w:pPr>
              <w:rPr>
                <w:rFonts w:ascii="Arial"/>
                <w:sz w:val="21"/>
              </w:rPr>
            </w:pPr>
          </w:p>
        </w:tc>
      </w:tr>
      <w:tr w14:paraId="3816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369624B0">
            <w:pPr>
              <w:rPr>
                <w:rFonts w:ascii="Arial"/>
                <w:sz w:val="21"/>
              </w:rPr>
            </w:pPr>
          </w:p>
        </w:tc>
        <w:tc>
          <w:tcPr>
            <w:tcW w:w="870" w:type="dxa"/>
            <w:vMerge w:val="continue"/>
            <w:tcBorders>
              <w:top w:val="nil"/>
              <w:bottom w:val="nil"/>
            </w:tcBorders>
            <w:vAlign w:val="top"/>
          </w:tcPr>
          <w:p w14:paraId="521D0163">
            <w:pPr>
              <w:rPr>
                <w:rFonts w:ascii="Arial"/>
                <w:sz w:val="21"/>
              </w:rPr>
            </w:pPr>
          </w:p>
        </w:tc>
        <w:tc>
          <w:tcPr>
            <w:tcW w:w="636" w:type="dxa"/>
            <w:vMerge w:val="continue"/>
            <w:tcBorders>
              <w:top w:val="nil"/>
              <w:bottom w:val="nil"/>
            </w:tcBorders>
            <w:vAlign w:val="top"/>
          </w:tcPr>
          <w:p w14:paraId="3F01506C">
            <w:pPr>
              <w:rPr>
                <w:rFonts w:ascii="Arial"/>
                <w:sz w:val="21"/>
              </w:rPr>
            </w:pPr>
          </w:p>
        </w:tc>
        <w:tc>
          <w:tcPr>
            <w:tcW w:w="3210" w:type="dxa"/>
            <w:vAlign w:val="top"/>
          </w:tcPr>
          <w:p w14:paraId="2BD7D2E6">
            <w:pPr>
              <w:pStyle w:val="6"/>
              <w:spacing w:before="71" w:line="248" w:lineRule="auto"/>
              <w:ind w:left="71" w:right="84" w:hanging="3"/>
              <w:rPr>
                <w:sz w:val="18"/>
                <w:szCs w:val="18"/>
              </w:rPr>
            </w:pPr>
            <w:r>
              <w:rPr>
                <w:spacing w:val="-1"/>
                <w:sz w:val="18"/>
                <w:szCs w:val="18"/>
              </w:rPr>
              <w:t>燃气锅炉废气：设低氮燃烧器，废气经</w:t>
            </w:r>
            <w:r>
              <w:rPr>
                <w:spacing w:val="8"/>
                <w:sz w:val="18"/>
                <w:szCs w:val="18"/>
              </w:rPr>
              <w:t xml:space="preserve"> </w:t>
            </w:r>
            <w:r>
              <w:rPr>
                <w:rFonts w:ascii="Times New Roman" w:hAnsi="Times New Roman" w:eastAsia="Times New Roman" w:cs="Times New Roman"/>
                <w:spacing w:val="-2"/>
                <w:sz w:val="18"/>
                <w:szCs w:val="18"/>
              </w:rPr>
              <w:t>8m</w:t>
            </w:r>
            <w:r>
              <w:rPr>
                <w:rFonts w:ascii="Times New Roman" w:hAnsi="Times New Roman" w:eastAsia="Times New Roman" w:cs="Times New Roman"/>
                <w:spacing w:val="19"/>
                <w:sz w:val="18"/>
                <w:szCs w:val="18"/>
              </w:rPr>
              <w:t xml:space="preserve"> </w:t>
            </w:r>
            <w:r>
              <w:rPr>
                <w:spacing w:val="-2"/>
                <w:sz w:val="18"/>
                <w:szCs w:val="18"/>
              </w:rPr>
              <w:t>高排气筒引至锅炉房屋顶排放</w:t>
            </w:r>
          </w:p>
        </w:tc>
        <w:tc>
          <w:tcPr>
            <w:tcW w:w="982" w:type="dxa"/>
            <w:vMerge w:val="continue"/>
            <w:tcBorders>
              <w:top w:val="nil"/>
              <w:bottom w:val="nil"/>
            </w:tcBorders>
            <w:vAlign w:val="top"/>
          </w:tcPr>
          <w:p w14:paraId="325485B8">
            <w:pPr>
              <w:rPr>
                <w:rFonts w:ascii="Arial"/>
                <w:sz w:val="21"/>
              </w:rPr>
            </w:pPr>
          </w:p>
        </w:tc>
        <w:tc>
          <w:tcPr>
            <w:tcW w:w="1237" w:type="dxa"/>
            <w:vAlign w:val="top"/>
          </w:tcPr>
          <w:p w14:paraId="2CEF124A">
            <w:pPr>
              <w:spacing w:before="239"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2D51D529">
            <w:pPr>
              <w:pStyle w:val="6"/>
              <w:spacing w:before="211"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38EC2BB1">
            <w:pPr>
              <w:rPr>
                <w:rFonts w:ascii="Arial"/>
                <w:sz w:val="21"/>
              </w:rPr>
            </w:pPr>
          </w:p>
        </w:tc>
      </w:tr>
      <w:tr w14:paraId="2F0AE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774E8DEF">
            <w:pPr>
              <w:rPr>
                <w:rFonts w:ascii="Arial"/>
                <w:sz w:val="21"/>
              </w:rPr>
            </w:pPr>
          </w:p>
        </w:tc>
        <w:tc>
          <w:tcPr>
            <w:tcW w:w="870" w:type="dxa"/>
            <w:vMerge w:val="continue"/>
            <w:tcBorders>
              <w:top w:val="nil"/>
              <w:bottom w:val="nil"/>
            </w:tcBorders>
            <w:vAlign w:val="top"/>
          </w:tcPr>
          <w:p w14:paraId="2BC7007D">
            <w:pPr>
              <w:rPr>
                <w:rFonts w:ascii="Arial"/>
                <w:sz w:val="21"/>
              </w:rPr>
            </w:pPr>
          </w:p>
        </w:tc>
        <w:tc>
          <w:tcPr>
            <w:tcW w:w="636" w:type="dxa"/>
            <w:vMerge w:val="continue"/>
            <w:tcBorders>
              <w:top w:val="nil"/>
            </w:tcBorders>
            <w:vAlign w:val="top"/>
          </w:tcPr>
          <w:p w14:paraId="28016F51">
            <w:pPr>
              <w:rPr>
                <w:rFonts w:ascii="Arial"/>
                <w:sz w:val="21"/>
              </w:rPr>
            </w:pPr>
          </w:p>
        </w:tc>
        <w:tc>
          <w:tcPr>
            <w:tcW w:w="3210" w:type="dxa"/>
            <w:vAlign w:val="top"/>
          </w:tcPr>
          <w:p w14:paraId="36788BA7">
            <w:pPr>
              <w:pStyle w:val="6"/>
              <w:spacing w:before="71" w:line="248" w:lineRule="auto"/>
              <w:ind w:left="69" w:right="84" w:hanging="2"/>
              <w:rPr>
                <w:sz w:val="18"/>
                <w:szCs w:val="18"/>
              </w:rPr>
            </w:pPr>
            <w:r>
              <w:rPr>
                <w:spacing w:val="-1"/>
                <w:sz w:val="18"/>
                <w:szCs w:val="18"/>
              </w:rPr>
              <w:t>运输车辆扬尘：厂区转道路地面硬化处</w:t>
            </w:r>
            <w:r>
              <w:rPr>
                <w:spacing w:val="8"/>
                <w:sz w:val="18"/>
                <w:szCs w:val="18"/>
              </w:rPr>
              <w:t xml:space="preserve"> </w:t>
            </w:r>
            <w:r>
              <w:rPr>
                <w:spacing w:val="-1"/>
                <w:sz w:val="18"/>
                <w:szCs w:val="18"/>
              </w:rPr>
              <w:t>理，运输车辆进出口设车辆冲洗设施</w:t>
            </w:r>
          </w:p>
        </w:tc>
        <w:tc>
          <w:tcPr>
            <w:tcW w:w="982" w:type="dxa"/>
            <w:vMerge w:val="continue"/>
            <w:tcBorders>
              <w:top w:val="nil"/>
              <w:bottom w:val="nil"/>
            </w:tcBorders>
            <w:vAlign w:val="top"/>
          </w:tcPr>
          <w:p w14:paraId="3E56EAD5">
            <w:pPr>
              <w:rPr>
                <w:rFonts w:ascii="Arial"/>
                <w:sz w:val="21"/>
              </w:rPr>
            </w:pPr>
          </w:p>
        </w:tc>
        <w:tc>
          <w:tcPr>
            <w:tcW w:w="1237" w:type="dxa"/>
            <w:vAlign w:val="top"/>
          </w:tcPr>
          <w:p w14:paraId="71D2EE6E">
            <w:pPr>
              <w:pStyle w:val="6"/>
              <w:spacing w:before="212" w:line="219" w:lineRule="auto"/>
              <w:ind w:left="446"/>
              <w:rPr>
                <w:sz w:val="18"/>
                <w:szCs w:val="18"/>
              </w:rPr>
            </w:pPr>
            <w:r>
              <w:rPr>
                <w:spacing w:val="-4"/>
                <w:sz w:val="18"/>
                <w:szCs w:val="18"/>
              </w:rPr>
              <w:t>废水</w:t>
            </w:r>
          </w:p>
        </w:tc>
        <w:tc>
          <w:tcPr>
            <w:tcW w:w="735" w:type="dxa"/>
            <w:vAlign w:val="top"/>
          </w:tcPr>
          <w:p w14:paraId="554741FF">
            <w:pPr>
              <w:pStyle w:val="6"/>
              <w:spacing w:before="212"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5E8A5C71">
            <w:pPr>
              <w:rPr>
                <w:rFonts w:ascii="Arial"/>
                <w:sz w:val="21"/>
              </w:rPr>
            </w:pPr>
          </w:p>
        </w:tc>
      </w:tr>
      <w:tr w14:paraId="07E33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87" w:type="dxa"/>
            <w:vMerge w:val="continue"/>
            <w:tcBorders>
              <w:top w:val="nil"/>
              <w:left w:val="single" w:color="000000" w:sz="6" w:space="0"/>
              <w:bottom w:val="nil"/>
            </w:tcBorders>
            <w:vAlign w:val="top"/>
          </w:tcPr>
          <w:p w14:paraId="7C71FBA5">
            <w:pPr>
              <w:rPr>
                <w:rFonts w:ascii="Arial"/>
                <w:sz w:val="21"/>
              </w:rPr>
            </w:pPr>
          </w:p>
        </w:tc>
        <w:tc>
          <w:tcPr>
            <w:tcW w:w="870" w:type="dxa"/>
            <w:vMerge w:val="continue"/>
            <w:tcBorders>
              <w:top w:val="nil"/>
              <w:bottom w:val="nil"/>
            </w:tcBorders>
            <w:vAlign w:val="top"/>
          </w:tcPr>
          <w:p w14:paraId="40870E2C">
            <w:pPr>
              <w:rPr>
                <w:rFonts w:ascii="Arial"/>
                <w:sz w:val="21"/>
              </w:rPr>
            </w:pPr>
          </w:p>
        </w:tc>
        <w:tc>
          <w:tcPr>
            <w:tcW w:w="636" w:type="dxa"/>
            <w:vMerge w:val="restart"/>
            <w:tcBorders>
              <w:bottom w:val="nil"/>
            </w:tcBorders>
            <w:vAlign w:val="top"/>
          </w:tcPr>
          <w:p w14:paraId="28632D48">
            <w:pPr>
              <w:spacing w:line="242" w:lineRule="auto"/>
              <w:rPr>
                <w:rFonts w:ascii="Arial"/>
                <w:sz w:val="21"/>
              </w:rPr>
            </w:pPr>
          </w:p>
          <w:p w14:paraId="52D761F0">
            <w:pPr>
              <w:spacing w:line="242" w:lineRule="auto"/>
              <w:rPr>
                <w:rFonts w:ascii="Arial"/>
                <w:sz w:val="21"/>
              </w:rPr>
            </w:pPr>
          </w:p>
          <w:p w14:paraId="216B4613">
            <w:pPr>
              <w:spacing w:line="242" w:lineRule="auto"/>
              <w:rPr>
                <w:rFonts w:ascii="Arial"/>
                <w:sz w:val="21"/>
              </w:rPr>
            </w:pPr>
          </w:p>
          <w:p w14:paraId="6F1AC0AB">
            <w:pPr>
              <w:spacing w:line="242" w:lineRule="auto"/>
              <w:rPr>
                <w:rFonts w:ascii="Arial"/>
                <w:sz w:val="21"/>
              </w:rPr>
            </w:pPr>
          </w:p>
          <w:p w14:paraId="1BB5D72E">
            <w:pPr>
              <w:spacing w:line="243" w:lineRule="auto"/>
              <w:rPr>
                <w:rFonts w:ascii="Arial"/>
                <w:sz w:val="21"/>
              </w:rPr>
            </w:pPr>
          </w:p>
          <w:p w14:paraId="0B549235">
            <w:pPr>
              <w:spacing w:line="243" w:lineRule="auto"/>
              <w:rPr>
                <w:rFonts w:ascii="Arial"/>
                <w:sz w:val="21"/>
              </w:rPr>
            </w:pPr>
          </w:p>
          <w:p w14:paraId="28FBAB9B">
            <w:pPr>
              <w:spacing w:line="243" w:lineRule="auto"/>
              <w:rPr>
                <w:rFonts w:ascii="Arial"/>
                <w:sz w:val="21"/>
              </w:rPr>
            </w:pPr>
          </w:p>
          <w:p w14:paraId="613E9567">
            <w:pPr>
              <w:pStyle w:val="6"/>
              <w:spacing w:before="58" w:line="277" w:lineRule="auto"/>
              <w:ind w:left="142" w:right="138" w:hanging="4"/>
              <w:rPr>
                <w:sz w:val="18"/>
                <w:szCs w:val="18"/>
              </w:rPr>
            </w:pPr>
            <w:r>
              <w:rPr>
                <w:spacing w:val="-4"/>
                <w:sz w:val="18"/>
                <w:szCs w:val="18"/>
              </w:rPr>
              <w:t>废水</w:t>
            </w:r>
            <w:r>
              <w:rPr>
                <w:sz w:val="18"/>
                <w:szCs w:val="18"/>
              </w:rPr>
              <w:t xml:space="preserve"> </w:t>
            </w:r>
            <w:r>
              <w:rPr>
                <w:spacing w:val="-6"/>
                <w:sz w:val="18"/>
                <w:szCs w:val="18"/>
              </w:rPr>
              <w:t>处理</w:t>
            </w:r>
          </w:p>
        </w:tc>
        <w:tc>
          <w:tcPr>
            <w:tcW w:w="3210" w:type="dxa"/>
            <w:vAlign w:val="top"/>
          </w:tcPr>
          <w:p w14:paraId="3158AC2A">
            <w:pPr>
              <w:pStyle w:val="6"/>
              <w:spacing w:before="71" w:line="274" w:lineRule="auto"/>
              <w:ind w:left="67" w:right="84" w:firstLine="1"/>
              <w:rPr>
                <w:sz w:val="18"/>
                <w:szCs w:val="18"/>
              </w:rPr>
            </w:pPr>
            <w:r>
              <w:rPr>
                <w:spacing w:val="-1"/>
                <w:sz w:val="18"/>
                <w:szCs w:val="18"/>
              </w:rPr>
              <w:t>生产废水：主要为切割废料冲洗废水、</w:t>
            </w:r>
            <w:r>
              <w:rPr>
                <w:spacing w:val="7"/>
                <w:sz w:val="18"/>
                <w:szCs w:val="18"/>
              </w:rPr>
              <w:t xml:space="preserve"> </w:t>
            </w:r>
            <w:r>
              <w:rPr>
                <w:spacing w:val="-1"/>
                <w:sz w:val="18"/>
                <w:szCs w:val="18"/>
              </w:rPr>
              <w:t>地面冲洗废水以及蒸汽冷凝水，设废水</w:t>
            </w:r>
            <w:r>
              <w:rPr>
                <w:spacing w:val="8"/>
                <w:sz w:val="18"/>
                <w:szCs w:val="18"/>
              </w:rPr>
              <w:t xml:space="preserve"> </w:t>
            </w:r>
            <w:r>
              <w:rPr>
                <w:spacing w:val="-1"/>
                <w:sz w:val="18"/>
                <w:szCs w:val="18"/>
              </w:rPr>
              <w:t>收集管沟，引至砌块车间的</w:t>
            </w:r>
            <w:r>
              <w:rPr>
                <w:spacing w:val="-36"/>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个废浆池</w:t>
            </w:r>
            <w:r>
              <w:rPr>
                <w:sz w:val="18"/>
                <w:szCs w:val="18"/>
              </w:rPr>
              <w:t xml:space="preserve"> </w:t>
            </w:r>
            <w:r>
              <w:rPr>
                <w:spacing w:val="-2"/>
                <w:sz w:val="18"/>
                <w:szCs w:val="18"/>
              </w:rPr>
              <w:t>（单个容积</w:t>
            </w:r>
            <w:r>
              <w:rPr>
                <w:spacing w:val="-36"/>
                <w:sz w:val="18"/>
                <w:szCs w:val="18"/>
              </w:rPr>
              <w:t xml:space="preserve"> </w:t>
            </w:r>
            <w:r>
              <w:rPr>
                <w:rFonts w:ascii="Times New Roman" w:hAnsi="Times New Roman" w:eastAsia="Times New Roman" w:cs="Times New Roman"/>
                <w:spacing w:val="-2"/>
                <w:sz w:val="18"/>
                <w:szCs w:val="18"/>
              </w:rPr>
              <w:t>50m</w:t>
            </w:r>
            <w:r>
              <w:rPr>
                <w:rFonts w:ascii="Times New Roman" w:hAnsi="Times New Roman" w:eastAsia="Times New Roman" w:cs="Times New Roman"/>
                <w:spacing w:val="-2"/>
                <w:position w:val="6"/>
                <w:sz w:val="11"/>
                <w:szCs w:val="11"/>
              </w:rPr>
              <w:t>3</w:t>
            </w:r>
            <w:r>
              <w:rPr>
                <w:spacing w:val="-35"/>
                <w:sz w:val="18"/>
                <w:szCs w:val="18"/>
              </w:rPr>
              <w:t>），</w:t>
            </w:r>
            <w:r>
              <w:rPr>
                <w:spacing w:val="-2"/>
                <w:sz w:val="18"/>
                <w:szCs w:val="18"/>
              </w:rPr>
              <w:t>经搅拌器搅拌打散</w:t>
            </w:r>
            <w:r>
              <w:rPr>
                <w:sz w:val="18"/>
                <w:szCs w:val="18"/>
              </w:rPr>
              <w:t xml:space="preserve"> </w:t>
            </w:r>
            <w:r>
              <w:rPr>
                <w:spacing w:val="-1"/>
                <w:sz w:val="18"/>
                <w:szCs w:val="18"/>
              </w:rPr>
              <w:t>后，泵至球磨机湿法研磨环节回用不外</w:t>
            </w:r>
            <w:r>
              <w:rPr>
                <w:spacing w:val="8"/>
                <w:sz w:val="18"/>
                <w:szCs w:val="18"/>
              </w:rPr>
              <w:t xml:space="preserve"> </w:t>
            </w:r>
            <w:r>
              <w:rPr>
                <w:sz w:val="18"/>
                <w:szCs w:val="18"/>
              </w:rPr>
              <w:t>排</w:t>
            </w:r>
          </w:p>
        </w:tc>
        <w:tc>
          <w:tcPr>
            <w:tcW w:w="982" w:type="dxa"/>
            <w:vMerge w:val="continue"/>
            <w:tcBorders>
              <w:top w:val="nil"/>
              <w:bottom w:val="nil"/>
            </w:tcBorders>
            <w:vAlign w:val="top"/>
          </w:tcPr>
          <w:p w14:paraId="2BF282A7">
            <w:pPr>
              <w:rPr>
                <w:rFonts w:ascii="Arial"/>
                <w:sz w:val="21"/>
              </w:rPr>
            </w:pPr>
          </w:p>
        </w:tc>
        <w:tc>
          <w:tcPr>
            <w:tcW w:w="1237" w:type="dxa"/>
            <w:vAlign w:val="top"/>
          </w:tcPr>
          <w:p w14:paraId="18E5CD28">
            <w:pPr>
              <w:spacing w:line="353" w:lineRule="auto"/>
              <w:rPr>
                <w:rFonts w:ascii="Arial"/>
                <w:sz w:val="21"/>
              </w:rPr>
            </w:pPr>
          </w:p>
          <w:p w14:paraId="14CAA679">
            <w:pPr>
              <w:spacing w:line="354" w:lineRule="auto"/>
              <w:rPr>
                <w:rFonts w:ascii="Arial"/>
                <w:sz w:val="21"/>
              </w:rPr>
            </w:pPr>
          </w:p>
          <w:p w14:paraId="70F37C0F">
            <w:pPr>
              <w:pStyle w:val="6"/>
              <w:spacing w:before="59" w:line="224" w:lineRule="auto"/>
              <w:ind w:left="581"/>
              <w:rPr>
                <w:sz w:val="18"/>
                <w:szCs w:val="18"/>
              </w:rPr>
            </w:pPr>
            <w:r>
              <w:rPr>
                <w:sz w:val="18"/>
                <w:szCs w:val="18"/>
              </w:rPr>
              <w:t>/</w:t>
            </w:r>
          </w:p>
        </w:tc>
        <w:tc>
          <w:tcPr>
            <w:tcW w:w="735" w:type="dxa"/>
            <w:vAlign w:val="top"/>
          </w:tcPr>
          <w:p w14:paraId="5B435D3C">
            <w:pPr>
              <w:spacing w:line="353" w:lineRule="auto"/>
              <w:rPr>
                <w:rFonts w:ascii="Arial"/>
                <w:sz w:val="21"/>
              </w:rPr>
            </w:pPr>
          </w:p>
          <w:p w14:paraId="4D33ECC7">
            <w:pPr>
              <w:spacing w:line="354" w:lineRule="auto"/>
              <w:rPr>
                <w:rFonts w:ascii="Arial"/>
                <w:sz w:val="21"/>
              </w:rPr>
            </w:pPr>
          </w:p>
          <w:p w14:paraId="330D4D72">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0CC4E722">
            <w:pPr>
              <w:rPr>
                <w:rFonts w:ascii="Arial"/>
                <w:sz w:val="21"/>
              </w:rPr>
            </w:pPr>
          </w:p>
        </w:tc>
      </w:tr>
      <w:tr w14:paraId="31B5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87" w:type="dxa"/>
            <w:vMerge w:val="continue"/>
            <w:tcBorders>
              <w:top w:val="nil"/>
              <w:left w:val="single" w:color="000000" w:sz="6" w:space="0"/>
              <w:bottom w:val="nil"/>
            </w:tcBorders>
            <w:vAlign w:val="top"/>
          </w:tcPr>
          <w:p w14:paraId="2EBB6BEE">
            <w:pPr>
              <w:rPr>
                <w:rFonts w:ascii="Arial"/>
                <w:sz w:val="21"/>
              </w:rPr>
            </w:pPr>
          </w:p>
        </w:tc>
        <w:tc>
          <w:tcPr>
            <w:tcW w:w="870" w:type="dxa"/>
            <w:vMerge w:val="continue"/>
            <w:tcBorders>
              <w:top w:val="nil"/>
              <w:bottom w:val="nil"/>
            </w:tcBorders>
            <w:vAlign w:val="top"/>
          </w:tcPr>
          <w:p w14:paraId="62213AF8">
            <w:pPr>
              <w:rPr>
                <w:rFonts w:ascii="Arial"/>
                <w:sz w:val="21"/>
              </w:rPr>
            </w:pPr>
          </w:p>
        </w:tc>
        <w:tc>
          <w:tcPr>
            <w:tcW w:w="636" w:type="dxa"/>
            <w:vMerge w:val="continue"/>
            <w:tcBorders>
              <w:top w:val="nil"/>
              <w:bottom w:val="nil"/>
            </w:tcBorders>
            <w:vAlign w:val="top"/>
          </w:tcPr>
          <w:p w14:paraId="5FB49487">
            <w:pPr>
              <w:rPr>
                <w:rFonts w:ascii="Arial"/>
                <w:sz w:val="21"/>
              </w:rPr>
            </w:pPr>
          </w:p>
        </w:tc>
        <w:tc>
          <w:tcPr>
            <w:tcW w:w="3210" w:type="dxa"/>
            <w:vAlign w:val="top"/>
          </w:tcPr>
          <w:p w14:paraId="447BEC4B">
            <w:pPr>
              <w:pStyle w:val="6"/>
              <w:spacing w:before="72" w:line="267" w:lineRule="auto"/>
              <w:ind w:left="68"/>
              <w:jc w:val="both"/>
              <w:rPr>
                <w:sz w:val="18"/>
                <w:szCs w:val="18"/>
              </w:rPr>
            </w:pPr>
            <w:r>
              <w:rPr>
                <w:spacing w:val="-7"/>
                <w:sz w:val="18"/>
                <w:szCs w:val="18"/>
              </w:rPr>
              <w:t>生活污水：利用厂区已建化粪池（130m</w:t>
            </w:r>
            <w:r>
              <w:rPr>
                <w:spacing w:val="-7"/>
                <w:position w:val="9"/>
                <w:sz w:val="8"/>
                <w:szCs w:val="8"/>
              </w:rPr>
              <w:t>3</w:t>
            </w:r>
            <w:r>
              <w:rPr>
                <w:spacing w:val="-7"/>
                <w:sz w:val="18"/>
                <w:szCs w:val="18"/>
              </w:rPr>
              <w:t>）</w:t>
            </w:r>
            <w:r>
              <w:rPr>
                <w:spacing w:val="2"/>
                <w:sz w:val="18"/>
                <w:szCs w:val="18"/>
              </w:rPr>
              <w:t xml:space="preserve"> </w:t>
            </w:r>
            <w:r>
              <w:rPr>
                <w:spacing w:val="-2"/>
                <w:sz w:val="18"/>
                <w:szCs w:val="18"/>
              </w:rPr>
              <w:t>收集处理后，定期委托专业机构拉运至</w:t>
            </w:r>
            <w:r>
              <w:rPr>
                <w:spacing w:val="6"/>
                <w:sz w:val="18"/>
                <w:szCs w:val="18"/>
              </w:rPr>
              <w:t xml:space="preserve">  </w:t>
            </w:r>
            <w:r>
              <w:rPr>
                <w:spacing w:val="-2"/>
                <w:sz w:val="18"/>
                <w:szCs w:val="18"/>
              </w:rPr>
              <w:t>东岳场镇污水处理厂处理后达标排入双</w:t>
            </w:r>
            <w:r>
              <w:rPr>
                <w:spacing w:val="6"/>
                <w:sz w:val="18"/>
                <w:szCs w:val="18"/>
              </w:rPr>
              <w:t xml:space="preserve">  </w:t>
            </w:r>
            <w:r>
              <w:rPr>
                <w:spacing w:val="-5"/>
                <w:sz w:val="18"/>
                <w:szCs w:val="18"/>
              </w:rPr>
              <w:t>龙河</w:t>
            </w:r>
          </w:p>
        </w:tc>
        <w:tc>
          <w:tcPr>
            <w:tcW w:w="982" w:type="dxa"/>
            <w:vMerge w:val="continue"/>
            <w:tcBorders>
              <w:top w:val="nil"/>
              <w:bottom w:val="nil"/>
            </w:tcBorders>
            <w:vAlign w:val="top"/>
          </w:tcPr>
          <w:p w14:paraId="761A4526">
            <w:pPr>
              <w:rPr>
                <w:rFonts w:ascii="Arial"/>
                <w:sz w:val="21"/>
              </w:rPr>
            </w:pPr>
          </w:p>
        </w:tc>
        <w:tc>
          <w:tcPr>
            <w:tcW w:w="1237" w:type="dxa"/>
            <w:vAlign w:val="top"/>
          </w:tcPr>
          <w:p w14:paraId="33145B71">
            <w:pPr>
              <w:spacing w:line="431" w:lineRule="auto"/>
              <w:rPr>
                <w:rFonts w:ascii="Arial"/>
                <w:sz w:val="21"/>
              </w:rPr>
            </w:pPr>
          </w:p>
          <w:p w14:paraId="13833A40">
            <w:pPr>
              <w:pStyle w:val="6"/>
              <w:spacing w:before="59" w:line="219" w:lineRule="auto"/>
              <w:ind w:left="448"/>
              <w:rPr>
                <w:sz w:val="18"/>
                <w:szCs w:val="18"/>
              </w:rPr>
            </w:pPr>
            <w:r>
              <w:rPr>
                <w:spacing w:val="-4"/>
                <w:sz w:val="18"/>
                <w:szCs w:val="18"/>
              </w:rPr>
              <w:t>恶臭</w:t>
            </w:r>
          </w:p>
        </w:tc>
        <w:tc>
          <w:tcPr>
            <w:tcW w:w="735" w:type="dxa"/>
            <w:vAlign w:val="top"/>
          </w:tcPr>
          <w:p w14:paraId="72B9BCAD">
            <w:pPr>
              <w:spacing w:line="431" w:lineRule="auto"/>
              <w:rPr>
                <w:rFonts w:ascii="Arial"/>
                <w:sz w:val="21"/>
              </w:rPr>
            </w:pPr>
          </w:p>
          <w:p w14:paraId="7B31019F">
            <w:pPr>
              <w:pStyle w:val="6"/>
              <w:spacing w:before="59"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2CF75F86">
            <w:pPr>
              <w:rPr>
                <w:rFonts w:ascii="Arial"/>
                <w:sz w:val="21"/>
              </w:rPr>
            </w:pPr>
          </w:p>
        </w:tc>
      </w:tr>
      <w:tr w14:paraId="70B68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67816A31">
            <w:pPr>
              <w:rPr>
                <w:rFonts w:ascii="Arial"/>
                <w:sz w:val="21"/>
              </w:rPr>
            </w:pPr>
          </w:p>
        </w:tc>
        <w:tc>
          <w:tcPr>
            <w:tcW w:w="870" w:type="dxa"/>
            <w:vMerge w:val="continue"/>
            <w:tcBorders>
              <w:top w:val="nil"/>
              <w:bottom w:val="nil"/>
            </w:tcBorders>
            <w:vAlign w:val="top"/>
          </w:tcPr>
          <w:p w14:paraId="64AA42A6">
            <w:pPr>
              <w:rPr>
                <w:rFonts w:ascii="Arial"/>
                <w:sz w:val="21"/>
              </w:rPr>
            </w:pPr>
          </w:p>
        </w:tc>
        <w:tc>
          <w:tcPr>
            <w:tcW w:w="636" w:type="dxa"/>
            <w:vMerge w:val="continue"/>
            <w:tcBorders>
              <w:top w:val="nil"/>
              <w:bottom w:val="nil"/>
            </w:tcBorders>
            <w:vAlign w:val="top"/>
          </w:tcPr>
          <w:p w14:paraId="3589A4D5">
            <w:pPr>
              <w:rPr>
                <w:rFonts w:ascii="Arial"/>
                <w:sz w:val="21"/>
              </w:rPr>
            </w:pPr>
          </w:p>
        </w:tc>
        <w:tc>
          <w:tcPr>
            <w:tcW w:w="3210" w:type="dxa"/>
            <w:vAlign w:val="top"/>
          </w:tcPr>
          <w:p w14:paraId="0BA94257">
            <w:pPr>
              <w:pStyle w:val="6"/>
              <w:spacing w:before="73" w:line="247" w:lineRule="auto"/>
              <w:ind w:left="67" w:right="84" w:firstLine="1"/>
              <w:rPr>
                <w:sz w:val="18"/>
                <w:szCs w:val="18"/>
              </w:rPr>
            </w:pPr>
            <w:r>
              <w:rPr>
                <w:spacing w:val="-1"/>
                <w:sz w:val="18"/>
                <w:szCs w:val="18"/>
              </w:rPr>
              <w:t>车辆冲洗废水：冲洗设施旁设废水沉淀</w:t>
            </w:r>
            <w:r>
              <w:rPr>
                <w:spacing w:val="7"/>
                <w:sz w:val="18"/>
                <w:szCs w:val="18"/>
              </w:rPr>
              <w:t xml:space="preserve"> </w:t>
            </w:r>
            <w:r>
              <w:rPr>
                <w:spacing w:val="-1"/>
                <w:sz w:val="18"/>
                <w:szCs w:val="18"/>
              </w:rPr>
              <w:t>池（15m</w:t>
            </w:r>
            <w:r>
              <w:rPr>
                <w:spacing w:val="-1"/>
                <w:position w:val="9"/>
                <w:sz w:val="8"/>
                <w:szCs w:val="8"/>
              </w:rPr>
              <w:t>3</w:t>
            </w:r>
            <w:r>
              <w:rPr>
                <w:spacing w:val="-40"/>
                <w:sz w:val="18"/>
                <w:szCs w:val="18"/>
              </w:rPr>
              <w:t>），</w:t>
            </w:r>
            <w:r>
              <w:rPr>
                <w:spacing w:val="-1"/>
                <w:sz w:val="18"/>
                <w:szCs w:val="18"/>
              </w:rPr>
              <w:t>处理后回用不外排</w:t>
            </w:r>
          </w:p>
        </w:tc>
        <w:tc>
          <w:tcPr>
            <w:tcW w:w="982" w:type="dxa"/>
            <w:vMerge w:val="continue"/>
            <w:tcBorders>
              <w:top w:val="nil"/>
              <w:bottom w:val="nil"/>
            </w:tcBorders>
            <w:vAlign w:val="top"/>
          </w:tcPr>
          <w:p w14:paraId="04873816">
            <w:pPr>
              <w:rPr>
                <w:rFonts w:ascii="Arial"/>
                <w:sz w:val="21"/>
              </w:rPr>
            </w:pPr>
          </w:p>
        </w:tc>
        <w:tc>
          <w:tcPr>
            <w:tcW w:w="1237" w:type="dxa"/>
            <w:vAlign w:val="top"/>
          </w:tcPr>
          <w:p w14:paraId="49F9B33C">
            <w:pPr>
              <w:pStyle w:val="6"/>
              <w:spacing w:before="213" w:line="224" w:lineRule="auto"/>
              <w:ind w:left="581"/>
              <w:rPr>
                <w:sz w:val="18"/>
                <w:szCs w:val="18"/>
              </w:rPr>
            </w:pPr>
            <w:r>
              <w:rPr>
                <w:sz w:val="18"/>
                <w:szCs w:val="18"/>
              </w:rPr>
              <w:t>/</w:t>
            </w:r>
          </w:p>
        </w:tc>
        <w:tc>
          <w:tcPr>
            <w:tcW w:w="735" w:type="dxa"/>
            <w:vAlign w:val="top"/>
          </w:tcPr>
          <w:p w14:paraId="3982601F">
            <w:pPr>
              <w:pStyle w:val="6"/>
              <w:spacing w:before="213"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6A847138">
            <w:pPr>
              <w:rPr>
                <w:rFonts w:ascii="Arial"/>
                <w:sz w:val="21"/>
              </w:rPr>
            </w:pPr>
          </w:p>
        </w:tc>
      </w:tr>
      <w:tr w14:paraId="12A9D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27821E01">
            <w:pPr>
              <w:rPr>
                <w:rFonts w:ascii="Arial"/>
                <w:sz w:val="21"/>
              </w:rPr>
            </w:pPr>
          </w:p>
        </w:tc>
        <w:tc>
          <w:tcPr>
            <w:tcW w:w="870" w:type="dxa"/>
            <w:vMerge w:val="continue"/>
            <w:tcBorders>
              <w:top w:val="nil"/>
              <w:bottom w:val="nil"/>
            </w:tcBorders>
            <w:vAlign w:val="top"/>
          </w:tcPr>
          <w:p w14:paraId="4A50049E">
            <w:pPr>
              <w:rPr>
                <w:rFonts w:ascii="Arial"/>
                <w:sz w:val="21"/>
              </w:rPr>
            </w:pPr>
          </w:p>
        </w:tc>
        <w:tc>
          <w:tcPr>
            <w:tcW w:w="636" w:type="dxa"/>
            <w:vMerge w:val="continue"/>
            <w:tcBorders>
              <w:top w:val="nil"/>
            </w:tcBorders>
            <w:vAlign w:val="top"/>
          </w:tcPr>
          <w:p w14:paraId="3DEAC746">
            <w:pPr>
              <w:rPr>
                <w:rFonts w:ascii="Arial"/>
                <w:sz w:val="21"/>
              </w:rPr>
            </w:pPr>
          </w:p>
        </w:tc>
        <w:tc>
          <w:tcPr>
            <w:tcW w:w="3210" w:type="dxa"/>
            <w:vAlign w:val="top"/>
          </w:tcPr>
          <w:p w14:paraId="77F0ADAC">
            <w:pPr>
              <w:pStyle w:val="6"/>
              <w:spacing w:before="73" w:line="247" w:lineRule="auto"/>
              <w:ind w:left="66" w:right="84" w:firstLine="7"/>
              <w:rPr>
                <w:sz w:val="18"/>
                <w:szCs w:val="18"/>
              </w:rPr>
            </w:pPr>
            <w:r>
              <w:rPr>
                <w:spacing w:val="-1"/>
                <w:sz w:val="18"/>
                <w:szCs w:val="18"/>
              </w:rPr>
              <w:t>雨水：项目厂区建设有雨水沟，接入附</w:t>
            </w:r>
            <w:r>
              <w:rPr>
                <w:spacing w:val="1"/>
                <w:sz w:val="18"/>
                <w:szCs w:val="18"/>
              </w:rPr>
              <w:t xml:space="preserve"> </w:t>
            </w:r>
            <w:r>
              <w:rPr>
                <w:spacing w:val="-2"/>
                <w:sz w:val="18"/>
                <w:szCs w:val="18"/>
              </w:rPr>
              <w:t>近雨水沟</w:t>
            </w:r>
          </w:p>
        </w:tc>
        <w:tc>
          <w:tcPr>
            <w:tcW w:w="982" w:type="dxa"/>
            <w:vMerge w:val="continue"/>
            <w:tcBorders>
              <w:top w:val="nil"/>
              <w:bottom w:val="nil"/>
            </w:tcBorders>
            <w:vAlign w:val="top"/>
          </w:tcPr>
          <w:p w14:paraId="595CB908">
            <w:pPr>
              <w:rPr>
                <w:rFonts w:ascii="Arial"/>
                <w:sz w:val="21"/>
              </w:rPr>
            </w:pPr>
          </w:p>
        </w:tc>
        <w:tc>
          <w:tcPr>
            <w:tcW w:w="1237" w:type="dxa"/>
            <w:vAlign w:val="top"/>
          </w:tcPr>
          <w:p w14:paraId="283E9B8D">
            <w:pPr>
              <w:spacing w:before="239"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47848753">
            <w:pPr>
              <w:pStyle w:val="6"/>
              <w:spacing w:before="214"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6A4E6270">
            <w:pPr>
              <w:rPr>
                <w:rFonts w:ascii="Arial"/>
                <w:sz w:val="21"/>
              </w:rPr>
            </w:pPr>
          </w:p>
        </w:tc>
      </w:tr>
      <w:tr w14:paraId="097C3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87" w:type="dxa"/>
            <w:vMerge w:val="continue"/>
            <w:tcBorders>
              <w:top w:val="nil"/>
              <w:left w:val="single" w:color="000000" w:sz="6" w:space="0"/>
              <w:bottom w:val="nil"/>
            </w:tcBorders>
            <w:vAlign w:val="top"/>
          </w:tcPr>
          <w:p w14:paraId="57C4D134">
            <w:pPr>
              <w:rPr>
                <w:rFonts w:ascii="Arial"/>
                <w:sz w:val="21"/>
              </w:rPr>
            </w:pPr>
          </w:p>
        </w:tc>
        <w:tc>
          <w:tcPr>
            <w:tcW w:w="870" w:type="dxa"/>
            <w:vMerge w:val="continue"/>
            <w:tcBorders>
              <w:top w:val="nil"/>
              <w:bottom w:val="nil"/>
            </w:tcBorders>
            <w:vAlign w:val="top"/>
          </w:tcPr>
          <w:p w14:paraId="780559A6">
            <w:pPr>
              <w:rPr>
                <w:rFonts w:ascii="Arial"/>
                <w:sz w:val="21"/>
              </w:rPr>
            </w:pPr>
          </w:p>
        </w:tc>
        <w:tc>
          <w:tcPr>
            <w:tcW w:w="636" w:type="dxa"/>
            <w:vAlign w:val="top"/>
          </w:tcPr>
          <w:p w14:paraId="68FBD000">
            <w:pPr>
              <w:spacing w:line="285" w:lineRule="auto"/>
              <w:rPr>
                <w:rFonts w:ascii="Arial"/>
                <w:sz w:val="21"/>
              </w:rPr>
            </w:pPr>
          </w:p>
          <w:p w14:paraId="61E7D7A1">
            <w:pPr>
              <w:spacing w:line="286" w:lineRule="auto"/>
              <w:rPr>
                <w:rFonts w:ascii="Arial"/>
                <w:sz w:val="21"/>
              </w:rPr>
            </w:pPr>
          </w:p>
          <w:p w14:paraId="4261CA81">
            <w:pPr>
              <w:pStyle w:val="6"/>
              <w:spacing w:before="59" w:line="277" w:lineRule="auto"/>
              <w:ind w:left="143" w:right="138" w:firstLine="4"/>
              <w:rPr>
                <w:sz w:val="18"/>
                <w:szCs w:val="18"/>
              </w:rPr>
            </w:pPr>
            <w:r>
              <w:rPr>
                <w:spacing w:val="-8"/>
                <w:sz w:val="18"/>
                <w:szCs w:val="18"/>
              </w:rPr>
              <w:t>噪声</w:t>
            </w:r>
            <w:r>
              <w:rPr>
                <w:sz w:val="18"/>
                <w:szCs w:val="18"/>
              </w:rPr>
              <w:t xml:space="preserve"> </w:t>
            </w:r>
            <w:r>
              <w:rPr>
                <w:spacing w:val="-6"/>
                <w:sz w:val="18"/>
                <w:szCs w:val="18"/>
              </w:rPr>
              <w:t>治理</w:t>
            </w:r>
          </w:p>
        </w:tc>
        <w:tc>
          <w:tcPr>
            <w:tcW w:w="3210" w:type="dxa"/>
            <w:vAlign w:val="top"/>
          </w:tcPr>
          <w:p w14:paraId="2A36D3E5">
            <w:pPr>
              <w:pStyle w:val="6"/>
              <w:spacing w:before="71" w:line="274" w:lineRule="auto"/>
              <w:ind w:left="66" w:right="16"/>
              <w:jc w:val="both"/>
              <w:rPr>
                <w:sz w:val="18"/>
                <w:szCs w:val="18"/>
              </w:rPr>
            </w:pPr>
            <w:r>
              <w:rPr>
                <w:spacing w:val="-1"/>
                <w:sz w:val="18"/>
                <w:szCs w:val="18"/>
              </w:rPr>
              <w:t>选用环保型低噪声设备、安装时采取基</w:t>
            </w:r>
            <w:r>
              <w:rPr>
                <w:spacing w:val="9"/>
                <w:sz w:val="18"/>
                <w:szCs w:val="18"/>
              </w:rPr>
              <w:t xml:space="preserve"> </w:t>
            </w:r>
            <w:r>
              <w:rPr>
                <w:spacing w:val="-7"/>
                <w:sz w:val="18"/>
                <w:szCs w:val="18"/>
              </w:rPr>
              <w:t>础减振、建筑隔声；设地下式原料堆场，</w:t>
            </w:r>
            <w:r>
              <w:rPr>
                <w:spacing w:val="6"/>
                <w:sz w:val="18"/>
                <w:szCs w:val="18"/>
              </w:rPr>
              <w:t xml:space="preserve"> </w:t>
            </w:r>
            <w:r>
              <w:rPr>
                <w:spacing w:val="-7"/>
                <w:sz w:val="18"/>
                <w:szCs w:val="18"/>
              </w:rPr>
              <w:t>颚破机、筛分机安装在地下，建筑隔声；</w:t>
            </w:r>
            <w:r>
              <w:rPr>
                <w:spacing w:val="6"/>
                <w:sz w:val="18"/>
                <w:szCs w:val="18"/>
              </w:rPr>
              <w:t xml:space="preserve"> </w:t>
            </w:r>
            <w:r>
              <w:rPr>
                <w:spacing w:val="-1"/>
                <w:sz w:val="18"/>
                <w:szCs w:val="18"/>
              </w:rPr>
              <w:t>加强设备的维护保养；优化布局，尽量</w:t>
            </w:r>
            <w:r>
              <w:rPr>
                <w:spacing w:val="9"/>
                <w:sz w:val="18"/>
                <w:szCs w:val="18"/>
              </w:rPr>
              <w:t xml:space="preserve"> </w:t>
            </w:r>
            <w:r>
              <w:rPr>
                <w:spacing w:val="-1"/>
                <w:sz w:val="18"/>
                <w:szCs w:val="18"/>
              </w:rPr>
              <w:t>远离厂房边界；合理安排生产及运输作</w:t>
            </w:r>
            <w:r>
              <w:rPr>
                <w:spacing w:val="9"/>
                <w:sz w:val="18"/>
                <w:szCs w:val="18"/>
              </w:rPr>
              <w:t xml:space="preserve"> </w:t>
            </w:r>
            <w:r>
              <w:rPr>
                <w:spacing w:val="-3"/>
                <w:sz w:val="18"/>
                <w:szCs w:val="18"/>
              </w:rPr>
              <w:t>业时间</w:t>
            </w:r>
          </w:p>
        </w:tc>
        <w:tc>
          <w:tcPr>
            <w:tcW w:w="982" w:type="dxa"/>
            <w:vMerge w:val="continue"/>
            <w:tcBorders>
              <w:top w:val="nil"/>
              <w:bottom w:val="nil"/>
            </w:tcBorders>
            <w:vAlign w:val="top"/>
          </w:tcPr>
          <w:p w14:paraId="66269F88">
            <w:pPr>
              <w:rPr>
                <w:rFonts w:ascii="Arial"/>
                <w:sz w:val="21"/>
              </w:rPr>
            </w:pPr>
          </w:p>
        </w:tc>
        <w:tc>
          <w:tcPr>
            <w:tcW w:w="1237" w:type="dxa"/>
            <w:vAlign w:val="top"/>
          </w:tcPr>
          <w:p w14:paraId="1016DD2F">
            <w:pPr>
              <w:spacing w:line="247" w:lineRule="auto"/>
              <w:rPr>
                <w:rFonts w:ascii="Arial"/>
                <w:sz w:val="21"/>
              </w:rPr>
            </w:pPr>
          </w:p>
          <w:p w14:paraId="16C89D8C">
            <w:pPr>
              <w:spacing w:line="248" w:lineRule="auto"/>
              <w:rPr>
                <w:rFonts w:ascii="Arial"/>
                <w:sz w:val="21"/>
              </w:rPr>
            </w:pPr>
          </w:p>
          <w:p w14:paraId="5A12B834">
            <w:pPr>
              <w:spacing w:line="248" w:lineRule="auto"/>
              <w:rPr>
                <w:rFonts w:ascii="Arial"/>
                <w:sz w:val="21"/>
              </w:rPr>
            </w:pPr>
          </w:p>
          <w:p w14:paraId="059571E3">
            <w:pPr>
              <w:spacing w:before="52"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48934CFE">
            <w:pPr>
              <w:spacing w:line="354" w:lineRule="auto"/>
              <w:rPr>
                <w:rFonts w:ascii="Arial"/>
                <w:sz w:val="21"/>
              </w:rPr>
            </w:pPr>
          </w:p>
          <w:p w14:paraId="11481530">
            <w:pPr>
              <w:spacing w:line="355" w:lineRule="auto"/>
              <w:rPr>
                <w:rFonts w:ascii="Arial"/>
                <w:sz w:val="21"/>
              </w:rPr>
            </w:pPr>
          </w:p>
          <w:p w14:paraId="56EDFC26">
            <w:pPr>
              <w:pStyle w:val="6"/>
              <w:spacing w:before="59"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4C99197E">
            <w:pPr>
              <w:rPr>
                <w:rFonts w:ascii="Arial"/>
                <w:sz w:val="21"/>
              </w:rPr>
            </w:pPr>
          </w:p>
        </w:tc>
      </w:tr>
      <w:tr w14:paraId="166A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7" w:type="dxa"/>
            <w:vMerge w:val="continue"/>
            <w:tcBorders>
              <w:top w:val="nil"/>
              <w:left w:val="single" w:color="000000" w:sz="6" w:space="0"/>
              <w:bottom w:val="nil"/>
            </w:tcBorders>
            <w:vAlign w:val="top"/>
          </w:tcPr>
          <w:p w14:paraId="7809B857">
            <w:pPr>
              <w:rPr>
                <w:rFonts w:ascii="Arial"/>
                <w:sz w:val="21"/>
              </w:rPr>
            </w:pPr>
          </w:p>
        </w:tc>
        <w:tc>
          <w:tcPr>
            <w:tcW w:w="870" w:type="dxa"/>
            <w:vMerge w:val="continue"/>
            <w:tcBorders>
              <w:top w:val="nil"/>
              <w:bottom w:val="nil"/>
            </w:tcBorders>
            <w:vAlign w:val="top"/>
          </w:tcPr>
          <w:p w14:paraId="0ED42331">
            <w:pPr>
              <w:rPr>
                <w:rFonts w:ascii="Arial"/>
                <w:sz w:val="21"/>
              </w:rPr>
            </w:pPr>
          </w:p>
        </w:tc>
        <w:tc>
          <w:tcPr>
            <w:tcW w:w="636" w:type="dxa"/>
            <w:vMerge w:val="restart"/>
            <w:tcBorders>
              <w:bottom w:val="nil"/>
            </w:tcBorders>
            <w:vAlign w:val="top"/>
          </w:tcPr>
          <w:p w14:paraId="22105DBF">
            <w:pPr>
              <w:spacing w:line="262" w:lineRule="auto"/>
              <w:rPr>
                <w:rFonts w:ascii="Arial"/>
                <w:sz w:val="21"/>
              </w:rPr>
            </w:pPr>
          </w:p>
          <w:p w14:paraId="18FF7E73">
            <w:pPr>
              <w:spacing w:line="262" w:lineRule="auto"/>
              <w:rPr>
                <w:rFonts w:ascii="Arial"/>
                <w:sz w:val="21"/>
              </w:rPr>
            </w:pPr>
          </w:p>
          <w:p w14:paraId="0116DF7D">
            <w:pPr>
              <w:spacing w:line="262" w:lineRule="auto"/>
              <w:rPr>
                <w:rFonts w:ascii="Arial"/>
                <w:sz w:val="21"/>
              </w:rPr>
            </w:pPr>
          </w:p>
          <w:p w14:paraId="11858EFA">
            <w:pPr>
              <w:spacing w:line="263" w:lineRule="auto"/>
              <w:rPr>
                <w:rFonts w:ascii="Arial"/>
                <w:sz w:val="21"/>
              </w:rPr>
            </w:pPr>
          </w:p>
          <w:p w14:paraId="4EDA6EC8">
            <w:pPr>
              <w:spacing w:line="263" w:lineRule="auto"/>
              <w:rPr>
                <w:rFonts w:ascii="Arial"/>
                <w:sz w:val="21"/>
              </w:rPr>
            </w:pPr>
          </w:p>
          <w:p w14:paraId="6EDEED2E">
            <w:pPr>
              <w:spacing w:line="263" w:lineRule="auto"/>
              <w:rPr>
                <w:rFonts w:ascii="Arial"/>
                <w:sz w:val="21"/>
              </w:rPr>
            </w:pPr>
          </w:p>
          <w:p w14:paraId="3B34A53D">
            <w:pPr>
              <w:spacing w:line="263" w:lineRule="auto"/>
              <w:rPr>
                <w:rFonts w:ascii="Arial"/>
                <w:sz w:val="21"/>
              </w:rPr>
            </w:pPr>
          </w:p>
          <w:p w14:paraId="54829C8B">
            <w:pPr>
              <w:pStyle w:val="6"/>
              <w:spacing w:before="58" w:line="277" w:lineRule="auto"/>
              <w:ind w:left="143" w:right="138" w:firstLine="11"/>
              <w:rPr>
                <w:sz w:val="18"/>
                <w:szCs w:val="18"/>
              </w:rPr>
            </w:pPr>
            <w:r>
              <w:rPr>
                <w:spacing w:val="-12"/>
                <w:sz w:val="18"/>
                <w:szCs w:val="18"/>
              </w:rPr>
              <w:t>固废</w:t>
            </w:r>
            <w:r>
              <w:rPr>
                <w:sz w:val="18"/>
                <w:szCs w:val="18"/>
              </w:rPr>
              <w:t xml:space="preserve"> </w:t>
            </w:r>
            <w:r>
              <w:rPr>
                <w:spacing w:val="-6"/>
                <w:sz w:val="18"/>
                <w:szCs w:val="18"/>
              </w:rPr>
              <w:t>处置</w:t>
            </w:r>
          </w:p>
        </w:tc>
        <w:tc>
          <w:tcPr>
            <w:tcW w:w="3210" w:type="dxa"/>
            <w:vAlign w:val="top"/>
          </w:tcPr>
          <w:p w14:paraId="7C512EC1">
            <w:pPr>
              <w:pStyle w:val="6"/>
              <w:spacing w:before="74" w:line="260" w:lineRule="auto"/>
              <w:ind w:left="66" w:right="84"/>
              <w:jc w:val="both"/>
              <w:rPr>
                <w:sz w:val="18"/>
                <w:szCs w:val="18"/>
              </w:rPr>
            </w:pPr>
            <w:r>
              <w:rPr>
                <w:spacing w:val="-1"/>
                <w:sz w:val="18"/>
                <w:szCs w:val="18"/>
              </w:rPr>
              <w:t>切割废料、不合格产品、运板机清扫固</w:t>
            </w:r>
            <w:r>
              <w:rPr>
                <w:spacing w:val="9"/>
                <w:sz w:val="18"/>
                <w:szCs w:val="18"/>
              </w:rPr>
              <w:t xml:space="preserve"> </w:t>
            </w:r>
            <w:r>
              <w:rPr>
                <w:spacing w:val="-1"/>
                <w:sz w:val="18"/>
                <w:szCs w:val="18"/>
              </w:rPr>
              <w:t>废、收尘灰等：属于一般固废，收集后</w:t>
            </w:r>
            <w:r>
              <w:rPr>
                <w:spacing w:val="9"/>
                <w:sz w:val="18"/>
                <w:szCs w:val="18"/>
              </w:rPr>
              <w:t xml:space="preserve"> </w:t>
            </w:r>
            <w:r>
              <w:rPr>
                <w:spacing w:val="-1"/>
                <w:sz w:val="18"/>
                <w:szCs w:val="18"/>
              </w:rPr>
              <w:t>及时返回生产线回用</w:t>
            </w:r>
          </w:p>
        </w:tc>
        <w:tc>
          <w:tcPr>
            <w:tcW w:w="982" w:type="dxa"/>
            <w:vMerge w:val="continue"/>
            <w:tcBorders>
              <w:top w:val="nil"/>
              <w:bottom w:val="nil"/>
            </w:tcBorders>
            <w:vAlign w:val="top"/>
          </w:tcPr>
          <w:p w14:paraId="2C3720B3">
            <w:pPr>
              <w:rPr>
                <w:rFonts w:ascii="Arial"/>
                <w:sz w:val="21"/>
              </w:rPr>
            </w:pPr>
          </w:p>
        </w:tc>
        <w:tc>
          <w:tcPr>
            <w:tcW w:w="1237" w:type="dxa"/>
            <w:vAlign w:val="top"/>
          </w:tcPr>
          <w:p w14:paraId="384ABF75">
            <w:pPr>
              <w:spacing w:line="295" w:lineRule="auto"/>
              <w:rPr>
                <w:rFonts w:ascii="Arial"/>
                <w:sz w:val="21"/>
              </w:rPr>
            </w:pPr>
          </w:p>
          <w:p w14:paraId="28AFF44B">
            <w:pPr>
              <w:pStyle w:val="6"/>
              <w:spacing w:before="58" w:line="224" w:lineRule="auto"/>
              <w:ind w:left="581"/>
              <w:rPr>
                <w:sz w:val="18"/>
                <w:szCs w:val="18"/>
              </w:rPr>
            </w:pPr>
            <w:r>
              <w:rPr>
                <w:sz w:val="18"/>
                <w:szCs w:val="18"/>
              </w:rPr>
              <w:t>/</w:t>
            </w:r>
          </w:p>
        </w:tc>
        <w:tc>
          <w:tcPr>
            <w:tcW w:w="735" w:type="dxa"/>
            <w:vAlign w:val="top"/>
          </w:tcPr>
          <w:p w14:paraId="11BF784A">
            <w:pPr>
              <w:spacing w:line="295" w:lineRule="auto"/>
              <w:rPr>
                <w:rFonts w:ascii="Arial"/>
                <w:sz w:val="21"/>
              </w:rPr>
            </w:pPr>
          </w:p>
          <w:p w14:paraId="41C29A5E">
            <w:pPr>
              <w:pStyle w:val="6"/>
              <w:spacing w:before="58"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499F3256">
            <w:pPr>
              <w:rPr>
                <w:rFonts w:ascii="Arial"/>
                <w:sz w:val="21"/>
              </w:rPr>
            </w:pPr>
          </w:p>
        </w:tc>
      </w:tr>
      <w:tr w14:paraId="733B7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87" w:type="dxa"/>
            <w:vMerge w:val="continue"/>
            <w:tcBorders>
              <w:top w:val="nil"/>
              <w:left w:val="single" w:color="000000" w:sz="6" w:space="0"/>
              <w:bottom w:val="nil"/>
            </w:tcBorders>
            <w:vAlign w:val="top"/>
          </w:tcPr>
          <w:p w14:paraId="413F416D">
            <w:pPr>
              <w:rPr>
                <w:rFonts w:ascii="Arial"/>
                <w:sz w:val="21"/>
              </w:rPr>
            </w:pPr>
          </w:p>
        </w:tc>
        <w:tc>
          <w:tcPr>
            <w:tcW w:w="870" w:type="dxa"/>
            <w:vMerge w:val="continue"/>
            <w:tcBorders>
              <w:top w:val="nil"/>
              <w:bottom w:val="nil"/>
            </w:tcBorders>
            <w:vAlign w:val="top"/>
          </w:tcPr>
          <w:p w14:paraId="1E6FFFE5">
            <w:pPr>
              <w:rPr>
                <w:rFonts w:ascii="Arial"/>
                <w:sz w:val="21"/>
              </w:rPr>
            </w:pPr>
          </w:p>
        </w:tc>
        <w:tc>
          <w:tcPr>
            <w:tcW w:w="636" w:type="dxa"/>
            <w:vMerge w:val="continue"/>
            <w:tcBorders>
              <w:top w:val="nil"/>
              <w:bottom w:val="nil"/>
            </w:tcBorders>
            <w:vAlign w:val="top"/>
          </w:tcPr>
          <w:p w14:paraId="490F1B3F">
            <w:pPr>
              <w:rPr>
                <w:rFonts w:ascii="Arial"/>
                <w:sz w:val="21"/>
              </w:rPr>
            </w:pPr>
          </w:p>
        </w:tc>
        <w:tc>
          <w:tcPr>
            <w:tcW w:w="3210" w:type="dxa"/>
            <w:vAlign w:val="top"/>
          </w:tcPr>
          <w:p w14:paraId="7FD2A914">
            <w:pPr>
              <w:pStyle w:val="6"/>
              <w:spacing w:before="72" w:line="281" w:lineRule="auto"/>
              <w:ind w:left="66" w:right="84"/>
              <w:rPr>
                <w:sz w:val="18"/>
                <w:szCs w:val="18"/>
              </w:rPr>
            </w:pPr>
            <w:r>
              <w:rPr>
                <w:spacing w:val="-1"/>
                <w:sz w:val="18"/>
                <w:szCs w:val="18"/>
              </w:rPr>
              <w:t>废脱模剂桶等一般固废：包括废脱模剂</w:t>
            </w:r>
            <w:r>
              <w:rPr>
                <w:spacing w:val="9"/>
                <w:sz w:val="18"/>
                <w:szCs w:val="18"/>
              </w:rPr>
              <w:t xml:space="preserve"> </w:t>
            </w:r>
            <w:r>
              <w:rPr>
                <w:spacing w:val="-1"/>
                <w:sz w:val="18"/>
                <w:szCs w:val="18"/>
              </w:rPr>
              <w:t>桶、废包装材料、废钢筋节、废水性漆</w:t>
            </w:r>
            <w:r>
              <w:rPr>
                <w:spacing w:val="9"/>
                <w:sz w:val="18"/>
                <w:szCs w:val="18"/>
              </w:rPr>
              <w:t xml:space="preserve"> </w:t>
            </w:r>
            <w:r>
              <w:rPr>
                <w:spacing w:val="-1"/>
                <w:sz w:val="18"/>
                <w:szCs w:val="18"/>
              </w:rPr>
              <w:t>桶、漆渣、废离子树脂等，及时收集后</w:t>
            </w:r>
            <w:r>
              <w:rPr>
                <w:spacing w:val="9"/>
                <w:sz w:val="18"/>
                <w:szCs w:val="18"/>
              </w:rPr>
              <w:t xml:space="preserve"> </w:t>
            </w:r>
            <w:r>
              <w:rPr>
                <w:spacing w:val="-1"/>
                <w:sz w:val="18"/>
                <w:szCs w:val="18"/>
              </w:rPr>
              <w:t>在厂区固定收集点堆放或者物资库存</w:t>
            </w:r>
          </w:p>
          <w:p w14:paraId="41A60B34">
            <w:pPr>
              <w:pStyle w:val="6"/>
              <w:spacing w:before="26" w:line="246" w:lineRule="auto"/>
              <w:ind w:left="69" w:right="84" w:hanging="2"/>
              <w:rPr>
                <w:sz w:val="18"/>
                <w:szCs w:val="18"/>
              </w:rPr>
            </w:pPr>
            <w:r>
              <w:rPr>
                <w:spacing w:val="-1"/>
                <w:sz w:val="18"/>
                <w:szCs w:val="18"/>
              </w:rPr>
              <w:t>放，外售废品回收站、由厂家回收处置</w:t>
            </w:r>
            <w:r>
              <w:rPr>
                <w:spacing w:val="8"/>
                <w:sz w:val="18"/>
                <w:szCs w:val="18"/>
              </w:rPr>
              <w:t xml:space="preserve"> </w:t>
            </w:r>
            <w:r>
              <w:rPr>
                <w:spacing w:val="-2"/>
                <w:sz w:val="18"/>
                <w:szCs w:val="18"/>
              </w:rPr>
              <w:t>或专业机构收集处置</w:t>
            </w:r>
          </w:p>
        </w:tc>
        <w:tc>
          <w:tcPr>
            <w:tcW w:w="982" w:type="dxa"/>
            <w:vMerge w:val="continue"/>
            <w:tcBorders>
              <w:top w:val="nil"/>
              <w:bottom w:val="nil"/>
            </w:tcBorders>
            <w:vAlign w:val="top"/>
          </w:tcPr>
          <w:p w14:paraId="05B135B3">
            <w:pPr>
              <w:rPr>
                <w:rFonts w:ascii="Arial"/>
                <w:sz w:val="21"/>
              </w:rPr>
            </w:pPr>
          </w:p>
        </w:tc>
        <w:tc>
          <w:tcPr>
            <w:tcW w:w="1237" w:type="dxa"/>
            <w:vAlign w:val="top"/>
          </w:tcPr>
          <w:p w14:paraId="3390529A">
            <w:pPr>
              <w:spacing w:line="356" w:lineRule="auto"/>
              <w:rPr>
                <w:rFonts w:ascii="Arial"/>
                <w:sz w:val="21"/>
              </w:rPr>
            </w:pPr>
          </w:p>
          <w:p w14:paraId="1FB75F24">
            <w:pPr>
              <w:spacing w:line="356" w:lineRule="auto"/>
              <w:rPr>
                <w:rFonts w:ascii="Arial"/>
                <w:sz w:val="21"/>
              </w:rPr>
            </w:pPr>
          </w:p>
          <w:p w14:paraId="6D77CFC7">
            <w:pPr>
              <w:pStyle w:val="6"/>
              <w:spacing w:before="58" w:line="224" w:lineRule="auto"/>
              <w:ind w:left="581"/>
              <w:rPr>
                <w:sz w:val="18"/>
                <w:szCs w:val="18"/>
              </w:rPr>
            </w:pPr>
            <w:r>
              <w:rPr>
                <w:sz w:val="18"/>
                <w:szCs w:val="18"/>
              </w:rPr>
              <w:t>/</w:t>
            </w:r>
          </w:p>
        </w:tc>
        <w:tc>
          <w:tcPr>
            <w:tcW w:w="735" w:type="dxa"/>
            <w:vAlign w:val="top"/>
          </w:tcPr>
          <w:p w14:paraId="6BE18A4F">
            <w:pPr>
              <w:spacing w:line="356" w:lineRule="auto"/>
              <w:rPr>
                <w:rFonts w:ascii="Arial"/>
                <w:sz w:val="21"/>
              </w:rPr>
            </w:pPr>
          </w:p>
          <w:p w14:paraId="698E552E">
            <w:pPr>
              <w:spacing w:line="356" w:lineRule="auto"/>
              <w:rPr>
                <w:rFonts w:ascii="Arial"/>
                <w:sz w:val="21"/>
              </w:rPr>
            </w:pPr>
          </w:p>
          <w:p w14:paraId="5A40675E">
            <w:pPr>
              <w:pStyle w:val="6"/>
              <w:spacing w:before="59"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7F011EDD">
            <w:pPr>
              <w:rPr>
                <w:rFonts w:ascii="Arial"/>
                <w:sz w:val="21"/>
              </w:rPr>
            </w:pPr>
          </w:p>
        </w:tc>
      </w:tr>
      <w:tr w14:paraId="16A3D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4" w:hRule="atLeast"/>
        </w:trPr>
        <w:tc>
          <w:tcPr>
            <w:tcW w:w="987" w:type="dxa"/>
            <w:vMerge w:val="continue"/>
            <w:tcBorders>
              <w:top w:val="nil"/>
              <w:left w:val="single" w:color="000000" w:sz="6" w:space="0"/>
              <w:bottom w:val="nil"/>
            </w:tcBorders>
            <w:vAlign w:val="top"/>
          </w:tcPr>
          <w:p w14:paraId="61C40995">
            <w:pPr>
              <w:rPr>
                <w:rFonts w:ascii="Arial"/>
                <w:sz w:val="21"/>
              </w:rPr>
            </w:pPr>
          </w:p>
        </w:tc>
        <w:tc>
          <w:tcPr>
            <w:tcW w:w="870" w:type="dxa"/>
            <w:vMerge w:val="continue"/>
            <w:tcBorders>
              <w:top w:val="nil"/>
              <w:bottom w:val="nil"/>
            </w:tcBorders>
            <w:vAlign w:val="top"/>
          </w:tcPr>
          <w:p w14:paraId="0FC153DC">
            <w:pPr>
              <w:rPr>
                <w:rFonts w:ascii="Arial"/>
                <w:sz w:val="21"/>
              </w:rPr>
            </w:pPr>
          </w:p>
        </w:tc>
        <w:tc>
          <w:tcPr>
            <w:tcW w:w="636" w:type="dxa"/>
            <w:vMerge w:val="continue"/>
            <w:tcBorders>
              <w:top w:val="nil"/>
              <w:bottom w:val="nil"/>
            </w:tcBorders>
            <w:vAlign w:val="top"/>
          </w:tcPr>
          <w:p w14:paraId="56CA801C">
            <w:pPr>
              <w:rPr>
                <w:rFonts w:ascii="Arial"/>
                <w:sz w:val="21"/>
              </w:rPr>
            </w:pPr>
          </w:p>
        </w:tc>
        <w:tc>
          <w:tcPr>
            <w:tcW w:w="3210" w:type="dxa"/>
            <w:vAlign w:val="top"/>
          </w:tcPr>
          <w:p w14:paraId="3AC83D18">
            <w:pPr>
              <w:pStyle w:val="6"/>
              <w:spacing w:before="76" w:line="266" w:lineRule="auto"/>
              <w:ind w:left="61" w:right="84" w:firstLine="8"/>
              <w:jc w:val="both"/>
              <w:rPr>
                <w:sz w:val="18"/>
                <w:szCs w:val="18"/>
              </w:rPr>
            </w:pPr>
            <w:r>
              <w:rPr>
                <w:spacing w:val="-1"/>
                <w:sz w:val="18"/>
                <w:szCs w:val="18"/>
              </w:rPr>
              <w:t>危险废物：包括废机油、废机油桶、废</w:t>
            </w:r>
            <w:r>
              <w:rPr>
                <w:spacing w:val="6"/>
                <w:sz w:val="18"/>
                <w:szCs w:val="18"/>
              </w:rPr>
              <w:t xml:space="preserve"> </w:t>
            </w:r>
            <w:r>
              <w:rPr>
                <w:rFonts w:ascii="Times New Roman" w:hAnsi="Times New Roman" w:eastAsia="Times New Roman" w:cs="Times New Roman"/>
                <w:spacing w:val="-1"/>
                <w:sz w:val="18"/>
                <w:szCs w:val="18"/>
              </w:rPr>
              <w:t xml:space="preserve">UV </w:t>
            </w:r>
            <w:r>
              <w:rPr>
                <w:spacing w:val="-1"/>
                <w:sz w:val="18"/>
                <w:szCs w:val="18"/>
              </w:rPr>
              <w:t>灯管、废活性炭等，利用厂区现有</w:t>
            </w:r>
            <w:r>
              <w:rPr>
                <w:spacing w:val="15"/>
                <w:sz w:val="18"/>
                <w:szCs w:val="18"/>
              </w:rPr>
              <w:t xml:space="preserve"> </w:t>
            </w:r>
            <w:r>
              <w:rPr>
                <w:spacing w:val="-1"/>
                <w:sz w:val="18"/>
                <w:szCs w:val="18"/>
              </w:rPr>
              <w:t>危废间收集暂存，委托有资质的单位回</w:t>
            </w:r>
            <w:r>
              <w:rPr>
                <w:spacing w:val="15"/>
                <w:sz w:val="18"/>
                <w:szCs w:val="18"/>
              </w:rPr>
              <w:t xml:space="preserve"> </w:t>
            </w:r>
            <w:r>
              <w:rPr>
                <w:spacing w:val="-1"/>
                <w:sz w:val="18"/>
                <w:szCs w:val="18"/>
              </w:rPr>
              <w:t>收处置，建立危废台账</w:t>
            </w:r>
          </w:p>
        </w:tc>
        <w:tc>
          <w:tcPr>
            <w:tcW w:w="982" w:type="dxa"/>
            <w:vMerge w:val="continue"/>
            <w:tcBorders>
              <w:top w:val="nil"/>
              <w:bottom w:val="nil"/>
            </w:tcBorders>
            <w:vAlign w:val="top"/>
          </w:tcPr>
          <w:p w14:paraId="3C3DF180">
            <w:pPr>
              <w:rPr>
                <w:rFonts w:ascii="Arial"/>
                <w:sz w:val="21"/>
              </w:rPr>
            </w:pPr>
          </w:p>
        </w:tc>
        <w:tc>
          <w:tcPr>
            <w:tcW w:w="1237" w:type="dxa"/>
            <w:vAlign w:val="top"/>
          </w:tcPr>
          <w:p w14:paraId="748084AA">
            <w:pPr>
              <w:spacing w:line="433" w:lineRule="auto"/>
              <w:rPr>
                <w:rFonts w:ascii="Arial"/>
                <w:sz w:val="21"/>
              </w:rPr>
            </w:pPr>
          </w:p>
          <w:p w14:paraId="770AFF23">
            <w:pPr>
              <w:pStyle w:val="6"/>
              <w:spacing w:before="59" w:line="220" w:lineRule="auto"/>
              <w:ind w:left="267"/>
              <w:rPr>
                <w:sz w:val="18"/>
                <w:szCs w:val="18"/>
              </w:rPr>
            </w:pPr>
            <w:r>
              <w:rPr>
                <w:spacing w:val="-2"/>
                <w:sz w:val="18"/>
                <w:szCs w:val="18"/>
              </w:rPr>
              <w:t>环境风险</w:t>
            </w:r>
          </w:p>
        </w:tc>
        <w:tc>
          <w:tcPr>
            <w:tcW w:w="735" w:type="dxa"/>
            <w:vAlign w:val="top"/>
          </w:tcPr>
          <w:p w14:paraId="49393913">
            <w:pPr>
              <w:spacing w:line="434" w:lineRule="auto"/>
              <w:rPr>
                <w:rFonts w:ascii="Arial"/>
                <w:sz w:val="21"/>
              </w:rPr>
            </w:pPr>
          </w:p>
          <w:p w14:paraId="3C992C4A">
            <w:pPr>
              <w:pStyle w:val="6"/>
              <w:spacing w:before="58" w:line="221" w:lineRule="auto"/>
              <w:ind w:left="199"/>
              <w:rPr>
                <w:sz w:val="18"/>
                <w:szCs w:val="18"/>
              </w:rPr>
            </w:pPr>
            <w:r>
              <w:rPr>
                <w:spacing w:val="-4"/>
                <w:sz w:val="18"/>
                <w:szCs w:val="18"/>
              </w:rPr>
              <w:t>利旧</w:t>
            </w:r>
          </w:p>
        </w:tc>
        <w:tc>
          <w:tcPr>
            <w:tcW w:w="166" w:type="dxa"/>
            <w:vMerge w:val="continue"/>
            <w:tcBorders>
              <w:top w:val="nil"/>
              <w:bottom w:val="nil"/>
              <w:right w:val="single" w:color="000000" w:sz="6" w:space="0"/>
            </w:tcBorders>
            <w:vAlign w:val="top"/>
          </w:tcPr>
          <w:p w14:paraId="759C34DD">
            <w:pPr>
              <w:rPr>
                <w:rFonts w:ascii="Arial"/>
                <w:sz w:val="21"/>
              </w:rPr>
            </w:pPr>
          </w:p>
        </w:tc>
      </w:tr>
      <w:tr w14:paraId="0B10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7" w:type="dxa"/>
            <w:vMerge w:val="continue"/>
            <w:tcBorders>
              <w:top w:val="nil"/>
              <w:left w:val="single" w:color="000000" w:sz="6" w:space="0"/>
              <w:bottom w:val="nil"/>
            </w:tcBorders>
            <w:vAlign w:val="top"/>
          </w:tcPr>
          <w:p w14:paraId="410291CD">
            <w:pPr>
              <w:rPr>
                <w:rFonts w:ascii="Arial"/>
                <w:sz w:val="21"/>
              </w:rPr>
            </w:pPr>
          </w:p>
        </w:tc>
        <w:tc>
          <w:tcPr>
            <w:tcW w:w="870" w:type="dxa"/>
            <w:vMerge w:val="continue"/>
            <w:tcBorders>
              <w:top w:val="nil"/>
            </w:tcBorders>
            <w:vAlign w:val="top"/>
          </w:tcPr>
          <w:p w14:paraId="726F7AA6">
            <w:pPr>
              <w:rPr>
                <w:rFonts w:ascii="Arial"/>
                <w:sz w:val="21"/>
              </w:rPr>
            </w:pPr>
          </w:p>
        </w:tc>
        <w:tc>
          <w:tcPr>
            <w:tcW w:w="636" w:type="dxa"/>
            <w:vMerge w:val="continue"/>
            <w:tcBorders>
              <w:top w:val="nil"/>
            </w:tcBorders>
            <w:vAlign w:val="top"/>
          </w:tcPr>
          <w:p w14:paraId="4E5017A1">
            <w:pPr>
              <w:rPr>
                <w:rFonts w:ascii="Arial"/>
                <w:sz w:val="21"/>
              </w:rPr>
            </w:pPr>
          </w:p>
        </w:tc>
        <w:tc>
          <w:tcPr>
            <w:tcW w:w="3210" w:type="dxa"/>
            <w:vAlign w:val="top"/>
          </w:tcPr>
          <w:p w14:paraId="7A0B5F31">
            <w:pPr>
              <w:pStyle w:val="6"/>
              <w:spacing w:before="75" w:line="246" w:lineRule="auto"/>
              <w:ind w:left="69" w:right="84" w:hanging="1"/>
              <w:rPr>
                <w:sz w:val="18"/>
                <w:szCs w:val="18"/>
              </w:rPr>
            </w:pPr>
            <w:r>
              <w:rPr>
                <w:spacing w:val="-1"/>
                <w:sz w:val="18"/>
                <w:szCs w:val="18"/>
              </w:rPr>
              <w:t>生活垃圾：袋装收集后运至附近场镇生</w:t>
            </w:r>
            <w:r>
              <w:rPr>
                <w:spacing w:val="7"/>
                <w:sz w:val="18"/>
                <w:szCs w:val="18"/>
              </w:rPr>
              <w:t xml:space="preserve"> </w:t>
            </w:r>
            <w:r>
              <w:rPr>
                <w:spacing w:val="-1"/>
                <w:sz w:val="18"/>
                <w:szCs w:val="18"/>
              </w:rPr>
              <w:t>活垃圾收集点，由环卫负责清运</w:t>
            </w:r>
          </w:p>
        </w:tc>
        <w:tc>
          <w:tcPr>
            <w:tcW w:w="982" w:type="dxa"/>
            <w:vMerge w:val="continue"/>
            <w:tcBorders>
              <w:top w:val="nil"/>
              <w:bottom w:val="nil"/>
            </w:tcBorders>
            <w:vAlign w:val="top"/>
          </w:tcPr>
          <w:p w14:paraId="4BEBA070">
            <w:pPr>
              <w:rPr>
                <w:rFonts w:ascii="Arial"/>
                <w:sz w:val="21"/>
              </w:rPr>
            </w:pPr>
          </w:p>
        </w:tc>
        <w:tc>
          <w:tcPr>
            <w:tcW w:w="1237" w:type="dxa"/>
            <w:vAlign w:val="top"/>
          </w:tcPr>
          <w:p w14:paraId="54A2A704">
            <w:pPr>
              <w:pStyle w:val="6"/>
              <w:spacing w:before="215" w:line="224" w:lineRule="auto"/>
              <w:ind w:left="581"/>
              <w:rPr>
                <w:sz w:val="18"/>
                <w:szCs w:val="18"/>
              </w:rPr>
            </w:pPr>
            <w:r>
              <w:rPr>
                <w:sz w:val="18"/>
                <w:szCs w:val="18"/>
              </w:rPr>
              <w:t>/</w:t>
            </w:r>
          </w:p>
        </w:tc>
        <w:tc>
          <w:tcPr>
            <w:tcW w:w="735" w:type="dxa"/>
            <w:vAlign w:val="top"/>
          </w:tcPr>
          <w:p w14:paraId="741A5AA0">
            <w:pPr>
              <w:pStyle w:val="6"/>
              <w:spacing w:before="215" w:line="220" w:lineRule="auto"/>
              <w:ind w:left="199"/>
              <w:rPr>
                <w:sz w:val="18"/>
                <w:szCs w:val="18"/>
              </w:rPr>
            </w:pPr>
            <w:r>
              <w:rPr>
                <w:spacing w:val="-4"/>
                <w:sz w:val="18"/>
                <w:szCs w:val="18"/>
              </w:rPr>
              <w:t>新建</w:t>
            </w:r>
          </w:p>
        </w:tc>
        <w:tc>
          <w:tcPr>
            <w:tcW w:w="166" w:type="dxa"/>
            <w:vMerge w:val="continue"/>
            <w:tcBorders>
              <w:top w:val="nil"/>
              <w:bottom w:val="nil"/>
              <w:right w:val="single" w:color="000000" w:sz="6" w:space="0"/>
            </w:tcBorders>
            <w:vAlign w:val="top"/>
          </w:tcPr>
          <w:p w14:paraId="11E768F8">
            <w:pPr>
              <w:rPr>
                <w:rFonts w:ascii="Arial"/>
                <w:sz w:val="21"/>
              </w:rPr>
            </w:pPr>
          </w:p>
        </w:tc>
      </w:tr>
      <w:tr w14:paraId="18160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987" w:type="dxa"/>
            <w:vMerge w:val="continue"/>
            <w:tcBorders>
              <w:top w:val="nil"/>
              <w:left w:val="single" w:color="000000" w:sz="6" w:space="0"/>
            </w:tcBorders>
            <w:vAlign w:val="top"/>
          </w:tcPr>
          <w:p w14:paraId="0045FD08">
            <w:pPr>
              <w:rPr>
                <w:rFonts w:ascii="Arial"/>
                <w:sz w:val="21"/>
              </w:rPr>
            </w:pPr>
          </w:p>
        </w:tc>
        <w:tc>
          <w:tcPr>
            <w:tcW w:w="870" w:type="dxa"/>
            <w:vAlign w:val="top"/>
          </w:tcPr>
          <w:p w14:paraId="7F6EB36D">
            <w:pPr>
              <w:pStyle w:val="6"/>
              <w:spacing w:before="77" w:line="216" w:lineRule="auto"/>
              <w:ind w:left="168"/>
              <w:rPr>
                <w:sz w:val="18"/>
                <w:szCs w:val="18"/>
              </w:rPr>
            </w:pPr>
            <w:r>
              <w:rPr>
                <w:spacing w:val="-4"/>
                <w:sz w:val="18"/>
                <w:szCs w:val="18"/>
              </w:rPr>
              <w:t>办公及</w:t>
            </w:r>
          </w:p>
        </w:tc>
        <w:tc>
          <w:tcPr>
            <w:tcW w:w="3846" w:type="dxa"/>
            <w:gridSpan w:val="2"/>
            <w:vAlign w:val="top"/>
          </w:tcPr>
          <w:p w14:paraId="10634486">
            <w:pPr>
              <w:pStyle w:val="6"/>
              <w:spacing w:before="77" w:line="216" w:lineRule="auto"/>
              <w:ind w:left="68"/>
              <w:rPr>
                <w:sz w:val="18"/>
                <w:szCs w:val="18"/>
              </w:rPr>
            </w:pPr>
            <w:r>
              <w:rPr>
                <w:spacing w:val="-4"/>
                <w:sz w:val="18"/>
                <w:szCs w:val="18"/>
              </w:rPr>
              <w:t>本工程不建设办公生活设施，利用一期工程已建</w:t>
            </w:r>
          </w:p>
        </w:tc>
        <w:tc>
          <w:tcPr>
            <w:tcW w:w="982" w:type="dxa"/>
            <w:vMerge w:val="continue"/>
            <w:tcBorders>
              <w:top w:val="nil"/>
            </w:tcBorders>
            <w:vAlign w:val="top"/>
          </w:tcPr>
          <w:p w14:paraId="001E8086">
            <w:pPr>
              <w:rPr>
                <w:rFonts w:ascii="Arial"/>
                <w:sz w:val="21"/>
              </w:rPr>
            </w:pPr>
          </w:p>
        </w:tc>
        <w:tc>
          <w:tcPr>
            <w:tcW w:w="1237" w:type="dxa"/>
            <w:vAlign w:val="top"/>
          </w:tcPr>
          <w:p w14:paraId="78406185">
            <w:pPr>
              <w:pStyle w:val="6"/>
              <w:spacing w:before="77" w:line="216" w:lineRule="auto"/>
              <w:ind w:left="88"/>
              <w:rPr>
                <w:sz w:val="18"/>
                <w:szCs w:val="18"/>
              </w:rPr>
            </w:pPr>
            <w:r>
              <w:rPr>
                <w:sz w:val="18"/>
                <w:szCs w:val="18"/>
              </w:rPr>
              <w:t>生活垃圾、生</w:t>
            </w:r>
          </w:p>
        </w:tc>
        <w:tc>
          <w:tcPr>
            <w:tcW w:w="735" w:type="dxa"/>
            <w:vAlign w:val="top"/>
          </w:tcPr>
          <w:p w14:paraId="709973EB">
            <w:pPr>
              <w:pStyle w:val="6"/>
              <w:spacing w:before="77" w:line="216" w:lineRule="auto"/>
              <w:ind w:left="199"/>
              <w:rPr>
                <w:sz w:val="18"/>
                <w:szCs w:val="18"/>
              </w:rPr>
            </w:pPr>
            <w:r>
              <w:rPr>
                <w:spacing w:val="-4"/>
                <w:sz w:val="18"/>
                <w:szCs w:val="18"/>
              </w:rPr>
              <w:t>利旧</w:t>
            </w:r>
          </w:p>
        </w:tc>
        <w:tc>
          <w:tcPr>
            <w:tcW w:w="166" w:type="dxa"/>
            <w:vMerge w:val="continue"/>
            <w:tcBorders>
              <w:top w:val="nil"/>
              <w:right w:val="single" w:color="000000" w:sz="6" w:space="0"/>
            </w:tcBorders>
            <w:vAlign w:val="top"/>
          </w:tcPr>
          <w:p w14:paraId="0CC40850">
            <w:pPr>
              <w:rPr>
                <w:rFonts w:ascii="Arial"/>
                <w:sz w:val="21"/>
              </w:rPr>
            </w:pPr>
          </w:p>
        </w:tc>
      </w:tr>
    </w:tbl>
    <w:p w14:paraId="3A2745BA">
      <w:pPr>
        <w:pStyle w:val="2"/>
      </w:pPr>
    </w:p>
    <w:p w14:paraId="10A9687D">
      <w:pPr>
        <w:sectPr>
          <w:footerReference r:id="rId34" w:type="default"/>
          <w:pgSz w:w="11906" w:h="16839"/>
          <w:pgMar w:top="1431" w:right="1534" w:bottom="1260" w:left="1533" w:header="0" w:footer="1080" w:gutter="0"/>
          <w:cols w:space="720" w:num="1"/>
        </w:sectPr>
      </w:pPr>
    </w:p>
    <w:p w14:paraId="5C7BDFA8">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56"/>
        <w:gridCol w:w="871"/>
        <w:gridCol w:w="3845"/>
        <w:gridCol w:w="982"/>
        <w:gridCol w:w="1237"/>
        <w:gridCol w:w="735"/>
        <w:gridCol w:w="166"/>
      </w:tblGrid>
      <w:tr w14:paraId="29405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831" w:type="dxa"/>
            <w:vMerge w:val="restart"/>
            <w:tcBorders>
              <w:top w:val="single" w:color="000000" w:sz="6" w:space="0"/>
              <w:left w:val="single" w:color="000000" w:sz="6" w:space="0"/>
              <w:bottom w:val="nil"/>
            </w:tcBorders>
            <w:vAlign w:val="top"/>
          </w:tcPr>
          <w:p w14:paraId="3E4A8B23">
            <w:pPr>
              <w:rPr>
                <w:rFonts w:ascii="Arial"/>
                <w:sz w:val="21"/>
              </w:rPr>
            </w:pPr>
          </w:p>
        </w:tc>
        <w:tc>
          <w:tcPr>
            <w:tcW w:w="156" w:type="dxa"/>
            <w:tcBorders>
              <w:top w:val="single" w:color="000000" w:sz="6" w:space="0"/>
            </w:tcBorders>
            <w:vAlign w:val="top"/>
          </w:tcPr>
          <w:p w14:paraId="219C4E36">
            <w:pPr>
              <w:rPr>
                <w:rFonts w:ascii="Arial"/>
                <w:sz w:val="21"/>
              </w:rPr>
            </w:pPr>
          </w:p>
        </w:tc>
        <w:tc>
          <w:tcPr>
            <w:tcW w:w="871" w:type="dxa"/>
            <w:tcBorders>
              <w:top w:val="single" w:color="000000" w:sz="6" w:space="0"/>
            </w:tcBorders>
            <w:vAlign w:val="top"/>
          </w:tcPr>
          <w:p w14:paraId="6AFC914F">
            <w:pPr>
              <w:pStyle w:val="6"/>
              <w:spacing w:before="86" w:line="208" w:lineRule="auto"/>
              <w:ind w:left="254"/>
              <w:rPr>
                <w:sz w:val="18"/>
                <w:szCs w:val="18"/>
              </w:rPr>
            </w:pPr>
            <w:r>
              <w:rPr>
                <w:spacing w:val="-5"/>
                <w:sz w:val="18"/>
                <w:szCs w:val="18"/>
              </w:rPr>
              <w:t>生活</w:t>
            </w:r>
          </w:p>
        </w:tc>
        <w:tc>
          <w:tcPr>
            <w:tcW w:w="3845" w:type="dxa"/>
            <w:vAlign w:val="top"/>
          </w:tcPr>
          <w:p w14:paraId="0724E102">
            <w:pPr>
              <w:pStyle w:val="6"/>
              <w:spacing w:before="86" w:line="208" w:lineRule="auto"/>
              <w:ind w:left="81"/>
              <w:rPr>
                <w:sz w:val="18"/>
                <w:szCs w:val="18"/>
              </w:rPr>
            </w:pPr>
            <w:r>
              <w:rPr>
                <w:spacing w:val="-2"/>
                <w:sz w:val="18"/>
                <w:szCs w:val="18"/>
              </w:rPr>
              <w:t>的办公楼、职工宿舍、食堂等</w:t>
            </w:r>
          </w:p>
        </w:tc>
        <w:tc>
          <w:tcPr>
            <w:tcW w:w="982" w:type="dxa"/>
            <w:vAlign w:val="top"/>
          </w:tcPr>
          <w:p w14:paraId="3B801008">
            <w:pPr>
              <w:rPr>
                <w:rFonts w:ascii="Arial"/>
                <w:sz w:val="21"/>
              </w:rPr>
            </w:pPr>
          </w:p>
        </w:tc>
        <w:tc>
          <w:tcPr>
            <w:tcW w:w="1237" w:type="dxa"/>
            <w:vAlign w:val="top"/>
          </w:tcPr>
          <w:p w14:paraId="11AAD505">
            <w:pPr>
              <w:pStyle w:val="6"/>
              <w:spacing w:before="86" w:line="208" w:lineRule="auto"/>
              <w:ind w:left="90"/>
              <w:rPr>
                <w:sz w:val="18"/>
                <w:szCs w:val="18"/>
              </w:rPr>
            </w:pPr>
            <w:r>
              <w:rPr>
                <w:spacing w:val="-2"/>
                <w:sz w:val="18"/>
                <w:szCs w:val="18"/>
              </w:rPr>
              <w:t>活污水、油烟</w:t>
            </w:r>
          </w:p>
        </w:tc>
        <w:tc>
          <w:tcPr>
            <w:tcW w:w="735" w:type="dxa"/>
            <w:vAlign w:val="top"/>
          </w:tcPr>
          <w:p w14:paraId="3A7E2EC6">
            <w:pPr>
              <w:rPr>
                <w:rFonts w:ascii="Arial"/>
                <w:sz w:val="21"/>
              </w:rPr>
            </w:pPr>
          </w:p>
        </w:tc>
        <w:tc>
          <w:tcPr>
            <w:tcW w:w="166" w:type="dxa"/>
            <w:tcBorders>
              <w:top w:val="single" w:color="000000" w:sz="6" w:space="0"/>
              <w:bottom w:val="nil"/>
              <w:right w:val="single" w:color="000000" w:sz="6" w:space="0"/>
            </w:tcBorders>
            <w:vAlign w:val="top"/>
          </w:tcPr>
          <w:p w14:paraId="34861E18">
            <w:pPr>
              <w:rPr>
                <w:rFonts w:ascii="Arial"/>
                <w:sz w:val="21"/>
              </w:rPr>
            </w:pPr>
          </w:p>
        </w:tc>
      </w:tr>
      <w:tr w14:paraId="40A1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3" w:hRule="atLeast"/>
        </w:trPr>
        <w:tc>
          <w:tcPr>
            <w:tcW w:w="831" w:type="dxa"/>
            <w:vMerge w:val="continue"/>
            <w:tcBorders>
              <w:top w:val="nil"/>
              <w:left w:val="single" w:color="000000" w:sz="6" w:space="0"/>
            </w:tcBorders>
            <w:vAlign w:val="top"/>
          </w:tcPr>
          <w:p w14:paraId="0425204D">
            <w:pPr>
              <w:rPr>
                <w:rFonts w:ascii="Arial"/>
                <w:sz w:val="21"/>
              </w:rPr>
            </w:pPr>
          </w:p>
        </w:tc>
        <w:tc>
          <w:tcPr>
            <w:tcW w:w="7992" w:type="dxa"/>
            <w:gridSpan w:val="7"/>
            <w:tcBorders>
              <w:right w:val="single" w:color="000000" w:sz="6" w:space="0"/>
            </w:tcBorders>
            <w:vAlign w:val="top"/>
          </w:tcPr>
          <w:p w14:paraId="7353C112">
            <w:pPr>
              <w:spacing w:before="130" w:line="222" w:lineRule="auto"/>
              <w:ind w:left="90"/>
              <w:rPr>
                <w:rFonts w:ascii="黑体" w:hAnsi="黑体" w:eastAsia="黑体" w:cs="黑体"/>
                <w:sz w:val="22"/>
                <w:szCs w:val="22"/>
              </w:rPr>
            </w:pPr>
            <w:r>
              <w:rPr>
                <w:rFonts w:ascii="黑体" w:hAnsi="黑体" w:eastAsia="黑体" w:cs="黑体"/>
                <w:spacing w:val="-1"/>
                <w:sz w:val="22"/>
                <w:szCs w:val="22"/>
              </w:rPr>
              <w:t>2、产品方案及产能</w:t>
            </w:r>
          </w:p>
          <w:p w14:paraId="777EBAC0">
            <w:pPr>
              <w:pStyle w:val="6"/>
              <w:spacing w:before="136" w:line="323" w:lineRule="auto"/>
              <w:ind w:left="109" w:right="84" w:firstLine="421"/>
            </w:pPr>
            <w:r>
              <w:rPr>
                <w:spacing w:val="-3"/>
              </w:rPr>
              <w:t>本项目产品包括蒸压加气混凝土砌块、蒸压加</w:t>
            </w:r>
            <w:r>
              <w:rPr>
                <w:spacing w:val="-4"/>
              </w:rPr>
              <w:t>气混凝土板材、干混砂浆等。产</w:t>
            </w:r>
            <w:r>
              <w:t xml:space="preserve"> </w:t>
            </w:r>
            <w:r>
              <w:rPr>
                <w:spacing w:val="-2"/>
              </w:rPr>
              <w:t>品规格、质量标准及产能等情况如下。</w:t>
            </w:r>
          </w:p>
          <w:p w14:paraId="054FD201">
            <w:pPr>
              <w:spacing w:before="65" w:line="222" w:lineRule="auto"/>
              <w:ind w:left="302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2-2      </w:t>
            </w:r>
            <w:r>
              <w:rPr>
                <w:rFonts w:ascii="黑体" w:hAnsi="黑体" w:eastAsia="黑体" w:cs="黑体"/>
                <w:spacing w:val="-1"/>
                <w:sz w:val="18"/>
                <w:szCs w:val="18"/>
              </w:rPr>
              <w:t>主要产品规格及产能</w:t>
            </w:r>
          </w:p>
          <w:p w14:paraId="72B8F0EE">
            <w:pPr>
              <w:spacing w:line="17" w:lineRule="exact"/>
            </w:pPr>
          </w:p>
          <w:tbl>
            <w:tblPr>
              <w:tblStyle w:val="5"/>
              <w:tblW w:w="7801"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919"/>
              <w:gridCol w:w="828"/>
              <w:gridCol w:w="2311"/>
              <w:gridCol w:w="2028"/>
            </w:tblGrid>
            <w:tr w14:paraId="48BB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15" w:type="dxa"/>
                  <w:vAlign w:val="top"/>
                </w:tcPr>
                <w:p w14:paraId="088D7AD5">
                  <w:pPr>
                    <w:pStyle w:val="6"/>
                    <w:spacing w:before="60" w:line="204" w:lineRule="auto"/>
                    <w:ind w:left="181"/>
                    <w:rPr>
                      <w:sz w:val="18"/>
                      <w:szCs w:val="18"/>
                    </w:rPr>
                  </w:pPr>
                  <w:r>
                    <w:rPr>
                      <w:b/>
                      <w:bCs/>
                      <w:spacing w:val="-6"/>
                      <w:sz w:val="18"/>
                      <w:szCs w:val="18"/>
                    </w:rPr>
                    <w:t>序号</w:t>
                  </w:r>
                </w:p>
              </w:tc>
              <w:tc>
                <w:tcPr>
                  <w:tcW w:w="1919" w:type="dxa"/>
                  <w:vAlign w:val="top"/>
                </w:tcPr>
                <w:p w14:paraId="062F097B">
                  <w:pPr>
                    <w:pStyle w:val="6"/>
                    <w:spacing w:before="60" w:line="204" w:lineRule="auto"/>
                    <w:ind w:left="599"/>
                    <w:rPr>
                      <w:sz w:val="18"/>
                      <w:szCs w:val="18"/>
                    </w:rPr>
                  </w:pPr>
                  <w:r>
                    <w:rPr>
                      <w:b/>
                      <w:bCs/>
                      <w:spacing w:val="-4"/>
                      <w:sz w:val="18"/>
                      <w:szCs w:val="18"/>
                    </w:rPr>
                    <w:t>产品名称</w:t>
                  </w:r>
                </w:p>
              </w:tc>
              <w:tc>
                <w:tcPr>
                  <w:tcW w:w="828" w:type="dxa"/>
                  <w:vAlign w:val="top"/>
                </w:tcPr>
                <w:p w14:paraId="7726F89E">
                  <w:pPr>
                    <w:pStyle w:val="6"/>
                    <w:spacing w:before="60" w:line="204" w:lineRule="auto"/>
                    <w:ind w:left="238"/>
                    <w:rPr>
                      <w:sz w:val="18"/>
                      <w:szCs w:val="18"/>
                    </w:rPr>
                  </w:pPr>
                  <w:r>
                    <w:rPr>
                      <w:b/>
                      <w:bCs/>
                      <w:spacing w:val="-6"/>
                      <w:sz w:val="18"/>
                      <w:szCs w:val="18"/>
                    </w:rPr>
                    <w:t>产量</w:t>
                  </w:r>
                </w:p>
              </w:tc>
              <w:tc>
                <w:tcPr>
                  <w:tcW w:w="2311" w:type="dxa"/>
                  <w:vAlign w:val="top"/>
                </w:tcPr>
                <w:p w14:paraId="7A0B550D">
                  <w:pPr>
                    <w:pStyle w:val="6"/>
                    <w:spacing w:before="60" w:line="204" w:lineRule="auto"/>
                    <w:ind w:left="980"/>
                    <w:rPr>
                      <w:sz w:val="18"/>
                      <w:szCs w:val="18"/>
                    </w:rPr>
                  </w:pPr>
                  <w:r>
                    <w:rPr>
                      <w:b/>
                      <w:bCs/>
                      <w:spacing w:val="-6"/>
                      <w:sz w:val="18"/>
                      <w:szCs w:val="18"/>
                    </w:rPr>
                    <w:t>规格</w:t>
                  </w:r>
                </w:p>
              </w:tc>
              <w:tc>
                <w:tcPr>
                  <w:tcW w:w="2028" w:type="dxa"/>
                  <w:vAlign w:val="top"/>
                </w:tcPr>
                <w:p w14:paraId="6ADFD621">
                  <w:pPr>
                    <w:pStyle w:val="6"/>
                    <w:spacing w:before="60" w:line="204" w:lineRule="auto"/>
                    <w:ind w:left="656"/>
                    <w:rPr>
                      <w:sz w:val="18"/>
                      <w:szCs w:val="18"/>
                    </w:rPr>
                  </w:pPr>
                  <w:r>
                    <w:rPr>
                      <w:b/>
                      <w:bCs/>
                      <w:spacing w:val="-4"/>
                      <w:sz w:val="18"/>
                      <w:szCs w:val="18"/>
                    </w:rPr>
                    <w:t>质量标准</w:t>
                  </w:r>
                </w:p>
              </w:tc>
            </w:tr>
            <w:tr w14:paraId="187C8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715" w:type="dxa"/>
                  <w:vAlign w:val="top"/>
                </w:tcPr>
                <w:p w14:paraId="2EF93044">
                  <w:pPr>
                    <w:spacing w:line="270" w:lineRule="auto"/>
                    <w:rPr>
                      <w:rFonts w:ascii="Arial"/>
                      <w:sz w:val="21"/>
                    </w:rPr>
                  </w:pPr>
                </w:p>
                <w:p w14:paraId="09A5B786">
                  <w:pPr>
                    <w:spacing w:line="271" w:lineRule="auto"/>
                    <w:rPr>
                      <w:rFonts w:ascii="Arial"/>
                      <w:sz w:val="21"/>
                    </w:rPr>
                  </w:pPr>
                </w:p>
                <w:p w14:paraId="750028BE">
                  <w:pPr>
                    <w:pStyle w:val="6"/>
                    <w:spacing w:before="59" w:line="184" w:lineRule="auto"/>
                    <w:ind w:left="329"/>
                    <w:rPr>
                      <w:sz w:val="18"/>
                      <w:szCs w:val="18"/>
                    </w:rPr>
                  </w:pPr>
                  <w:r>
                    <w:rPr>
                      <w:sz w:val="18"/>
                      <w:szCs w:val="18"/>
                    </w:rPr>
                    <w:t>1</w:t>
                  </w:r>
                </w:p>
              </w:tc>
              <w:tc>
                <w:tcPr>
                  <w:tcW w:w="1919" w:type="dxa"/>
                  <w:vAlign w:val="top"/>
                </w:tcPr>
                <w:p w14:paraId="1F3687CA">
                  <w:pPr>
                    <w:spacing w:line="257" w:lineRule="auto"/>
                    <w:rPr>
                      <w:rFonts w:ascii="Arial"/>
                      <w:sz w:val="21"/>
                    </w:rPr>
                  </w:pPr>
                </w:p>
                <w:p w14:paraId="49076A2E">
                  <w:pPr>
                    <w:spacing w:line="257" w:lineRule="auto"/>
                    <w:rPr>
                      <w:rFonts w:ascii="Arial"/>
                      <w:sz w:val="21"/>
                    </w:rPr>
                  </w:pPr>
                </w:p>
                <w:p w14:paraId="5BE9DF21">
                  <w:pPr>
                    <w:pStyle w:val="6"/>
                    <w:spacing w:before="58" w:line="220" w:lineRule="auto"/>
                    <w:ind w:left="155"/>
                    <w:rPr>
                      <w:sz w:val="18"/>
                      <w:szCs w:val="18"/>
                    </w:rPr>
                  </w:pPr>
                  <w:r>
                    <w:rPr>
                      <w:spacing w:val="-2"/>
                      <w:sz w:val="18"/>
                      <w:szCs w:val="18"/>
                    </w:rPr>
                    <w:t>蒸压加气混凝土砌块</w:t>
                  </w:r>
                </w:p>
              </w:tc>
              <w:tc>
                <w:tcPr>
                  <w:tcW w:w="828" w:type="dxa"/>
                  <w:vAlign w:val="top"/>
                </w:tcPr>
                <w:p w14:paraId="6D178FB9">
                  <w:pPr>
                    <w:spacing w:line="257" w:lineRule="auto"/>
                    <w:rPr>
                      <w:rFonts w:ascii="Arial"/>
                      <w:sz w:val="21"/>
                    </w:rPr>
                  </w:pPr>
                </w:p>
                <w:p w14:paraId="09D9797A">
                  <w:pPr>
                    <w:spacing w:line="257" w:lineRule="auto"/>
                    <w:rPr>
                      <w:rFonts w:ascii="Arial"/>
                      <w:sz w:val="21"/>
                    </w:rPr>
                  </w:pPr>
                </w:p>
                <w:p w14:paraId="68A89332">
                  <w:pPr>
                    <w:pStyle w:val="6"/>
                    <w:spacing w:before="58" w:line="220" w:lineRule="auto"/>
                    <w:ind w:left="90"/>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40</w:t>
                  </w:r>
                  <w:r>
                    <w:rPr>
                      <w:rFonts w:ascii="Times New Roman" w:hAnsi="Times New Roman" w:eastAsia="Times New Roman" w:cs="Times New Roman"/>
                      <w:spacing w:val="14"/>
                      <w:sz w:val="18"/>
                      <w:szCs w:val="18"/>
                    </w:rPr>
                    <w:t xml:space="preserve"> </w:t>
                  </w:r>
                  <w:r>
                    <w:rPr>
                      <w:spacing w:val="-3"/>
                      <w:sz w:val="18"/>
                      <w:szCs w:val="18"/>
                    </w:rPr>
                    <w:t>万</w:t>
                  </w:r>
                  <w:r>
                    <w:rPr>
                      <w:spacing w:val="-45"/>
                      <w:sz w:val="18"/>
                      <w:szCs w:val="18"/>
                    </w:rPr>
                    <w:t xml:space="preserve"> </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p>
              </w:tc>
              <w:tc>
                <w:tcPr>
                  <w:tcW w:w="2311" w:type="dxa"/>
                  <w:vAlign w:val="top"/>
                </w:tcPr>
                <w:p w14:paraId="3099384B">
                  <w:pPr>
                    <w:pStyle w:val="6"/>
                    <w:spacing w:before="55" w:line="220" w:lineRule="auto"/>
                    <w:ind w:left="97"/>
                    <w:rPr>
                      <w:sz w:val="18"/>
                      <w:szCs w:val="18"/>
                    </w:rPr>
                  </w:pPr>
                  <w:r>
                    <w:rPr>
                      <w:spacing w:val="-2"/>
                      <w:sz w:val="18"/>
                      <w:szCs w:val="18"/>
                    </w:rPr>
                    <w:t>长度：</w:t>
                  </w:r>
                  <w:r>
                    <w:rPr>
                      <w:rFonts w:ascii="Times New Roman" w:hAnsi="Times New Roman" w:eastAsia="Times New Roman" w:cs="Times New Roman"/>
                      <w:spacing w:val="-2"/>
                      <w:sz w:val="18"/>
                      <w:szCs w:val="18"/>
                    </w:rPr>
                    <w:t>600mm</w:t>
                  </w:r>
                  <w:r>
                    <w:rPr>
                      <w:spacing w:val="-2"/>
                      <w:sz w:val="18"/>
                      <w:szCs w:val="18"/>
                    </w:rPr>
                    <w:t>。</w:t>
                  </w:r>
                </w:p>
                <w:p w14:paraId="3E2074FE">
                  <w:pPr>
                    <w:pStyle w:val="6"/>
                    <w:spacing w:before="44" w:line="262" w:lineRule="auto"/>
                    <w:ind w:left="109" w:right="27" w:hanging="4"/>
                    <w:rPr>
                      <w:sz w:val="18"/>
                      <w:szCs w:val="18"/>
                    </w:rPr>
                  </w:pPr>
                  <w:r>
                    <w:rPr>
                      <w:spacing w:val="-9"/>
                      <w:sz w:val="18"/>
                      <w:szCs w:val="18"/>
                    </w:rPr>
                    <w:t>宽度：</w:t>
                  </w:r>
                  <w:r>
                    <w:rPr>
                      <w:rFonts w:ascii="Times New Roman" w:hAnsi="Times New Roman" w:eastAsia="Times New Roman" w:cs="Times New Roman"/>
                      <w:spacing w:val="-9"/>
                      <w:sz w:val="18"/>
                      <w:szCs w:val="18"/>
                    </w:rPr>
                    <w:t>100</w:t>
                  </w:r>
                  <w:r>
                    <w:rPr>
                      <w:spacing w:val="-9"/>
                      <w:sz w:val="18"/>
                      <w:szCs w:val="18"/>
                    </w:rPr>
                    <w:t>、</w:t>
                  </w:r>
                  <w:r>
                    <w:rPr>
                      <w:rFonts w:ascii="Times New Roman" w:hAnsi="Times New Roman" w:eastAsia="Times New Roman" w:cs="Times New Roman"/>
                      <w:spacing w:val="-9"/>
                      <w:sz w:val="18"/>
                      <w:szCs w:val="18"/>
                    </w:rPr>
                    <w:t>120</w:t>
                  </w:r>
                  <w:r>
                    <w:rPr>
                      <w:spacing w:val="-9"/>
                      <w:sz w:val="18"/>
                      <w:szCs w:val="18"/>
                    </w:rPr>
                    <w:t>、</w:t>
                  </w:r>
                  <w:r>
                    <w:rPr>
                      <w:rFonts w:ascii="Times New Roman" w:hAnsi="Times New Roman" w:eastAsia="Times New Roman" w:cs="Times New Roman"/>
                      <w:spacing w:val="-9"/>
                      <w:sz w:val="18"/>
                      <w:szCs w:val="18"/>
                    </w:rPr>
                    <w:t>125</w:t>
                  </w:r>
                  <w:r>
                    <w:rPr>
                      <w:spacing w:val="-9"/>
                      <w:sz w:val="18"/>
                      <w:szCs w:val="18"/>
                    </w:rPr>
                    <w:t>、</w:t>
                  </w:r>
                  <w:r>
                    <w:rPr>
                      <w:rFonts w:ascii="Times New Roman" w:hAnsi="Times New Roman" w:eastAsia="Times New Roman" w:cs="Times New Roman"/>
                      <w:spacing w:val="-9"/>
                      <w:sz w:val="18"/>
                      <w:szCs w:val="18"/>
                    </w:rPr>
                    <w:t>150</w:t>
                  </w:r>
                  <w:r>
                    <w:rPr>
                      <w:spacing w:val="-9"/>
                      <w:sz w:val="18"/>
                      <w:szCs w:val="18"/>
                    </w:rPr>
                    <w:t>、</w:t>
                  </w:r>
                  <w:r>
                    <w:rPr>
                      <w:spacing w:val="2"/>
                      <w:sz w:val="18"/>
                      <w:szCs w:val="18"/>
                    </w:rPr>
                    <w:t xml:space="preserve"> </w:t>
                  </w:r>
                  <w:r>
                    <w:rPr>
                      <w:rFonts w:ascii="Times New Roman" w:hAnsi="Times New Roman" w:eastAsia="Times New Roman" w:cs="Times New Roman"/>
                      <w:spacing w:val="-17"/>
                      <w:sz w:val="18"/>
                      <w:szCs w:val="18"/>
                    </w:rPr>
                    <w:t>180</w:t>
                  </w:r>
                  <w:r>
                    <w:rPr>
                      <w:spacing w:val="-17"/>
                      <w:sz w:val="18"/>
                      <w:szCs w:val="18"/>
                    </w:rPr>
                    <w:t>、</w:t>
                  </w:r>
                  <w:r>
                    <w:rPr>
                      <w:rFonts w:ascii="Times New Roman" w:hAnsi="Times New Roman" w:eastAsia="Times New Roman" w:cs="Times New Roman"/>
                      <w:spacing w:val="-17"/>
                      <w:sz w:val="18"/>
                      <w:szCs w:val="18"/>
                    </w:rPr>
                    <w:t>200</w:t>
                  </w:r>
                  <w:r>
                    <w:rPr>
                      <w:spacing w:val="-17"/>
                      <w:sz w:val="18"/>
                      <w:szCs w:val="18"/>
                    </w:rPr>
                    <w:t>、</w:t>
                  </w:r>
                  <w:r>
                    <w:rPr>
                      <w:rFonts w:ascii="Times New Roman" w:hAnsi="Times New Roman" w:eastAsia="Times New Roman" w:cs="Times New Roman"/>
                      <w:spacing w:val="-17"/>
                      <w:sz w:val="18"/>
                      <w:szCs w:val="18"/>
                    </w:rPr>
                    <w:t>240</w:t>
                  </w:r>
                  <w:r>
                    <w:rPr>
                      <w:spacing w:val="-17"/>
                      <w:sz w:val="18"/>
                      <w:szCs w:val="18"/>
                    </w:rPr>
                    <w:t>、</w:t>
                  </w:r>
                  <w:r>
                    <w:rPr>
                      <w:rFonts w:ascii="Times New Roman" w:hAnsi="Times New Roman" w:eastAsia="Times New Roman" w:cs="Times New Roman"/>
                      <w:spacing w:val="-17"/>
                      <w:sz w:val="18"/>
                      <w:szCs w:val="18"/>
                    </w:rPr>
                    <w:t>250</w:t>
                  </w:r>
                  <w:r>
                    <w:rPr>
                      <w:spacing w:val="-17"/>
                      <w:sz w:val="18"/>
                      <w:szCs w:val="18"/>
                    </w:rPr>
                    <w:t>、</w:t>
                  </w:r>
                  <w:r>
                    <w:rPr>
                      <w:rFonts w:ascii="Times New Roman" w:hAnsi="Times New Roman" w:eastAsia="Times New Roman" w:cs="Times New Roman"/>
                      <w:spacing w:val="-17"/>
                      <w:sz w:val="18"/>
                      <w:szCs w:val="18"/>
                    </w:rPr>
                    <w:t>300mm</w:t>
                  </w:r>
                  <w:r>
                    <w:rPr>
                      <w:spacing w:val="-17"/>
                      <w:sz w:val="18"/>
                      <w:szCs w:val="18"/>
                    </w:rPr>
                    <w:t>。</w:t>
                  </w:r>
                </w:p>
                <w:p w14:paraId="2C96A545">
                  <w:pPr>
                    <w:pStyle w:val="6"/>
                    <w:spacing w:before="9" w:line="235" w:lineRule="auto"/>
                    <w:ind w:left="96" w:right="358" w:firstLine="4"/>
                    <w:rPr>
                      <w:sz w:val="18"/>
                      <w:szCs w:val="18"/>
                    </w:rPr>
                  </w:pPr>
                  <w:r>
                    <w:rPr>
                      <w:spacing w:val="-6"/>
                      <w:sz w:val="18"/>
                      <w:szCs w:val="18"/>
                    </w:rPr>
                    <w:t>高度：</w:t>
                  </w:r>
                  <w:r>
                    <w:rPr>
                      <w:rFonts w:ascii="Times New Roman" w:hAnsi="Times New Roman" w:eastAsia="Times New Roman" w:cs="Times New Roman"/>
                      <w:spacing w:val="-6"/>
                      <w:sz w:val="18"/>
                      <w:szCs w:val="18"/>
                    </w:rPr>
                    <w:t>200</w:t>
                  </w:r>
                  <w:r>
                    <w:rPr>
                      <w:rFonts w:ascii="Times New Roman" w:hAnsi="Times New Roman" w:eastAsia="Times New Roman" w:cs="Times New Roman"/>
                      <w:spacing w:val="-22"/>
                      <w:sz w:val="18"/>
                      <w:szCs w:val="18"/>
                    </w:rPr>
                    <w:t xml:space="preserve"> </w:t>
                  </w:r>
                  <w:r>
                    <w:rPr>
                      <w:spacing w:val="-6"/>
                      <w:sz w:val="18"/>
                      <w:szCs w:val="18"/>
                    </w:rPr>
                    <w:t>、</w:t>
                  </w:r>
                  <w:r>
                    <w:rPr>
                      <w:rFonts w:ascii="Times New Roman" w:hAnsi="Times New Roman" w:eastAsia="Times New Roman" w:cs="Times New Roman"/>
                      <w:spacing w:val="-6"/>
                      <w:sz w:val="18"/>
                      <w:szCs w:val="18"/>
                    </w:rPr>
                    <w:t>240</w:t>
                  </w:r>
                  <w:r>
                    <w:rPr>
                      <w:rFonts w:ascii="Times New Roman" w:hAnsi="Times New Roman" w:eastAsia="Times New Roman" w:cs="Times New Roman"/>
                      <w:spacing w:val="-24"/>
                      <w:sz w:val="18"/>
                      <w:szCs w:val="18"/>
                    </w:rPr>
                    <w:t xml:space="preserve"> </w:t>
                  </w:r>
                  <w:r>
                    <w:rPr>
                      <w:spacing w:val="-6"/>
                      <w:sz w:val="18"/>
                      <w:szCs w:val="18"/>
                    </w:rPr>
                    <w:t>、</w:t>
                  </w:r>
                  <w:r>
                    <w:rPr>
                      <w:rFonts w:ascii="Times New Roman" w:hAnsi="Times New Roman" w:eastAsia="Times New Roman" w:cs="Times New Roman"/>
                      <w:spacing w:val="-6"/>
                      <w:sz w:val="18"/>
                      <w:szCs w:val="18"/>
                    </w:rPr>
                    <w:t>250</w:t>
                  </w:r>
                  <w:r>
                    <w:rPr>
                      <w:spacing w:val="-6"/>
                      <w:sz w:val="18"/>
                      <w:szCs w:val="18"/>
                    </w:rPr>
                    <w:t>、</w:t>
                  </w:r>
                  <w:r>
                    <w:rPr>
                      <w:sz w:val="18"/>
                      <w:szCs w:val="18"/>
                    </w:rPr>
                    <w:t xml:space="preserve"> </w:t>
                  </w:r>
                  <w:r>
                    <w:rPr>
                      <w:rFonts w:ascii="Times New Roman" w:hAnsi="Times New Roman" w:eastAsia="Times New Roman" w:cs="Times New Roman"/>
                      <w:spacing w:val="-2"/>
                      <w:sz w:val="18"/>
                      <w:szCs w:val="18"/>
                    </w:rPr>
                    <w:t>300mm</w:t>
                  </w:r>
                  <w:r>
                    <w:rPr>
                      <w:spacing w:val="-2"/>
                      <w:sz w:val="18"/>
                      <w:szCs w:val="18"/>
                    </w:rPr>
                    <w:t>。</w:t>
                  </w:r>
                </w:p>
              </w:tc>
              <w:tc>
                <w:tcPr>
                  <w:tcW w:w="2028" w:type="dxa"/>
                  <w:vAlign w:val="top"/>
                </w:tcPr>
                <w:p w14:paraId="01C9DB43">
                  <w:pPr>
                    <w:spacing w:line="385" w:lineRule="auto"/>
                    <w:rPr>
                      <w:rFonts w:ascii="Arial"/>
                      <w:sz w:val="21"/>
                    </w:rPr>
                  </w:pPr>
                </w:p>
                <w:p w14:paraId="44D256F0">
                  <w:pPr>
                    <w:pStyle w:val="6"/>
                    <w:spacing w:before="58" w:line="253" w:lineRule="auto"/>
                    <w:ind w:left="147" w:right="157" w:firstLine="65"/>
                    <w:rPr>
                      <w:sz w:val="18"/>
                      <w:szCs w:val="18"/>
                    </w:rPr>
                  </w:pPr>
                  <w:r>
                    <w:rPr>
                      <w:spacing w:val="-2"/>
                      <w:sz w:val="18"/>
                      <w:szCs w:val="18"/>
                    </w:rPr>
                    <w:t>《蒸压加气混凝土砌</w:t>
                  </w:r>
                  <w:r>
                    <w:rPr>
                      <w:spacing w:val="4"/>
                      <w:sz w:val="18"/>
                      <w:szCs w:val="18"/>
                    </w:rPr>
                    <w:t xml:space="preserve"> </w:t>
                  </w:r>
                  <w:r>
                    <w:rPr>
                      <w:spacing w:val="-8"/>
                      <w:sz w:val="18"/>
                      <w:szCs w:val="18"/>
                    </w:rPr>
                    <w:t>块》（</w:t>
                  </w:r>
                  <w:r>
                    <w:rPr>
                      <w:rFonts w:ascii="Times New Roman" w:hAnsi="Times New Roman" w:eastAsia="Times New Roman" w:cs="Times New Roman"/>
                      <w:spacing w:val="-8"/>
                      <w:sz w:val="18"/>
                      <w:szCs w:val="18"/>
                    </w:rPr>
                    <w:t>GB11968-2006</w:t>
                  </w:r>
                  <w:r>
                    <w:rPr>
                      <w:spacing w:val="-8"/>
                      <w:sz w:val="18"/>
                      <w:szCs w:val="18"/>
                    </w:rPr>
                    <w:t>）</w:t>
                  </w:r>
                </w:p>
              </w:tc>
            </w:tr>
            <w:tr w14:paraId="60D6A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715" w:type="dxa"/>
                  <w:vAlign w:val="top"/>
                </w:tcPr>
                <w:p w14:paraId="2C775CCF">
                  <w:pPr>
                    <w:spacing w:line="272" w:lineRule="auto"/>
                    <w:rPr>
                      <w:rFonts w:ascii="Arial"/>
                      <w:sz w:val="21"/>
                    </w:rPr>
                  </w:pPr>
                </w:p>
                <w:p w14:paraId="4464313E">
                  <w:pPr>
                    <w:spacing w:line="272" w:lineRule="auto"/>
                    <w:rPr>
                      <w:rFonts w:ascii="Arial"/>
                      <w:sz w:val="21"/>
                    </w:rPr>
                  </w:pPr>
                </w:p>
                <w:p w14:paraId="0CBC967A">
                  <w:pPr>
                    <w:pStyle w:val="6"/>
                    <w:spacing w:before="59" w:line="183" w:lineRule="auto"/>
                    <w:ind w:left="318"/>
                    <w:rPr>
                      <w:sz w:val="18"/>
                      <w:szCs w:val="18"/>
                    </w:rPr>
                  </w:pPr>
                  <w:r>
                    <w:rPr>
                      <w:sz w:val="18"/>
                      <w:szCs w:val="18"/>
                    </w:rPr>
                    <w:t>2</w:t>
                  </w:r>
                </w:p>
              </w:tc>
              <w:tc>
                <w:tcPr>
                  <w:tcW w:w="1919" w:type="dxa"/>
                  <w:vAlign w:val="top"/>
                </w:tcPr>
                <w:p w14:paraId="59136052">
                  <w:pPr>
                    <w:spacing w:line="385" w:lineRule="auto"/>
                    <w:rPr>
                      <w:rFonts w:ascii="Arial"/>
                      <w:sz w:val="21"/>
                    </w:rPr>
                  </w:pPr>
                </w:p>
                <w:p w14:paraId="6B102676">
                  <w:pPr>
                    <w:pStyle w:val="6"/>
                    <w:spacing w:before="58" w:line="219" w:lineRule="auto"/>
                    <w:ind w:left="155"/>
                    <w:rPr>
                      <w:sz w:val="18"/>
                      <w:szCs w:val="18"/>
                    </w:rPr>
                  </w:pPr>
                  <w:r>
                    <w:rPr>
                      <w:spacing w:val="-2"/>
                      <w:sz w:val="18"/>
                      <w:szCs w:val="18"/>
                    </w:rPr>
                    <w:t>蒸压加气混凝土板材</w:t>
                  </w:r>
                </w:p>
                <w:p w14:paraId="21FE8D0E">
                  <w:pPr>
                    <w:pStyle w:val="6"/>
                    <w:spacing w:before="48" w:line="219" w:lineRule="auto"/>
                    <w:ind w:left="431"/>
                    <w:rPr>
                      <w:sz w:val="18"/>
                      <w:szCs w:val="18"/>
                    </w:rPr>
                  </w:pPr>
                  <w:r>
                    <w:rPr>
                      <w:spacing w:val="-3"/>
                      <w:sz w:val="18"/>
                      <w:szCs w:val="18"/>
                    </w:rPr>
                    <w:t>（定制产品）</w:t>
                  </w:r>
                </w:p>
              </w:tc>
              <w:tc>
                <w:tcPr>
                  <w:tcW w:w="828" w:type="dxa"/>
                  <w:vAlign w:val="top"/>
                </w:tcPr>
                <w:p w14:paraId="0069AD93">
                  <w:pPr>
                    <w:spacing w:line="258" w:lineRule="auto"/>
                    <w:rPr>
                      <w:rFonts w:ascii="Arial"/>
                      <w:sz w:val="21"/>
                    </w:rPr>
                  </w:pPr>
                </w:p>
                <w:p w14:paraId="6B4B8C98">
                  <w:pPr>
                    <w:spacing w:line="258" w:lineRule="auto"/>
                    <w:rPr>
                      <w:rFonts w:ascii="Arial"/>
                      <w:sz w:val="21"/>
                    </w:rPr>
                  </w:pPr>
                </w:p>
                <w:p w14:paraId="49BFC0E9">
                  <w:pPr>
                    <w:pStyle w:val="6"/>
                    <w:spacing w:before="59" w:line="220" w:lineRule="auto"/>
                    <w:ind w:left="90"/>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20</w:t>
                  </w:r>
                  <w:r>
                    <w:rPr>
                      <w:rFonts w:ascii="Times New Roman" w:hAnsi="Times New Roman" w:eastAsia="Times New Roman" w:cs="Times New Roman"/>
                      <w:spacing w:val="13"/>
                      <w:w w:val="101"/>
                      <w:sz w:val="18"/>
                      <w:szCs w:val="18"/>
                    </w:rPr>
                    <w:t xml:space="preserve"> </w:t>
                  </w:r>
                  <w:r>
                    <w:rPr>
                      <w:spacing w:val="-3"/>
                      <w:sz w:val="18"/>
                      <w:szCs w:val="18"/>
                    </w:rPr>
                    <w:t>万</w:t>
                  </w:r>
                  <w:r>
                    <w:rPr>
                      <w:spacing w:val="-46"/>
                      <w:sz w:val="18"/>
                      <w:szCs w:val="18"/>
                    </w:rPr>
                    <w:t xml:space="preserve"> </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p>
              </w:tc>
              <w:tc>
                <w:tcPr>
                  <w:tcW w:w="2311" w:type="dxa"/>
                  <w:vAlign w:val="top"/>
                </w:tcPr>
                <w:p w14:paraId="68E9DA1B">
                  <w:pPr>
                    <w:pStyle w:val="6"/>
                    <w:spacing w:before="56" w:line="254" w:lineRule="auto"/>
                    <w:ind w:left="92" w:right="68" w:firstLine="4"/>
                    <w:rPr>
                      <w:sz w:val="18"/>
                      <w:szCs w:val="18"/>
                    </w:rPr>
                  </w:pPr>
                  <w:r>
                    <w:rPr>
                      <w:spacing w:val="-4"/>
                      <w:sz w:val="18"/>
                      <w:szCs w:val="18"/>
                    </w:rPr>
                    <w:t>长度：</w:t>
                  </w:r>
                  <w:r>
                    <w:rPr>
                      <w:rFonts w:ascii="Times New Roman" w:hAnsi="Times New Roman" w:eastAsia="Times New Roman" w:cs="Times New Roman"/>
                      <w:spacing w:val="-4"/>
                      <w:sz w:val="18"/>
                      <w:szCs w:val="18"/>
                    </w:rPr>
                    <w:t>2400mm</w:t>
                  </w:r>
                  <w:r>
                    <w:rPr>
                      <w:rFonts w:ascii="Times New Roman" w:hAnsi="Times New Roman" w:eastAsia="Times New Roman" w:cs="Times New Roman"/>
                      <w:spacing w:val="-18"/>
                      <w:sz w:val="18"/>
                      <w:szCs w:val="18"/>
                    </w:rPr>
                    <w:t xml:space="preserve"> </w:t>
                  </w:r>
                  <w:r>
                    <w:rPr>
                      <w:spacing w:val="-4"/>
                      <w:sz w:val="18"/>
                      <w:szCs w:val="18"/>
                    </w:rPr>
                    <w:t>、</w:t>
                  </w:r>
                  <w:r>
                    <w:rPr>
                      <w:rFonts w:ascii="Times New Roman" w:hAnsi="Times New Roman" w:eastAsia="Times New Roman" w:cs="Times New Roman"/>
                      <w:spacing w:val="-4"/>
                      <w:sz w:val="18"/>
                      <w:szCs w:val="18"/>
                    </w:rPr>
                    <w:t>3000mm</w:t>
                  </w:r>
                  <w:r>
                    <w:rPr>
                      <w:spacing w:val="-4"/>
                      <w:sz w:val="18"/>
                      <w:szCs w:val="18"/>
                    </w:rPr>
                    <w:t>、</w:t>
                  </w:r>
                  <w:r>
                    <w:rPr>
                      <w:sz w:val="18"/>
                      <w:szCs w:val="18"/>
                    </w:rPr>
                    <w:t xml:space="preserve"> </w:t>
                  </w:r>
                  <w:r>
                    <w:rPr>
                      <w:rFonts w:ascii="Times New Roman" w:hAnsi="Times New Roman" w:eastAsia="Times New Roman" w:cs="Times New Roman"/>
                      <w:spacing w:val="-1"/>
                      <w:sz w:val="18"/>
                      <w:szCs w:val="18"/>
                    </w:rPr>
                    <w:t>4000mm</w:t>
                  </w:r>
                  <w:r>
                    <w:rPr>
                      <w:spacing w:val="-1"/>
                      <w:sz w:val="18"/>
                      <w:szCs w:val="18"/>
                    </w:rPr>
                    <w:t>；</w:t>
                  </w:r>
                </w:p>
                <w:p w14:paraId="1F79D1B5">
                  <w:pPr>
                    <w:pStyle w:val="6"/>
                    <w:spacing w:before="26" w:line="220" w:lineRule="auto"/>
                    <w:ind w:left="105"/>
                    <w:rPr>
                      <w:sz w:val="18"/>
                      <w:szCs w:val="18"/>
                    </w:rPr>
                  </w:pPr>
                  <w:r>
                    <w:rPr>
                      <w:spacing w:val="-3"/>
                      <w:sz w:val="18"/>
                      <w:szCs w:val="18"/>
                    </w:rPr>
                    <w:t>宽度：</w:t>
                  </w:r>
                  <w:r>
                    <w:rPr>
                      <w:rFonts w:ascii="Times New Roman" w:hAnsi="Times New Roman" w:eastAsia="Times New Roman" w:cs="Times New Roman"/>
                      <w:spacing w:val="-3"/>
                      <w:sz w:val="18"/>
                      <w:szCs w:val="18"/>
                    </w:rPr>
                    <w:t>600mm</w:t>
                  </w:r>
                  <w:r>
                    <w:rPr>
                      <w:spacing w:val="-3"/>
                      <w:sz w:val="18"/>
                      <w:szCs w:val="18"/>
                    </w:rPr>
                    <w:t>；</w:t>
                  </w:r>
                </w:p>
                <w:p w14:paraId="387B3829">
                  <w:pPr>
                    <w:pStyle w:val="6"/>
                    <w:spacing w:before="43" w:line="234" w:lineRule="auto"/>
                    <w:ind w:left="109" w:right="27" w:hanging="9"/>
                    <w:rPr>
                      <w:sz w:val="18"/>
                      <w:szCs w:val="18"/>
                    </w:rPr>
                  </w:pPr>
                  <w:r>
                    <w:rPr>
                      <w:spacing w:val="-16"/>
                      <w:sz w:val="18"/>
                      <w:szCs w:val="18"/>
                    </w:rPr>
                    <w:t>厚度：</w:t>
                  </w:r>
                  <w:r>
                    <w:rPr>
                      <w:rFonts w:ascii="Times New Roman" w:hAnsi="Times New Roman" w:eastAsia="Times New Roman" w:cs="Times New Roman"/>
                      <w:spacing w:val="-16"/>
                      <w:sz w:val="18"/>
                      <w:szCs w:val="18"/>
                    </w:rPr>
                    <w:t>30mm</w:t>
                  </w:r>
                  <w:r>
                    <w:rPr>
                      <w:spacing w:val="-16"/>
                      <w:sz w:val="18"/>
                      <w:szCs w:val="18"/>
                    </w:rPr>
                    <w:t>、</w:t>
                  </w:r>
                  <w:r>
                    <w:rPr>
                      <w:rFonts w:ascii="Times New Roman" w:hAnsi="Times New Roman" w:eastAsia="Times New Roman" w:cs="Times New Roman"/>
                      <w:spacing w:val="-16"/>
                      <w:sz w:val="18"/>
                      <w:szCs w:val="18"/>
                    </w:rPr>
                    <w:t>50mm</w:t>
                  </w:r>
                  <w:r>
                    <w:rPr>
                      <w:spacing w:val="-16"/>
                      <w:sz w:val="18"/>
                      <w:szCs w:val="18"/>
                    </w:rPr>
                    <w:t>、</w:t>
                  </w:r>
                  <w:r>
                    <w:rPr>
                      <w:rFonts w:ascii="Times New Roman" w:hAnsi="Times New Roman" w:eastAsia="Times New Roman" w:cs="Times New Roman"/>
                      <w:spacing w:val="-16"/>
                      <w:sz w:val="18"/>
                      <w:szCs w:val="18"/>
                    </w:rPr>
                    <w:t>75mm</w:t>
                  </w:r>
                  <w:r>
                    <w:rPr>
                      <w:spacing w:val="-16"/>
                      <w:sz w:val="18"/>
                      <w:szCs w:val="18"/>
                    </w:rPr>
                    <w:t>、</w:t>
                  </w:r>
                  <w:r>
                    <w:rPr>
                      <w:spacing w:val="4"/>
                      <w:sz w:val="18"/>
                      <w:szCs w:val="18"/>
                    </w:rPr>
                    <w:t xml:space="preserve"> </w:t>
                  </w:r>
                  <w:r>
                    <w:rPr>
                      <w:rFonts w:ascii="Times New Roman" w:hAnsi="Times New Roman" w:eastAsia="Times New Roman" w:cs="Times New Roman"/>
                      <w:spacing w:val="-4"/>
                      <w:sz w:val="18"/>
                      <w:szCs w:val="18"/>
                    </w:rPr>
                    <w:t>100mm</w:t>
                  </w:r>
                  <w:r>
                    <w:rPr>
                      <w:rFonts w:ascii="Times New Roman" w:hAnsi="Times New Roman" w:eastAsia="Times New Roman" w:cs="Times New Roman"/>
                      <w:spacing w:val="-22"/>
                      <w:sz w:val="18"/>
                      <w:szCs w:val="18"/>
                    </w:rPr>
                    <w:t xml:space="preserve"> </w:t>
                  </w:r>
                  <w:r>
                    <w:rPr>
                      <w:spacing w:val="-4"/>
                      <w:sz w:val="18"/>
                      <w:szCs w:val="18"/>
                    </w:rPr>
                    <w:t>、</w:t>
                  </w:r>
                  <w:r>
                    <w:rPr>
                      <w:rFonts w:ascii="Times New Roman" w:hAnsi="Times New Roman" w:eastAsia="Times New Roman" w:cs="Times New Roman"/>
                      <w:spacing w:val="-4"/>
                      <w:sz w:val="18"/>
                      <w:szCs w:val="18"/>
                    </w:rPr>
                    <w:t>120mm</w:t>
                  </w:r>
                  <w:r>
                    <w:rPr>
                      <w:spacing w:val="-4"/>
                      <w:sz w:val="18"/>
                      <w:szCs w:val="18"/>
                    </w:rPr>
                    <w:t>。</w:t>
                  </w:r>
                </w:p>
              </w:tc>
              <w:tc>
                <w:tcPr>
                  <w:tcW w:w="2028" w:type="dxa"/>
                  <w:vAlign w:val="top"/>
                </w:tcPr>
                <w:p w14:paraId="6AF67166">
                  <w:pPr>
                    <w:spacing w:line="385" w:lineRule="auto"/>
                    <w:rPr>
                      <w:rFonts w:ascii="Arial"/>
                      <w:sz w:val="21"/>
                    </w:rPr>
                  </w:pPr>
                </w:p>
                <w:p w14:paraId="2AAA11C6">
                  <w:pPr>
                    <w:pStyle w:val="6"/>
                    <w:spacing w:before="59" w:line="261" w:lineRule="auto"/>
                    <w:ind w:left="185" w:right="80" w:hanging="18"/>
                    <w:rPr>
                      <w:sz w:val="18"/>
                      <w:szCs w:val="18"/>
                    </w:rPr>
                  </w:pPr>
                  <w:r>
                    <w:rPr>
                      <w:spacing w:val="-3"/>
                      <w:sz w:val="18"/>
                      <w:szCs w:val="18"/>
                    </w:rPr>
                    <w:t>《蒸压加气混凝土板》</w:t>
                  </w:r>
                  <w:r>
                    <w:rPr>
                      <w:spacing w:val="4"/>
                      <w:sz w:val="18"/>
                      <w:szCs w:val="18"/>
                    </w:rPr>
                    <w:t xml:space="preserve"> </w:t>
                  </w:r>
                  <w:r>
                    <w:rPr>
                      <w:spacing w:val="-3"/>
                      <w:sz w:val="18"/>
                      <w:szCs w:val="18"/>
                    </w:rPr>
                    <w:t>（</w:t>
                  </w:r>
                  <w:r>
                    <w:rPr>
                      <w:rFonts w:ascii="Times New Roman" w:hAnsi="Times New Roman" w:eastAsia="Times New Roman" w:cs="Times New Roman"/>
                      <w:spacing w:val="-3"/>
                      <w:sz w:val="18"/>
                      <w:szCs w:val="18"/>
                    </w:rPr>
                    <w:t>GB/T</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3"/>
                      <w:sz w:val="18"/>
                      <w:szCs w:val="18"/>
                    </w:rPr>
                    <w:t>15762-2020</w:t>
                  </w:r>
                  <w:r>
                    <w:rPr>
                      <w:spacing w:val="-3"/>
                      <w:sz w:val="18"/>
                      <w:szCs w:val="18"/>
                    </w:rPr>
                    <w:t>）</w:t>
                  </w:r>
                </w:p>
              </w:tc>
            </w:tr>
            <w:tr w14:paraId="091A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15" w:type="dxa"/>
                  <w:vAlign w:val="top"/>
                </w:tcPr>
                <w:p w14:paraId="60FBD98D">
                  <w:pPr>
                    <w:pStyle w:val="6"/>
                    <w:spacing w:before="88" w:line="171" w:lineRule="auto"/>
                    <w:ind w:left="319"/>
                    <w:rPr>
                      <w:sz w:val="18"/>
                      <w:szCs w:val="18"/>
                    </w:rPr>
                  </w:pPr>
                  <w:r>
                    <w:rPr>
                      <w:sz w:val="18"/>
                      <w:szCs w:val="18"/>
                    </w:rPr>
                    <w:t>3</w:t>
                  </w:r>
                </w:p>
              </w:tc>
              <w:tc>
                <w:tcPr>
                  <w:tcW w:w="1919" w:type="dxa"/>
                  <w:vAlign w:val="top"/>
                </w:tcPr>
                <w:p w14:paraId="3C0EFFF7">
                  <w:pPr>
                    <w:pStyle w:val="6"/>
                    <w:spacing w:before="60" w:line="200" w:lineRule="auto"/>
                    <w:ind w:left="421"/>
                    <w:rPr>
                      <w:sz w:val="18"/>
                      <w:szCs w:val="18"/>
                    </w:rPr>
                  </w:pPr>
                  <w:r>
                    <w:rPr>
                      <w:spacing w:val="-2"/>
                      <w:sz w:val="18"/>
                      <w:szCs w:val="18"/>
                    </w:rPr>
                    <w:t>普通干混砂浆</w:t>
                  </w:r>
                </w:p>
              </w:tc>
              <w:tc>
                <w:tcPr>
                  <w:tcW w:w="828" w:type="dxa"/>
                  <w:vAlign w:val="top"/>
                </w:tcPr>
                <w:p w14:paraId="0BAAFD86">
                  <w:pPr>
                    <w:pStyle w:val="6"/>
                    <w:spacing w:before="60" w:line="200" w:lineRule="auto"/>
                    <w:ind w:left="122"/>
                    <w:rPr>
                      <w:sz w:val="18"/>
                      <w:szCs w:val="18"/>
                    </w:rPr>
                  </w:pPr>
                  <w:r>
                    <w:rPr>
                      <w:rFonts w:ascii="Times New Roman" w:hAnsi="Times New Roman" w:eastAsia="Times New Roman" w:cs="Times New Roman"/>
                      <w:spacing w:val="-4"/>
                      <w:sz w:val="18"/>
                      <w:szCs w:val="18"/>
                    </w:rPr>
                    <w:t>20</w:t>
                  </w:r>
                  <w:r>
                    <w:rPr>
                      <w:rFonts w:ascii="Times New Roman" w:hAnsi="Times New Roman" w:eastAsia="Times New Roman" w:cs="Times New Roman"/>
                      <w:spacing w:val="11"/>
                      <w:w w:val="101"/>
                      <w:sz w:val="18"/>
                      <w:szCs w:val="18"/>
                    </w:rPr>
                    <w:t xml:space="preserve"> </w:t>
                  </w:r>
                  <w:r>
                    <w:rPr>
                      <w:spacing w:val="-4"/>
                      <w:sz w:val="18"/>
                      <w:szCs w:val="18"/>
                    </w:rPr>
                    <w:t>万吨</w:t>
                  </w:r>
                </w:p>
              </w:tc>
              <w:tc>
                <w:tcPr>
                  <w:tcW w:w="2311" w:type="dxa"/>
                  <w:vAlign w:val="top"/>
                </w:tcPr>
                <w:p w14:paraId="37EA9C79">
                  <w:pPr>
                    <w:spacing w:before="85" w:line="192" w:lineRule="auto"/>
                    <w:ind w:left="11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28" w:type="dxa"/>
                  <w:vAlign w:val="top"/>
                </w:tcPr>
                <w:p w14:paraId="34ED3241">
                  <w:pPr>
                    <w:spacing w:before="85" w:line="192" w:lineRule="auto"/>
                    <w:ind w:left="9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F9D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15" w:type="dxa"/>
                  <w:vAlign w:val="top"/>
                </w:tcPr>
                <w:p w14:paraId="3CFE5F08">
                  <w:pPr>
                    <w:pStyle w:val="6"/>
                    <w:spacing w:before="87" w:line="176" w:lineRule="auto"/>
                    <w:ind w:left="315"/>
                    <w:rPr>
                      <w:sz w:val="18"/>
                      <w:szCs w:val="18"/>
                    </w:rPr>
                  </w:pPr>
                  <w:r>
                    <w:rPr>
                      <w:sz w:val="18"/>
                      <w:szCs w:val="18"/>
                    </w:rPr>
                    <w:t>4</w:t>
                  </w:r>
                </w:p>
              </w:tc>
              <w:tc>
                <w:tcPr>
                  <w:tcW w:w="1919" w:type="dxa"/>
                  <w:vAlign w:val="top"/>
                </w:tcPr>
                <w:p w14:paraId="313BEFB3">
                  <w:pPr>
                    <w:pStyle w:val="6"/>
                    <w:spacing w:before="59" w:line="205" w:lineRule="auto"/>
                    <w:ind w:left="421"/>
                    <w:rPr>
                      <w:sz w:val="18"/>
                      <w:szCs w:val="18"/>
                    </w:rPr>
                  </w:pPr>
                  <w:r>
                    <w:rPr>
                      <w:spacing w:val="-2"/>
                      <w:sz w:val="18"/>
                      <w:szCs w:val="18"/>
                    </w:rPr>
                    <w:t>特种干混砂浆</w:t>
                  </w:r>
                </w:p>
              </w:tc>
              <w:tc>
                <w:tcPr>
                  <w:tcW w:w="828" w:type="dxa"/>
                  <w:vAlign w:val="top"/>
                </w:tcPr>
                <w:p w14:paraId="36E38EF3">
                  <w:pPr>
                    <w:pStyle w:val="6"/>
                    <w:spacing w:before="59" w:line="205" w:lineRule="auto"/>
                    <w:ind w:left="139"/>
                    <w:rPr>
                      <w:sz w:val="18"/>
                      <w:szCs w:val="18"/>
                    </w:rPr>
                  </w:pPr>
                  <w:r>
                    <w:rPr>
                      <w:rFonts w:ascii="Times New Roman" w:hAnsi="Times New Roman" w:eastAsia="Times New Roman" w:cs="Times New Roman"/>
                      <w:spacing w:val="-8"/>
                      <w:sz w:val="18"/>
                      <w:szCs w:val="18"/>
                    </w:rPr>
                    <w:t>10</w:t>
                  </w:r>
                  <w:r>
                    <w:rPr>
                      <w:rFonts w:ascii="Times New Roman" w:hAnsi="Times New Roman" w:eastAsia="Times New Roman" w:cs="Times New Roman"/>
                      <w:spacing w:val="10"/>
                      <w:sz w:val="18"/>
                      <w:szCs w:val="18"/>
                    </w:rPr>
                    <w:t xml:space="preserve"> </w:t>
                  </w:r>
                  <w:r>
                    <w:rPr>
                      <w:spacing w:val="-8"/>
                      <w:sz w:val="18"/>
                      <w:szCs w:val="18"/>
                    </w:rPr>
                    <w:t>万吨</w:t>
                  </w:r>
                </w:p>
              </w:tc>
              <w:tc>
                <w:tcPr>
                  <w:tcW w:w="2311" w:type="dxa"/>
                  <w:vAlign w:val="top"/>
                </w:tcPr>
                <w:p w14:paraId="09BC25D6">
                  <w:pPr>
                    <w:pStyle w:val="6"/>
                    <w:spacing w:before="59" w:line="205" w:lineRule="auto"/>
                    <w:ind w:left="800"/>
                    <w:rPr>
                      <w:sz w:val="18"/>
                      <w:szCs w:val="18"/>
                    </w:rPr>
                  </w:pPr>
                  <w:r>
                    <w:rPr>
                      <w:spacing w:val="-2"/>
                      <w:sz w:val="18"/>
                      <w:szCs w:val="18"/>
                    </w:rPr>
                    <w:t>保温砂浆</w:t>
                  </w:r>
                </w:p>
              </w:tc>
              <w:tc>
                <w:tcPr>
                  <w:tcW w:w="2028" w:type="dxa"/>
                  <w:vAlign w:val="top"/>
                </w:tcPr>
                <w:p w14:paraId="38A4DA0E">
                  <w:pPr>
                    <w:spacing w:before="86" w:line="192" w:lineRule="auto"/>
                    <w:ind w:left="9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7E33CC3E">
            <w:pPr>
              <w:spacing w:before="140" w:line="231" w:lineRule="auto"/>
              <w:ind w:left="91"/>
              <w:rPr>
                <w:rFonts w:ascii="黑体" w:hAnsi="黑体" w:eastAsia="黑体" w:cs="黑体"/>
                <w:sz w:val="20"/>
                <w:szCs w:val="20"/>
              </w:rPr>
            </w:pPr>
            <w:r>
              <w:rPr>
                <w:rFonts w:ascii="黑体" w:hAnsi="黑体" w:eastAsia="黑体" w:cs="黑体"/>
                <w:spacing w:val="8"/>
                <w:sz w:val="20"/>
                <w:szCs w:val="20"/>
              </w:rPr>
              <w:t>3、主要生产单元及工艺</w:t>
            </w:r>
          </w:p>
          <w:p w14:paraId="02162214">
            <w:pPr>
              <w:pStyle w:val="6"/>
              <w:spacing w:before="151" w:line="227" w:lineRule="auto"/>
              <w:ind w:left="514"/>
              <w:rPr>
                <w:sz w:val="20"/>
                <w:szCs w:val="20"/>
              </w:rPr>
            </w:pPr>
            <w:r>
              <w:rPr>
                <w:spacing w:val="9"/>
                <w:sz w:val="20"/>
                <w:szCs w:val="20"/>
              </w:rPr>
              <w:t>项目主要生产单元包括蒸压加气混凝土砌块和板材、干混砂浆。</w:t>
            </w:r>
          </w:p>
          <w:p w14:paraId="02AE8154">
            <w:pPr>
              <w:pStyle w:val="6"/>
              <w:spacing w:before="152" w:line="227" w:lineRule="auto"/>
              <w:ind w:left="521"/>
              <w:rPr>
                <w:sz w:val="20"/>
                <w:szCs w:val="20"/>
              </w:rPr>
            </w:pPr>
            <w:r>
              <w:rPr>
                <w:b/>
                <w:bCs/>
                <w:spacing w:val="7"/>
                <w:sz w:val="20"/>
                <w:szCs w:val="20"/>
              </w:rPr>
              <w:t>（</w:t>
            </w:r>
            <w:r>
              <w:rPr>
                <w:rFonts w:ascii="Times New Roman" w:hAnsi="Times New Roman" w:eastAsia="Times New Roman" w:cs="Times New Roman"/>
                <w:b/>
                <w:bCs/>
                <w:spacing w:val="7"/>
                <w:sz w:val="20"/>
                <w:szCs w:val="20"/>
              </w:rPr>
              <w:t>1</w:t>
            </w:r>
            <w:r>
              <w:rPr>
                <w:b/>
                <w:bCs/>
                <w:spacing w:val="7"/>
                <w:sz w:val="20"/>
                <w:szCs w:val="20"/>
              </w:rPr>
              <w:t>）蒸压加气混凝土砌块和板材</w:t>
            </w:r>
          </w:p>
          <w:p w14:paraId="6667A8D3">
            <w:pPr>
              <w:pStyle w:val="6"/>
              <w:spacing w:before="155" w:line="228" w:lineRule="auto"/>
              <w:ind w:left="512"/>
              <w:rPr>
                <w:sz w:val="20"/>
                <w:szCs w:val="20"/>
              </w:rPr>
            </w:pPr>
            <w:r>
              <w:rPr>
                <w:spacing w:val="9"/>
                <w:sz w:val="20"/>
                <w:szCs w:val="20"/>
              </w:rPr>
              <w:t>其中蒸压加气混凝土砌块的生产工艺描述如</w:t>
            </w:r>
            <w:r>
              <w:rPr>
                <w:spacing w:val="8"/>
                <w:sz w:val="20"/>
                <w:szCs w:val="20"/>
              </w:rPr>
              <w:t>下：</w:t>
            </w:r>
          </w:p>
          <w:p w14:paraId="08411EF4">
            <w:pPr>
              <w:pStyle w:val="6"/>
              <w:spacing w:before="155" w:line="297" w:lineRule="auto"/>
              <w:ind w:left="91" w:right="132" w:firstLine="419"/>
              <w:rPr>
                <w:sz w:val="20"/>
                <w:szCs w:val="20"/>
              </w:rPr>
            </w:pPr>
            <w:r>
              <w:rPr>
                <w:spacing w:val="10"/>
                <w:sz w:val="20"/>
                <w:szCs w:val="20"/>
              </w:rPr>
              <w:t>①建筑垃圾</w:t>
            </w:r>
            <w:r>
              <w:rPr>
                <w:rFonts w:ascii="Arial" w:hAnsi="Arial" w:eastAsia="Arial" w:cs="Arial"/>
                <w:spacing w:val="10"/>
                <w:sz w:val="20"/>
                <w:szCs w:val="20"/>
              </w:rPr>
              <w:t>→</w:t>
            </w:r>
            <w:r>
              <w:rPr>
                <w:spacing w:val="10"/>
                <w:sz w:val="20"/>
                <w:szCs w:val="20"/>
              </w:rPr>
              <w:t>地下原料堆场</w:t>
            </w:r>
            <w:r>
              <w:rPr>
                <w:rFonts w:ascii="Arial" w:hAnsi="Arial" w:eastAsia="Arial" w:cs="Arial"/>
                <w:spacing w:val="10"/>
                <w:sz w:val="20"/>
                <w:szCs w:val="20"/>
              </w:rPr>
              <w:t>→</w:t>
            </w:r>
            <w:r>
              <w:rPr>
                <w:spacing w:val="10"/>
                <w:sz w:val="20"/>
                <w:szCs w:val="20"/>
              </w:rPr>
              <w:t>破碎筛分</w:t>
            </w:r>
            <w:r>
              <w:rPr>
                <w:rFonts w:ascii="Arial" w:hAnsi="Arial" w:eastAsia="Arial" w:cs="Arial"/>
                <w:spacing w:val="10"/>
                <w:sz w:val="20"/>
                <w:szCs w:val="20"/>
              </w:rPr>
              <w:t>→</w:t>
            </w:r>
            <w:r>
              <w:rPr>
                <w:spacing w:val="10"/>
                <w:sz w:val="20"/>
                <w:szCs w:val="20"/>
              </w:rPr>
              <w:t>配料上料斗</w:t>
            </w:r>
            <w:r>
              <w:rPr>
                <w:spacing w:val="9"/>
                <w:sz w:val="20"/>
                <w:szCs w:val="20"/>
              </w:rPr>
              <w:t>。配料斗</w:t>
            </w:r>
            <w:r>
              <w:rPr>
                <w:rFonts w:ascii="Arial" w:hAnsi="Arial" w:eastAsia="Arial" w:cs="Arial"/>
                <w:spacing w:val="9"/>
                <w:sz w:val="20"/>
                <w:szCs w:val="20"/>
              </w:rPr>
              <w:t>→</w:t>
            </w:r>
            <w:r>
              <w:rPr>
                <w:spacing w:val="9"/>
                <w:sz w:val="20"/>
                <w:szCs w:val="20"/>
              </w:rPr>
              <w:t>皮带输送</w:t>
            </w:r>
            <w:r>
              <w:rPr>
                <w:rFonts w:ascii="Arial" w:hAnsi="Arial" w:eastAsia="Arial" w:cs="Arial"/>
                <w:spacing w:val="9"/>
                <w:sz w:val="20"/>
                <w:szCs w:val="20"/>
              </w:rPr>
              <w:t>→</w:t>
            </w:r>
            <w:r>
              <w:rPr>
                <w:spacing w:val="9"/>
                <w:sz w:val="20"/>
                <w:szCs w:val="20"/>
              </w:rPr>
              <w:t>湿法</w:t>
            </w:r>
            <w:r>
              <w:rPr>
                <w:sz w:val="20"/>
                <w:szCs w:val="20"/>
              </w:rPr>
              <w:t xml:space="preserve"> </w:t>
            </w:r>
            <w:r>
              <w:rPr>
                <w:spacing w:val="8"/>
                <w:sz w:val="20"/>
                <w:szCs w:val="20"/>
              </w:rPr>
              <w:t>球磨机</w:t>
            </w:r>
            <w:r>
              <w:rPr>
                <w:rFonts w:ascii="Arial" w:hAnsi="Arial" w:eastAsia="Arial" w:cs="Arial"/>
                <w:spacing w:val="8"/>
                <w:sz w:val="20"/>
                <w:szCs w:val="20"/>
              </w:rPr>
              <w:t>→</w:t>
            </w:r>
            <w:r>
              <w:rPr>
                <w:rFonts w:ascii="Arial" w:hAnsi="Arial" w:eastAsia="Arial" w:cs="Arial"/>
                <w:spacing w:val="-31"/>
                <w:sz w:val="20"/>
                <w:szCs w:val="20"/>
              </w:rPr>
              <w:t xml:space="preserve"> </w:t>
            </w:r>
            <w:r>
              <w:rPr>
                <w:spacing w:val="8"/>
                <w:sz w:val="20"/>
                <w:szCs w:val="20"/>
              </w:rPr>
              <w:t>原浆罐（搅拌）</w:t>
            </w:r>
            <w:r>
              <w:rPr>
                <w:rFonts w:ascii="Arial" w:hAnsi="Arial" w:eastAsia="Arial" w:cs="Arial"/>
                <w:spacing w:val="8"/>
                <w:sz w:val="20"/>
                <w:szCs w:val="20"/>
              </w:rPr>
              <w:t>→</w:t>
            </w:r>
            <w:r>
              <w:rPr>
                <w:spacing w:val="8"/>
                <w:sz w:val="20"/>
                <w:szCs w:val="20"/>
              </w:rPr>
              <w:t>过渡池（搅拌）</w:t>
            </w:r>
            <w:r>
              <w:rPr>
                <w:rFonts w:ascii="Arial" w:hAnsi="Arial" w:eastAsia="Arial" w:cs="Arial"/>
                <w:spacing w:val="8"/>
                <w:sz w:val="20"/>
                <w:szCs w:val="20"/>
              </w:rPr>
              <w:t>→</w:t>
            </w:r>
            <w:r>
              <w:rPr>
                <w:spacing w:val="8"/>
                <w:sz w:val="20"/>
                <w:szCs w:val="20"/>
              </w:rPr>
              <w:t>配料罐（搅拌）。</w:t>
            </w:r>
          </w:p>
          <w:p w14:paraId="47B39CAE">
            <w:pPr>
              <w:pStyle w:val="6"/>
              <w:spacing w:before="155" w:line="225" w:lineRule="auto"/>
              <w:ind w:left="509"/>
              <w:rPr>
                <w:sz w:val="20"/>
                <w:szCs w:val="20"/>
              </w:rPr>
            </w:pPr>
            <w:r>
              <w:rPr>
                <w:spacing w:val="9"/>
                <w:sz w:val="20"/>
                <w:szCs w:val="20"/>
              </w:rPr>
              <w:t>②水泥、粉煤灰、石灰等</w:t>
            </w:r>
            <w:r>
              <w:rPr>
                <w:rFonts w:ascii="Arial" w:hAnsi="Arial" w:eastAsia="Arial" w:cs="Arial"/>
                <w:spacing w:val="9"/>
                <w:sz w:val="20"/>
                <w:szCs w:val="20"/>
              </w:rPr>
              <w:t>→</w:t>
            </w:r>
            <w:r>
              <w:rPr>
                <w:spacing w:val="9"/>
                <w:sz w:val="20"/>
                <w:szCs w:val="20"/>
              </w:rPr>
              <w:t>筒仓</w:t>
            </w:r>
            <w:r>
              <w:rPr>
                <w:rFonts w:ascii="Arial" w:hAnsi="Arial" w:eastAsia="Arial" w:cs="Arial"/>
                <w:spacing w:val="9"/>
                <w:sz w:val="20"/>
                <w:szCs w:val="20"/>
              </w:rPr>
              <w:t>→</w:t>
            </w:r>
            <w:r>
              <w:rPr>
                <w:spacing w:val="9"/>
                <w:sz w:val="20"/>
                <w:szCs w:val="20"/>
              </w:rPr>
              <w:t>计量放料</w:t>
            </w:r>
            <w:r>
              <w:rPr>
                <w:rFonts w:ascii="Arial" w:hAnsi="Arial" w:eastAsia="Arial" w:cs="Arial"/>
                <w:spacing w:val="9"/>
                <w:sz w:val="20"/>
                <w:szCs w:val="20"/>
              </w:rPr>
              <w:t>→</w:t>
            </w:r>
            <w:r>
              <w:rPr>
                <w:spacing w:val="9"/>
                <w:sz w:val="20"/>
                <w:szCs w:val="20"/>
              </w:rPr>
              <w:t>配料罐。</w:t>
            </w:r>
          </w:p>
          <w:p w14:paraId="7C65986A">
            <w:pPr>
              <w:pStyle w:val="6"/>
              <w:spacing w:before="158" w:line="225" w:lineRule="auto"/>
              <w:ind w:left="509"/>
              <w:rPr>
                <w:sz w:val="20"/>
                <w:szCs w:val="20"/>
              </w:rPr>
            </w:pPr>
            <w:r>
              <w:rPr>
                <w:spacing w:val="8"/>
                <w:sz w:val="20"/>
                <w:szCs w:val="20"/>
              </w:rPr>
              <w:t>③发泡铝粉→人工添加→配料罐。</w:t>
            </w:r>
          </w:p>
          <w:p w14:paraId="5AA6A88E">
            <w:pPr>
              <w:pStyle w:val="6"/>
              <w:spacing w:before="154" w:line="225" w:lineRule="auto"/>
              <w:ind w:left="509"/>
              <w:rPr>
                <w:sz w:val="20"/>
                <w:szCs w:val="20"/>
              </w:rPr>
            </w:pPr>
            <w:r>
              <w:rPr>
                <w:spacing w:val="9"/>
                <w:sz w:val="20"/>
                <w:szCs w:val="20"/>
              </w:rPr>
              <w:t>④配料罐→模具浇注→初养→切割→蒸压釜养护→叉运打包→堆存待售。</w:t>
            </w:r>
          </w:p>
          <w:p w14:paraId="650045A5">
            <w:pPr>
              <w:pStyle w:val="6"/>
              <w:spacing w:before="156" w:line="359" w:lineRule="auto"/>
              <w:ind w:left="90" w:right="129" w:firstLine="423"/>
              <w:jc w:val="both"/>
              <w:rPr>
                <w:sz w:val="20"/>
                <w:szCs w:val="20"/>
              </w:rPr>
            </w:pPr>
            <w:r>
              <w:rPr>
                <w:spacing w:val="10"/>
                <w:sz w:val="20"/>
                <w:szCs w:val="20"/>
              </w:rPr>
              <w:t>蒸压加气混凝土板材的生产工艺与砌块工艺几乎相</w:t>
            </w:r>
            <w:r>
              <w:rPr>
                <w:spacing w:val="9"/>
                <w:sz w:val="20"/>
                <w:szCs w:val="20"/>
              </w:rPr>
              <w:t>同，唯一不同之处在于，板材</w:t>
            </w:r>
            <w:r>
              <w:rPr>
                <w:sz w:val="20"/>
                <w:szCs w:val="20"/>
              </w:rPr>
              <w:t xml:space="preserve"> </w:t>
            </w:r>
            <w:r>
              <w:rPr>
                <w:spacing w:val="10"/>
                <w:sz w:val="20"/>
                <w:szCs w:val="20"/>
              </w:rPr>
              <w:t>生产过程多一个带肋钢筋网加工环节。工艺如下：带肋钢筋</w:t>
            </w:r>
            <w:r>
              <w:rPr>
                <w:rFonts w:ascii="Arial" w:hAnsi="Arial" w:eastAsia="Arial" w:cs="Arial"/>
                <w:spacing w:val="10"/>
                <w:sz w:val="20"/>
                <w:szCs w:val="20"/>
              </w:rPr>
              <w:t>→</w:t>
            </w:r>
            <w:r>
              <w:rPr>
                <w:spacing w:val="9"/>
                <w:sz w:val="20"/>
                <w:szCs w:val="20"/>
              </w:rPr>
              <w:t>切割</w:t>
            </w:r>
            <w:r>
              <w:rPr>
                <w:rFonts w:ascii="Arial" w:hAnsi="Arial" w:eastAsia="Arial" w:cs="Arial"/>
                <w:spacing w:val="9"/>
                <w:sz w:val="20"/>
                <w:szCs w:val="20"/>
              </w:rPr>
              <w:t>→</w:t>
            </w:r>
            <w:r>
              <w:rPr>
                <w:spacing w:val="9"/>
                <w:sz w:val="20"/>
                <w:szCs w:val="20"/>
              </w:rPr>
              <w:t>碰焊</w:t>
            </w:r>
            <w:r>
              <w:rPr>
                <w:rFonts w:ascii="Arial" w:hAnsi="Arial" w:eastAsia="Arial" w:cs="Arial"/>
                <w:spacing w:val="9"/>
                <w:sz w:val="20"/>
                <w:szCs w:val="20"/>
              </w:rPr>
              <w:t>→</w:t>
            </w:r>
            <w:r>
              <w:rPr>
                <w:spacing w:val="9"/>
                <w:sz w:val="20"/>
                <w:szCs w:val="20"/>
              </w:rPr>
              <w:t>浸漆</w:t>
            </w:r>
            <w:r>
              <w:rPr>
                <w:rFonts w:ascii="Arial" w:hAnsi="Arial" w:eastAsia="Arial" w:cs="Arial"/>
                <w:spacing w:val="9"/>
                <w:sz w:val="20"/>
                <w:szCs w:val="20"/>
              </w:rPr>
              <w:t>→</w:t>
            </w:r>
            <w:r>
              <w:rPr>
                <w:spacing w:val="9"/>
                <w:sz w:val="20"/>
                <w:szCs w:val="20"/>
              </w:rPr>
              <w:t>烘</w:t>
            </w:r>
            <w:r>
              <w:rPr>
                <w:sz w:val="20"/>
                <w:szCs w:val="20"/>
              </w:rPr>
              <w:t xml:space="preserve"> </w:t>
            </w:r>
            <w:r>
              <w:rPr>
                <w:spacing w:val="9"/>
                <w:sz w:val="20"/>
                <w:szCs w:val="20"/>
              </w:rPr>
              <w:t>干。经过防腐处理的带肋钢筋网，放置在浇注模具内直接浇注成型。</w:t>
            </w:r>
          </w:p>
          <w:p w14:paraId="41329F6C">
            <w:pPr>
              <w:pStyle w:val="6"/>
              <w:spacing w:before="34" w:line="227" w:lineRule="auto"/>
              <w:ind w:left="521"/>
              <w:rPr>
                <w:sz w:val="20"/>
                <w:szCs w:val="20"/>
              </w:rPr>
            </w:pPr>
            <w:r>
              <w:rPr>
                <w:b/>
                <w:bCs/>
                <w:spacing w:val="4"/>
                <w:sz w:val="20"/>
                <w:szCs w:val="20"/>
              </w:rPr>
              <w:t>（</w:t>
            </w:r>
            <w:r>
              <w:rPr>
                <w:rFonts w:ascii="Times New Roman" w:hAnsi="Times New Roman" w:eastAsia="Times New Roman" w:cs="Times New Roman"/>
                <w:b/>
                <w:bCs/>
                <w:spacing w:val="4"/>
                <w:sz w:val="20"/>
                <w:szCs w:val="20"/>
              </w:rPr>
              <w:t>2</w:t>
            </w:r>
            <w:r>
              <w:rPr>
                <w:b/>
                <w:bCs/>
                <w:spacing w:val="4"/>
                <w:sz w:val="20"/>
                <w:szCs w:val="20"/>
              </w:rPr>
              <w:t>）干混砂浆</w:t>
            </w:r>
          </w:p>
          <w:p w14:paraId="2BDD80C4">
            <w:pPr>
              <w:pStyle w:val="6"/>
              <w:spacing w:before="156" w:line="353" w:lineRule="auto"/>
              <w:ind w:left="93" w:right="130" w:firstLine="418"/>
              <w:rPr>
                <w:sz w:val="20"/>
                <w:szCs w:val="20"/>
              </w:rPr>
            </w:pPr>
            <w:r>
              <w:rPr>
                <w:spacing w:val="10"/>
                <w:sz w:val="20"/>
                <w:szCs w:val="20"/>
              </w:rPr>
              <w:t>本项目干混砂浆分为普通砂浆和特种砂浆，除原料种</w:t>
            </w:r>
            <w:r>
              <w:rPr>
                <w:spacing w:val="9"/>
                <w:sz w:val="20"/>
                <w:szCs w:val="20"/>
              </w:rPr>
              <w:t>类及配比不同外，主要生产</w:t>
            </w:r>
            <w:r>
              <w:rPr>
                <w:sz w:val="20"/>
                <w:szCs w:val="20"/>
              </w:rPr>
              <w:t xml:space="preserve"> </w:t>
            </w:r>
            <w:r>
              <w:rPr>
                <w:spacing w:val="8"/>
                <w:sz w:val="20"/>
                <w:szCs w:val="20"/>
              </w:rPr>
              <w:t>工艺均相同。工艺描述如下：</w:t>
            </w:r>
          </w:p>
          <w:p w14:paraId="43C2BCDB">
            <w:pPr>
              <w:pStyle w:val="6"/>
              <w:spacing w:before="33" w:line="355" w:lineRule="auto"/>
              <w:ind w:left="93" w:right="129" w:firstLine="416"/>
              <w:rPr>
                <w:sz w:val="20"/>
                <w:szCs w:val="20"/>
              </w:rPr>
            </w:pPr>
            <w:r>
              <w:rPr>
                <w:spacing w:val="10"/>
                <w:sz w:val="20"/>
                <w:szCs w:val="20"/>
              </w:rPr>
              <w:t>①建筑垃圾</w:t>
            </w:r>
            <w:r>
              <w:rPr>
                <w:rFonts w:ascii="Arial" w:hAnsi="Arial" w:eastAsia="Arial" w:cs="Arial"/>
                <w:spacing w:val="10"/>
                <w:sz w:val="20"/>
                <w:szCs w:val="20"/>
              </w:rPr>
              <w:t>→</w:t>
            </w:r>
            <w:r>
              <w:rPr>
                <w:spacing w:val="10"/>
                <w:sz w:val="20"/>
                <w:szCs w:val="20"/>
              </w:rPr>
              <w:t>地下原料堆场</w:t>
            </w:r>
            <w:r>
              <w:rPr>
                <w:rFonts w:ascii="Arial" w:hAnsi="Arial" w:eastAsia="Arial" w:cs="Arial"/>
                <w:spacing w:val="10"/>
                <w:sz w:val="20"/>
                <w:szCs w:val="20"/>
              </w:rPr>
              <w:t>→</w:t>
            </w:r>
            <w:r>
              <w:rPr>
                <w:spacing w:val="10"/>
                <w:sz w:val="20"/>
                <w:szCs w:val="20"/>
              </w:rPr>
              <w:t>破碎筛分</w:t>
            </w:r>
            <w:r>
              <w:rPr>
                <w:rFonts w:ascii="Arial" w:hAnsi="Arial" w:eastAsia="Arial" w:cs="Arial"/>
                <w:spacing w:val="10"/>
                <w:sz w:val="20"/>
                <w:szCs w:val="20"/>
              </w:rPr>
              <w:t>→</w:t>
            </w:r>
            <w:r>
              <w:rPr>
                <w:spacing w:val="10"/>
                <w:sz w:val="20"/>
                <w:szCs w:val="20"/>
              </w:rPr>
              <w:t>配料上料斗</w:t>
            </w:r>
            <w:r>
              <w:rPr>
                <w:rFonts w:ascii="Arial" w:hAnsi="Arial" w:eastAsia="Arial" w:cs="Arial"/>
                <w:spacing w:val="10"/>
                <w:sz w:val="20"/>
                <w:szCs w:val="20"/>
              </w:rPr>
              <w:t>→</w:t>
            </w:r>
            <w:r>
              <w:rPr>
                <w:spacing w:val="10"/>
                <w:sz w:val="20"/>
                <w:szCs w:val="20"/>
              </w:rPr>
              <w:t>皮</w:t>
            </w:r>
            <w:r>
              <w:rPr>
                <w:spacing w:val="9"/>
                <w:sz w:val="20"/>
                <w:szCs w:val="20"/>
              </w:rPr>
              <w:t>带输送</w:t>
            </w:r>
            <w:r>
              <w:rPr>
                <w:rFonts w:ascii="Arial" w:hAnsi="Arial" w:eastAsia="Arial" w:cs="Arial"/>
                <w:spacing w:val="9"/>
                <w:sz w:val="20"/>
                <w:szCs w:val="20"/>
              </w:rPr>
              <w:t>→</w:t>
            </w:r>
            <w:r>
              <w:rPr>
                <w:spacing w:val="9"/>
                <w:sz w:val="20"/>
                <w:szCs w:val="20"/>
              </w:rPr>
              <w:t>料斗</w:t>
            </w:r>
            <w:r>
              <w:rPr>
                <w:rFonts w:ascii="Arial" w:hAnsi="Arial" w:eastAsia="Arial" w:cs="Arial"/>
                <w:spacing w:val="9"/>
                <w:sz w:val="20"/>
                <w:szCs w:val="20"/>
              </w:rPr>
              <w:t>→</w:t>
            </w:r>
            <w:r>
              <w:rPr>
                <w:spacing w:val="9"/>
                <w:sz w:val="20"/>
                <w:szCs w:val="20"/>
              </w:rPr>
              <w:t>干法球</w:t>
            </w:r>
            <w:r>
              <w:rPr>
                <w:sz w:val="20"/>
                <w:szCs w:val="20"/>
              </w:rPr>
              <w:t xml:space="preserve"> </w:t>
            </w:r>
            <w:r>
              <w:rPr>
                <w:spacing w:val="8"/>
                <w:sz w:val="20"/>
                <w:szCs w:val="20"/>
              </w:rPr>
              <w:t>磨机</w:t>
            </w:r>
            <w:r>
              <w:rPr>
                <w:rFonts w:ascii="Arial" w:hAnsi="Arial" w:eastAsia="Arial" w:cs="Arial"/>
                <w:spacing w:val="8"/>
                <w:sz w:val="20"/>
                <w:szCs w:val="20"/>
              </w:rPr>
              <w:t>→</w:t>
            </w:r>
            <w:r>
              <w:rPr>
                <w:spacing w:val="8"/>
                <w:sz w:val="20"/>
                <w:szCs w:val="20"/>
              </w:rPr>
              <w:t>筛分</w:t>
            </w:r>
            <w:r>
              <w:rPr>
                <w:rFonts w:ascii="Arial" w:hAnsi="Arial" w:eastAsia="Arial" w:cs="Arial"/>
                <w:spacing w:val="8"/>
                <w:sz w:val="20"/>
                <w:szCs w:val="20"/>
              </w:rPr>
              <w:t>→</w:t>
            </w:r>
            <w:r>
              <w:rPr>
                <w:spacing w:val="8"/>
                <w:sz w:val="20"/>
                <w:szCs w:val="20"/>
              </w:rPr>
              <w:t>筒仓</w:t>
            </w:r>
            <w:r>
              <w:rPr>
                <w:rFonts w:ascii="Arial" w:hAnsi="Arial" w:eastAsia="Arial" w:cs="Arial"/>
                <w:spacing w:val="8"/>
                <w:sz w:val="20"/>
                <w:szCs w:val="20"/>
              </w:rPr>
              <w:t>→</w:t>
            </w:r>
            <w:r>
              <w:rPr>
                <w:spacing w:val="8"/>
                <w:sz w:val="20"/>
                <w:szCs w:val="20"/>
              </w:rPr>
              <w:t>计量放料</w:t>
            </w:r>
            <w:r>
              <w:rPr>
                <w:rFonts w:ascii="Arial" w:hAnsi="Arial" w:eastAsia="Arial" w:cs="Arial"/>
                <w:spacing w:val="8"/>
                <w:sz w:val="20"/>
                <w:szCs w:val="20"/>
              </w:rPr>
              <w:t>→</w:t>
            </w:r>
            <w:r>
              <w:rPr>
                <w:spacing w:val="8"/>
                <w:sz w:val="20"/>
                <w:szCs w:val="20"/>
              </w:rPr>
              <w:t>搅拌机。</w:t>
            </w:r>
          </w:p>
          <w:p w14:paraId="0A7B6EE6">
            <w:pPr>
              <w:pStyle w:val="6"/>
              <w:spacing w:before="30" w:line="355" w:lineRule="auto"/>
              <w:ind w:left="91" w:right="129" w:firstLine="419"/>
              <w:rPr>
                <w:sz w:val="20"/>
                <w:szCs w:val="20"/>
              </w:rPr>
            </w:pPr>
            <w:r>
              <w:rPr>
                <w:spacing w:val="9"/>
                <w:sz w:val="20"/>
                <w:szCs w:val="20"/>
              </w:rPr>
              <w:t>黄沙</w:t>
            </w:r>
            <w:r>
              <w:rPr>
                <w:rFonts w:ascii="Arial" w:hAnsi="Arial" w:eastAsia="Arial" w:cs="Arial"/>
                <w:spacing w:val="9"/>
                <w:sz w:val="20"/>
                <w:szCs w:val="20"/>
              </w:rPr>
              <w:t>→</w:t>
            </w:r>
            <w:r>
              <w:rPr>
                <w:spacing w:val="9"/>
                <w:sz w:val="20"/>
                <w:szCs w:val="20"/>
              </w:rPr>
              <w:t>地下原料堆场</w:t>
            </w:r>
            <w:r>
              <w:rPr>
                <w:rFonts w:ascii="Arial" w:hAnsi="Arial" w:eastAsia="Arial" w:cs="Arial"/>
                <w:spacing w:val="9"/>
                <w:sz w:val="20"/>
                <w:szCs w:val="20"/>
              </w:rPr>
              <w:t>→</w:t>
            </w:r>
            <w:r>
              <w:rPr>
                <w:spacing w:val="9"/>
                <w:sz w:val="20"/>
                <w:szCs w:val="20"/>
              </w:rPr>
              <w:t>料斗</w:t>
            </w:r>
            <w:r>
              <w:rPr>
                <w:rFonts w:ascii="Arial" w:hAnsi="Arial" w:eastAsia="Arial" w:cs="Arial"/>
                <w:spacing w:val="9"/>
                <w:sz w:val="20"/>
                <w:szCs w:val="20"/>
              </w:rPr>
              <w:t>→</w:t>
            </w:r>
            <w:r>
              <w:rPr>
                <w:spacing w:val="9"/>
                <w:sz w:val="20"/>
                <w:szCs w:val="20"/>
              </w:rPr>
              <w:t>皮带输送</w:t>
            </w:r>
            <w:r>
              <w:rPr>
                <w:rFonts w:ascii="Arial" w:hAnsi="Arial" w:eastAsia="Arial" w:cs="Arial"/>
                <w:spacing w:val="9"/>
                <w:sz w:val="20"/>
                <w:szCs w:val="20"/>
              </w:rPr>
              <w:t>→</w:t>
            </w:r>
            <w:r>
              <w:rPr>
                <w:spacing w:val="9"/>
                <w:sz w:val="20"/>
                <w:szCs w:val="20"/>
              </w:rPr>
              <w:t>料斗</w:t>
            </w:r>
            <w:r>
              <w:rPr>
                <w:rFonts w:ascii="Arial" w:hAnsi="Arial" w:eastAsia="Arial" w:cs="Arial"/>
                <w:spacing w:val="9"/>
                <w:sz w:val="20"/>
                <w:szCs w:val="20"/>
              </w:rPr>
              <w:t>→</w:t>
            </w:r>
            <w:r>
              <w:rPr>
                <w:spacing w:val="9"/>
                <w:sz w:val="20"/>
                <w:szCs w:val="20"/>
              </w:rPr>
              <w:t>三回程筒式烘干机</w:t>
            </w:r>
            <w:r>
              <w:rPr>
                <w:rFonts w:ascii="Arial" w:hAnsi="Arial" w:eastAsia="Arial" w:cs="Arial"/>
                <w:spacing w:val="9"/>
                <w:sz w:val="20"/>
                <w:szCs w:val="20"/>
              </w:rPr>
              <w:t>→</w:t>
            </w:r>
            <w:r>
              <w:rPr>
                <w:rFonts w:ascii="Arial" w:hAnsi="Arial" w:eastAsia="Arial" w:cs="Arial"/>
                <w:spacing w:val="-30"/>
                <w:sz w:val="20"/>
                <w:szCs w:val="20"/>
              </w:rPr>
              <w:t xml:space="preserve"> </w:t>
            </w:r>
            <w:r>
              <w:rPr>
                <w:spacing w:val="9"/>
                <w:sz w:val="20"/>
                <w:szCs w:val="20"/>
              </w:rPr>
              <w:t>斗式提升机</w:t>
            </w:r>
            <w:r>
              <w:rPr>
                <w:sz w:val="20"/>
                <w:szCs w:val="20"/>
              </w:rPr>
              <w:t xml:space="preserve"> </w:t>
            </w:r>
            <w:r>
              <w:rPr>
                <w:rFonts w:ascii="Arial" w:hAnsi="Arial" w:eastAsia="Arial" w:cs="Arial"/>
                <w:spacing w:val="8"/>
                <w:sz w:val="20"/>
                <w:szCs w:val="20"/>
              </w:rPr>
              <w:t>→</w:t>
            </w:r>
            <w:r>
              <w:rPr>
                <w:spacing w:val="8"/>
                <w:sz w:val="20"/>
                <w:szCs w:val="20"/>
              </w:rPr>
              <w:t>筒仓</w:t>
            </w:r>
            <w:r>
              <w:rPr>
                <w:rFonts w:ascii="Arial" w:hAnsi="Arial" w:eastAsia="Arial" w:cs="Arial"/>
                <w:spacing w:val="8"/>
                <w:sz w:val="20"/>
                <w:szCs w:val="20"/>
              </w:rPr>
              <w:t>→</w:t>
            </w:r>
            <w:r>
              <w:rPr>
                <w:spacing w:val="8"/>
                <w:sz w:val="20"/>
                <w:szCs w:val="20"/>
              </w:rPr>
              <w:t>计量放料</w:t>
            </w:r>
            <w:r>
              <w:rPr>
                <w:rFonts w:ascii="Arial" w:hAnsi="Arial" w:eastAsia="Arial" w:cs="Arial"/>
                <w:spacing w:val="8"/>
                <w:sz w:val="20"/>
                <w:szCs w:val="20"/>
              </w:rPr>
              <w:t>→</w:t>
            </w:r>
            <w:r>
              <w:rPr>
                <w:spacing w:val="8"/>
                <w:sz w:val="20"/>
                <w:szCs w:val="20"/>
              </w:rPr>
              <w:t>搅拌机。</w:t>
            </w:r>
          </w:p>
          <w:p w14:paraId="0C542F1E">
            <w:pPr>
              <w:pStyle w:val="6"/>
              <w:spacing w:before="33" w:line="225" w:lineRule="auto"/>
              <w:ind w:left="509"/>
              <w:rPr>
                <w:sz w:val="20"/>
                <w:szCs w:val="20"/>
              </w:rPr>
            </w:pPr>
            <w:r>
              <w:rPr>
                <w:spacing w:val="9"/>
                <w:sz w:val="20"/>
                <w:szCs w:val="20"/>
              </w:rPr>
              <w:t>②水泥、粉煤灰、石膏、玻化微珠等</w:t>
            </w:r>
            <w:r>
              <w:rPr>
                <w:rFonts w:ascii="Arial" w:hAnsi="Arial" w:eastAsia="Arial" w:cs="Arial"/>
                <w:spacing w:val="9"/>
                <w:sz w:val="20"/>
                <w:szCs w:val="20"/>
              </w:rPr>
              <w:t>→</w:t>
            </w:r>
            <w:r>
              <w:rPr>
                <w:spacing w:val="9"/>
                <w:sz w:val="20"/>
                <w:szCs w:val="20"/>
              </w:rPr>
              <w:t>筒仓</w:t>
            </w:r>
            <w:r>
              <w:rPr>
                <w:rFonts w:ascii="Arial" w:hAnsi="Arial" w:eastAsia="Arial" w:cs="Arial"/>
                <w:spacing w:val="9"/>
                <w:sz w:val="20"/>
                <w:szCs w:val="20"/>
              </w:rPr>
              <w:t>→</w:t>
            </w:r>
            <w:r>
              <w:rPr>
                <w:spacing w:val="9"/>
                <w:sz w:val="20"/>
                <w:szCs w:val="20"/>
              </w:rPr>
              <w:t>计量放料</w:t>
            </w:r>
            <w:r>
              <w:rPr>
                <w:rFonts w:ascii="Arial" w:hAnsi="Arial" w:eastAsia="Arial" w:cs="Arial"/>
                <w:spacing w:val="9"/>
                <w:sz w:val="20"/>
                <w:szCs w:val="20"/>
              </w:rPr>
              <w:t>→</w:t>
            </w:r>
            <w:r>
              <w:rPr>
                <w:spacing w:val="9"/>
                <w:sz w:val="20"/>
                <w:szCs w:val="20"/>
              </w:rPr>
              <w:t>搅拌机。</w:t>
            </w:r>
          </w:p>
        </w:tc>
      </w:tr>
    </w:tbl>
    <w:p w14:paraId="69C8EE2D">
      <w:pPr>
        <w:pStyle w:val="2"/>
      </w:pPr>
    </w:p>
    <w:p w14:paraId="264ABFD5">
      <w:pPr>
        <w:sectPr>
          <w:footerReference r:id="rId35" w:type="default"/>
          <w:pgSz w:w="11906" w:h="16839"/>
          <w:pgMar w:top="1431" w:right="1532" w:bottom="1260" w:left="1533" w:header="0" w:footer="1080" w:gutter="0"/>
          <w:cols w:space="720" w:num="1"/>
        </w:sectPr>
      </w:pPr>
    </w:p>
    <w:p w14:paraId="05A216EE">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21"/>
        <w:gridCol w:w="664"/>
        <w:gridCol w:w="1876"/>
        <w:gridCol w:w="1805"/>
        <w:gridCol w:w="1774"/>
        <w:gridCol w:w="1421"/>
        <w:gridCol w:w="231"/>
      </w:tblGrid>
      <w:tr w14:paraId="1AC71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831" w:type="dxa"/>
            <w:vMerge w:val="restart"/>
            <w:tcBorders>
              <w:top w:val="single" w:color="000000" w:sz="6" w:space="0"/>
              <w:left w:val="single" w:color="000000" w:sz="6" w:space="0"/>
              <w:bottom w:val="nil"/>
            </w:tcBorders>
            <w:vAlign w:val="top"/>
          </w:tcPr>
          <w:p w14:paraId="4D3E5C1C">
            <w:pPr>
              <w:rPr>
                <w:rFonts w:ascii="Arial"/>
                <w:sz w:val="21"/>
              </w:rPr>
            </w:pPr>
          </w:p>
        </w:tc>
        <w:tc>
          <w:tcPr>
            <w:tcW w:w="7992" w:type="dxa"/>
            <w:gridSpan w:val="7"/>
            <w:tcBorders>
              <w:top w:val="single" w:color="000000" w:sz="6" w:space="0"/>
              <w:right w:val="single" w:color="000000" w:sz="6" w:space="0"/>
            </w:tcBorders>
            <w:vAlign w:val="top"/>
          </w:tcPr>
          <w:p w14:paraId="413ED1AC">
            <w:pPr>
              <w:pStyle w:val="6"/>
              <w:spacing w:before="146" w:line="298" w:lineRule="auto"/>
              <w:ind w:left="93" w:right="129" w:firstLine="416"/>
              <w:rPr>
                <w:sz w:val="20"/>
                <w:szCs w:val="20"/>
              </w:rPr>
            </w:pPr>
            <w:r>
              <w:rPr>
                <w:spacing w:val="10"/>
                <w:sz w:val="20"/>
                <w:szCs w:val="20"/>
              </w:rPr>
              <w:t>③可再分散乳胶粉、玻璃纤维等小料</w:t>
            </w:r>
            <w:r>
              <w:rPr>
                <w:rFonts w:ascii="Arial" w:hAnsi="Arial" w:eastAsia="Arial" w:cs="Arial"/>
                <w:spacing w:val="10"/>
                <w:sz w:val="20"/>
                <w:szCs w:val="20"/>
              </w:rPr>
              <w:t>→</w:t>
            </w:r>
            <w:r>
              <w:rPr>
                <w:spacing w:val="10"/>
                <w:sz w:val="20"/>
                <w:szCs w:val="20"/>
              </w:rPr>
              <w:t>投料装置（小料仓和</w:t>
            </w:r>
            <w:r>
              <w:rPr>
                <w:spacing w:val="9"/>
                <w:sz w:val="20"/>
                <w:szCs w:val="20"/>
              </w:rPr>
              <w:t>螺旋输送装置）</w:t>
            </w:r>
            <w:r>
              <w:rPr>
                <w:rFonts w:ascii="Arial" w:hAnsi="Arial" w:eastAsia="Arial" w:cs="Arial"/>
                <w:spacing w:val="9"/>
                <w:sz w:val="20"/>
                <w:szCs w:val="20"/>
              </w:rPr>
              <w:t>→</w:t>
            </w:r>
            <w:r>
              <w:rPr>
                <w:spacing w:val="9"/>
                <w:sz w:val="20"/>
                <w:szCs w:val="20"/>
              </w:rPr>
              <w:t>搅</w:t>
            </w:r>
            <w:r>
              <w:rPr>
                <w:sz w:val="20"/>
                <w:szCs w:val="20"/>
              </w:rPr>
              <w:t xml:space="preserve"> </w:t>
            </w:r>
            <w:r>
              <w:rPr>
                <w:spacing w:val="2"/>
                <w:sz w:val="20"/>
                <w:szCs w:val="20"/>
              </w:rPr>
              <w:t>拌机。</w:t>
            </w:r>
          </w:p>
          <w:p w14:paraId="1A0BF332">
            <w:pPr>
              <w:pStyle w:val="6"/>
              <w:spacing w:before="152" w:line="299" w:lineRule="auto"/>
              <w:ind w:left="91" w:right="129" w:firstLine="418"/>
              <w:rPr>
                <w:sz w:val="20"/>
                <w:szCs w:val="20"/>
              </w:rPr>
            </w:pPr>
            <w:r>
              <w:rPr>
                <w:spacing w:val="10"/>
                <w:sz w:val="20"/>
                <w:szCs w:val="20"/>
              </w:rPr>
              <w:t>④搅拌机</w:t>
            </w:r>
            <w:r>
              <w:rPr>
                <w:rFonts w:ascii="Arial" w:hAnsi="Arial" w:eastAsia="Arial" w:cs="Arial"/>
                <w:spacing w:val="10"/>
                <w:sz w:val="20"/>
                <w:szCs w:val="20"/>
              </w:rPr>
              <w:t>→</w:t>
            </w:r>
            <w:r>
              <w:rPr>
                <w:spacing w:val="10"/>
                <w:sz w:val="20"/>
                <w:szCs w:val="20"/>
              </w:rPr>
              <w:t>放料</w:t>
            </w:r>
            <w:r>
              <w:rPr>
                <w:rFonts w:ascii="Arial" w:hAnsi="Arial" w:eastAsia="Arial" w:cs="Arial"/>
                <w:spacing w:val="10"/>
                <w:sz w:val="20"/>
                <w:szCs w:val="20"/>
              </w:rPr>
              <w:t>→</w:t>
            </w:r>
            <w:r>
              <w:rPr>
                <w:spacing w:val="10"/>
                <w:sz w:val="20"/>
                <w:szCs w:val="20"/>
              </w:rPr>
              <w:t>成品缓冲罐</w:t>
            </w:r>
            <w:r>
              <w:rPr>
                <w:rFonts w:ascii="Arial" w:hAnsi="Arial" w:eastAsia="Arial" w:cs="Arial"/>
                <w:spacing w:val="10"/>
                <w:sz w:val="20"/>
                <w:szCs w:val="20"/>
              </w:rPr>
              <w:t>→</w:t>
            </w:r>
            <w:r>
              <w:rPr>
                <w:spacing w:val="10"/>
                <w:sz w:val="20"/>
                <w:szCs w:val="20"/>
              </w:rPr>
              <w:t>软连接包装机</w:t>
            </w:r>
            <w:r>
              <w:rPr>
                <w:rFonts w:ascii="Arial" w:hAnsi="Arial" w:eastAsia="Arial" w:cs="Arial"/>
                <w:spacing w:val="10"/>
                <w:sz w:val="20"/>
                <w:szCs w:val="20"/>
              </w:rPr>
              <w:t>→</w:t>
            </w:r>
            <w:r>
              <w:rPr>
                <w:spacing w:val="10"/>
                <w:sz w:val="20"/>
                <w:szCs w:val="20"/>
              </w:rPr>
              <w:t>袋装出售。</w:t>
            </w:r>
            <w:r>
              <w:rPr>
                <w:spacing w:val="9"/>
                <w:sz w:val="20"/>
                <w:szCs w:val="20"/>
              </w:rPr>
              <w:t>搅拌机</w:t>
            </w:r>
            <w:r>
              <w:rPr>
                <w:rFonts w:ascii="Arial" w:hAnsi="Arial" w:eastAsia="Arial" w:cs="Arial"/>
                <w:spacing w:val="9"/>
                <w:sz w:val="20"/>
                <w:szCs w:val="20"/>
              </w:rPr>
              <w:t>→</w:t>
            </w:r>
            <w:r>
              <w:rPr>
                <w:spacing w:val="9"/>
                <w:sz w:val="20"/>
                <w:szCs w:val="20"/>
              </w:rPr>
              <w:t>底斗仓</w:t>
            </w:r>
            <w:r>
              <w:rPr>
                <w:rFonts w:ascii="Arial" w:hAnsi="Arial" w:eastAsia="Arial" w:cs="Arial"/>
                <w:spacing w:val="9"/>
                <w:sz w:val="20"/>
                <w:szCs w:val="20"/>
              </w:rPr>
              <w:t>→</w:t>
            </w:r>
            <w:r>
              <w:rPr>
                <w:spacing w:val="9"/>
                <w:sz w:val="20"/>
                <w:szCs w:val="20"/>
              </w:rPr>
              <w:t>散</w:t>
            </w:r>
            <w:r>
              <w:rPr>
                <w:sz w:val="20"/>
                <w:szCs w:val="20"/>
              </w:rPr>
              <w:t xml:space="preserve"> </w:t>
            </w:r>
            <w:r>
              <w:rPr>
                <w:spacing w:val="7"/>
                <w:sz w:val="20"/>
                <w:szCs w:val="20"/>
              </w:rPr>
              <w:t>装车</w:t>
            </w:r>
            <w:r>
              <w:rPr>
                <w:rFonts w:ascii="Arial" w:hAnsi="Arial" w:eastAsia="Arial" w:cs="Arial"/>
                <w:spacing w:val="7"/>
                <w:sz w:val="20"/>
                <w:szCs w:val="20"/>
              </w:rPr>
              <w:t>→</w:t>
            </w:r>
            <w:r>
              <w:rPr>
                <w:spacing w:val="7"/>
                <w:sz w:val="20"/>
                <w:szCs w:val="20"/>
              </w:rPr>
              <w:t>外运出售。</w:t>
            </w:r>
          </w:p>
          <w:p w14:paraId="029652CA">
            <w:pPr>
              <w:spacing w:before="144" w:line="222" w:lineRule="auto"/>
              <w:ind w:left="85"/>
              <w:rPr>
                <w:rFonts w:ascii="黑体" w:hAnsi="黑体" w:eastAsia="黑体" w:cs="黑体"/>
                <w:sz w:val="22"/>
                <w:szCs w:val="22"/>
              </w:rPr>
            </w:pPr>
            <w:r>
              <w:rPr>
                <w:rFonts w:ascii="黑体" w:hAnsi="黑体" w:eastAsia="黑体" w:cs="黑体"/>
                <w:spacing w:val="-1"/>
                <w:sz w:val="22"/>
                <w:szCs w:val="22"/>
              </w:rPr>
              <w:t>4、主要生产设施及参数</w:t>
            </w:r>
          </w:p>
          <w:p w14:paraId="01B00A88">
            <w:pPr>
              <w:spacing w:before="170" w:line="222" w:lineRule="auto"/>
              <w:ind w:left="2910"/>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2-3      </w:t>
            </w:r>
            <w:r>
              <w:rPr>
                <w:rFonts w:ascii="黑体" w:hAnsi="黑体" w:eastAsia="黑体" w:cs="黑体"/>
                <w:spacing w:val="-1"/>
                <w:sz w:val="18"/>
                <w:szCs w:val="18"/>
              </w:rPr>
              <w:t>主要生产设备清单</w:t>
            </w:r>
          </w:p>
        </w:tc>
      </w:tr>
      <w:tr w14:paraId="6050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1" w:type="dxa"/>
            <w:vMerge w:val="continue"/>
            <w:tcBorders>
              <w:top w:val="nil"/>
              <w:left w:val="single" w:color="000000" w:sz="6" w:space="0"/>
              <w:bottom w:val="nil"/>
            </w:tcBorders>
            <w:vAlign w:val="top"/>
          </w:tcPr>
          <w:p w14:paraId="0FC9944D">
            <w:pPr>
              <w:rPr>
                <w:rFonts w:ascii="Arial"/>
                <w:sz w:val="21"/>
              </w:rPr>
            </w:pPr>
          </w:p>
        </w:tc>
        <w:tc>
          <w:tcPr>
            <w:tcW w:w="221" w:type="dxa"/>
            <w:vMerge w:val="restart"/>
            <w:tcBorders>
              <w:bottom w:val="nil"/>
            </w:tcBorders>
            <w:vAlign w:val="top"/>
          </w:tcPr>
          <w:p w14:paraId="66F45461">
            <w:pPr>
              <w:rPr>
                <w:rFonts w:ascii="Arial"/>
                <w:sz w:val="21"/>
              </w:rPr>
            </w:pPr>
          </w:p>
        </w:tc>
        <w:tc>
          <w:tcPr>
            <w:tcW w:w="664" w:type="dxa"/>
            <w:vMerge w:val="restart"/>
            <w:tcBorders>
              <w:bottom w:val="nil"/>
            </w:tcBorders>
            <w:vAlign w:val="top"/>
          </w:tcPr>
          <w:p w14:paraId="74DB5566">
            <w:pPr>
              <w:pStyle w:val="6"/>
              <w:spacing w:before="56" w:line="221" w:lineRule="auto"/>
              <w:ind w:left="149"/>
              <w:rPr>
                <w:sz w:val="18"/>
                <w:szCs w:val="18"/>
              </w:rPr>
            </w:pPr>
            <w:r>
              <w:rPr>
                <w:b/>
                <w:bCs/>
                <w:spacing w:val="-6"/>
                <w:sz w:val="18"/>
                <w:szCs w:val="18"/>
              </w:rPr>
              <w:t>序号</w:t>
            </w:r>
          </w:p>
          <w:p w14:paraId="4ADE57DC">
            <w:pPr>
              <w:spacing w:before="84" w:line="188" w:lineRule="auto"/>
              <w:ind w:left="2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p w14:paraId="438BF896">
            <w:pPr>
              <w:spacing w:before="106" w:line="188" w:lineRule="auto"/>
              <w:ind w:left="2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14:paraId="62D638BF">
            <w:pPr>
              <w:spacing w:before="108" w:line="188"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p w14:paraId="0051EC68">
            <w:pPr>
              <w:spacing w:before="107"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14:paraId="15335B00">
            <w:pPr>
              <w:spacing w:before="112" w:line="185"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p w14:paraId="0CC58662">
            <w:pPr>
              <w:spacing w:before="106" w:line="188" w:lineRule="auto"/>
              <w:ind w:left="28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14:paraId="7829339E">
            <w:pPr>
              <w:spacing w:before="112" w:line="185"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14:paraId="43F03DC3">
            <w:pPr>
              <w:spacing w:before="10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14:paraId="523CB571">
            <w:pPr>
              <w:spacing w:before="109" w:line="188"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p w14:paraId="29D833B5">
            <w:pPr>
              <w:spacing w:before="10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p w14:paraId="0CDCA320">
            <w:pPr>
              <w:spacing w:before="110" w:line="188"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p w14:paraId="75E9B8AE">
            <w:pPr>
              <w:spacing w:before="10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p w14:paraId="5D65EB4D">
            <w:pPr>
              <w:spacing w:before="10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p w14:paraId="589CD00A">
            <w:pPr>
              <w:spacing w:before="107"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p w14:paraId="65716D5C">
            <w:pPr>
              <w:spacing w:before="10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p w14:paraId="6286693A">
            <w:pPr>
              <w:spacing w:before="107"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p w14:paraId="78C77AA5">
            <w:pPr>
              <w:spacing w:before="10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p w14:paraId="3C9D77BF">
            <w:pPr>
              <w:spacing w:before="10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p w14:paraId="6A46DF60">
            <w:pPr>
              <w:spacing w:before="10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p w14:paraId="197525F9">
            <w:pPr>
              <w:spacing w:before="107"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p w14:paraId="277346FF">
            <w:pPr>
              <w:spacing w:before="10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p w14:paraId="1D197617">
            <w:pPr>
              <w:spacing w:before="107"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p w14:paraId="71CB90B4">
            <w:pPr>
              <w:spacing w:before="10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p w14:paraId="7AB8410F">
            <w:pPr>
              <w:spacing w:before="107"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p w14:paraId="19EE82E4">
            <w:pPr>
              <w:spacing w:before="10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p w14:paraId="777DE89F">
            <w:pPr>
              <w:spacing w:before="106"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p w14:paraId="0794177F">
            <w:pPr>
              <w:spacing w:before="10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p w14:paraId="2A1E12D2">
            <w:pPr>
              <w:spacing w:before="107"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p w14:paraId="6D29B97F">
            <w:pPr>
              <w:spacing w:before="10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p w14:paraId="04573F70">
            <w:pPr>
              <w:spacing w:before="107"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p w14:paraId="636BA811">
            <w:pPr>
              <w:spacing w:before="109"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p w14:paraId="4F691897">
            <w:pPr>
              <w:spacing w:before="106"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p w14:paraId="0CE04AEB">
            <w:pPr>
              <w:spacing w:before="110"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p w14:paraId="21423D5E">
            <w:pPr>
              <w:spacing w:before="106"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p w14:paraId="3F6B9125">
            <w:pPr>
              <w:spacing w:before="109"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p w14:paraId="7E23856E">
            <w:pPr>
              <w:spacing w:before="107"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p w14:paraId="4C32F545">
            <w:pPr>
              <w:spacing w:before="109"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p w14:paraId="5E53CA0A">
            <w:pPr>
              <w:spacing w:before="107"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p w14:paraId="1914BAC1">
            <w:pPr>
              <w:spacing w:before="109"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1876" w:type="dxa"/>
            <w:vAlign w:val="top"/>
          </w:tcPr>
          <w:p w14:paraId="135AC305">
            <w:pPr>
              <w:pStyle w:val="6"/>
              <w:spacing w:before="56" w:line="203" w:lineRule="auto"/>
              <w:ind w:left="580"/>
              <w:rPr>
                <w:sz w:val="18"/>
                <w:szCs w:val="18"/>
              </w:rPr>
            </w:pPr>
            <w:r>
              <w:rPr>
                <w:b/>
                <w:bCs/>
                <w:spacing w:val="-4"/>
                <w:sz w:val="18"/>
                <w:szCs w:val="18"/>
              </w:rPr>
              <w:t>设备名称</w:t>
            </w:r>
          </w:p>
        </w:tc>
        <w:tc>
          <w:tcPr>
            <w:tcW w:w="1805" w:type="dxa"/>
            <w:vAlign w:val="top"/>
          </w:tcPr>
          <w:p w14:paraId="37D995CC">
            <w:pPr>
              <w:pStyle w:val="6"/>
              <w:spacing w:before="56" w:line="203" w:lineRule="auto"/>
              <w:ind w:left="730"/>
              <w:rPr>
                <w:sz w:val="18"/>
                <w:szCs w:val="18"/>
              </w:rPr>
            </w:pPr>
            <w:r>
              <w:rPr>
                <w:b/>
                <w:bCs/>
                <w:spacing w:val="-9"/>
                <w:sz w:val="18"/>
                <w:szCs w:val="18"/>
              </w:rPr>
              <w:t>型号</w:t>
            </w:r>
          </w:p>
        </w:tc>
        <w:tc>
          <w:tcPr>
            <w:tcW w:w="1774" w:type="dxa"/>
            <w:vAlign w:val="top"/>
          </w:tcPr>
          <w:p w14:paraId="3774E6C1">
            <w:pPr>
              <w:pStyle w:val="6"/>
              <w:spacing w:before="56" w:line="203" w:lineRule="auto"/>
              <w:ind w:left="263"/>
              <w:rPr>
                <w:sz w:val="18"/>
                <w:szCs w:val="18"/>
              </w:rPr>
            </w:pPr>
            <w:r>
              <w:rPr>
                <w:b/>
                <w:bCs/>
                <w:spacing w:val="-3"/>
                <w:sz w:val="18"/>
                <w:szCs w:val="18"/>
              </w:rPr>
              <w:t>数量（台或套）</w:t>
            </w:r>
          </w:p>
        </w:tc>
        <w:tc>
          <w:tcPr>
            <w:tcW w:w="1421" w:type="dxa"/>
            <w:vAlign w:val="top"/>
          </w:tcPr>
          <w:p w14:paraId="16058BEC">
            <w:pPr>
              <w:pStyle w:val="6"/>
              <w:spacing w:before="56" w:line="203" w:lineRule="auto"/>
              <w:ind w:left="541"/>
              <w:rPr>
                <w:sz w:val="18"/>
                <w:szCs w:val="18"/>
              </w:rPr>
            </w:pPr>
            <w:r>
              <w:rPr>
                <w:b/>
                <w:bCs/>
                <w:spacing w:val="-7"/>
                <w:sz w:val="18"/>
                <w:szCs w:val="18"/>
              </w:rPr>
              <w:t>备注</w:t>
            </w:r>
          </w:p>
        </w:tc>
        <w:tc>
          <w:tcPr>
            <w:tcW w:w="231" w:type="dxa"/>
            <w:vMerge w:val="restart"/>
            <w:tcBorders>
              <w:top w:val="nil"/>
              <w:bottom w:val="nil"/>
              <w:right w:val="single" w:color="000000" w:sz="6" w:space="0"/>
            </w:tcBorders>
            <w:vAlign w:val="top"/>
          </w:tcPr>
          <w:p w14:paraId="23E06FCE">
            <w:pPr>
              <w:rPr>
                <w:rFonts w:ascii="Arial"/>
                <w:sz w:val="21"/>
              </w:rPr>
            </w:pPr>
          </w:p>
        </w:tc>
      </w:tr>
      <w:tr w14:paraId="7B73E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1" w:type="dxa"/>
            <w:vMerge w:val="continue"/>
            <w:tcBorders>
              <w:top w:val="nil"/>
              <w:left w:val="single" w:color="000000" w:sz="6" w:space="0"/>
              <w:bottom w:val="nil"/>
            </w:tcBorders>
            <w:vAlign w:val="top"/>
          </w:tcPr>
          <w:p w14:paraId="75E61D67">
            <w:pPr>
              <w:rPr>
                <w:rFonts w:ascii="Arial"/>
                <w:sz w:val="21"/>
              </w:rPr>
            </w:pPr>
          </w:p>
        </w:tc>
        <w:tc>
          <w:tcPr>
            <w:tcW w:w="221" w:type="dxa"/>
            <w:vMerge w:val="continue"/>
            <w:tcBorders>
              <w:top w:val="nil"/>
              <w:bottom w:val="nil"/>
            </w:tcBorders>
            <w:vAlign w:val="top"/>
          </w:tcPr>
          <w:p w14:paraId="549B973B">
            <w:pPr>
              <w:rPr>
                <w:rFonts w:ascii="Arial"/>
                <w:sz w:val="21"/>
              </w:rPr>
            </w:pPr>
          </w:p>
        </w:tc>
        <w:tc>
          <w:tcPr>
            <w:tcW w:w="664" w:type="dxa"/>
            <w:vMerge w:val="continue"/>
            <w:tcBorders>
              <w:top w:val="nil"/>
              <w:bottom w:val="nil"/>
            </w:tcBorders>
            <w:vAlign w:val="top"/>
          </w:tcPr>
          <w:p w14:paraId="21DE816D">
            <w:pPr>
              <w:rPr>
                <w:rFonts w:ascii="Arial"/>
                <w:sz w:val="21"/>
              </w:rPr>
            </w:pPr>
          </w:p>
        </w:tc>
        <w:tc>
          <w:tcPr>
            <w:tcW w:w="1876" w:type="dxa"/>
            <w:vAlign w:val="top"/>
          </w:tcPr>
          <w:p w14:paraId="44A693B2">
            <w:pPr>
              <w:pStyle w:val="6"/>
              <w:spacing w:before="56" w:line="203" w:lineRule="auto"/>
              <w:ind w:left="669"/>
              <w:rPr>
                <w:sz w:val="18"/>
                <w:szCs w:val="18"/>
              </w:rPr>
            </w:pPr>
            <w:r>
              <w:rPr>
                <w:spacing w:val="-3"/>
                <w:sz w:val="18"/>
                <w:szCs w:val="18"/>
              </w:rPr>
              <w:t>颚破机</w:t>
            </w:r>
          </w:p>
        </w:tc>
        <w:tc>
          <w:tcPr>
            <w:tcW w:w="1805" w:type="dxa"/>
            <w:vAlign w:val="top"/>
          </w:tcPr>
          <w:p w14:paraId="18CC14F1">
            <w:pPr>
              <w:spacing w:before="84" w:line="192"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PE250*1200</w:t>
            </w:r>
          </w:p>
        </w:tc>
        <w:tc>
          <w:tcPr>
            <w:tcW w:w="1774" w:type="dxa"/>
            <w:vAlign w:val="top"/>
          </w:tcPr>
          <w:p w14:paraId="6AFED858">
            <w:pPr>
              <w:spacing w:before="87"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restart"/>
            <w:tcBorders>
              <w:bottom w:val="nil"/>
            </w:tcBorders>
            <w:vAlign w:val="top"/>
          </w:tcPr>
          <w:p w14:paraId="4C53AF79">
            <w:pPr>
              <w:spacing w:line="267" w:lineRule="auto"/>
              <w:rPr>
                <w:rFonts w:ascii="Arial"/>
                <w:sz w:val="21"/>
              </w:rPr>
            </w:pPr>
          </w:p>
          <w:p w14:paraId="239F8A99">
            <w:pPr>
              <w:spacing w:line="267" w:lineRule="auto"/>
              <w:rPr>
                <w:rFonts w:ascii="Arial"/>
                <w:sz w:val="21"/>
              </w:rPr>
            </w:pPr>
          </w:p>
          <w:p w14:paraId="63DE7B1F">
            <w:pPr>
              <w:pStyle w:val="6"/>
              <w:spacing w:before="59" w:line="220" w:lineRule="auto"/>
              <w:ind w:left="179"/>
              <w:rPr>
                <w:sz w:val="18"/>
                <w:szCs w:val="18"/>
              </w:rPr>
            </w:pPr>
            <w:r>
              <w:rPr>
                <w:spacing w:val="-2"/>
                <w:sz w:val="18"/>
                <w:szCs w:val="18"/>
              </w:rPr>
              <w:t>地下原料堆场</w:t>
            </w:r>
          </w:p>
        </w:tc>
        <w:tc>
          <w:tcPr>
            <w:tcW w:w="231" w:type="dxa"/>
            <w:vMerge w:val="continue"/>
            <w:tcBorders>
              <w:top w:val="nil"/>
              <w:bottom w:val="nil"/>
              <w:right w:val="single" w:color="000000" w:sz="6" w:space="0"/>
            </w:tcBorders>
            <w:vAlign w:val="top"/>
          </w:tcPr>
          <w:p w14:paraId="503B921D">
            <w:pPr>
              <w:rPr>
                <w:rFonts w:ascii="Arial"/>
                <w:sz w:val="21"/>
              </w:rPr>
            </w:pPr>
          </w:p>
        </w:tc>
      </w:tr>
      <w:tr w14:paraId="1BBD4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077A9887">
            <w:pPr>
              <w:rPr>
                <w:rFonts w:ascii="Arial"/>
                <w:sz w:val="21"/>
              </w:rPr>
            </w:pPr>
          </w:p>
        </w:tc>
        <w:tc>
          <w:tcPr>
            <w:tcW w:w="221" w:type="dxa"/>
            <w:vMerge w:val="continue"/>
            <w:tcBorders>
              <w:top w:val="nil"/>
              <w:bottom w:val="nil"/>
            </w:tcBorders>
            <w:vAlign w:val="top"/>
          </w:tcPr>
          <w:p w14:paraId="7489F2AF">
            <w:pPr>
              <w:rPr>
                <w:rFonts w:ascii="Arial"/>
                <w:sz w:val="21"/>
              </w:rPr>
            </w:pPr>
          </w:p>
        </w:tc>
        <w:tc>
          <w:tcPr>
            <w:tcW w:w="664" w:type="dxa"/>
            <w:vMerge w:val="continue"/>
            <w:tcBorders>
              <w:top w:val="nil"/>
              <w:bottom w:val="nil"/>
            </w:tcBorders>
            <w:vAlign w:val="top"/>
          </w:tcPr>
          <w:p w14:paraId="07C2ED7A">
            <w:pPr>
              <w:rPr>
                <w:rFonts w:ascii="Arial"/>
                <w:sz w:val="21"/>
              </w:rPr>
            </w:pPr>
          </w:p>
        </w:tc>
        <w:tc>
          <w:tcPr>
            <w:tcW w:w="1876" w:type="dxa"/>
            <w:vAlign w:val="top"/>
          </w:tcPr>
          <w:p w14:paraId="64BAFFD8">
            <w:pPr>
              <w:pStyle w:val="6"/>
              <w:spacing w:before="59" w:line="201" w:lineRule="auto"/>
              <w:ind w:left="669"/>
              <w:rPr>
                <w:sz w:val="18"/>
                <w:szCs w:val="18"/>
              </w:rPr>
            </w:pPr>
            <w:r>
              <w:rPr>
                <w:spacing w:val="-3"/>
                <w:sz w:val="18"/>
                <w:szCs w:val="18"/>
              </w:rPr>
              <w:t>滚筒筛</w:t>
            </w:r>
          </w:p>
        </w:tc>
        <w:tc>
          <w:tcPr>
            <w:tcW w:w="1805" w:type="dxa"/>
            <w:vAlign w:val="top"/>
          </w:tcPr>
          <w:p w14:paraId="6DD3EB16">
            <w:pPr>
              <w:spacing w:before="84" w:line="192" w:lineRule="auto"/>
              <w:ind w:left="8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74" w:type="dxa"/>
            <w:vAlign w:val="top"/>
          </w:tcPr>
          <w:p w14:paraId="564BB386">
            <w:pPr>
              <w:spacing w:before="87"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07651B70">
            <w:pPr>
              <w:rPr>
                <w:rFonts w:ascii="Arial"/>
                <w:sz w:val="21"/>
              </w:rPr>
            </w:pPr>
          </w:p>
        </w:tc>
        <w:tc>
          <w:tcPr>
            <w:tcW w:w="231" w:type="dxa"/>
            <w:vMerge w:val="continue"/>
            <w:tcBorders>
              <w:top w:val="nil"/>
              <w:bottom w:val="nil"/>
              <w:right w:val="single" w:color="000000" w:sz="6" w:space="0"/>
            </w:tcBorders>
            <w:vAlign w:val="top"/>
          </w:tcPr>
          <w:p w14:paraId="36D49662">
            <w:pPr>
              <w:rPr>
                <w:rFonts w:ascii="Arial"/>
                <w:sz w:val="21"/>
              </w:rPr>
            </w:pPr>
          </w:p>
        </w:tc>
      </w:tr>
      <w:tr w14:paraId="07EBB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23425253">
            <w:pPr>
              <w:rPr>
                <w:rFonts w:ascii="Arial"/>
                <w:sz w:val="21"/>
              </w:rPr>
            </w:pPr>
          </w:p>
        </w:tc>
        <w:tc>
          <w:tcPr>
            <w:tcW w:w="221" w:type="dxa"/>
            <w:vMerge w:val="continue"/>
            <w:tcBorders>
              <w:top w:val="nil"/>
              <w:bottom w:val="nil"/>
            </w:tcBorders>
            <w:vAlign w:val="top"/>
          </w:tcPr>
          <w:p w14:paraId="3CD2B0A2">
            <w:pPr>
              <w:rPr>
                <w:rFonts w:ascii="Arial"/>
                <w:sz w:val="21"/>
              </w:rPr>
            </w:pPr>
          </w:p>
        </w:tc>
        <w:tc>
          <w:tcPr>
            <w:tcW w:w="664" w:type="dxa"/>
            <w:vMerge w:val="continue"/>
            <w:tcBorders>
              <w:top w:val="nil"/>
              <w:bottom w:val="nil"/>
            </w:tcBorders>
            <w:vAlign w:val="top"/>
          </w:tcPr>
          <w:p w14:paraId="48661EA9">
            <w:pPr>
              <w:rPr>
                <w:rFonts w:ascii="Arial"/>
                <w:sz w:val="21"/>
              </w:rPr>
            </w:pPr>
          </w:p>
        </w:tc>
        <w:tc>
          <w:tcPr>
            <w:tcW w:w="1876" w:type="dxa"/>
            <w:vAlign w:val="top"/>
          </w:tcPr>
          <w:p w14:paraId="423ED4A6">
            <w:pPr>
              <w:pStyle w:val="6"/>
              <w:spacing w:before="57" w:line="203" w:lineRule="auto"/>
              <w:ind w:left="758"/>
              <w:rPr>
                <w:sz w:val="18"/>
                <w:szCs w:val="18"/>
              </w:rPr>
            </w:pPr>
            <w:r>
              <w:rPr>
                <w:spacing w:val="-4"/>
                <w:sz w:val="18"/>
                <w:szCs w:val="18"/>
              </w:rPr>
              <w:t>料斗</w:t>
            </w:r>
          </w:p>
        </w:tc>
        <w:tc>
          <w:tcPr>
            <w:tcW w:w="1805" w:type="dxa"/>
            <w:vAlign w:val="top"/>
          </w:tcPr>
          <w:p w14:paraId="7DB0EBD9">
            <w:pPr>
              <w:spacing w:before="85" w:line="192" w:lineRule="auto"/>
              <w:ind w:left="8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74" w:type="dxa"/>
            <w:vAlign w:val="top"/>
          </w:tcPr>
          <w:p w14:paraId="4A391569">
            <w:pPr>
              <w:spacing w:before="8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504D186E">
            <w:pPr>
              <w:rPr>
                <w:rFonts w:ascii="Arial"/>
                <w:sz w:val="21"/>
              </w:rPr>
            </w:pPr>
          </w:p>
        </w:tc>
        <w:tc>
          <w:tcPr>
            <w:tcW w:w="231" w:type="dxa"/>
            <w:vMerge w:val="continue"/>
            <w:tcBorders>
              <w:top w:val="nil"/>
              <w:bottom w:val="nil"/>
              <w:right w:val="single" w:color="000000" w:sz="6" w:space="0"/>
            </w:tcBorders>
            <w:vAlign w:val="top"/>
          </w:tcPr>
          <w:p w14:paraId="652D6D34">
            <w:pPr>
              <w:rPr>
                <w:rFonts w:ascii="Arial"/>
                <w:sz w:val="21"/>
              </w:rPr>
            </w:pPr>
          </w:p>
        </w:tc>
      </w:tr>
      <w:tr w14:paraId="272E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565FE765">
            <w:pPr>
              <w:rPr>
                <w:rFonts w:ascii="Arial"/>
                <w:sz w:val="21"/>
              </w:rPr>
            </w:pPr>
          </w:p>
        </w:tc>
        <w:tc>
          <w:tcPr>
            <w:tcW w:w="221" w:type="dxa"/>
            <w:vMerge w:val="continue"/>
            <w:tcBorders>
              <w:top w:val="nil"/>
              <w:bottom w:val="nil"/>
            </w:tcBorders>
            <w:vAlign w:val="top"/>
          </w:tcPr>
          <w:p w14:paraId="73649A09">
            <w:pPr>
              <w:rPr>
                <w:rFonts w:ascii="Arial"/>
                <w:sz w:val="21"/>
              </w:rPr>
            </w:pPr>
          </w:p>
        </w:tc>
        <w:tc>
          <w:tcPr>
            <w:tcW w:w="664" w:type="dxa"/>
            <w:vMerge w:val="continue"/>
            <w:tcBorders>
              <w:top w:val="nil"/>
              <w:bottom w:val="nil"/>
            </w:tcBorders>
            <w:vAlign w:val="top"/>
          </w:tcPr>
          <w:p w14:paraId="474F6D37">
            <w:pPr>
              <w:rPr>
                <w:rFonts w:ascii="Arial"/>
                <w:sz w:val="21"/>
              </w:rPr>
            </w:pPr>
          </w:p>
        </w:tc>
        <w:tc>
          <w:tcPr>
            <w:tcW w:w="1876" w:type="dxa"/>
            <w:vAlign w:val="top"/>
          </w:tcPr>
          <w:p w14:paraId="58B70E88">
            <w:pPr>
              <w:pStyle w:val="6"/>
              <w:spacing w:before="59" w:line="201" w:lineRule="auto"/>
              <w:ind w:left="669"/>
              <w:rPr>
                <w:sz w:val="18"/>
                <w:szCs w:val="18"/>
              </w:rPr>
            </w:pPr>
            <w:r>
              <w:rPr>
                <w:spacing w:val="-3"/>
                <w:sz w:val="18"/>
                <w:szCs w:val="18"/>
              </w:rPr>
              <w:t>装载机</w:t>
            </w:r>
          </w:p>
        </w:tc>
        <w:tc>
          <w:tcPr>
            <w:tcW w:w="1805" w:type="dxa"/>
            <w:vAlign w:val="top"/>
          </w:tcPr>
          <w:p w14:paraId="6F63B227">
            <w:pPr>
              <w:spacing w:before="84" w:line="192" w:lineRule="auto"/>
              <w:ind w:left="8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774" w:type="dxa"/>
            <w:vAlign w:val="top"/>
          </w:tcPr>
          <w:p w14:paraId="65774368">
            <w:pPr>
              <w:spacing w:before="87"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649149A3">
            <w:pPr>
              <w:rPr>
                <w:rFonts w:ascii="Arial"/>
                <w:sz w:val="21"/>
              </w:rPr>
            </w:pPr>
          </w:p>
        </w:tc>
        <w:tc>
          <w:tcPr>
            <w:tcW w:w="231" w:type="dxa"/>
            <w:vMerge w:val="continue"/>
            <w:tcBorders>
              <w:top w:val="nil"/>
              <w:bottom w:val="nil"/>
              <w:right w:val="single" w:color="000000" w:sz="6" w:space="0"/>
            </w:tcBorders>
            <w:vAlign w:val="top"/>
          </w:tcPr>
          <w:p w14:paraId="6B3DF0B9">
            <w:pPr>
              <w:rPr>
                <w:rFonts w:ascii="Arial"/>
                <w:sz w:val="21"/>
              </w:rPr>
            </w:pPr>
          </w:p>
        </w:tc>
      </w:tr>
      <w:tr w14:paraId="72E6F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5F7CFA1A">
            <w:pPr>
              <w:rPr>
                <w:rFonts w:ascii="Arial"/>
                <w:sz w:val="21"/>
              </w:rPr>
            </w:pPr>
          </w:p>
        </w:tc>
        <w:tc>
          <w:tcPr>
            <w:tcW w:w="221" w:type="dxa"/>
            <w:vMerge w:val="continue"/>
            <w:tcBorders>
              <w:top w:val="nil"/>
              <w:bottom w:val="nil"/>
            </w:tcBorders>
            <w:vAlign w:val="top"/>
          </w:tcPr>
          <w:p w14:paraId="6FEDA92B">
            <w:pPr>
              <w:rPr>
                <w:rFonts w:ascii="Arial"/>
                <w:sz w:val="21"/>
              </w:rPr>
            </w:pPr>
          </w:p>
        </w:tc>
        <w:tc>
          <w:tcPr>
            <w:tcW w:w="664" w:type="dxa"/>
            <w:vMerge w:val="continue"/>
            <w:tcBorders>
              <w:top w:val="nil"/>
              <w:bottom w:val="nil"/>
            </w:tcBorders>
            <w:vAlign w:val="top"/>
          </w:tcPr>
          <w:p w14:paraId="760BF9BE">
            <w:pPr>
              <w:rPr>
                <w:rFonts w:ascii="Arial"/>
                <w:sz w:val="21"/>
              </w:rPr>
            </w:pPr>
          </w:p>
        </w:tc>
        <w:tc>
          <w:tcPr>
            <w:tcW w:w="1876" w:type="dxa"/>
            <w:vAlign w:val="top"/>
          </w:tcPr>
          <w:p w14:paraId="48DDEDFF">
            <w:pPr>
              <w:pStyle w:val="6"/>
              <w:spacing w:before="57" w:line="203" w:lineRule="auto"/>
              <w:ind w:left="400"/>
              <w:rPr>
                <w:sz w:val="18"/>
                <w:szCs w:val="18"/>
              </w:rPr>
            </w:pPr>
            <w:r>
              <w:rPr>
                <w:spacing w:val="-2"/>
                <w:sz w:val="18"/>
                <w:szCs w:val="18"/>
              </w:rPr>
              <w:t>皮带输送设备</w:t>
            </w:r>
          </w:p>
        </w:tc>
        <w:tc>
          <w:tcPr>
            <w:tcW w:w="1805" w:type="dxa"/>
            <w:vAlign w:val="top"/>
          </w:tcPr>
          <w:p w14:paraId="20428140">
            <w:pPr>
              <w:pStyle w:val="6"/>
              <w:spacing w:before="57" w:line="203" w:lineRule="auto"/>
              <w:ind w:left="861"/>
              <w:rPr>
                <w:sz w:val="18"/>
                <w:szCs w:val="18"/>
              </w:rPr>
            </w:pPr>
            <w:r>
              <w:rPr>
                <w:sz w:val="18"/>
                <w:szCs w:val="18"/>
              </w:rPr>
              <w:t>/</w:t>
            </w:r>
          </w:p>
        </w:tc>
        <w:tc>
          <w:tcPr>
            <w:tcW w:w="1774" w:type="dxa"/>
            <w:vAlign w:val="top"/>
          </w:tcPr>
          <w:p w14:paraId="183EEBDD">
            <w:pPr>
              <w:spacing w:before="88" w:line="188" w:lineRule="auto"/>
              <w:ind w:left="8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21" w:type="dxa"/>
            <w:vMerge w:val="continue"/>
            <w:tcBorders>
              <w:top w:val="nil"/>
            </w:tcBorders>
            <w:vAlign w:val="top"/>
          </w:tcPr>
          <w:p w14:paraId="2D7E37CE">
            <w:pPr>
              <w:rPr>
                <w:rFonts w:ascii="Arial"/>
                <w:sz w:val="21"/>
              </w:rPr>
            </w:pPr>
          </w:p>
        </w:tc>
        <w:tc>
          <w:tcPr>
            <w:tcW w:w="231" w:type="dxa"/>
            <w:vMerge w:val="continue"/>
            <w:tcBorders>
              <w:top w:val="nil"/>
              <w:bottom w:val="nil"/>
              <w:right w:val="single" w:color="000000" w:sz="6" w:space="0"/>
            </w:tcBorders>
            <w:vAlign w:val="top"/>
          </w:tcPr>
          <w:p w14:paraId="5ACF5925">
            <w:pPr>
              <w:rPr>
                <w:rFonts w:ascii="Arial"/>
                <w:sz w:val="21"/>
              </w:rPr>
            </w:pPr>
          </w:p>
        </w:tc>
      </w:tr>
      <w:tr w14:paraId="4963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000D1745">
            <w:pPr>
              <w:rPr>
                <w:rFonts w:ascii="Arial"/>
                <w:sz w:val="21"/>
              </w:rPr>
            </w:pPr>
          </w:p>
        </w:tc>
        <w:tc>
          <w:tcPr>
            <w:tcW w:w="221" w:type="dxa"/>
            <w:vMerge w:val="continue"/>
            <w:tcBorders>
              <w:top w:val="nil"/>
              <w:bottom w:val="nil"/>
            </w:tcBorders>
            <w:vAlign w:val="top"/>
          </w:tcPr>
          <w:p w14:paraId="32A36BD6">
            <w:pPr>
              <w:rPr>
                <w:rFonts w:ascii="Arial"/>
                <w:sz w:val="21"/>
              </w:rPr>
            </w:pPr>
          </w:p>
        </w:tc>
        <w:tc>
          <w:tcPr>
            <w:tcW w:w="664" w:type="dxa"/>
            <w:vMerge w:val="continue"/>
            <w:tcBorders>
              <w:top w:val="nil"/>
              <w:bottom w:val="nil"/>
            </w:tcBorders>
            <w:vAlign w:val="top"/>
          </w:tcPr>
          <w:p w14:paraId="7C493DD5">
            <w:pPr>
              <w:rPr>
                <w:rFonts w:ascii="Arial"/>
                <w:sz w:val="21"/>
              </w:rPr>
            </w:pPr>
          </w:p>
        </w:tc>
        <w:tc>
          <w:tcPr>
            <w:tcW w:w="1876" w:type="dxa"/>
            <w:vAlign w:val="top"/>
          </w:tcPr>
          <w:p w14:paraId="2576CD00">
            <w:pPr>
              <w:pStyle w:val="6"/>
              <w:spacing w:before="59" w:line="201" w:lineRule="auto"/>
              <w:ind w:left="669"/>
              <w:rPr>
                <w:sz w:val="18"/>
                <w:szCs w:val="18"/>
              </w:rPr>
            </w:pPr>
            <w:r>
              <w:rPr>
                <w:spacing w:val="-3"/>
                <w:sz w:val="18"/>
                <w:szCs w:val="18"/>
              </w:rPr>
              <w:t>球磨机</w:t>
            </w:r>
          </w:p>
        </w:tc>
        <w:tc>
          <w:tcPr>
            <w:tcW w:w="1805" w:type="dxa"/>
            <w:vAlign w:val="top"/>
          </w:tcPr>
          <w:p w14:paraId="0978B949">
            <w:pPr>
              <w:pStyle w:val="6"/>
              <w:spacing w:before="59" w:line="201" w:lineRule="auto"/>
              <w:ind w:left="538"/>
              <w:rPr>
                <w:sz w:val="18"/>
                <w:szCs w:val="18"/>
              </w:rPr>
            </w:pPr>
            <w:r>
              <w:rPr>
                <w:spacing w:val="-6"/>
                <w:sz w:val="18"/>
                <w:szCs w:val="18"/>
              </w:rPr>
              <w:t>φ2.4*11m</w:t>
            </w:r>
          </w:p>
        </w:tc>
        <w:tc>
          <w:tcPr>
            <w:tcW w:w="1774" w:type="dxa"/>
            <w:vAlign w:val="top"/>
          </w:tcPr>
          <w:p w14:paraId="4C3C4FFB">
            <w:pPr>
              <w:spacing w:before="87"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restart"/>
            <w:tcBorders>
              <w:bottom w:val="nil"/>
            </w:tcBorders>
            <w:vAlign w:val="top"/>
          </w:tcPr>
          <w:p w14:paraId="26BB6AE7">
            <w:pPr>
              <w:spacing w:line="268" w:lineRule="auto"/>
              <w:rPr>
                <w:rFonts w:ascii="Arial"/>
                <w:sz w:val="21"/>
              </w:rPr>
            </w:pPr>
          </w:p>
          <w:p w14:paraId="50CD2CAE">
            <w:pPr>
              <w:spacing w:line="269" w:lineRule="auto"/>
              <w:rPr>
                <w:rFonts w:ascii="Arial"/>
                <w:sz w:val="21"/>
              </w:rPr>
            </w:pPr>
          </w:p>
          <w:p w14:paraId="722E2D54">
            <w:pPr>
              <w:spacing w:line="269" w:lineRule="auto"/>
              <w:rPr>
                <w:rFonts w:ascii="Arial"/>
                <w:sz w:val="21"/>
              </w:rPr>
            </w:pPr>
          </w:p>
          <w:p w14:paraId="08401DBD">
            <w:pPr>
              <w:spacing w:line="269" w:lineRule="auto"/>
              <w:rPr>
                <w:rFonts w:ascii="Arial"/>
                <w:sz w:val="21"/>
              </w:rPr>
            </w:pPr>
          </w:p>
          <w:p w14:paraId="79B2820E">
            <w:pPr>
              <w:spacing w:line="269" w:lineRule="auto"/>
              <w:rPr>
                <w:rFonts w:ascii="Arial"/>
                <w:sz w:val="21"/>
              </w:rPr>
            </w:pPr>
          </w:p>
          <w:p w14:paraId="34EEB185">
            <w:pPr>
              <w:spacing w:line="269" w:lineRule="auto"/>
              <w:rPr>
                <w:rFonts w:ascii="Arial"/>
                <w:sz w:val="21"/>
              </w:rPr>
            </w:pPr>
          </w:p>
          <w:p w14:paraId="30A2B190">
            <w:pPr>
              <w:spacing w:line="269" w:lineRule="auto"/>
              <w:rPr>
                <w:rFonts w:ascii="Arial"/>
                <w:sz w:val="21"/>
              </w:rPr>
            </w:pPr>
          </w:p>
          <w:p w14:paraId="180045B9">
            <w:pPr>
              <w:spacing w:line="269" w:lineRule="auto"/>
              <w:rPr>
                <w:rFonts w:ascii="Arial"/>
                <w:sz w:val="21"/>
              </w:rPr>
            </w:pPr>
          </w:p>
          <w:p w14:paraId="4A979049">
            <w:pPr>
              <w:pStyle w:val="6"/>
              <w:spacing w:before="59" w:line="254" w:lineRule="auto"/>
              <w:ind w:left="644" w:right="163" w:hanging="465"/>
              <w:rPr>
                <w:sz w:val="18"/>
                <w:szCs w:val="18"/>
              </w:rPr>
            </w:pPr>
            <w:r>
              <w:rPr>
                <w:spacing w:val="-2"/>
                <w:sz w:val="18"/>
                <w:szCs w:val="18"/>
              </w:rPr>
              <w:t>砌块和板材车</w:t>
            </w:r>
            <w:r>
              <w:rPr>
                <w:spacing w:val="3"/>
                <w:sz w:val="18"/>
                <w:szCs w:val="18"/>
              </w:rPr>
              <w:t xml:space="preserve"> </w:t>
            </w:r>
            <w:r>
              <w:rPr>
                <w:sz w:val="18"/>
                <w:szCs w:val="18"/>
              </w:rPr>
              <w:t>间</w:t>
            </w:r>
          </w:p>
        </w:tc>
        <w:tc>
          <w:tcPr>
            <w:tcW w:w="231" w:type="dxa"/>
            <w:vMerge w:val="continue"/>
            <w:tcBorders>
              <w:top w:val="nil"/>
              <w:bottom w:val="nil"/>
              <w:right w:val="single" w:color="000000" w:sz="6" w:space="0"/>
            </w:tcBorders>
            <w:vAlign w:val="top"/>
          </w:tcPr>
          <w:p w14:paraId="54C11E17">
            <w:pPr>
              <w:rPr>
                <w:rFonts w:ascii="Arial"/>
                <w:sz w:val="21"/>
              </w:rPr>
            </w:pPr>
          </w:p>
        </w:tc>
      </w:tr>
      <w:tr w14:paraId="1DC25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13FEB540">
            <w:pPr>
              <w:rPr>
                <w:rFonts w:ascii="Arial"/>
                <w:sz w:val="21"/>
              </w:rPr>
            </w:pPr>
          </w:p>
        </w:tc>
        <w:tc>
          <w:tcPr>
            <w:tcW w:w="221" w:type="dxa"/>
            <w:vMerge w:val="continue"/>
            <w:tcBorders>
              <w:top w:val="nil"/>
              <w:bottom w:val="nil"/>
            </w:tcBorders>
            <w:vAlign w:val="top"/>
          </w:tcPr>
          <w:p w14:paraId="0C13570E">
            <w:pPr>
              <w:rPr>
                <w:rFonts w:ascii="Arial"/>
                <w:sz w:val="21"/>
              </w:rPr>
            </w:pPr>
          </w:p>
        </w:tc>
        <w:tc>
          <w:tcPr>
            <w:tcW w:w="664" w:type="dxa"/>
            <w:vMerge w:val="continue"/>
            <w:tcBorders>
              <w:top w:val="nil"/>
              <w:bottom w:val="nil"/>
            </w:tcBorders>
            <w:vAlign w:val="top"/>
          </w:tcPr>
          <w:p w14:paraId="5A2B190C">
            <w:pPr>
              <w:rPr>
                <w:rFonts w:ascii="Arial"/>
                <w:sz w:val="21"/>
              </w:rPr>
            </w:pPr>
          </w:p>
        </w:tc>
        <w:tc>
          <w:tcPr>
            <w:tcW w:w="1876" w:type="dxa"/>
            <w:vAlign w:val="top"/>
          </w:tcPr>
          <w:p w14:paraId="103941CB">
            <w:pPr>
              <w:pStyle w:val="6"/>
              <w:spacing w:before="57" w:line="203" w:lineRule="auto"/>
              <w:ind w:left="673"/>
              <w:rPr>
                <w:sz w:val="18"/>
                <w:szCs w:val="18"/>
              </w:rPr>
            </w:pPr>
            <w:r>
              <w:rPr>
                <w:spacing w:val="-4"/>
                <w:sz w:val="18"/>
                <w:szCs w:val="18"/>
              </w:rPr>
              <w:t>原浆罐</w:t>
            </w:r>
          </w:p>
        </w:tc>
        <w:tc>
          <w:tcPr>
            <w:tcW w:w="1805" w:type="dxa"/>
            <w:vAlign w:val="top"/>
          </w:tcPr>
          <w:p w14:paraId="70EEC352">
            <w:pPr>
              <w:pStyle w:val="6"/>
              <w:spacing w:before="57" w:line="203" w:lineRule="auto"/>
              <w:ind w:left="705"/>
              <w:rPr>
                <w:sz w:val="8"/>
                <w:szCs w:val="8"/>
              </w:rPr>
            </w:pPr>
            <w:r>
              <w:rPr>
                <w:spacing w:val="-1"/>
                <w:sz w:val="18"/>
                <w:szCs w:val="18"/>
              </w:rPr>
              <w:t>200m</w:t>
            </w:r>
            <w:r>
              <w:rPr>
                <w:spacing w:val="-1"/>
                <w:position w:val="8"/>
                <w:sz w:val="8"/>
                <w:szCs w:val="8"/>
              </w:rPr>
              <w:t>3</w:t>
            </w:r>
          </w:p>
        </w:tc>
        <w:tc>
          <w:tcPr>
            <w:tcW w:w="1774" w:type="dxa"/>
            <w:vAlign w:val="top"/>
          </w:tcPr>
          <w:p w14:paraId="27B1A187">
            <w:pPr>
              <w:spacing w:before="88" w:line="188" w:lineRule="auto"/>
              <w:ind w:left="8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21" w:type="dxa"/>
            <w:vMerge w:val="continue"/>
            <w:tcBorders>
              <w:top w:val="nil"/>
              <w:bottom w:val="nil"/>
            </w:tcBorders>
            <w:vAlign w:val="top"/>
          </w:tcPr>
          <w:p w14:paraId="1F673040">
            <w:pPr>
              <w:rPr>
                <w:rFonts w:ascii="Arial"/>
                <w:sz w:val="21"/>
              </w:rPr>
            </w:pPr>
          </w:p>
        </w:tc>
        <w:tc>
          <w:tcPr>
            <w:tcW w:w="231" w:type="dxa"/>
            <w:vMerge w:val="continue"/>
            <w:tcBorders>
              <w:top w:val="nil"/>
              <w:bottom w:val="nil"/>
              <w:right w:val="single" w:color="000000" w:sz="6" w:space="0"/>
            </w:tcBorders>
            <w:vAlign w:val="top"/>
          </w:tcPr>
          <w:p w14:paraId="20DB7059">
            <w:pPr>
              <w:rPr>
                <w:rFonts w:ascii="Arial"/>
                <w:sz w:val="21"/>
              </w:rPr>
            </w:pPr>
          </w:p>
        </w:tc>
      </w:tr>
      <w:tr w14:paraId="68BC7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14A5229E">
            <w:pPr>
              <w:rPr>
                <w:rFonts w:ascii="Arial"/>
                <w:sz w:val="21"/>
              </w:rPr>
            </w:pPr>
          </w:p>
        </w:tc>
        <w:tc>
          <w:tcPr>
            <w:tcW w:w="221" w:type="dxa"/>
            <w:vMerge w:val="continue"/>
            <w:tcBorders>
              <w:top w:val="nil"/>
              <w:bottom w:val="nil"/>
            </w:tcBorders>
            <w:vAlign w:val="top"/>
          </w:tcPr>
          <w:p w14:paraId="4E89BD32">
            <w:pPr>
              <w:rPr>
                <w:rFonts w:ascii="Arial"/>
                <w:sz w:val="21"/>
              </w:rPr>
            </w:pPr>
          </w:p>
        </w:tc>
        <w:tc>
          <w:tcPr>
            <w:tcW w:w="664" w:type="dxa"/>
            <w:vMerge w:val="continue"/>
            <w:tcBorders>
              <w:top w:val="nil"/>
              <w:bottom w:val="nil"/>
            </w:tcBorders>
            <w:vAlign w:val="top"/>
          </w:tcPr>
          <w:p w14:paraId="3FB54E18">
            <w:pPr>
              <w:rPr>
                <w:rFonts w:ascii="Arial"/>
                <w:sz w:val="21"/>
              </w:rPr>
            </w:pPr>
          </w:p>
        </w:tc>
        <w:tc>
          <w:tcPr>
            <w:tcW w:w="1876" w:type="dxa"/>
            <w:vAlign w:val="top"/>
          </w:tcPr>
          <w:p w14:paraId="7BEF511D">
            <w:pPr>
              <w:pStyle w:val="6"/>
              <w:spacing w:before="59" w:line="201" w:lineRule="auto"/>
              <w:ind w:left="668"/>
              <w:rPr>
                <w:sz w:val="18"/>
                <w:szCs w:val="18"/>
              </w:rPr>
            </w:pPr>
            <w:r>
              <w:rPr>
                <w:spacing w:val="-3"/>
                <w:sz w:val="18"/>
                <w:szCs w:val="18"/>
              </w:rPr>
              <w:t>废浆池</w:t>
            </w:r>
          </w:p>
        </w:tc>
        <w:tc>
          <w:tcPr>
            <w:tcW w:w="1805" w:type="dxa"/>
            <w:vAlign w:val="top"/>
          </w:tcPr>
          <w:p w14:paraId="7F950E64">
            <w:pPr>
              <w:pStyle w:val="6"/>
              <w:spacing w:before="59" w:line="201" w:lineRule="auto"/>
              <w:ind w:left="752"/>
              <w:rPr>
                <w:sz w:val="8"/>
                <w:szCs w:val="8"/>
              </w:rPr>
            </w:pPr>
            <w:r>
              <w:rPr>
                <w:spacing w:val="-2"/>
                <w:sz w:val="18"/>
                <w:szCs w:val="18"/>
              </w:rPr>
              <w:t>50m</w:t>
            </w:r>
            <w:r>
              <w:rPr>
                <w:spacing w:val="-2"/>
                <w:position w:val="8"/>
                <w:sz w:val="8"/>
                <w:szCs w:val="8"/>
              </w:rPr>
              <w:t>3</w:t>
            </w:r>
          </w:p>
        </w:tc>
        <w:tc>
          <w:tcPr>
            <w:tcW w:w="1774" w:type="dxa"/>
            <w:vAlign w:val="top"/>
          </w:tcPr>
          <w:p w14:paraId="1970B36D">
            <w:pPr>
              <w:spacing w:before="87"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2AC1D9AB">
            <w:pPr>
              <w:rPr>
                <w:rFonts w:ascii="Arial"/>
                <w:sz w:val="21"/>
              </w:rPr>
            </w:pPr>
          </w:p>
        </w:tc>
        <w:tc>
          <w:tcPr>
            <w:tcW w:w="231" w:type="dxa"/>
            <w:vMerge w:val="continue"/>
            <w:tcBorders>
              <w:top w:val="nil"/>
              <w:bottom w:val="nil"/>
              <w:right w:val="single" w:color="000000" w:sz="6" w:space="0"/>
            </w:tcBorders>
            <w:vAlign w:val="top"/>
          </w:tcPr>
          <w:p w14:paraId="3FA3BF94">
            <w:pPr>
              <w:rPr>
                <w:rFonts w:ascii="Arial"/>
                <w:sz w:val="21"/>
              </w:rPr>
            </w:pPr>
          </w:p>
        </w:tc>
      </w:tr>
      <w:tr w14:paraId="32A52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 w:hRule="atLeast"/>
        </w:trPr>
        <w:tc>
          <w:tcPr>
            <w:tcW w:w="831" w:type="dxa"/>
            <w:vMerge w:val="continue"/>
            <w:tcBorders>
              <w:top w:val="nil"/>
              <w:left w:val="single" w:color="000000" w:sz="6" w:space="0"/>
              <w:bottom w:val="nil"/>
            </w:tcBorders>
            <w:vAlign w:val="top"/>
          </w:tcPr>
          <w:p w14:paraId="17ED5CD5">
            <w:pPr>
              <w:rPr>
                <w:rFonts w:ascii="Arial"/>
                <w:sz w:val="21"/>
              </w:rPr>
            </w:pPr>
          </w:p>
        </w:tc>
        <w:tc>
          <w:tcPr>
            <w:tcW w:w="221" w:type="dxa"/>
            <w:vMerge w:val="continue"/>
            <w:tcBorders>
              <w:top w:val="nil"/>
              <w:bottom w:val="nil"/>
            </w:tcBorders>
            <w:vAlign w:val="top"/>
          </w:tcPr>
          <w:p w14:paraId="2DA5F7CD">
            <w:pPr>
              <w:rPr>
                <w:rFonts w:ascii="Arial"/>
                <w:sz w:val="21"/>
              </w:rPr>
            </w:pPr>
          </w:p>
        </w:tc>
        <w:tc>
          <w:tcPr>
            <w:tcW w:w="664" w:type="dxa"/>
            <w:vMerge w:val="continue"/>
            <w:tcBorders>
              <w:top w:val="nil"/>
              <w:bottom w:val="nil"/>
            </w:tcBorders>
            <w:vAlign w:val="top"/>
          </w:tcPr>
          <w:p w14:paraId="2D72578E">
            <w:pPr>
              <w:rPr>
                <w:rFonts w:ascii="Arial"/>
                <w:sz w:val="21"/>
              </w:rPr>
            </w:pPr>
          </w:p>
        </w:tc>
        <w:tc>
          <w:tcPr>
            <w:tcW w:w="1876" w:type="dxa"/>
            <w:vAlign w:val="top"/>
          </w:tcPr>
          <w:p w14:paraId="61FE4794">
            <w:pPr>
              <w:pStyle w:val="6"/>
              <w:spacing w:before="57" w:line="202" w:lineRule="auto"/>
              <w:ind w:left="667"/>
              <w:rPr>
                <w:sz w:val="18"/>
                <w:szCs w:val="18"/>
              </w:rPr>
            </w:pPr>
            <w:r>
              <w:rPr>
                <w:spacing w:val="-2"/>
                <w:sz w:val="18"/>
                <w:szCs w:val="18"/>
              </w:rPr>
              <w:t>送浆泵</w:t>
            </w:r>
          </w:p>
        </w:tc>
        <w:tc>
          <w:tcPr>
            <w:tcW w:w="1805" w:type="dxa"/>
            <w:vAlign w:val="top"/>
          </w:tcPr>
          <w:p w14:paraId="01F157DC">
            <w:pPr>
              <w:pStyle w:val="6"/>
              <w:spacing w:before="57" w:line="202" w:lineRule="auto"/>
              <w:ind w:left="861"/>
              <w:rPr>
                <w:sz w:val="18"/>
                <w:szCs w:val="18"/>
              </w:rPr>
            </w:pPr>
            <w:r>
              <w:rPr>
                <w:sz w:val="18"/>
                <w:szCs w:val="18"/>
              </w:rPr>
              <w:t>/</w:t>
            </w:r>
          </w:p>
        </w:tc>
        <w:tc>
          <w:tcPr>
            <w:tcW w:w="1774" w:type="dxa"/>
            <w:vAlign w:val="top"/>
          </w:tcPr>
          <w:p w14:paraId="6A29A8CC">
            <w:pPr>
              <w:spacing w:before="88" w:line="188" w:lineRule="auto"/>
              <w:ind w:left="8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21" w:type="dxa"/>
            <w:vMerge w:val="continue"/>
            <w:tcBorders>
              <w:top w:val="nil"/>
              <w:bottom w:val="nil"/>
            </w:tcBorders>
            <w:vAlign w:val="top"/>
          </w:tcPr>
          <w:p w14:paraId="4C3F9121">
            <w:pPr>
              <w:rPr>
                <w:rFonts w:ascii="Arial"/>
                <w:sz w:val="21"/>
              </w:rPr>
            </w:pPr>
          </w:p>
        </w:tc>
        <w:tc>
          <w:tcPr>
            <w:tcW w:w="231" w:type="dxa"/>
            <w:vMerge w:val="continue"/>
            <w:tcBorders>
              <w:top w:val="nil"/>
              <w:bottom w:val="nil"/>
              <w:right w:val="single" w:color="000000" w:sz="6" w:space="0"/>
            </w:tcBorders>
            <w:vAlign w:val="top"/>
          </w:tcPr>
          <w:p w14:paraId="0E46FEA1">
            <w:pPr>
              <w:rPr>
                <w:rFonts w:ascii="Arial"/>
                <w:sz w:val="21"/>
              </w:rPr>
            </w:pPr>
          </w:p>
        </w:tc>
      </w:tr>
      <w:tr w14:paraId="563FF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5C965BB0">
            <w:pPr>
              <w:rPr>
                <w:rFonts w:ascii="Arial"/>
                <w:sz w:val="21"/>
              </w:rPr>
            </w:pPr>
          </w:p>
        </w:tc>
        <w:tc>
          <w:tcPr>
            <w:tcW w:w="221" w:type="dxa"/>
            <w:vMerge w:val="continue"/>
            <w:tcBorders>
              <w:top w:val="nil"/>
              <w:bottom w:val="nil"/>
            </w:tcBorders>
            <w:vAlign w:val="top"/>
          </w:tcPr>
          <w:p w14:paraId="624BA4C7">
            <w:pPr>
              <w:rPr>
                <w:rFonts w:ascii="Arial"/>
                <w:sz w:val="21"/>
              </w:rPr>
            </w:pPr>
          </w:p>
        </w:tc>
        <w:tc>
          <w:tcPr>
            <w:tcW w:w="664" w:type="dxa"/>
            <w:vMerge w:val="continue"/>
            <w:tcBorders>
              <w:top w:val="nil"/>
              <w:bottom w:val="nil"/>
            </w:tcBorders>
            <w:vAlign w:val="top"/>
          </w:tcPr>
          <w:p w14:paraId="350C35B7">
            <w:pPr>
              <w:rPr>
                <w:rFonts w:ascii="Arial"/>
                <w:sz w:val="21"/>
              </w:rPr>
            </w:pPr>
          </w:p>
        </w:tc>
        <w:tc>
          <w:tcPr>
            <w:tcW w:w="1876" w:type="dxa"/>
            <w:vAlign w:val="top"/>
          </w:tcPr>
          <w:p w14:paraId="1190B567">
            <w:pPr>
              <w:pStyle w:val="6"/>
              <w:spacing w:before="60" w:line="200" w:lineRule="auto"/>
              <w:ind w:left="669"/>
              <w:rPr>
                <w:sz w:val="18"/>
                <w:szCs w:val="18"/>
              </w:rPr>
            </w:pPr>
            <w:r>
              <w:rPr>
                <w:spacing w:val="-3"/>
                <w:sz w:val="18"/>
                <w:szCs w:val="18"/>
              </w:rPr>
              <w:t>配料罐</w:t>
            </w:r>
          </w:p>
        </w:tc>
        <w:tc>
          <w:tcPr>
            <w:tcW w:w="1805" w:type="dxa"/>
            <w:vAlign w:val="top"/>
          </w:tcPr>
          <w:p w14:paraId="10343264">
            <w:pPr>
              <w:pStyle w:val="6"/>
              <w:spacing w:before="60" w:line="200" w:lineRule="auto"/>
              <w:ind w:left="796"/>
              <w:rPr>
                <w:sz w:val="8"/>
                <w:szCs w:val="8"/>
              </w:rPr>
            </w:pPr>
            <w:r>
              <w:rPr>
                <w:spacing w:val="-3"/>
                <w:sz w:val="18"/>
                <w:szCs w:val="18"/>
              </w:rPr>
              <w:t>5m</w:t>
            </w:r>
            <w:r>
              <w:rPr>
                <w:spacing w:val="-3"/>
                <w:position w:val="8"/>
                <w:sz w:val="8"/>
                <w:szCs w:val="8"/>
              </w:rPr>
              <w:t>3</w:t>
            </w:r>
          </w:p>
        </w:tc>
        <w:tc>
          <w:tcPr>
            <w:tcW w:w="1774" w:type="dxa"/>
            <w:vAlign w:val="top"/>
          </w:tcPr>
          <w:p w14:paraId="3A879853">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74AAF661">
            <w:pPr>
              <w:rPr>
                <w:rFonts w:ascii="Arial"/>
                <w:sz w:val="21"/>
              </w:rPr>
            </w:pPr>
          </w:p>
        </w:tc>
        <w:tc>
          <w:tcPr>
            <w:tcW w:w="231" w:type="dxa"/>
            <w:vMerge w:val="continue"/>
            <w:tcBorders>
              <w:top w:val="nil"/>
              <w:bottom w:val="nil"/>
              <w:right w:val="single" w:color="000000" w:sz="6" w:space="0"/>
            </w:tcBorders>
            <w:vAlign w:val="top"/>
          </w:tcPr>
          <w:p w14:paraId="541CB9BC">
            <w:pPr>
              <w:rPr>
                <w:rFonts w:ascii="Arial"/>
                <w:sz w:val="21"/>
              </w:rPr>
            </w:pPr>
          </w:p>
        </w:tc>
      </w:tr>
      <w:tr w14:paraId="3EE6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2EEDE35D">
            <w:pPr>
              <w:rPr>
                <w:rFonts w:ascii="Arial"/>
                <w:sz w:val="21"/>
              </w:rPr>
            </w:pPr>
          </w:p>
        </w:tc>
        <w:tc>
          <w:tcPr>
            <w:tcW w:w="221" w:type="dxa"/>
            <w:vMerge w:val="continue"/>
            <w:tcBorders>
              <w:top w:val="nil"/>
              <w:bottom w:val="nil"/>
            </w:tcBorders>
            <w:vAlign w:val="top"/>
          </w:tcPr>
          <w:p w14:paraId="2B3E158C">
            <w:pPr>
              <w:rPr>
                <w:rFonts w:ascii="Arial"/>
                <w:sz w:val="21"/>
              </w:rPr>
            </w:pPr>
          </w:p>
        </w:tc>
        <w:tc>
          <w:tcPr>
            <w:tcW w:w="664" w:type="dxa"/>
            <w:vMerge w:val="continue"/>
            <w:tcBorders>
              <w:top w:val="nil"/>
              <w:bottom w:val="nil"/>
            </w:tcBorders>
            <w:vAlign w:val="top"/>
          </w:tcPr>
          <w:p w14:paraId="000FB61D">
            <w:pPr>
              <w:rPr>
                <w:rFonts w:ascii="Arial"/>
                <w:sz w:val="21"/>
              </w:rPr>
            </w:pPr>
          </w:p>
        </w:tc>
        <w:tc>
          <w:tcPr>
            <w:tcW w:w="1876" w:type="dxa"/>
            <w:vAlign w:val="top"/>
          </w:tcPr>
          <w:p w14:paraId="00E90E26">
            <w:pPr>
              <w:pStyle w:val="6"/>
              <w:spacing w:before="58" w:line="202" w:lineRule="auto"/>
              <w:ind w:left="757"/>
              <w:rPr>
                <w:sz w:val="18"/>
                <w:szCs w:val="18"/>
              </w:rPr>
            </w:pPr>
            <w:r>
              <w:rPr>
                <w:spacing w:val="-4"/>
                <w:sz w:val="18"/>
                <w:szCs w:val="18"/>
              </w:rPr>
              <w:t>模具</w:t>
            </w:r>
          </w:p>
        </w:tc>
        <w:tc>
          <w:tcPr>
            <w:tcW w:w="1805" w:type="dxa"/>
            <w:vAlign w:val="top"/>
          </w:tcPr>
          <w:p w14:paraId="33391A97">
            <w:pPr>
              <w:pStyle w:val="6"/>
              <w:spacing w:before="58" w:line="202" w:lineRule="auto"/>
              <w:ind w:left="861"/>
              <w:rPr>
                <w:sz w:val="18"/>
                <w:szCs w:val="18"/>
              </w:rPr>
            </w:pPr>
            <w:r>
              <w:rPr>
                <w:sz w:val="18"/>
                <w:szCs w:val="18"/>
              </w:rPr>
              <w:t>/</w:t>
            </w:r>
          </w:p>
        </w:tc>
        <w:tc>
          <w:tcPr>
            <w:tcW w:w="1774" w:type="dxa"/>
            <w:vAlign w:val="top"/>
          </w:tcPr>
          <w:p w14:paraId="2FDF53EA">
            <w:pPr>
              <w:spacing w:before="89" w:line="188" w:lineRule="auto"/>
              <w:ind w:left="8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421" w:type="dxa"/>
            <w:vMerge w:val="continue"/>
            <w:tcBorders>
              <w:top w:val="nil"/>
              <w:bottom w:val="nil"/>
            </w:tcBorders>
            <w:vAlign w:val="top"/>
          </w:tcPr>
          <w:p w14:paraId="5F2CC39B">
            <w:pPr>
              <w:rPr>
                <w:rFonts w:ascii="Arial"/>
                <w:sz w:val="21"/>
              </w:rPr>
            </w:pPr>
          </w:p>
        </w:tc>
        <w:tc>
          <w:tcPr>
            <w:tcW w:w="231" w:type="dxa"/>
            <w:vMerge w:val="continue"/>
            <w:tcBorders>
              <w:top w:val="nil"/>
              <w:bottom w:val="nil"/>
              <w:right w:val="single" w:color="000000" w:sz="6" w:space="0"/>
            </w:tcBorders>
            <w:vAlign w:val="top"/>
          </w:tcPr>
          <w:p w14:paraId="6BE40680">
            <w:pPr>
              <w:rPr>
                <w:rFonts w:ascii="Arial"/>
                <w:sz w:val="21"/>
              </w:rPr>
            </w:pPr>
          </w:p>
        </w:tc>
      </w:tr>
      <w:tr w14:paraId="7AA42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48CFB101">
            <w:pPr>
              <w:rPr>
                <w:rFonts w:ascii="Arial"/>
                <w:sz w:val="21"/>
              </w:rPr>
            </w:pPr>
          </w:p>
        </w:tc>
        <w:tc>
          <w:tcPr>
            <w:tcW w:w="221" w:type="dxa"/>
            <w:vMerge w:val="continue"/>
            <w:tcBorders>
              <w:top w:val="nil"/>
              <w:bottom w:val="nil"/>
            </w:tcBorders>
            <w:vAlign w:val="top"/>
          </w:tcPr>
          <w:p w14:paraId="76ECDC02">
            <w:pPr>
              <w:rPr>
                <w:rFonts w:ascii="Arial"/>
                <w:sz w:val="21"/>
              </w:rPr>
            </w:pPr>
          </w:p>
        </w:tc>
        <w:tc>
          <w:tcPr>
            <w:tcW w:w="664" w:type="dxa"/>
            <w:vMerge w:val="continue"/>
            <w:tcBorders>
              <w:top w:val="nil"/>
              <w:bottom w:val="nil"/>
            </w:tcBorders>
            <w:vAlign w:val="top"/>
          </w:tcPr>
          <w:p w14:paraId="7AF108A5">
            <w:pPr>
              <w:rPr>
                <w:rFonts w:ascii="Arial"/>
                <w:sz w:val="21"/>
              </w:rPr>
            </w:pPr>
          </w:p>
        </w:tc>
        <w:tc>
          <w:tcPr>
            <w:tcW w:w="1876" w:type="dxa"/>
            <w:vAlign w:val="top"/>
          </w:tcPr>
          <w:p w14:paraId="70B81B09">
            <w:pPr>
              <w:pStyle w:val="6"/>
              <w:spacing w:before="60" w:line="200" w:lineRule="auto"/>
              <w:ind w:left="668"/>
              <w:rPr>
                <w:sz w:val="18"/>
                <w:szCs w:val="18"/>
              </w:rPr>
            </w:pPr>
            <w:r>
              <w:rPr>
                <w:spacing w:val="-3"/>
                <w:sz w:val="18"/>
                <w:szCs w:val="18"/>
              </w:rPr>
              <w:t>初养室</w:t>
            </w:r>
          </w:p>
        </w:tc>
        <w:tc>
          <w:tcPr>
            <w:tcW w:w="1805" w:type="dxa"/>
            <w:vAlign w:val="top"/>
          </w:tcPr>
          <w:p w14:paraId="5F44E675">
            <w:pPr>
              <w:pStyle w:val="6"/>
              <w:spacing w:before="60" w:line="200" w:lineRule="auto"/>
              <w:ind w:left="331"/>
              <w:rPr>
                <w:sz w:val="18"/>
                <w:szCs w:val="18"/>
              </w:rPr>
            </w:pPr>
            <w:r>
              <w:rPr>
                <w:spacing w:val="-4"/>
                <w:sz w:val="18"/>
                <w:szCs w:val="18"/>
              </w:rPr>
              <w:t>宽</w:t>
            </w:r>
            <w:r>
              <w:rPr>
                <w:spacing w:val="-33"/>
                <w:sz w:val="18"/>
                <w:szCs w:val="18"/>
              </w:rPr>
              <w:t xml:space="preserve"> </w:t>
            </w:r>
            <w:r>
              <w:rPr>
                <w:spacing w:val="-4"/>
                <w:sz w:val="18"/>
                <w:szCs w:val="18"/>
              </w:rPr>
              <w:t>3.5m*长</w:t>
            </w:r>
            <w:r>
              <w:rPr>
                <w:spacing w:val="-34"/>
                <w:sz w:val="18"/>
                <w:szCs w:val="18"/>
              </w:rPr>
              <w:t xml:space="preserve"> </w:t>
            </w:r>
            <w:r>
              <w:rPr>
                <w:spacing w:val="-4"/>
                <w:sz w:val="18"/>
                <w:szCs w:val="18"/>
              </w:rPr>
              <w:t>30m</w:t>
            </w:r>
          </w:p>
        </w:tc>
        <w:tc>
          <w:tcPr>
            <w:tcW w:w="1774" w:type="dxa"/>
            <w:vAlign w:val="top"/>
          </w:tcPr>
          <w:p w14:paraId="2B0BAFAF">
            <w:pPr>
              <w:spacing w:before="88" w:line="188" w:lineRule="auto"/>
              <w:ind w:left="84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421" w:type="dxa"/>
            <w:vMerge w:val="continue"/>
            <w:tcBorders>
              <w:top w:val="nil"/>
              <w:bottom w:val="nil"/>
            </w:tcBorders>
            <w:vAlign w:val="top"/>
          </w:tcPr>
          <w:p w14:paraId="48287051">
            <w:pPr>
              <w:rPr>
                <w:rFonts w:ascii="Arial"/>
                <w:sz w:val="21"/>
              </w:rPr>
            </w:pPr>
          </w:p>
        </w:tc>
        <w:tc>
          <w:tcPr>
            <w:tcW w:w="231" w:type="dxa"/>
            <w:vMerge w:val="continue"/>
            <w:tcBorders>
              <w:top w:val="nil"/>
              <w:bottom w:val="nil"/>
              <w:right w:val="single" w:color="000000" w:sz="6" w:space="0"/>
            </w:tcBorders>
            <w:vAlign w:val="top"/>
          </w:tcPr>
          <w:p w14:paraId="429B1D2D">
            <w:pPr>
              <w:rPr>
                <w:rFonts w:ascii="Arial"/>
                <w:sz w:val="21"/>
              </w:rPr>
            </w:pPr>
          </w:p>
        </w:tc>
      </w:tr>
      <w:tr w14:paraId="72DD7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A1DC6AB">
            <w:pPr>
              <w:rPr>
                <w:rFonts w:ascii="Arial"/>
                <w:sz w:val="21"/>
              </w:rPr>
            </w:pPr>
          </w:p>
        </w:tc>
        <w:tc>
          <w:tcPr>
            <w:tcW w:w="221" w:type="dxa"/>
            <w:vMerge w:val="continue"/>
            <w:tcBorders>
              <w:top w:val="nil"/>
              <w:bottom w:val="nil"/>
            </w:tcBorders>
            <w:vAlign w:val="top"/>
          </w:tcPr>
          <w:p w14:paraId="514C3DD7">
            <w:pPr>
              <w:rPr>
                <w:rFonts w:ascii="Arial"/>
                <w:sz w:val="21"/>
              </w:rPr>
            </w:pPr>
          </w:p>
        </w:tc>
        <w:tc>
          <w:tcPr>
            <w:tcW w:w="664" w:type="dxa"/>
            <w:vMerge w:val="continue"/>
            <w:tcBorders>
              <w:top w:val="nil"/>
              <w:bottom w:val="nil"/>
            </w:tcBorders>
            <w:vAlign w:val="top"/>
          </w:tcPr>
          <w:p w14:paraId="27F72CA3">
            <w:pPr>
              <w:rPr>
                <w:rFonts w:ascii="Arial"/>
                <w:sz w:val="21"/>
              </w:rPr>
            </w:pPr>
          </w:p>
        </w:tc>
        <w:tc>
          <w:tcPr>
            <w:tcW w:w="1876" w:type="dxa"/>
            <w:vAlign w:val="top"/>
          </w:tcPr>
          <w:p w14:paraId="40365C49">
            <w:pPr>
              <w:pStyle w:val="6"/>
              <w:spacing w:before="58" w:line="202" w:lineRule="auto"/>
              <w:ind w:left="669"/>
              <w:rPr>
                <w:sz w:val="18"/>
                <w:szCs w:val="18"/>
              </w:rPr>
            </w:pPr>
            <w:r>
              <w:rPr>
                <w:spacing w:val="-3"/>
                <w:sz w:val="18"/>
                <w:szCs w:val="18"/>
              </w:rPr>
              <w:t>运板车</w:t>
            </w:r>
          </w:p>
        </w:tc>
        <w:tc>
          <w:tcPr>
            <w:tcW w:w="1805" w:type="dxa"/>
            <w:vAlign w:val="top"/>
          </w:tcPr>
          <w:p w14:paraId="4BC7D586">
            <w:pPr>
              <w:pStyle w:val="6"/>
              <w:spacing w:before="58" w:line="202" w:lineRule="auto"/>
              <w:ind w:left="861"/>
              <w:rPr>
                <w:sz w:val="18"/>
                <w:szCs w:val="18"/>
              </w:rPr>
            </w:pPr>
            <w:r>
              <w:rPr>
                <w:sz w:val="18"/>
                <w:szCs w:val="18"/>
              </w:rPr>
              <w:t>/</w:t>
            </w:r>
          </w:p>
        </w:tc>
        <w:tc>
          <w:tcPr>
            <w:tcW w:w="1774" w:type="dxa"/>
            <w:vAlign w:val="top"/>
          </w:tcPr>
          <w:p w14:paraId="6F0F0DF1">
            <w:pPr>
              <w:spacing w:before="89" w:line="188" w:lineRule="auto"/>
              <w:ind w:left="8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421" w:type="dxa"/>
            <w:vMerge w:val="continue"/>
            <w:tcBorders>
              <w:top w:val="nil"/>
              <w:bottom w:val="nil"/>
            </w:tcBorders>
            <w:vAlign w:val="top"/>
          </w:tcPr>
          <w:p w14:paraId="597FBA0A">
            <w:pPr>
              <w:rPr>
                <w:rFonts w:ascii="Arial"/>
                <w:sz w:val="21"/>
              </w:rPr>
            </w:pPr>
          </w:p>
        </w:tc>
        <w:tc>
          <w:tcPr>
            <w:tcW w:w="231" w:type="dxa"/>
            <w:vMerge w:val="continue"/>
            <w:tcBorders>
              <w:top w:val="nil"/>
              <w:bottom w:val="nil"/>
              <w:right w:val="single" w:color="000000" w:sz="6" w:space="0"/>
            </w:tcBorders>
            <w:vAlign w:val="top"/>
          </w:tcPr>
          <w:p w14:paraId="7716E13F">
            <w:pPr>
              <w:rPr>
                <w:rFonts w:ascii="Arial"/>
                <w:sz w:val="21"/>
              </w:rPr>
            </w:pPr>
          </w:p>
        </w:tc>
      </w:tr>
      <w:tr w14:paraId="0C7E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541ABF3">
            <w:pPr>
              <w:rPr>
                <w:rFonts w:ascii="Arial"/>
                <w:sz w:val="21"/>
              </w:rPr>
            </w:pPr>
          </w:p>
        </w:tc>
        <w:tc>
          <w:tcPr>
            <w:tcW w:w="221" w:type="dxa"/>
            <w:vMerge w:val="continue"/>
            <w:tcBorders>
              <w:top w:val="nil"/>
              <w:bottom w:val="nil"/>
            </w:tcBorders>
            <w:vAlign w:val="top"/>
          </w:tcPr>
          <w:p w14:paraId="4A6C191F">
            <w:pPr>
              <w:rPr>
                <w:rFonts w:ascii="Arial"/>
                <w:sz w:val="21"/>
              </w:rPr>
            </w:pPr>
          </w:p>
        </w:tc>
        <w:tc>
          <w:tcPr>
            <w:tcW w:w="664" w:type="dxa"/>
            <w:vMerge w:val="continue"/>
            <w:tcBorders>
              <w:top w:val="nil"/>
              <w:bottom w:val="nil"/>
            </w:tcBorders>
            <w:vAlign w:val="top"/>
          </w:tcPr>
          <w:p w14:paraId="55FEBAE4">
            <w:pPr>
              <w:rPr>
                <w:rFonts w:ascii="Arial"/>
                <w:sz w:val="21"/>
              </w:rPr>
            </w:pPr>
          </w:p>
        </w:tc>
        <w:tc>
          <w:tcPr>
            <w:tcW w:w="1876" w:type="dxa"/>
            <w:vAlign w:val="top"/>
          </w:tcPr>
          <w:p w14:paraId="52606D72">
            <w:pPr>
              <w:pStyle w:val="6"/>
              <w:spacing w:before="60" w:line="200" w:lineRule="auto"/>
              <w:ind w:left="670"/>
              <w:rPr>
                <w:sz w:val="18"/>
                <w:szCs w:val="18"/>
              </w:rPr>
            </w:pPr>
            <w:r>
              <w:rPr>
                <w:spacing w:val="-3"/>
                <w:sz w:val="18"/>
                <w:szCs w:val="18"/>
              </w:rPr>
              <w:t>牵引车</w:t>
            </w:r>
          </w:p>
        </w:tc>
        <w:tc>
          <w:tcPr>
            <w:tcW w:w="1805" w:type="dxa"/>
            <w:vAlign w:val="top"/>
          </w:tcPr>
          <w:p w14:paraId="0C38B675">
            <w:pPr>
              <w:pStyle w:val="6"/>
              <w:spacing w:before="60" w:line="200" w:lineRule="auto"/>
              <w:ind w:left="861"/>
              <w:rPr>
                <w:sz w:val="18"/>
                <w:szCs w:val="18"/>
              </w:rPr>
            </w:pPr>
            <w:r>
              <w:rPr>
                <w:sz w:val="18"/>
                <w:szCs w:val="18"/>
              </w:rPr>
              <w:t>/</w:t>
            </w:r>
          </w:p>
        </w:tc>
        <w:tc>
          <w:tcPr>
            <w:tcW w:w="1774" w:type="dxa"/>
            <w:vAlign w:val="top"/>
          </w:tcPr>
          <w:p w14:paraId="14F1809F">
            <w:pPr>
              <w:spacing w:before="88" w:line="188" w:lineRule="auto"/>
              <w:ind w:left="8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421" w:type="dxa"/>
            <w:vMerge w:val="continue"/>
            <w:tcBorders>
              <w:top w:val="nil"/>
              <w:bottom w:val="nil"/>
            </w:tcBorders>
            <w:vAlign w:val="top"/>
          </w:tcPr>
          <w:p w14:paraId="070E7A6B">
            <w:pPr>
              <w:rPr>
                <w:rFonts w:ascii="Arial"/>
                <w:sz w:val="21"/>
              </w:rPr>
            </w:pPr>
          </w:p>
        </w:tc>
        <w:tc>
          <w:tcPr>
            <w:tcW w:w="231" w:type="dxa"/>
            <w:vMerge w:val="continue"/>
            <w:tcBorders>
              <w:top w:val="nil"/>
              <w:bottom w:val="nil"/>
              <w:right w:val="single" w:color="000000" w:sz="6" w:space="0"/>
            </w:tcBorders>
            <w:vAlign w:val="top"/>
          </w:tcPr>
          <w:p w14:paraId="20DE850C">
            <w:pPr>
              <w:rPr>
                <w:rFonts w:ascii="Arial"/>
                <w:sz w:val="21"/>
              </w:rPr>
            </w:pPr>
          </w:p>
        </w:tc>
      </w:tr>
      <w:tr w14:paraId="08A29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7A444CEF">
            <w:pPr>
              <w:rPr>
                <w:rFonts w:ascii="Arial"/>
                <w:sz w:val="21"/>
              </w:rPr>
            </w:pPr>
          </w:p>
        </w:tc>
        <w:tc>
          <w:tcPr>
            <w:tcW w:w="221" w:type="dxa"/>
            <w:vMerge w:val="continue"/>
            <w:tcBorders>
              <w:top w:val="nil"/>
              <w:bottom w:val="nil"/>
            </w:tcBorders>
            <w:vAlign w:val="top"/>
          </w:tcPr>
          <w:p w14:paraId="3765D33B">
            <w:pPr>
              <w:rPr>
                <w:rFonts w:ascii="Arial"/>
                <w:sz w:val="21"/>
              </w:rPr>
            </w:pPr>
          </w:p>
        </w:tc>
        <w:tc>
          <w:tcPr>
            <w:tcW w:w="664" w:type="dxa"/>
            <w:vMerge w:val="continue"/>
            <w:tcBorders>
              <w:top w:val="nil"/>
              <w:bottom w:val="nil"/>
            </w:tcBorders>
            <w:vAlign w:val="top"/>
          </w:tcPr>
          <w:p w14:paraId="5DC47A65">
            <w:pPr>
              <w:rPr>
                <w:rFonts w:ascii="Arial"/>
                <w:sz w:val="21"/>
              </w:rPr>
            </w:pPr>
          </w:p>
        </w:tc>
        <w:tc>
          <w:tcPr>
            <w:tcW w:w="1876" w:type="dxa"/>
            <w:vAlign w:val="top"/>
          </w:tcPr>
          <w:p w14:paraId="21CB67A8">
            <w:pPr>
              <w:pStyle w:val="6"/>
              <w:spacing w:before="58" w:line="202" w:lineRule="auto"/>
              <w:ind w:left="668"/>
              <w:rPr>
                <w:sz w:val="18"/>
                <w:szCs w:val="18"/>
              </w:rPr>
            </w:pPr>
            <w:r>
              <w:rPr>
                <w:spacing w:val="-3"/>
                <w:sz w:val="18"/>
                <w:szCs w:val="18"/>
              </w:rPr>
              <w:t>切割机</w:t>
            </w:r>
          </w:p>
        </w:tc>
        <w:tc>
          <w:tcPr>
            <w:tcW w:w="1805" w:type="dxa"/>
            <w:vAlign w:val="top"/>
          </w:tcPr>
          <w:p w14:paraId="23DED2DA">
            <w:pPr>
              <w:pStyle w:val="6"/>
              <w:spacing w:before="58" w:line="202" w:lineRule="auto"/>
              <w:ind w:left="366"/>
              <w:rPr>
                <w:sz w:val="18"/>
                <w:szCs w:val="18"/>
              </w:rPr>
            </w:pPr>
            <w:r>
              <w:rPr>
                <w:spacing w:val="-1"/>
                <w:sz w:val="18"/>
                <w:szCs w:val="18"/>
              </w:rPr>
              <w:t>JQF6*1.2*0.6</w:t>
            </w:r>
          </w:p>
        </w:tc>
        <w:tc>
          <w:tcPr>
            <w:tcW w:w="1774" w:type="dxa"/>
            <w:vAlign w:val="top"/>
          </w:tcPr>
          <w:p w14:paraId="22DC474E">
            <w:pPr>
              <w:spacing w:before="89"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20C10555">
            <w:pPr>
              <w:rPr>
                <w:rFonts w:ascii="Arial"/>
                <w:sz w:val="21"/>
              </w:rPr>
            </w:pPr>
          </w:p>
        </w:tc>
        <w:tc>
          <w:tcPr>
            <w:tcW w:w="231" w:type="dxa"/>
            <w:vMerge w:val="continue"/>
            <w:tcBorders>
              <w:top w:val="nil"/>
              <w:bottom w:val="nil"/>
              <w:right w:val="single" w:color="000000" w:sz="6" w:space="0"/>
            </w:tcBorders>
            <w:vAlign w:val="top"/>
          </w:tcPr>
          <w:p w14:paraId="12B7B83B">
            <w:pPr>
              <w:rPr>
                <w:rFonts w:ascii="Arial"/>
                <w:sz w:val="21"/>
              </w:rPr>
            </w:pPr>
          </w:p>
        </w:tc>
      </w:tr>
      <w:tr w14:paraId="65FE1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0154795C">
            <w:pPr>
              <w:rPr>
                <w:rFonts w:ascii="Arial"/>
                <w:sz w:val="21"/>
              </w:rPr>
            </w:pPr>
          </w:p>
        </w:tc>
        <w:tc>
          <w:tcPr>
            <w:tcW w:w="221" w:type="dxa"/>
            <w:vMerge w:val="continue"/>
            <w:tcBorders>
              <w:top w:val="nil"/>
              <w:bottom w:val="nil"/>
            </w:tcBorders>
            <w:vAlign w:val="top"/>
          </w:tcPr>
          <w:p w14:paraId="56AE941A">
            <w:pPr>
              <w:rPr>
                <w:rFonts w:ascii="Arial"/>
                <w:sz w:val="21"/>
              </w:rPr>
            </w:pPr>
          </w:p>
        </w:tc>
        <w:tc>
          <w:tcPr>
            <w:tcW w:w="664" w:type="dxa"/>
            <w:vMerge w:val="continue"/>
            <w:tcBorders>
              <w:top w:val="nil"/>
              <w:bottom w:val="nil"/>
            </w:tcBorders>
            <w:vAlign w:val="top"/>
          </w:tcPr>
          <w:p w14:paraId="3F094C62">
            <w:pPr>
              <w:rPr>
                <w:rFonts w:ascii="Arial"/>
                <w:sz w:val="21"/>
              </w:rPr>
            </w:pPr>
          </w:p>
        </w:tc>
        <w:tc>
          <w:tcPr>
            <w:tcW w:w="1876" w:type="dxa"/>
            <w:vAlign w:val="top"/>
          </w:tcPr>
          <w:p w14:paraId="406E08E4">
            <w:pPr>
              <w:pStyle w:val="6"/>
              <w:spacing w:before="60" w:line="200" w:lineRule="auto"/>
              <w:ind w:left="667"/>
              <w:rPr>
                <w:sz w:val="18"/>
                <w:szCs w:val="18"/>
              </w:rPr>
            </w:pPr>
            <w:r>
              <w:rPr>
                <w:spacing w:val="-2"/>
                <w:sz w:val="18"/>
                <w:szCs w:val="18"/>
              </w:rPr>
              <w:t>翻转机</w:t>
            </w:r>
          </w:p>
        </w:tc>
        <w:tc>
          <w:tcPr>
            <w:tcW w:w="1805" w:type="dxa"/>
            <w:vAlign w:val="top"/>
          </w:tcPr>
          <w:p w14:paraId="0091C0E2">
            <w:pPr>
              <w:pStyle w:val="6"/>
              <w:spacing w:before="86" w:line="173" w:lineRule="auto"/>
              <w:ind w:left="544"/>
              <w:rPr>
                <w:sz w:val="18"/>
                <w:szCs w:val="18"/>
              </w:rPr>
            </w:pPr>
            <w:r>
              <w:rPr>
                <w:spacing w:val="-1"/>
                <w:sz w:val="18"/>
                <w:szCs w:val="18"/>
              </w:rPr>
              <w:t>DF60A.00</w:t>
            </w:r>
          </w:p>
        </w:tc>
        <w:tc>
          <w:tcPr>
            <w:tcW w:w="1774" w:type="dxa"/>
            <w:vAlign w:val="top"/>
          </w:tcPr>
          <w:p w14:paraId="4CD9A5A2">
            <w:pPr>
              <w:spacing w:before="8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5991C3F0">
            <w:pPr>
              <w:rPr>
                <w:rFonts w:ascii="Arial"/>
                <w:sz w:val="21"/>
              </w:rPr>
            </w:pPr>
          </w:p>
        </w:tc>
        <w:tc>
          <w:tcPr>
            <w:tcW w:w="231" w:type="dxa"/>
            <w:vMerge w:val="continue"/>
            <w:tcBorders>
              <w:top w:val="nil"/>
              <w:bottom w:val="nil"/>
              <w:right w:val="single" w:color="000000" w:sz="6" w:space="0"/>
            </w:tcBorders>
            <w:vAlign w:val="top"/>
          </w:tcPr>
          <w:p w14:paraId="57F2ABDD">
            <w:pPr>
              <w:rPr>
                <w:rFonts w:ascii="Arial"/>
                <w:sz w:val="21"/>
              </w:rPr>
            </w:pPr>
          </w:p>
        </w:tc>
      </w:tr>
      <w:tr w14:paraId="35FA5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9B11E5D">
            <w:pPr>
              <w:rPr>
                <w:rFonts w:ascii="Arial"/>
                <w:sz w:val="21"/>
              </w:rPr>
            </w:pPr>
          </w:p>
        </w:tc>
        <w:tc>
          <w:tcPr>
            <w:tcW w:w="221" w:type="dxa"/>
            <w:vMerge w:val="continue"/>
            <w:tcBorders>
              <w:top w:val="nil"/>
              <w:bottom w:val="nil"/>
            </w:tcBorders>
            <w:vAlign w:val="top"/>
          </w:tcPr>
          <w:p w14:paraId="59D7D0B4">
            <w:pPr>
              <w:rPr>
                <w:rFonts w:ascii="Arial"/>
                <w:sz w:val="21"/>
              </w:rPr>
            </w:pPr>
          </w:p>
        </w:tc>
        <w:tc>
          <w:tcPr>
            <w:tcW w:w="664" w:type="dxa"/>
            <w:vMerge w:val="continue"/>
            <w:tcBorders>
              <w:top w:val="nil"/>
              <w:bottom w:val="nil"/>
            </w:tcBorders>
            <w:vAlign w:val="top"/>
          </w:tcPr>
          <w:p w14:paraId="03AC3073">
            <w:pPr>
              <w:rPr>
                <w:rFonts w:ascii="Arial"/>
                <w:sz w:val="21"/>
              </w:rPr>
            </w:pPr>
          </w:p>
        </w:tc>
        <w:tc>
          <w:tcPr>
            <w:tcW w:w="1876" w:type="dxa"/>
            <w:vAlign w:val="top"/>
          </w:tcPr>
          <w:p w14:paraId="150FEBA7">
            <w:pPr>
              <w:pStyle w:val="6"/>
              <w:spacing w:before="58" w:line="202" w:lineRule="auto"/>
              <w:ind w:left="671"/>
              <w:rPr>
                <w:sz w:val="18"/>
                <w:szCs w:val="18"/>
              </w:rPr>
            </w:pPr>
            <w:r>
              <w:rPr>
                <w:spacing w:val="-4"/>
                <w:sz w:val="18"/>
                <w:szCs w:val="18"/>
              </w:rPr>
              <w:t>蒸压釜</w:t>
            </w:r>
          </w:p>
        </w:tc>
        <w:tc>
          <w:tcPr>
            <w:tcW w:w="1805" w:type="dxa"/>
            <w:vAlign w:val="top"/>
          </w:tcPr>
          <w:p w14:paraId="13BF9B46">
            <w:pPr>
              <w:pStyle w:val="6"/>
              <w:spacing w:before="58" w:line="202" w:lineRule="auto"/>
              <w:ind w:left="331"/>
              <w:rPr>
                <w:sz w:val="18"/>
                <w:szCs w:val="18"/>
              </w:rPr>
            </w:pPr>
            <w:r>
              <w:rPr>
                <w:spacing w:val="-4"/>
                <w:sz w:val="18"/>
                <w:szCs w:val="18"/>
              </w:rPr>
              <w:t>宽</w:t>
            </w:r>
            <w:r>
              <w:rPr>
                <w:spacing w:val="-34"/>
                <w:sz w:val="18"/>
                <w:szCs w:val="18"/>
              </w:rPr>
              <w:t xml:space="preserve"> </w:t>
            </w:r>
            <w:r>
              <w:rPr>
                <w:spacing w:val="-4"/>
                <w:sz w:val="18"/>
                <w:szCs w:val="18"/>
              </w:rPr>
              <w:t>2.5m*长</w:t>
            </w:r>
            <w:r>
              <w:rPr>
                <w:spacing w:val="-34"/>
                <w:sz w:val="18"/>
                <w:szCs w:val="18"/>
              </w:rPr>
              <w:t xml:space="preserve"> </w:t>
            </w:r>
            <w:r>
              <w:rPr>
                <w:spacing w:val="-4"/>
                <w:sz w:val="18"/>
                <w:szCs w:val="18"/>
              </w:rPr>
              <w:t>31m</w:t>
            </w:r>
          </w:p>
        </w:tc>
        <w:tc>
          <w:tcPr>
            <w:tcW w:w="1774" w:type="dxa"/>
            <w:vAlign w:val="top"/>
          </w:tcPr>
          <w:p w14:paraId="6CFED77C">
            <w:pPr>
              <w:spacing w:before="89" w:line="188" w:lineRule="auto"/>
              <w:ind w:left="84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21" w:type="dxa"/>
            <w:vMerge w:val="continue"/>
            <w:tcBorders>
              <w:top w:val="nil"/>
              <w:bottom w:val="nil"/>
            </w:tcBorders>
            <w:vAlign w:val="top"/>
          </w:tcPr>
          <w:p w14:paraId="68E19F55">
            <w:pPr>
              <w:rPr>
                <w:rFonts w:ascii="Arial"/>
                <w:sz w:val="21"/>
              </w:rPr>
            </w:pPr>
          </w:p>
        </w:tc>
        <w:tc>
          <w:tcPr>
            <w:tcW w:w="231" w:type="dxa"/>
            <w:vMerge w:val="continue"/>
            <w:tcBorders>
              <w:top w:val="nil"/>
              <w:bottom w:val="nil"/>
              <w:right w:val="single" w:color="000000" w:sz="6" w:space="0"/>
            </w:tcBorders>
            <w:vAlign w:val="top"/>
          </w:tcPr>
          <w:p w14:paraId="20938F3C">
            <w:pPr>
              <w:rPr>
                <w:rFonts w:ascii="Arial"/>
                <w:sz w:val="21"/>
              </w:rPr>
            </w:pPr>
          </w:p>
        </w:tc>
      </w:tr>
      <w:tr w14:paraId="09FA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51CE26C2">
            <w:pPr>
              <w:rPr>
                <w:rFonts w:ascii="Arial"/>
                <w:sz w:val="21"/>
              </w:rPr>
            </w:pPr>
          </w:p>
        </w:tc>
        <w:tc>
          <w:tcPr>
            <w:tcW w:w="221" w:type="dxa"/>
            <w:vMerge w:val="continue"/>
            <w:tcBorders>
              <w:top w:val="nil"/>
              <w:bottom w:val="nil"/>
            </w:tcBorders>
            <w:vAlign w:val="top"/>
          </w:tcPr>
          <w:p w14:paraId="5A65857F">
            <w:pPr>
              <w:rPr>
                <w:rFonts w:ascii="Arial"/>
                <w:sz w:val="21"/>
              </w:rPr>
            </w:pPr>
          </w:p>
        </w:tc>
        <w:tc>
          <w:tcPr>
            <w:tcW w:w="664" w:type="dxa"/>
            <w:vMerge w:val="continue"/>
            <w:tcBorders>
              <w:top w:val="nil"/>
              <w:bottom w:val="nil"/>
            </w:tcBorders>
            <w:vAlign w:val="top"/>
          </w:tcPr>
          <w:p w14:paraId="6C9115AA">
            <w:pPr>
              <w:rPr>
                <w:rFonts w:ascii="Arial"/>
                <w:sz w:val="21"/>
              </w:rPr>
            </w:pPr>
          </w:p>
        </w:tc>
        <w:tc>
          <w:tcPr>
            <w:tcW w:w="1876" w:type="dxa"/>
            <w:vAlign w:val="top"/>
          </w:tcPr>
          <w:p w14:paraId="65338086">
            <w:pPr>
              <w:pStyle w:val="6"/>
              <w:spacing w:before="60" w:line="200" w:lineRule="auto"/>
              <w:ind w:left="669"/>
              <w:rPr>
                <w:sz w:val="18"/>
                <w:szCs w:val="18"/>
              </w:rPr>
            </w:pPr>
            <w:r>
              <w:rPr>
                <w:spacing w:val="-3"/>
                <w:sz w:val="18"/>
                <w:szCs w:val="18"/>
              </w:rPr>
              <w:t>掰板机</w:t>
            </w:r>
          </w:p>
        </w:tc>
        <w:tc>
          <w:tcPr>
            <w:tcW w:w="1805" w:type="dxa"/>
            <w:vAlign w:val="top"/>
          </w:tcPr>
          <w:p w14:paraId="0266ABA7">
            <w:pPr>
              <w:pStyle w:val="6"/>
              <w:spacing w:before="88" w:line="171" w:lineRule="auto"/>
              <w:ind w:left="543"/>
              <w:rPr>
                <w:sz w:val="18"/>
                <w:szCs w:val="18"/>
              </w:rPr>
            </w:pPr>
            <w:r>
              <w:rPr>
                <w:spacing w:val="-1"/>
                <w:sz w:val="18"/>
                <w:szCs w:val="18"/>
              </w:rPr>
              <w:t>BB60C.00</w:t>
            </w:r>
          </w:p>
        </w:tc>
        <w:tc>
          <w:tcPr>
            <w:tcW w:w="1774" w:type="dxa"/>
            <w:vAlign w:val="top"/>
          </w:tcPr>
          <w:p w14:paraId="48C16093">
            <w:pPr>
              <w:spacing w:before="8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614FE380">
            <w:pPr>
              <w:rPr>
                <w:rFonts w:ascii="Arial"/>
                <w:sz w:val="21"/>
              </w:rPr>
            </w:pPr>
          </w:p>
        </w:tc>
        <w:tc>
          <w:tcPr>
            <w:tcW w:w="231" w:type="dxa"/>
            <w:vMerge w:val="continue"/>
            <w:tcBorders>
              <w:top w:val="nil"/>
              <w:bottom w:val="nil"/>
              <w:right w:val="single" w:color="000000" w:sz="6" w:space="0"/>
            </w:tcBorders>
            <w:vAlign w:val="top"/>
          </w:tcPr>
          <w:p w14:paraId="0FFBA67A">
            <w:pPr>
              <w:rPr>
                <w:rFonts w:ascii="Arial"/>
                <w:sz w:val="21"/>
              </w:rPr>
            </w:pPr>
          </w:p>
        </w:tc>
      </w:tr>
      <w:tr w14:paraId="27C53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4FD01F1E">
            <w:pPr>
              <w:rPr>
                <w:rFonts w:ascii="Arial"/>
                <w:sz w:val="21"/>
              </w:rPr>
            </w:pPr>
          </w:p>
        </w:tc>
        <w:tc>
          <w:tcPr>
            <w:tcW w:w="221" w:type="dxa"/>
            <w:vMerge w:val="continue"/>
            <w:tcBorders>
              <w:top w:val="nil"/>
              <w:bottom w:val="nil"/>
            </w:tcBorders>
            <w:vAlign w:val="top"/>
          </w:tcPr>
          <w:p w14:paraId="55B041C7">
            <w:pPr>
              <w:rPr>
                <w:rFonts w:ascii="Arial"/>
                <w:sz w:val="21"/>
              </w:rPr>
            </w:pPr>
          </w:p>
        </w:tc>
        <w:tc>
          <w:tcPr>
            <w:tcW w:w="664" w:type="dxa"/>
            <w:vMerge w:val="continue"/>
            <w:tcBorders>
              <w:top w:val="nil"/>
              <w:bottom w:val="nil"/>
            </w:tcBorders>
            <w:vAlign w:val="top"/>
          </w:tcPr>
          <w:p w14:paraId="6AB678E5">
            <w:pPr>
              <w:rPr>
                <w:rFonts w:ascii="Arial"/>
                <w:sz w:val="21"/>
              </w:rPr>
            </w:pPr>
          </w:p>
        </w:tc>
        <w:tc>
          <w:tcPr>
            <w:tcW w:w="1876" w:type="dxa"/>
            <w:vAlign w:val="top"/>
          </w:tcPr>
          <w:p w14:paraId="14F2D103">
            <w:pPr>
              <w:pStyle w:val="6"/>
              <w:spacing w:before="58" w:line="202" w:lineRule="auto"/>
              <w:ind w:left="489"/>
              <w:rPr>
                <w:sz w:val="18"/>
                <w:szCs w:val="18"/>
              </w:rPr>
            </w:pPr>
            <w:r>
              <w:rPr>
                <w:spacing w:val="-2"/>
                <w:sz w:val="18"/>
                <w:szCs w:val="18"/>
              </w:rPr>
              <w:t>运板清扫机</w:t>
            </w:r>
          </w:p>
        </w:tc>
        <w:tc>
          <w:tcPr>
            <w:tcW w:w="1805" w:type="dxa"/>
            <w:vAlign w:val="top"/>
          </w:tcPr>
          <w:p w14:paraId="659F3C2A">
            <w:pPr>
              <w:pStyle w:val="6"/>
              <w:spacing w:before="58" w:line="202" w:lineRule="auto"/>
              <w:ind w:left="861"/>
              <w:rPr>
                <w:sz w:val="18"/>
                <w:szCs w:val="18"/>
              </w:rPr>
            </w:pPr>
            <w:r>
              <w:rPr>
                <w:sz w:val="18"/>
                <w:szCs w:val="18"/>
              </w:rPr>
              <w:t>/</w:t>
            </w:r>
          </w:p>
        </w:tc>
        <w:tc>
          <w:tcPr>
            <w:tcW w:w="1774" w:type="dxa"/>
            <w:vAlign w:val="top"/>
          </w:tcPr>
          <w:p w14:paraId="56985061">
            <w:pPr>
              <w:spacing w:before="89"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2FFF37D5">
            <w:pPr>
              <w:rPr>
                <w:rFonts w:ascii="Arial"/>
                <w:sz w:val="21"/>
              </w:rPr>
            </w:pPr>
          </w:p>
        </w:tc>
        <w:tc>
          <w:tcPr>
            <w:tcW w:w="231" w:type="dxa"/>
            <w:vMerge w:val="continue"/>
            <w:tcBorders>
              <w:top w:val="nil"/>
              <w:bottom w:val="nil"/>
              <w:right w:val="single" w:color="000000" w:sz="6" w:space="0"/>
            </w:tcBorders>
            <w:vAlign w:val="top"/>
          </w:tcPr>
          <w:p w14:paraId="12D050DD">
            <w:pPr>
              <w:rPr>
                <w:rFonts w:ascii="Arial"/>
                <w:sz w:val="21"/>
              </w:rPr>
            </w:pPr>
          </w:p>
        </w:tc>
      </w:tr>
      <w:tr w14:paraId="50E3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EBBE564">
            <w:pPr>
              <w:rPr>
                <w:rFonts w:ascii="Arial"/>
                <w:sz w:val="21"/>
              </w:rPr>
            </w:pPr>
          </w:p>
        </w:tc>
        <w:tc>
          <w:tcPr>
            <w:tcW w:w="221" w:type="dxa"/>
            <w:vMerge w:val="continue"/>
            <w:tcBorders>
              <w:top w:val="nil"/>
              <w:bottom w:val="nil"/>
            </w:tcBorders>
            <w:vAlign w:val="top"/>
          </w:tcPr>
          <w:p w14:paraId="0FA2838D">
            <w:pPr>
              <w:rPr>
                <w:rFonts w:ascii="Arial"/>
                <w:sz w:val="21"/>
              </w:rPr>
            </w:pPr>
          </w:p>
        </w:tc>
        <w:tc>
          <w:tcPr>
            <w:tcW w:w="664" w:type="dxa"/>
            <w:vMerge w:val="continue"/>
            <w:tcBorders>
              <w:top w:val="nil"/>
              <w:bottom w:val="nil"/>
            </w:tcBorders>
            <w:vAlign w:val="top"/>
          </w:tcPr>
          <w:p w14:paraId="59EF4445">
            <w:pPr>
              <w:rPr>
                <w:rFonts w:ascii="Arial"/>
                <w:sz w:val="21"/>
              </w:rPr>
            </w:pPr>
          </w:p>
        </w:tc>
        <w:tc>
          <w:tcPr>
            <w:tcW w:w="1876" w:type="dxa"/>
            <w:vAlign w:val="top"/>
          </w:tcPr>
          <w:p w14:paraId="782DCFD3">
            <w:pPr>
              <w:pStyle w:val="6"/>
              <w:spacing w:before="60" w:line="200" w:lineRule="auto"/>
              <w:ind w:left="487"/>
              <w:rPr>
                <w:sz w:val="18"/>
                <w:szCs w:val="18"/>
              </w:rPr>
            </w:pPr>
            <w:r>
              <w:rPr>
                <w:spacing w:val="-2"/>
                <w:sz w:val="18"/>
                <w:szCs w:val="18"/>
              </w:rPr>
              <w:t>钢筋切割机</w:t>
            </w:r>
          </w:p>
        </w:tc>
        <w:tc>
          <w:tcPr>
            <w:tcW w:w="1805" w:type="dxa"/>
            <w:vAlign w:val="top"/>
          </w:tcPr>
          <w:p w14:paraId="15D6D0DB">
            <w:pPr>
              <w:pStyle w:val="6"/>
              <w:spacing w:before="60" w:line="200" w:lineRule="auto"/>
              <w:ind w:left="861"/>
              <w:rPr>
                <w:sz w:val="18"/>
                <w:szCs w:val="18"/>
              </w:rPr>
            </w:pPr>
            <w:r>
              <w:rPr>
                <w:sz w:val="18"/>
                <w:szCs w:val="18"/>
              </w:rPr>
              <w:t>/</w:t>
            </w:r>
          </w:p>
        </w:tc>
        <w:tc>
          <w:tcPr>
            <w:tcW w:w="1774" w:type="dxa"/>
            <w:vAlign w:val="top"/>
          </w:tcPr>
          <w:p w14:paraId="721221FD">
            <w:pPr>
              <w:spacing w:before="8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31D152BD">
            <w:pPr>
              <w:rPr>
                <w:rFonts w:ascii="Arial"/>
                <w:sz w:val="21"/>
              </w:rPr>
            </w:pPr>
          </w:p>
        </w:tc>
        <w:tc>
          <w:tcPr>
            <w:tcW w:w="231" w:type="dxa"/>
            <w:vMerge w:val="continue"/>
            <w:tcBorders>
              <w:top w:val="nil"/>
              <w:bottom w:val="nil"/>
              <w:right w:val="single" w:color="000000" w:sz="6" w:space="0"/>
            </w:tcBorders>
            <w:vAlign w:val="top"/>
          </w:tcPr>
          <w:p w14:paraId="3C6E3505">
            <w:pPr>
              <w:rPr>
                <w:rFonts w:ascii="Arial"/>
                <w:sz w:val="21"/>
              </w:rPr>
            </w:pPr>
          </w:p>
        </w:tc>
      </w:tr>
      <w:tr w14:paraId="23EDE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05A39D52">
            <w:pPr>
              <w:rPr>
                <w:rFonts w:ascii="Arial"/>
                <w:sz w:val="21"/>
              </w:rPr>
            </w:pPr>
          </w:p>
        </w:tc>
        <w:tc>
          <w:tcPr>
            <w:tcW w:w="221" w:type="dxa"/>
            <w:vMerge w:val="continue"/>
            <w:tcBorders>
              <w:top w:val="nil"/>
              <w:bottom w:val="nil"/>
            </w:tcBorders>
            <w:vAlign w:val="top"/>
          </w:tcPr>
          <w:p w14:paraId="28DAAE76">
            <w:pPr>
              <w:rPr>
                <w:rFonts w:ascii="Arial"/>
                <w:sz w:val="21"/>
              </w:rPr>
            </w:pPr>
          </w:p>
        </w:tc>
        <w:tc>
          <w:tcPr>
            <w:tcW w:w="664" w:type="dxa"/>
            <w:vMerge w:val="continue"/>
            <w:tcBorders>
              <w:top w:val="nil"/>
              <w:bottom w:val="nil"/>
            </w:tcBorders>
            <w:vAlign w:val="top"/>
          </w:tcPr>
          <w:p w14:paraId="50EDEBA0">
            <w:pPr>
              <w:rPr>
                <w:rFonts w:ascii="Arial"/>
                <w:sz w:val="21"/>
              </w:rPr>
            </w:pPr>
          </w:p>
        </w:tc>
        <w:tc>
          <w:tcPr>
            <w:tcW w:w="1876" w:type="dxa"/>
            <w:vAlign w:val="top"/>
          </w:tcPr>
          <w:p w14:paraId="4AE30CC4">
            <w:pPr>
              <w:pStyle w:val="6"/>
              <w:spacing w:before="58" w:line="202" w:lineRule="auto"/>
              <w:ind w:left="667"/>
              <w:rPr>
                <w:sz w:val="18"/>
                <w:szCs w:val="18"/>
              </w:rPr>
            </w:pPr>
            <w:r>
              <w:rPr>
                <w:spacing w:val="-2"/>
                <w:sz w:val="18"/>
                <w:szCs w:val="18"/>
              </w:rPr>
              <w:t>碰焊机</w:t>
            </w:r>
          </w:p>
        </w:tc>
        <w:tc>
          <w:tcPr>
            <w:tcW w:w="1805" w:type="dxa"/>
            <w:vAlign w:val="top"/>
          </w:tcPr>
          <w:p w14:paraId="56172F90">
            <w:pPr>
              <w:pStyle w:val="6"/>
              <w:spacing w:before="58" w:line="202" w:lineRule="auto"/>
              <w:ind w:left="861"/>
              <w:rPr>
                <w:sz w:val="18"/>
                <w:szCs w:val="18"/>
              </w:rPr>
            </w:pPr>
            <w:r>
              <w:rPr>
                <w:sz w:val="18"/>
                <w:szCs w:val="18"/>
              </w:rPr>
              <w:t>/</w:t>
            </w:r>
          </w:p>
        </w:tc>
        <w:tc>
          <w:tcPr>
            <w:tcW w:w="1774" w:type="dxa"/>
            <w:vAlign w:val="top"/>
          </w:tcPr>
          <w:p w14:paraId="28FA3AF0">
            <w:pPr>
              <w:spacing w:before="89"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515DEC54">
            <w:pPr>
              <w:rPr>
                <w:rFonts w:ascii="Arial"/>
                <w:sz w:val="21"/>
              </w:rPr>
            </w:pPr>
          </w:p>
        </w:tc>
        <w:tc>
          <w:tcPr>
            <w:tcW w:w="231" w:type="dxa"/>
            <w:vMerge w:val="continue"/>
            <w:tcBorders>
              <w:top w:val="nil"/>
              <w:bottom w:val="nil"/>
              <w:right w:val="single" w:color="000000" w:sz="6" w:space="0"/>
            </w:tcBorders>
            <w:vAlign w:val="top"/>
          </w:tcPr>
          <w:p w14:paraId="2E6A570B">
            <w:pPr>
              <w:rPr>
                <w:rFonts w:ascii="Arial"/>
                <w:sz w:val="21"/>
              </w:rPr>
            </w:pPr>
          </w:p>
        </w:tc>
      </w:tr>
      <w:tr w14:paraId="5F124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7ACF63FB">
            <w:pPr>
              <w:rPr>
                <w:rFonts w:ascii="Arial"/>
                <w:sz w:val="21"/>
              </w:rPr>
            </w:pPr>
          </w:p>
        </w:tc>
        <w:tc>
          <w:tcPr>
            <w:tcW w:w="221" w:type="dxa"/>
            <w:vMerge w:val="continue"/>
            <w:tcBorders>
              <w:top w:val="nil"/>
              <w:bottom w:val="nil"/>
            </w:tcBorders>
            <w:vAlign w:val="top"/>
          </w:tcPr>
          <w:p w14:paraId="727FC0D7">
            <w:pPr>
              <w:rPr>
                <w:rFonts w:ascii="Arial"/>
                <w:sz w:val="21"/>
              </w:rPr>
            </w:pPr>
          </w:p>
        </w:tc>
        <w:tc>
          <w:tcPr>
            <w:tcW w:w="664" w:type="dxa"/>
            <w:vMerge w:val="continue"/>
            <w:tcBorders>
              <w:top w:val="nil"/>
              <w:bottom w:val="nil"/>
            </w:tcBorders>
            <w:vAlign w:val="top"/>
          </w:tcPr>
          <w:p w14:paraId="0024FAB2">
            <w:pPr>
              <w:rPr>
                <w:rFonts w:ascii="Arial"/>
                <w:sz w:val="21"/>
              </w:rPr>
            </w:pPr>
          </w:p>
        </w:tc>
        <w:tc>
          <w:tcPr>
            <w:tcW w:w="1876" w:type="dxa"/>
            <w:vAlign w:val="top"/>
          </w:tcPr>
          <w:p w14:paraId="2CFC266A">
            <w:pPr>
              <w:pStyle w:val="6"/>
              <w:spacing w:before="60" w:line="200" w:lineRule="auto"/>
              <w:ind w:left="759"/>
              <w:rPr>
                <w:sz w:val="18"/>
                <w:szCs w:val="18"/>
              </w:rPr>
            </w:pPr>
            <w:r>
              <w:rPr>
                <w:spacing w:val="-5"/>
                <w:sz w:val="18"/>
                <w:szCs w:val="18"/>
              </w:rPr>
              <w:t>叉车</w:t>
            </w:r>
          </w:p>
        </w:tc>
        <w:tc>
          <w:tcPr>
            <w:tcW w:w="1805" w:type="dxa"/>
            <w:vAlign w:val="top"/>
          </w:tcPr>
          <w:p w14:paraId="402D2976">
            <w:pPr>
              <w:pStyle w:val="6"/>
              <w:spacing w:before="60" w:line="200" w:lineRule="auto"/>
              <w:ind w:left="861"/>
              <w:rPr>
                <w:sz w:val="18"/>
                <w:szCs w:val="18"/>
              </w:rPr>
            </w:pPr>
            <w:r>
              <w:rPr>
                <w:sz w:val="18"/>
                <w:szCs w:val="18"/>
              </w:rPr>
              <w:t>/</w:t>
            </w:r>
          </w:p>
        </w:tc>
        <w:tc>
          <w:tcPr>
            <w:tcW w:w="1774" w:type="dxa"/>
            <w:vAlign w:val="top"/>
          </w:tcPr>
          <w:p w14:paraId="77821620">
            <w:pPr>
              <w:spacing w:before="88" w:line="188" w:lineRule="auto"/>
              <w:ind w:left="8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21" w:type="dxa"/>
            <w:vMerge w:val="continue"/>
            <w:tcBorders>
              <w:top w:val="nil"/>
              <w:bottom w:val="nil"/>
            </w:tcBorders>
            <w:vAlign w:val="top"/>
          </w:tcPr>
          <w:p w14:paraId="3E96E74C">
            <w:pPr>
              <w:rPr>
                <w:rFonts w:ascii="Arial"/>
                <w:sz w:val="21"/>
              </w:rPr>
            </w:pPr>
          </w:p>
        </w:tc>
        <w:tc>
          <w:tcPr>
            <w:tcW w:w="231" w:type="dxa"/>
            <w:vMerge w:val="continue"/>
            <w:tcBorders>
              <w:top w:val="nil"/>
              <w:bottom w:val="nil"/>
              <w:right w:val="single" w:color="000000" w:sz="6" w:space="0"/>
            </w:tcBorders>
            <w:vAlign w:val="top"/>
          </w:tcPr>
          <w:p w14:paraId="230C5B1E">
            <w:pPr>
              <w:rPr>
                <w:rFonts w:ascii="Arial"/>
                <w:sz w:val="21"/>
              </w:rPr>
            </w:pPr>
          </w:p>
        </w:tc>
      </w:tr>
      <w:tr w14:paraId="38BA3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6AE856B7">
            <w:pPr>
              <w:rPr>
                <w:rFonts w:ascii="Arial"/>
                <w:sz w:val="21"/>
              </w:rPr>
            </w:pPr>
          </w:p>
        </w:tc>
        <w:tc>
          <w:tcPr>
            <w:tcW w:w="221" w:type="dxa"/>
            <w:vMerge w:val="continue"/>
            <w:tcBorders>
              <w:top w:val="nil"/>
              <w:bottom w:val="nil"/>
            </w:tcBorders>
            <w:vAlign w:val="top"/>
          </w:tcPr>
          <w:p w14:paraId="20F644BA">
            <w:pPr>
              <w:rPr>
                <w:rFonts w:ascii="Arial"/>
                <w:sz w:val="21"/>
              </w:rPr>
            </w:pPr>
          </w:p>
        </w:tc>
        <w:tc>
          <w:tcPr>
            <w:tcW w:w="664" w:type="dxa"/>
            <w:vMerge w:val="continue"/>
            <w:tcBorders>
              <w:top w:val="nil"/>
              <w:bottom w:val="nil"/>
            </w:tcBorders>
            <w:vAlign w:val="top"/>
          </w:tcPr>
          <w:p w14:paraId="16CEC8E6">
            <w:pPr>
              <w:rPr>
                <w:rFonts w:ascii="Arial"/>
                <w:sz w:val="21"/>
              </w:rPr>
            </w:pPr>
          </w:p>
        </w:tc>
        <w:tc>
          <w:tcPr>
            <w:tcW w:w="1876" w:type="dxa"/>
            <w:vAlign w:val="top"/>
          </w:tcPr>
          <w:p w14:paraId="3B7E79F5">
            <w:pPr>
              <w:pStyle w:val="6"/>
              <w:spacing w:before="58" w:line="202" w:lineRule="auto"/>
              <w:ind w:left="760"/>
              <w:rPr>
                <w:sz w:val="18"/>
                <w:szCs w:val="18"/>
              </w:rPr>
            </w:pPr>
            <w:r>
              <w:rPr>
                <w:spacing w:val="-5"/>
                <w:sz w:val="18"/>
                <w:szCs w:val="18"/>
              </w:rPr>
              <w:t>筒仓</w:t>
            </w:r>
          </w:p>
        </w:tc>
        <w:tc>
          <w:tcPr>
            <w:tcW w:w="1805" w:type="dxa"/>
            <w:vAlign w:val="top"/>
          </w:tcPr>
          <w:p w14:paraId="550F9BE1">
            <w:pPr>
              <w:pStyle w:val="6"/>
              <w:spacing w:before="87" w:line="172" w:lineRule="auto"/>
              <w:ind w:left="729"/>
              <w:rPr>
                <w:sz w:val="18"/>
                <w:szCs w:val="18"/>
              </w:rPr>
            </w:pPr>
            <w:r>
              <w:rPr>
                <w:spacing w:val="-3"/>
                <w:sz w:val="18"/>
                <w:szCs w:val="18"/>
              </w:rPr>
              <w:t>200T</w:t>
            </w:r>
          </w:p>
        </w:tc>
        <w:tc>
          <w:tcPr>
            <w:tcW w:w="1774" w:type="dxa"/>
            <w:vAlign w:val="top"/>
          </w:tcPr>
          <w:p w14:paraId="68F0385B">
            <w:pPr>
              <w:spacing w:before="89" w:line="188" w:lineRule="auto"/>
              <w:ind w:left="8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21" w:type="dxa"/>
            <w:vMerge w:val="continue"/>
            <w:tcBorders>
              <w:top w:val="nil"/>
            </w:tcBorders>
            <w:vAlign w:val="top"/>
          </w:tcPr>
          <w:p w14:paraId="512BCD10">
            <w:pPr>
              <w:rPr>
                <w:rFonts w:ascii="Arial"/>
                <w:sz w:val="21"/>
              </w:rPr>
            </w:pPr>
          </w:p>
        </w:tc>
        <w:tc>
          <w:tcPr>
            <w:tcW w:w="231" w:type="dxa"/>
            <w:vMerge w:val="continue"/>
            <w:tcBorders>
              <w:top w:val="nil"/>
              <w:bottom w:val="nil"/>
              <w:right w:val="single" w:color="000000" w:sz="6" w:space="0"/>
            </w:tcBorders>
            <w:vAlign w:val="top"/>
          </w:tcPr>
          <w:p w14:paraId="7B5EDB61">
            <w:pPr>
              <w:rPr>
                <w:rFonts w:ascii="Arial"/>
                <w:sz w:val="21"/>
              </w:rPr>
            </w:pPr>
          </w:p>
        </w:tc>
      </w:tr>
      <w:tr w14:paraId="25804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0CE3E8E">
            <w:pPr>
              <w:rPr>
                <w:rFonts w:ascii="Arial"/>
                <w:sz w:val="21"/>
              </w:rPr>
            </w:pPr>
          </w:p>
        </w:tc>
        <w:tc>
          <w:tcPr>
            <w:tcW w:w="221" w:type="dxa"/>
            <w:vMerge w:val="continue"/>
            <w:tcBorders>
              <w:top w:val="nil"/>
              <w:bottom w:val="nil"/>
            </w:tcBorders>
            <w:vAlign w:val="top"/>
          </w:tcPr>
          <w:p w14:paraId="0573AFC5">
            <w:pPr>
              <w:rPr>
                <w:rFonts w:ascii="Arial"/>
                <w:sz w:val="21"/>
              </w:rPr>
            </w:pPr>
          </w:p>
        </w:tc>
        <w:tc>
          <w:tcPr>
            <w:tcW w:w="664" w:type="dxa"/>
            <w:vMerge w:val="continue"/>
            <w:tcBorders>
              <w:top w:val="nil"/>
              <w:bottom w:val="nil"/>
            </w:tcBorders>
            <w:vAlign w:val="top"/>
          </w:tcPr>
          <w:p w14:paraId="1FC94DFE">
            <w:pPr>
              <w:rPr>
                <w:rFonts w:ascii="Arial"/>
                <w:sz w:val="21"/>
              </w:rPr>
            </w:pPr>
          </w:p>
        </w:tc>
        <w:tc>
          <w:tcPr>
            <w:tcW w:w="1876" w:type="dxa"/>
            <w:vAlign w:val="top"/>
          </w:tcPr>
          <w:p w14:paraId="7CEF718E">
            <w:pPr>
              <w:pStyle w:val="6"/>
              <w:spacing w:before="60" w:line="200" w:lineRule="auto"/>
              <w:ind w:left="669"/>
              <w:rPr>
                <w:sz w:val="18"/>
                <w:szCs w:val="18"/>
              </w:rPr>
            </w:pPr>
            <w:r>
              <w:rPr>
                <w:spacing w:val="-3"/>
                <w:sz w:val="18"/>
                <w:szCs w:val="18"/>
              </w:rPr>
              <w:t>球磨机</w:t>
            </w:r>
          </w:p>
        </w:tc>
        <w:tc>
          <w:tcPr>
            <w:tcW w:w="1805" w:type="dxa"/>
            <w:vAlign w:val="top"/>
          </w:tcPr>
          <w:p w14:paraId="4C864F6C">
            <w:pPr>
              <w:pStyle w:val="6"/>
              <w:spacing w:before="60" w:line="200" w:lineRule="auto"/>
              <w:ind w:left="538"/>
              <w:rPr>
                <w:sz w:val="18"/>
                <w:szCs w:val="18"/>
              </w:rPr>
            </w:pPr>
            <w:r>
              <w:rPr>
                <w:spacing w:val="-6"/>
                <w:sz w:val="18"/>
                <w:szCs w:val="18"/>
              </w:rPr>
              <w:t>φ2.4*11m</w:t>
            </w:r>
          </w:p>
        </w:tc>
        <w:tc>
          <w:tcPr>
            <w:tcW w:w="1774" w:type="dxa"/>
            <w:vAlign w:val="top"/>
          </w:tcPr>
          <w:p w14:paraId="6D60BC05">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restart"/>
            <w:tcBorders>
              <w:bottom w:val="nil"/>
            </w:tcBorders>
            <w:vAlign w:val="top"/>
          </w:tcPr>
          <w:p w14:paraId="719B54B4">
            <w:pPr>
              <w:spacing w:line="268" w:lineRule="auto"/>
              <w:rPr>
                <w:rFonts w:ascii="Arial"/>
                <w:sz w:val="21"/>
              </w:rPr>
            </w:pPr>
          </w:p>
          <w:p w14:paraId="05D9B3D2">
            <w:pPr>
              <w:spacing w:line="268" w:lineRule="auto"/>
              <w:rPr>
                <w:rFonts w:ascii="Arial"/>
                <w:sz w:val="21"/>
              </w:rPr>
            </w:pPr>
          </w:p>
          <w:p w14:paraId="6EA96E5A">
            <w:pPr>
              <w:spacing w:line="269" w:lineRule="auto"/>
              <w:rPr>
                <w:rFonts w:ascii="Arial"/>
                <w:sz w:val="21"/>
              </w:rPr>
            </w:pPr>
          </w:p>
          <w:p w14:paraId="6E14EA2D">
            <w:pPr>
              <w:spacing w:line="269" w:lineRule="auto"/>
              <w:rPr>
                <w:rFonts w:ascii="Arial"/>
                <w:sz w:val="21"/>
              </w:rPr>
            </w:pPr>
          </w:p>
          <w:p w14:paraId="58EAE7CC">
            <w:pPr>
              <w:pStyle w:val="6"/>
              <w:spacing w:before="58" w:line="219" w:lineRule="auto"/>
              <w:ind w:left="179"/>
              <w:rPr>
                <w:sz w:val="18"/>
                <w:szCs w:val="18"/>
              </w:rPr>
            </w:pPr>
            <w:r>
              <w:rPr>
                <w:spacing w:val="-2"/>
                <w:sz w:val="18"/>
                <w:szCs w:val="18"/>
              </w:rPr>
              <w:t>干混砂浆车间</w:t>
            </w:r>
          </w:p>
        </w:tc>
        <w:tc>
          <w:tcPr>
            <w:tcW w:w="231" w:type="dxa"/>
            <w:vMerge w:val="continue"/>
            <w:tcBorders>
              <w:top w:val="nil"/>
              <w:bottom w:val="nil"/>
              <w:right w:val="single" w:color="000000" w:sz="6" w:space="0"/>
            </w:tcBorders>
            <w:vAlign w:val="top"/>
          </w:tcPr>
          <w:p w14:paraId="1A8DB691">
            <w:pPr>
              <w:rPr>
                <w:rFonts w:ascii="Arial"/>
                <w:sz w:val="21"/>
              </w:rPr>
            </w:pPr>
          </w:p>
        </w:tc>
      </w:tr>
      <w:tr w14:paraId="24AD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6DAA2956">
            <w:pPr>
              <w:rPr>
                <w:rFonts w:ascii="Arial"/>
                <w:sz w:val="21"/>
              </w:rPr>
            </w:pPr>
          </w:p>
        </w:tc>
        <w:tc>
          <w:tcPr>
            <w:tcW w:w="221" w:type="dxa"/>
            <w:vMerge w:val="continue"/>
            <w:tcBorders>
              <w:top w:val="nil"/>
              <w:bottom w:val="nil"/>
            </w:tcBorders>
            <w:vAlign w:val="top"/>
          </w:tcPr>
          <w:p w14:paraId="59EDE581">
            <w:pPr>
              <w:rPr>
                <w:rFonts w:ascii="Arial"/>
                <w:sz w:val="21"/>
              </w:rPr>
            </w:pPr>
          </w:p>
        </w:tc>
        <w:tc>
          <w:tcPr>
            <w:tcW w:w="664" w:type="dxa"/>
            <w:vMerge w:val="continue"/>
            <w:tcBorders>
              <w:top w:val="nil"/>
              <w:bottom w:val="nil"/>
            </w:tcBorders>
            <w:vAlign w:val="top"/>
          </w:tcPr>
          <w:p w14:paraId="10F7049D">
            <w:pPr>
              <w:rPr>
                <w:rFonts w:ascii="Arial"/>
                <w:sz w:val="21"/>
              </w:rPr>
            </w:pPr>
          </w:p>
        </w:tc>
        <w:tc>
          <w:tcPr>
            <w:tcW w:w="1876" w:type="dxa"/>
            <w:vAlign w:val="top"/>
          </w:tcPr>
          <w:p w14:paraId="42C15954">
            <w:pPr>
              <w:pStyle w:val="6"/>
              <w:spacing w:before="58" w:line="202" w:lineRule="auto"/>
              <w:ind w:left="669"/>
              <w:rPr>
                <w:sz w:val="18"/>
                <w:szCs w:val="18"/>
              </w:rPr>
            </w:pPr>
            <w:r>
              <w:rPr>
                <w:spacing w:val="-3"/>
                <w:sz w:val="18"/>
                <w:szCs w:val="18"/>
              </w:rPr>
              <w:t>滚筒筛</w:t>
            </w:r>
          </w:p>
        </w:tc>
        <w:tc>
          <w:tcPr>
            <w:tcW w:w="1805" w:type="dxa"/>
            <w:vAlign w:val="top"/>
          </w:tcPr>
          <w:p w14:paraId="7A238A50">
            <w:pPr>
              <w:pStyle w:val="6"/>
              <w:spacing w:before="58" w:line="202" w:lineRule="auto"/>
              <w:ind w:left="861"/>
              <w:rPr>
                <w:sz w:val="18"/>
                <w:szCs w:val="18"/>
              </w:rPr>
            </w:pPr>
            <w:r>
              <w:rPr>
                <w:sz w:val="18"/>
                <w:szCs w:val="18"/>
              </w:rPr>
              <w:t>/</w:t>
            </w:r>
          </w:p>
        </w:tc>
        <w:tc>
          <w:tcPr>
            <w:tcW w:w="1774" w:type="dxa"/>
            <w:vAlign w:val="top"/>
          </w:tcPr>
          <w:p w14:paraId="0D11B92D">
            <w:pPr>
              <w:spacing w:before="89"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2EAD4B8D">
            <w:pPr>
              <w:rPr>
                <w:rFonts w:ascii="Arial"/>
                <w:sz w:val="21"/>
              </w:rPr>
            </w:pPr>
          </w:p>
        </w:tc>
        <w:tc>
          <w:tcPr>
            <w:tcW w:w="231" w:type="dxa"/>
            <w:vMerge w:val="continue"/>
            <w:tcBorders>
              <w:top w:val="nil"/>
              <w:bottom w:val="nil"/>
              <w:right w:val="single" w:color="000000" w:sz="6" w:space="0"/>
            </w:tcBorders>
            <w:vAlign w:val="top"/>
          </w:tcPr>
          <w:p w14:paraId="6F84F6BE">
            <w:pPr>
              <w:rPr>
                <w:rFonts w:ascii="Arial"/>
                <w:sz w:val="21"/>
              </w:rPr>
            </w:pPr>
          </w:p>
        </w:tc>
      </w:tr>
      <w:tr w14:paraId="2860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4041772D">
            <w:pPr>
              <w:rPr>
                <w:rFonts w:ascii="Arial"/>
                <w:sz w:val="21"/>
              </w:rPr>
            </w:pPr>
          </w:p>
        </w:tc>
        <w:tc>
          <w:tcPr>
            <w:tcW w:w="221" w:type="dxa"/>
            <w:vMerge w:val="continue"/>
            <w:tcBorders>
              <w:top w:val="nil"/>
              <w:bottom w:val="nil"/>
            </w:tcBorders>
            <w:vAlign w:val="top"/>
          </w:tcPr>
          <w:p w14:paraId="1A1DC55F">
            <w:pPr>
              <w:rPr>
                <w:rFonts w:ascii="Arial"/>
                <w:sz w:val="21"/>
              </w:rPr>
            </w:pPr>
          </w:p>
        </w:tc>
        <w:tc>
          <w:tcPr>
            <w:tcW w:w="664" w:type="dxa"/>
            <w:vMerge w:val="continue"/>
            <w:tcBorders>
              <w:top w:val="nil"/>
              <w:bottom w:val="nil"/>
            </w:tcBorders>
            <w:vAlign w:val="top"/>
          </w:tcPr>
          <w:p w14:paraId="55E412C8">
            <w:pPr>
              <w:rPr>
                <w:rFonts w:ascii="Arial"/>
                <w:sz w:val="21"/>
              </w:rPr>
            </w:pPr>
          </w:p>
        </w:tc>
        <w:tc>
          <w:tcPr>
            <w:tcW w:w="1876" w:type="dxa"/>
            <w:vAlign w:val="top"/>
          </w:tcPr>
          <w:p w14:paraId="01F28F0C">
            <w:pPr>
              <w:pStyle w:val="6"/>
              <w:spacing w:before="60" w:line="200" w:lineRule="auto"/>
              <w:ind w:left="218"/>
              <w:rPr>
                <w:sz w:val="18"/>
                <w:szCs w:val="18"/>
              </w:rPr>
            </w:pPr>
            <w:r>
              <w:rPr>
                <w:spacing w:val="-1"/>
                <w:sz w:val="18"/>
                <w:szCs w:val="18"/>
              </w:rPr>
              <w:t>三回程筒式烘干机</w:t>
            </w:r>
          </w:p>
        </w:tc>
        <w:tc>
          <w:tcPr>
            <w:tcW w:w="1805" w:type="dxa"/>
            <w:vAlign w:val="top"/>
          </w:tcPr>
          <w:p w14:paraId="616E8294">
            <w:pPr>
              <w:pStyle w:val="6"/>
              <w:spacing w:before="60" w:line="200" w:lineRule="auto"/>
              <w:ind w:left="861"/>
              <w:rPr>
                <w:sz w:val="18"/>
                <w:szCs w:val="18"/>
              </w:rPr>
            </w:pPr>
            <w:r>
              <w:rPr>
                <w:sz w:val="18"/>
                <w:szCs w:val="18"/>
              </w:rPr>
              <w:t>/</w:t>
            </w:r>
          </w:p>
        </w:tc>
        <w:tc>
          <w:tcPr>
            <w:tcW w:w="1774" w:type="dxa"/>
            <w:vAlign w:val="top"/>
          </w:tcPr>
          <w:p w14:paraId="12488F89">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19DECF06">
            <w:pPr>
              <w:rPr>
                <w:rFonts w:ascii="Arial"/>
                <w:sz w:val="21"/>
              </w:rPr>
            </w:pPr>
          </w:p>
        </w:tc>
        <w:tc>
          <w:tcPr>
            <w:tcW w:w="231" w:type="dxa"/>
            <w:vMerge w:val="continue"/>
            <w:tcBorders>
              <w:top w:val="nil"/>
              <w:bottom w:val="nil"/>
              <w:right w:val="single" w:color="000000" w:sz="6" w:space="0"/>
            </w:tcBorders>
            <w:vAlign w:val="top"/>
          </w:tcPr>
          <w:p w14:paraId="2B064EF2">
            <w:pPr>
              <w:rPr>
                <w:rFonts w:ascii="Arial"/>
                <w:sz w:val="21"/>
              </w:rPr>
            </w:pPr>
          </w:p>
        </w:tc>
      </w:tr>
      <w:tr w14:paraId="2ACBB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782D12BA">
            <w:pPr>
              <w:rPr>
                <w:rFonts w:ascii="Arial"/>
                <w:sz w:val="21"/>
              </w:rPr>
            </w:pPr>
          </w:p>
        </w:tc>
        <w:tc>
          <w:tcPr>
            <w:tcW w:w="221" w:type="dxa"/>
            <w:vMerge w:val="continue"/>
            <w:tcBorders>
              <w:top w:val="nil"/>
              <w:bottom w:val="nil"/>
            </w:tcBorders>
            <w:vAlign w:val="top"/>
          </w:tcPr>
          <w:p w14:paraId="7D3DF991">
            <w:pPr>
              <w:rPr>
                <w:rFonts w:ascii="Arial"/>
                <w:sz w:val="21"/>
              </w:rPr>
            </w:pPr>
          </w:p>
        </w:tc>
        <w:tc>
          <w:tcPr>
            <w:tcW w:w="664" w:type="dxa"/>
            <w:vMerge w:val="continue"/>
            <w:tcBorders>
              <w:top w:val="nil"/>
              <w:bottom w:val="nil"/>
            </w:tcBorders>
            <w:vAlign w:val="top"/>
          </w:tcPr>
          <w:p w14:paraId="7F0A0859">
            <w:pPr>
              <w:rPr>
                <w:rFonts w:ascii="Arial"/>
                <w:sz w:val="21"/>
              </w:rPr>
            </w:pPr>
          </w:p>
        </w:tc>
        <w:tc>
          <w:tcPr>
            <w:tcW w:w="1876" w:type="dxa"/>
            <w:vAlign w:val="top"/>
          </w:tcPr>
          <w:p w14:paraId="570E0081">
            <w:pPr>
              <w:pStyle w:val="6"/>
              <w:spacing w:before="58" w:line="202" w:lineRule="auto"/>
              <w:ind w:left="669"/>
              <w:rPr>
                <w:sz w:val="18"/>
                <w:szCs w:val="18"/>
              </w:rPr>
            </w:pPr>
            <w:r>
              <w:rPr>
                <w:spacing w:val="-3"/>
                <w:sz w:val="18"/>
                <w:szCs w:val="18"/>
              </w:rPr>
              <w:t>提升机</w:t>
            </w:r>
          </w:p>
        </w:tc>
        <w:tc>
          <w:tcPr>
            <w:tcW w:w="1805" w:type="dxa"/>
            <w:vAlign w:val="top"/>
          </w:tcPr>
          <w:p w14:paraId="2603385A">
            <w:pPr>
              <w:pStyle w:val="6"/>
              <w:spacing w:before="58" w:line="202" w:lineRule="auto"/>
              <w:ind w:left="861"/>
              <w:rPr>
                <w:sz w:val="18"/>
                <w:szCs w:val="18"/>
              </w:rPr>
            </w:pPr>
            <w:r>
              <w:rPr>
                <w:sz w:val="18"/>
                <w:szCs w:val="18"/>
              </w:rPr>
              <w:t>/</w:t>
            </w:r>
          </w:p>
        </w:tc>
        <w:tc>
          <w:tcPr>
            <w:tcW w:w="1774" w:type="dxa"/>
            <w:vAlign w:val="top"/>
          </w:tcPr>
          <w:p w14:paraId="1FD0B6E1">
            <w:pPr>
              <w:spacing w:before="89"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238B2B70">
            <w:pPr>
              <w:rPr>
                <w:rFonts w:ascii="Arial"/>
                <w:sz w:val="21"/>
              </w:rPr>
            </w:pPr>
          </w:p>
        </w:tc>
        <w:tc>
          <w:tcPr>
            <w:tcW w:w="231" w:type="dxa"/>
            <w:vMerge w:val="continue"/>
            <w:tcBorders>
              <w:top w:val="nil"/>
              <w:bottom w:val="nil"/>
              <w:right w:val="single" w:color="000000" w:sz="6" w:space="0"/>
            </w:tcBorders>
            <w:vAlign w:val="top"/>
          </w:tcPr>
          <w:p w14:paraId="5345F8A7">
            <w:pPr>
              <w:rPr>
                <w:rFonts w:ascii="Arial"/>
                <w:sz w:val="21"/>
              </w:rPr>
            </w:pPr>
          </w:p>
        </w:tc>
      </w:tr>
      <w:tr w14:paraId="7A1F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C30A00E">
            <w:pPr>
              <w:rPr>
                <w:rFonts w:ascii="Arial"/>
                <w:sz w:val="21"/>
              </w:rPr>
            </w:pPr>
          </w:p>
        </w:tc>
        <w:tc>
          <w:tcPr>
            <w:tcW w:w="221" w:type="dxa"/>
            <w:vMerge w:val="continue"/>
            <w:tcBorders>
              <w:top w:val="nil"/>
              <w:bottom w:val="nil"/>
            </w:tcBorders>
            <w:vAlign w:val="top"/>
          </w:tcPr>
          <w:p w14:paraId="352B99A1">
            <w:pPr>
              <w:rPr>
                <w:rFonts w:ascii="Arial"/>
                <w:sz w:val="21"/>
              </w:rPr>
            </w:pPr>
          </w:p>
        </w:tc>
        <w:tc>
          <w:tcPr>
            <w:tcW w:w="664" w:type="dxa"/>
            <w:vMerge w:val="continue"/>
            <w:tcBorders>
              <w:top w:val="nil"/>
              <w:bottom w:val="nil"/>
            </w:tcBorders>
            <w:vAlign w:val="top"/>
          </w:tcPr>
          <w:p w14:paraId="43E9E0EB">
            <w:pPr>
              <w:rPr>
                <w:rFonts w:ascii="Arial"/>
                <w:sz w:val="21"/>
              </w:rPr>
            </w:pPr>
          </w:p>
        </w:tc>
        <w:tc>
          <w:tcPr>
            <w:tcW w:w="1876" w:type="dxa"/>
            <w:vAlign w:val="top"/>
          </w:tcPr>
          <w:p w14:paraId="6D2E35CD">
            <w:pPr>
              <w:pStyle w:val="6"/>
              <w:spacing w:before="60" w:line="200" w:lineRule="auto"/>
              <w:ind w:left="760"/>
              <w:rPr>
                <w:sz w:val="18"/>
                <w:szCs w:val="18"/>
              </w:rPr>
            </w:pPr>
            <w:r>
              <w:rPr>
                <w:spacing w:val="-5"/>
                <w:sz w:val="18"/>
                <w:szCs w:val="18"/>
              </w:rPr>
              <w:t>筒仓</w:t>
            </w:r>
          </w:p>
        </w:tc>
        <w:tc>
          <w:tcPr>
            <w:tcW w:w="1805" w:type="dxa"/>
            <w:vAlign w:val="top"/>
          </w:tcPr>
          <w:p w14:paraId="180624C8">
            <w:pPr>
              <w:pStyle w:val="6"/>
              <w:spacing w:before="87" w:line="172" w:lineRule="auto"/>
              <w:ind w:left="740"/>
              <w:rPr>
                <w:sz w:val="18"/>
                <w:szCs w:val="18"/>
              </w:rPr>
            </w:pPr>
            <w:r>
              <w:rPr>
                <w:spacing w:val="-5"/>
                <w:sz w:val="18"/>
                <w:szCs w:val="18"/>
              </w:rPr>
              <w:t>100T</w:t>
            </w:r>
          </w:p>
        </w:tc>
        <w:tc>
          <w:tcPr>
            <w:tcW w:w="1774" w:type="dxa"/>
            <w:vAlign w:val="top"/>
          </w:tcPr>
          <w:p w14:paraId="03DA202A">
            <w:pPr>
              <w:spacing w:before="88" w:line="188" w:lineRule="auto"/>
              <w:ind w:left="81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421" w:type="dxa"/>
            <w:vMerge w:val="continue"/>
            <w:tcBorders>
              <w:top w:val="nil"/>
              <w:bottom w:val="nil"/>
            </w:tcBorders>
            <w:vAlign w:val="top"/>
          </w:tcPr>
          <w:p w14:paraId="43D7CBAD">
            <w:pPr>
              <w:rPr>
                <w:rFonts w:ascii="Arial"/>
                <w:sz w:val="21"/>
              </w:rPr>
            </w:pPr>
          </w:p>
        </w:tc>
        <w:tc>
          <w:tcPr>
            <w:tcW w:w="231" w:type="dxa"/>
            <w:vMerge w:val="continue"/>
            <w:tcBorders>
              <w:top w:val="nil"/>
              <w:bottom w:val="nil"/>
              <w:right w:val="single" w:color="000000" w:sz="6" w:space="0"/>
            </w:tcBorders>
            <w:vAlign w:val="top"/>
          </w:tcPr>
          <w:p w14:paraId="3C7EA960">
            <w:pPr>
              <w:rPr>
                <w:rFonts w:ascii="Arial"/>
                <w:sz w:val="21"/>
              </w:rPr>
            </w:pPr>
          </w:p>
        </w:tc>
      </w:tr>
      <w:tr w14:paraId="2AA4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20EFECB0">
            <w:pPr>
              <w:rPr>
                <w:rFonts w:ascii="Arial"/>
                <w:sz w:val="21"/>
              </w:rPr>
            </w:pPr>
          </w:p>
        </w:tc>
        <w:tc>
          <w:tcPr>
            <w:tcW w:w="221" w:type="dxa"/>
            <w:vMerge w:val="continue"/>
            <w:tcBorders>
              <w:top w:val="nil"/>
              <w:bottom w:val="nil"/>
            </w:tcBorders>
            <w:vAlign w:val="top"/>
          </w:tcPr>
          <w:p w14:paraId="5662AF5E">
            <w:pPr>
              <w:rPr>
                <w:rFonts w:ascii="Arial"/>
                <w:sz w:val="21"/>
              </w:rPr>
            </w:pPr>
          </w:p>
        </w:tc>
        <w:tc>
          <w:tcPr>
            <w:tcW w:w="664" w:type="dxa"/>
            <w:vMerge w:val="continue"/>
            <w:tcBorders>
              <w:top w:val="nil"/>
              <w:bottom w:val="nil"/>
            </w:tcBorders>
            <w:vAlign w:val="top"/>
          </w:tcPr>
          <w:p w14:paraId="29A6DED0">
            <w:pPr>
              <w:rPr>
                <w:rFonts w:ascii="Arial"/>
                <w:sz w:val="21"/>
              </w:rPr>
            </w:pPr>
          </w:p>
        </w:tc>
        <w:tc>
          <w:tcPr>
            <w:tcW w:w="1876" w:type="dxa"/>
            <w:vAlign w:val="top"/>
          </w:tcPr>
          <w:p w14:paraId="2834A545">
            <w:pPr>
              <w:pStyle w:val="6"/>
              <w:spacing w:before="58" w:line="202" w:lineRule="auto"/>
              <w:ind w:left="402"/>
              <w:rPr>
                <w:sz w:val="18"/>
                <w:szCs w:val="18"/>
              </w:rPr>
            </w:pPr>
            <w:r>
              <w:rPr>
                <w:spacing w:val="-2"/>
                <w:sz w:val="18"/>
                <w:szCs w:val="18"/>
              </w:rPr>
              <w:t>小料上料平台</w:t>
            </w:r>
          </w:p>
        </w:tc>
        <w:tc>
          <w:tcPr>
            <w:tcW w:w="1805" w:type="dxa"/>
            <w:vAlign w:val="top"/>
          </w:tcPr>
          <w:p w14:paraId="6382E386">
            <w:pPr>
              <w:pStyle w:val="6"/>
              <w:spacing w:before="58" w:line="202" w:lineRule="auto"/>
              <w:ind w:left="861"/>
              <w:rPr>
                <w:sz w:val="18"/>
                <w:szCs w:val="18"/>
              </w:rPr>
            </w:pPr>
            <w:r>
              <w:rPr>
                <w:sz w:val="18"/>
                <w:szCs w:val="18"/>
              </w:rPr>
              <w:t>/</w:t>
            </w:r>
          </w:p>
        </w:tc>
        <w:tc>
          <w:tcPr>
            <w:tcW w:w="1774" w:type="dxa"/>
            <w:vAlign w:val="top"/>
          </w:tcPr>
          <w:p w14:paraId="1301F6C4">
            <w:pPr>
              <w:spacing w:before="89"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Merge w:val="continue"/>
            <w:tcBorders>
              <w:top w:val="nil"/>
              <w:bottom w:val="nil"/>
            </w:tcBorders>
            <w:vAlign w:val="top"/>
          </w:tcPr>
          <w:p w14:paraId="511B3BEC">
            <w:pPr>
              <w:rPr>
                <w:rFonts w:ascii="Arial"/>
                <w:sz w:val="21"/>
              </w:rPr>
            </w:pPr>
          </w:p>
        </w:tc>
        <w:tc>
          <w:tcPr>
            <w:tcW w:w="231" w:type="dxa"/>
            <w:vMerge w:val="continue"/>
            <w:tcBorders>
              <w:top w:val="nil"/>
              <w:bottom w:val="nil"/>
              <w:right w:val="single" w:color="000000" w:sz="6" w:space="0"/>
            </w:tcBorders>
            <w:vAlign w:val="top"/>
          </w:tcPr>
          <w:p w14:paraId="2098CF6C">
            <w:pPr>
              <w:rPr>
                <w:rFonts w:ascii="Arial"/>
                <w:sz w:val="21"/>
              </w:rPr>
            </w:pPr>
          </w:p>
        </w:tc>
      </w:tr>
      <w:tr w14:paraId="4BA64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571C1C4A">
            <w:pPr>
              <w:rPr>
                <w:rFonts w:ascii="Arial"/>
                <w:sz w:val="21"/>
              </w:rPr>
            </w:pPr>
          </w:p>
        </w:tc>
        <w:tc>
          <w:tcPr>
            <w:tcW w:w="221" w:type="dxa"/>
            <w:vMerge w:val="continue"/>
            <w:tcBorders>
              <w:top w:val="nil"/>
              <w:bottom w:val="nil"/>
            </w:tcBorders>
            <w:vAlign w:val="top"/>
          </w:tcPr>
          <w:p w14:paraId="0319F5E1">
            <w:pPr>
              <w:rPr>
                <w:rFonts w:ascii="Arial"/>
                <w:sz w:val="21"/>
              </w:rPr>
            </w:pPr>
          </w:p>
        </w:tc>
        <w:tc>
          <w:tcPr>
            <w:tcW w:w="664" w:type="dxa"/>
            <w:vMerge w:val="continue"/>
            <w:tcBorders>
              <w:top w:val="nil"/>
              <w:bottom w:val="nil"/>
            </w:tcBorders>
            <w:vAlign w:val="top"/>
          </w:tcPr>
          <w:p w14:paraId="57C97669">
            <w:pPr>
              <w:rPr>
                <w:rFonts w:ascii="Arial"/>
                <w:sz w:val="21"/>
              </w:rPr>
            </w:pPr>
          </w:p>
        </w:tc>
        <w:tc>
          <w:tcPr>
            <w:tcW w:w="1876" w:type="dxa"/>
            <w:vAlign w:val="top"/>
          </w:tcPr>
          <w:p w14:paraId="05518553">
            <w:pPr>
              <w:pStyle w:val="6"/>
              <w:spacing w:before="60" w:line="200" w:lineRule="auto"/>
              <w:ind w:right="1"/>
              <w:jc w:val="right"/>
              <w:rPr>
                <w:sz w:val="18"/>
                <w:szCs w:val="18"/>
              </w:rPr>
            </w:pPr>
            <w:r>
              <w:rPr>
                <w:spacing w:val="-3"/>
                <w:sz w:val="18"/>
                <w:szCs w:val="18"/>
              </w:rPr>
              <w:t>搅拌机（双轴混合机）</w:t>
            </w:r>
          </w:p>
        </w:tc>
        <w:tc>
          <w:tcPr>
            <w:tcW w:w="1805" w:type="dxa"/>
            <w:vAlign w:val="top"/>
          </w:tcPr>
          <w:p w14:paraId="01960F69">
            <w:pPr>
              <w:pStyle w:val="6"/>
              <w:spacing w:before="60" w:line="200" w:lineRule="auto"/>
              <w:ind w:left="793"/>
              <w:rPr>
                <w:sz w:val="8"/>
                <w:szCs w:val="8"/>
              </w:rPr>
            </w:pPr>
            <w:r>
              <w:rPr>
                <w:spacing w:val="-2"/>
                <w:sz w:val="18"/>
                <w:szCs w:val="18"/>
              </w:rPr>
              <w:t>6m</w:t>
            </w:r>
            <w:r>
              <w:rPr>
                <w:spacing w:val="-2"/>
                <w:position w:val="8"/>
                <w:sz w:val="8"/>
                <w:szCs w:val="8"/>
              </w:rPr>
              <w:t>3</w:t>
            </w:r>
          </w:p>
        </w:tc>
        <w:tc>
          <w:tcPr>
            <w:tcW w:w="1774" w:type="dxa"/>
            <w:vAlign w:val="top"/>
          </w:tcPr>
          <w:p w14:paraId="3AC5A672">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1FE55985">
            <w:pPr>
              <w:rPr>
                <w:rFonts w:ascii="Arial"/>
                <w:sz w:val="21"/>
              </w:rPr>
            </w:pPr>
          </w:p>
        </w:tc>
        <w:tc>
          <w:tcPr>
            <w:tcW w:w="231" w:type="dxa"/>
            <w:vMerge w:val="continue"/>
            <w:tcBorders>
              <w:top w:val="nil"/>
              <w:bottom w:val="nil"/>
              <w:right w:val="single" w:color="000000" w:sz="6" w:space="0"/>
            </w:tcBorders>
            <w:vAlign w:val="top"/>
          </w:tcPr>
          <w:p w14:paraId="749DBF92">
            <w:pPr>
              <w:rPr>
                <w:rFonts w:ascii="Arial"/>
                <w:sz w:val="21"/>
              </w:rPr>
            </w:pPr>
          </w:p>
        </w:tc>
      </w:tr>
      <w:tr w14:paraId="467F3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4ED845FF">
            <w:pPr>
              <w:rPr>
                <w:rFonts w:ascii="Arial"/>
                <w:sz w:val="21"/>
              </w:rPr>
            </w:pPr>
          </w:p>
        </w:tc>
        <w:tc>
          <w:tcPr>
            <w:tcW w:w="221" w:type="dxa"/>
            <w:vMerge w:val="continue"/>
            <w:tcBorders>
              <w:top w:val="nil"/>
              <w:bottom w:val="nil"/>
            </w:tcBorders>
            <w:vAlign w:val="top"/>
          </w:tcPr>
          <w:p w14:paraId="2DE26C1F">
            <w:pPr>
              <w:rPr>
                <w:rFonts w:ascii="Arial"/>
                <w:sz w:val="21"/>
              </w:rPr>
            </w:pPr>
          </w:p>
        </w:tc>
        <w:tc>
          <w:tcPr>
            <w:tcW w:w="664" w:type="dxa"/>
            <w:vMerge w:val="continue"/>
            <w:tcBorders>
              <w:top w:val="nil"/>
              <w:bottom w:val="nil"/>
            </w:tcBorders>
            <w:vAlign w:val="top"/>
          </w:tcPr>
          <w:p w14:paraId="503F211D">
            <w:pPr>
              <w:rPr>
                <w:rFonts w:ascii="Arial"/>
                <w:sz w:val="21"/>
              </w:rPr>
            </w:pPr>
          </w:p>
        </w:tc>
        <w:tc>
          <w:tcPr>
            <w:tcW w:w="1876" w:type="dxa"/>
            <w:vAlign w:val="top"/>
          </w:tcPr>
          <w:p w14:paraId="3AB855B4">
            <w:pPr>
              <w:pStyle w:val="6"/>
              <w:spacing w:before="58" w:line="202" w:lineRule="auto"/>
              <w:ind w:left="668"/>
              <w:rPr>
                <w:sz w:val="18"/>
                <w:szCs w:val="18"/>
              </w:rPr>
            </w:pPr>
            <w:r>
              <w:rPr>
                <w:spacing w:val="-3"/>
                <w:sz w:val="18"/>
                <w:szCs w:val="18"/>
              </w:rPr>
              <w:t>底斗仓</w:t>
            </w:r>
          </w:p>
        </w:tc>
        <w:tc>
          <w:tcPr>
            <w:tcW w:w="1805" w:type="dxa"/>
            <w:vAlign w:val="top"/>
          </w:tcPr>
          <w:p w14:paraId="7969B0CD">
            <w:pPr>
              <w:pStyle w:val="6"/>
              <w:spacing w:before="58" w:line="202" w:lineRule="auto"/>
              <w:ind w:left="793"/>
              <w:rPr>
                <w:sz w:val="8"/>
                <w:szCs w:val="8"/>
              </w:rPr>
            </w:pPr>
            <w:r>
              <w:rPr>
                <w:spacing w:val="-2"/>
                <w:sz w:val="18"/>
                <w:szCs w:val="18"/>
              </w:rPr>
              <w:t>6m</w:t>
            </w:r>
            <w:r>
              <w:rPr>
                <w:spacing w:val="-2"/>
                <w:position w:val="8"/>
                <w:sz w:val="8"/>
                <w:szCs w:val="8"/>
              </w:rPr>
              <w:t>3</w:t>
            </w:r>
          </w:p>
        </w:tc>
        <w:tc>
          <w:tcPr>
            <w:tcW w:w="1774" w:type="dxa"/>
            <w:vAlign w:val="top"/>
          </w:tcPr>
          <w:p w14:paraId="5E3C800B">
            <w:pPr>
              <w:spacing w:before="89"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bottom w:val="nil"/>
            </w:tcBorders>
            <w:vAlign w:val="top"/>
          </w:tcPr>
          <w:p w14:paraId="43B4A08C">
            <w:pPr>
              <w:rPr>
                <w:rFonts w:ascii="Arial"/>
                <w:sz w:val="21"/>
              </w:rPr>
            </w:pPr>
          </w:p>
        </w:tc>
        <w:tc>
          <w:tcPr>
            <w:tcW w:w="231" w:type="dxa"/>
            <w:vMerge w:val="continue"/>
            <w:tcBorders>
              <w:top w:val="nil"/>
              <w:bottom w:val="nil"/>
              <w:right w:val="single" w:color="000000" w:sz="6" w:space="0"/>
            </w:tcBorders>
            <w:vAlign w:val="top"/>
          </w:tcPr>
          <w:p w14:paraId="702F83DF">
            <w:pPr>
              <w:rPr>
                <w:rFonts w:ascii="Arial"/>
                <w:sz w:val="21"/>
              </w:rPr>
            </w:pPr>
          </w:p>
        </w:tc>
      </w:tr>
      <w:tr w14:paraId="4EE8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4A74B060">
            <w:pPr>
              <w:rPr>
                <w:rFonts w:ascii="Arial"/>
                <w:sz w:val="21"/>
              </w:rPr>
            </w:pPr>
          </w:p>
        </w:tc>
        <w:tc>
          <w:tcPr>
            <w:tcW w:w="221" w:type="dxa"/>
            <w:vMerge w:val="continue"/>
            <w:tcBorders>
              <w:top w:val="nil"/>
              <w:bottom w:val="nil"/>
            </w:tcBorders>
            <w:vAlign w:val="top"/>
          </w:tcPr>
          <w:p w14:paraId="271696F3">
            <w:pPr>
              <w:rPr>
                <w:rFonts w:ascii="Arial"/>
                <w:sz w:val="21"/>
              </w:rPr>
            </w:pPr>
          </w:p>
        </w:tc>
        <w:tc>
          <w:tcPr>
            <w:tcW w:w="664" w:type="dxa"/>
            <w:vMerge w:val="continue"/>
            <w:tcBorders>
              <w:top w:val="nil"/>
              <w:bottom w:val="nil"/>
            </w:tcBorders>
            <w:vAlign w:val="top"/>
          </w:tcPr>
          <w:p w14:paraId="71BE0F06">
            <w:pPr>
              <w:rPr>
                <w:rFonts w:ascii="Arial"/>
                <w:sz w:val="21"/>
              </w:rPr>
            </w:pPr>
          </w:p>
        </w:tc>
        <w:tc>
          <w:tcPr>
            <w:tcW w:w="1876" w:type="dxa"/>
            <w:vAlign w:val="top"/>
          </w:tcPr>
          <w:p w14:paraId="6F26D862">
            <w:pPr>
              <w:pStyle w:val="6"/>
              <w:spacing w:before="60" w:line="200" w:lineRule="auto"/>
              <w:ind w:left="670"/>
              <w:rPr>
                <w:sz w:val="18"/>
                <w:szCs w:val="18"/>
              </w:rPr>
            </w:pPr>
            <w:r>
              <w:rPr>
                <w:spacing w:val="-3"/>
                <w:sz w:val="18"/>
                <w:szCs w:val="18"/>
              </w:rPr>
              <w:t>成品仓</w:t>
            </w:r>
          </w:p>
        </w:tc>
        <w:tc>
          <w:tcPr>
            <w:tcW w:w="1805" w:type="dxa"/>
            <w:vAlign w:val="top"/>
          </w:tcPr>
          <w:p w14:paraId="1CA1228E">
            <w:pPr>
              <w:pStyle w:val="6"/>
              <w:spacing w:before="60" w:line="200" w:lineRule="auto"/>
              <w:ind w:left="796"/>
              <w:rPr>
                <w:sz w:val="8"/>
                <w:szCs w:val="8"/>
              </w:rPr>
            </w:pPr>
            <w:r>
              <w:rPr>
                <w:spacing w:val="-3"/>
                <w:sz w:val="18"/>
                <w:szCs w:val="18"/>
              </w:rPr>
              <w:t>5m</w:t>
            </w:r>
            <w:r>
              <w:rPr>
                <w:spacing w:val="-3"/>
                <w:position w:val="8"/>
                <w:sz w:val="8"/>
                <w:szCs w:val="8"/>
              </w:rPr>
              <w:t>3</w:t>
            </w:r>
          </w:p>
        </w:tc>
        <w:tc>
          <w:tcPr>
            <w:tcW w:w="1774" w:type="dxa"/>
            <w:vAlign w:val="top"/>
          </w:tcPr>
          <w:p w14:paraId="13A8E21C">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tcBorders>
            <w:vAlign w:val="top"/>
          </w:tcPr>
          <w:p w14:paraId="74353175">
            <w:pPr>
              <w:rPr>
                <w:rFonts w:ascii="Arial"/>
                <w:sz w:val="21"/>
              </w:rPr>
            </w:pPr>
          </w:p>
        </w:tc>
        <w:tc>
          <w:tcPr>
            <w:tcW w:w="231" w:type="dxa"/>
            <w:vMerge w:val="continue"/>
            <w:tcBorders>
              <w:top w:val="nil"/>
              <w:bottom w:val="nil"/>
              <w:right w:val="single" w:color="000000" w:sz="6" w:space="0"/>
            </w:tcBorders>
            <w:vAlign w:val="top"/>
          </w:tcPr>
          <w:p w14:paraId="41C6D7A8">
            <w:pPr>
              <w:rPr>
                <w:rFonts w:ascii="Arial"/>
                <w:sz w:val="21"/>
              </w:rPr>
            </w:pPr>
          </w:p>
        </w:tc>
      </w:tr>
      <w:tr w14:paraId="750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28C31D74">
            <w:pPr>
              <w:rPr>
                <w:rFonts w:ascii="Arial"/>
                <w:sz w:val="21"/>
              </w:rPr>
            </w:pPr>
          </w:p>
        </w:tc>
        <w:tc>
          <w:tcPr>
            <w:tcW w:w="221" w:type="dxa"/>
            <w:vMerge w:val="continue"/>
            <w:tcBorders>
              <w:top w:val="nil"/>
              <w:bottom w:val="nil"/>
            </w:tcBorders>
            <w:vAlign w:val="top"/>
          </w:tcPr>
          <w:p w14:paraId="3EC8EA1E">
            <w:pPr>
              <w:rPr>
                <w:rFonts w:ascii="Arial"/>
                <w:sz w:val="21"/>
              </w:rPr>
            </w:pPr>
          </w:p>
        </w:tc>
        <w:tc>
          <w:tcPr>
            <w:tcW w:w="664" w:type="dxa"/>
            <w:vMerge w:val="continue"/>
            <w:tcBorders>
              <w:top w:val="nil"/>
              <w:bottom w:val="nil"/>
            </w:tcBorders>
            <w:vAlign w:val="top"/>
          </w:tcPr>
          <w:p w14:paraId="7FEBBD0A">
            <w:pPr>
              <w:rPr>
                <w:rFonts w:ascii="Arial"/>
                <w:sz w:val="21"/>
              </w:rPr>
            </w:pPr>
          </w:p>
        </w:tc>
        <w:tc>
          <w:tcPr>
            <w:tcW w:w="1876" w:type="dxa"/>
            <w:vAlign w:val="top"/>
          </w:tcPr>
          <w:p w14:paraId="3E090033">
            <w:pPr>
              <w:pStyle w:val="6"/>
              <w:spacing w:before="58" w:line="202" w:lineRule="auto"/>
              <w:ind w:left="489"/>
              <w:rPr>
                <w:sz w:val="18"/>
                <w:szCs w:val="18"/>
              </w:rPr>
            </w:pPr>
            <w:r>
              <w:rPr>
                <w:spacing w:val="-2"/>
                <w:sz w:val="18"/>
                <w:szCs w:val="18"/>
              </w:rPr>
              <w:t>布袋除尘器</w:t>
            </w:r>
          </w:p>
        </w:tc>
        <w:tc>
          <w:tcPr>
            <w:tcW w:w="1805" w:type="dxa"/>
            <w:vAlign w:val="top"/>
          </w:tcPr>
          <w:p w14:paraId="0E032F79">
            <w:pPr>
              <w:pStyle w:val="6"/>
              <w:spacing w:before="58" w:line="202" w:lineRule="auto"/>
              <w:ind w:left="861"/>
              <w:rPr>
                <w:sz w:val="18"/>
                <w:szCs w:val="18"/>
              </w:rPr>
            </w:pPr>
            <w:r>
              <w:rPr>
                <w:sz w:val="18"/>
                <w:szCs w:val="18"/>
              </w:rPr>
              <w:t>/</w:t>
            </w:r>
          </w:p>
        </w:tc>
        <w:tc>
          <w:tcPr>
            <w:tcW w:w="1774" w:type="dxa"/>
            <w:vAlign w:val="top"/>
          </w:tcPr>
          <w:p w14:paraId="7E296937">
            <w:pPr>
              <w:spacing w:before="89" w:line="188" w:lineRule="auto"/>
              <w:ind w:left="84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21" w:type="dxa"/>
            <w:vAlign w:val="top"/>
          </w:tcPr>
          <w:p w14:paraId="04D54606">
            <w:pPr>
              <w:pStyle w:val="6"/>
              <w:spacing w:before="58" w:line="202" w:lineRule="auto"/>
              <w:ind w:left="675"/>
              <w:rPr>
                <w:sz w:val="18"/>
                <w:szCs w:val="18"/>
              </w:rPr>
            </w:pPr>
            <w:r>
              <w:rPr>
                <w:sz w:val="18"/>
                <w:szCs w:val="18"/>
              </w:rPr>
              <w:t>/</w:t>
            </w:r>
          </w:p>
        </w:tc>
        <w:tc>
          <w:tcPr>
            <w:tcW w:w="231" w:type="dxa"/>
            <w:vMerge w:val="continue"/>
            <w:tcBorders>
              <w:top w:val="nil"/>
              <w:bottom w:val="nil"/>
              <w:right w:val="single" w:color="000000" w:sz="6" w:space="0"/>
            </w:tcBorders>
            <w:vAlign w:val="top"/>
          </w:tcPr>
          <w:p w14:paraId="436C273E">
            <w:pPr>
              <w:rPr>
                <w:rFonts w:ascii="Arial"/>
                <w:sz w:val="21"/>
              </w:rPr>
            </w:pPr>
          </w:p>
        </w:tc>
      </w:tr>
      <w:tr w14:paraId="4304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2C1A3B95">
            <w:pPr>
              <w:rPr>
                <w:rFonts w:ascii="Arial"/>
                <w:sz w:val="21"/>
              </w:rPr>
            </w:pPr>
          </w:p>
        </w:tc>
        <w:tc>
          <w:tcPr>
            <w:tcW w:w="221" w:type="dxa"/>
            <w:vMerge w:val="continue"/>
            <w:tcBorders>
              <w:top w:val="nil"/>
              <w:bottom w:val="nil"/>
            </w:tcBorders>
            <w:vAlign w:val="top"/>
          </w:tcPr>
          <w:p w14:paraId="3CEA5D80">
            <w:pPr>
              <w:rPr>
                <w:rFonts w:ascii="Arial"/>
                <w:sz w:val="21"/>
              </w:rPr>
            </w:pPr>
          </w:p>
        </w:tc>
        <w:tc>
          <w:tcPr>
            <w:tcW w:w="664" w:type="dxa"/>
            <w:vMerge w:val="continue"/>
            <w:tcBorders>
              <w:top w:val="nil"/>
              <w:bottom w:val="nil"/>
            </w:tcBorders>
            <w:vAlign w:val="top"/>
          </w:tcPr>
          <w:p w14:paraId="02E131AC">
            <w:pPr>
              <w:rPr>
                <w:rFonts w:ascii="Arial"/>
                <w:sz w:val="21"/>
              </w:rPr>
            </w:pPr>
          </w:p>
        </w:tc>
        <w:tc>
          <w:tcPr>
            <w:tcW w:w="1876" w:type="dxa"/>
            <w:vAlign w:val="top"/>
          </w:tcPr>
          <w:p w14:paraId="28D6861B">
            <w:pPr>
              <w:pStyle w:val="6"/>
              <w:spacing w:before="60" w:line="200" w:lineRule="auto"/>
              <w:ind w:left="488"/>
              <w:rPr>
                <w:sz w:val="18"/>
                <w:szCs w:val="18"/>
              </w:rPr>
            </w:pPr>
            <w:r>
              <w:rPr>
                <w:spacing w:val="-2"/>
                <w:sz w:val="18"/>
                <w:szCs w:val="18"/>
              </w:rPr>
              <w:t>仓顶除尘器</w:t>
            </w:r>
          </w:p>
        </w:tc>
        <w:tc>
          <w:tcPr>
            <w:tcW w:w="1805" w:type="dxa"/>
            <w:vAlign w:val="top"/>
          </w:tcPr>
          <w:p w14:paraId="002F2D9E">
            <w:pPr>
              <w:pStyle w:val="6"/>
              <w:spacing w:before="60" w:line="200" w:lineRule="auto"/>
              <w:ind w:left="861"/>
              <w:rPr>
                <w:sz w:val="18"/>
                <w:szCs w:val="18"/>
              </w:rPr>
            </w:pPr>
            <w:r>
              <w:rPr>
                <w:sz w:val="18"/>
                <w:szCs w:val="18"/>
              </w:rPr>
              <w:t>/</w:t>
            </w:r>
          </w:p>
        </w:tc>
        <w:tc>
          <w:tcPr>
            <w:tcW w:w="1774" w:type="dxa"/>
            <w:vAlign w:val="top"/>
          </w:tcPr>
          <w:p w14:paraId="22420332">
            <w:pPr>
              <w:spacing w:before="88" w:line="188" w:lineRule="auto"/>
              <w:ind w:left="81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421" w:type="dxa"/>
            <w:vAlign w:val="top"/>
          </w:tcPr>
          <w:p w14:paraId="5FA6863F">
            <w:pPr>
              <w:pStyle w:val="6"/>
              <w:spacing w:before="60" w:line="200" w:lineRule="auto"/>
              <w:ind w:left="675"/>
              <w:rPr>
                <w:sz w:val="18"/>
                <w:szCs w:val="18"/>
              </w:rPr>
            </w:pPr>
            <w:r>
              <w:rPr>
                <w:sz w:val="18"/>
                <w:szCs w:val="18"/>
              </w:rPr>
              <w:t>/</w:t>
            </w:r>
          </w:p>
        </w:tc>
        <w:tc>
          <w:tcPr>
            <w:tcW w:w="231" w:type="dxa"/>
            <w:vMerge w:val="continue"/>
            <w:tcBorders>
              <w:top w:val="nil"/>
              <w:bottom w:val="nil"/>
              <w:right w:val="single" w:color="000000" w:sz="6" w:space="0"/>
            </w:tcBorders>
            <w:vAlign w:val="top"/>
          </w:tcPr>
          <w:p w14:paraId="17CF4BCB">
            <w:pPr>
              <w:rPr>
                <w:rFonts w:ascii="Arial"/>
                <w:sz w:val="21"/>
              </w:rPr>
            </w:pPr>
          </w:p>
        </w:tc>
      </w:tr>
      <w:tr w14:paraId="1AEB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31" w:type="dxa"/>
            <w:vMerge w:val="continue"/>
            <w:tcBorders>
              <w:top w:val="nil"/>
              <w:left w:val="single" w:color="000000" w:sz="6" w:space="0"/>
              <w:bottom w:val="nil"/>
            </w:tcBorders>
            <w:vAlign w:val="top"/>
          </w:tcPr>
          <w:p w14:paraId="34BF5F33">
            <w:pPr>
              <w:rPr>
                <w:rFonts w:ascii="Arial"/>
                <w:sz w:val="21"/>
              </w:rPr>
            </w:pPr>
          </w:p>
        </w:tc>
        <w:tc>
          <w:tcPr>
            <w:tcW w:w="221" w:type="dxa"/>
            <w:vMerge w:val="continue"/>
            <w:tcBorders>
              <w:top w:val="nil"/>
              <w:bottom w:val="nil"/>
            </w:tcBorders>
            <w:vAlign w:val="top"/>
          </w:tcPr>
          <w:p w14:paraId="3615EA90">
            <w:pPr>
              <w:rPr>
                <w:rFonts w:ascii="Arial"/>
                <w:sz w:val="21"/>
              </w:rPr>
            </w:pPr>
          </w:p>
        </w:tc>
        <w:tc>
          <w:tcPr>
            <w:tcW w:w="664" w:type="dxa"/>
            <w:vMerge w:val="continue"/>
            <w:tcBorders>
              <w:top w:val="nil"/>
              <w:bottom w:val="nil"/>
            </w:tcBorders>
            <w:vAlign w:val="top"/>
          </w:tcPr>
          <w:p w14:paraId="1CC92F1B">
            <w:pPr>
              <w:rPr>
                <w:rFonts w:ascii="Arial"/>
                <w:sz w:val="21"/>
              </w:rPr>
            </w:pPr>
          </w:p>
        </w:tc>
        <w:tc>
          <w:tcPr>
            <w:tcW w:w="1876" w:type="dxa"/>
            <w:vAlign w:val="top"/>
          </w:tcPr>
          <w:p w14:paraId="39F7A78D">
            <w:pPr>
              <w:pStyle w:val="6"/>
              <w:spacing w:before="58" w:line="202" w:lineRule="auto"/>
              <w:ind w:left="314"/>
              <w:rPr>
                <w:sz w:val="18"/>
                <w:szCs w:val="18"/>
              </w:rPr>
            </w:pPr>
            <w:r>
              <w:rPr>
                <w:spacing w:val="-2"/>
                <w:sz w:val="18"/>
                <w:szCs w:val="18"/>
              </w:rPr>
              <w:t>小料脉冲除尘器</w:t>
            </w:r>
          </w:p>
        </w:tc>
        <w:tc>
          <w:tcPr>
            <w:tcW w:w="1805" w:type="dxa"/>
            <w:vAlign w:val="top"/>
          </w:tcPr>
          <w:p w14:paraId="63C18195">
            <w:pPr>
              <w:pStyle w:val="6"/>
              <w:spacing w:before="58" w:line="202" w:lineRule="auto"/>
              <w:ind w:left="861"/>
              <w:rPr>
                <w:sz w:val="18"/>
                <w:szCs w:val="18"/>
              </w:rPr>
            </w:pPr>
            <w:r>
              <w:rPr>
                <w:sz w:val="18"/>
                <w:szCs w:val="18"/>
              </w:rPr>
              <w:t>/</w:t>
            </w:r>
          </w:p>
        </w:tc>
        <w:tc>
          <w:tcPr>
            <w:tcW w:w="1774" w:type="dxa"/>
            <w:vAlign w:val="top"/>
          </w:tcPr>
          <w:p w14:paraId="35415FF4">
            <w:pPr>
              <w:spacing w:before="89"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21" w:type="dxa"/>
            <w:vAlign w:val="top"/>
          </w:tcPr>
          <w:p w14:paraId="5DDB7FF7">
            <w:pPr>
              <w:pStyle w:val="6"/>
              <w:spacing w:before="58" w:line="202" w:lineRule="auto"/>
              <w:ind w:left="675"/>
              <w:rPr>
                <w:sz w:val="18"/>
                <w:szCs w:val="18"/>
              </w:rPr>
            </w:pPr>
            <w:r>
              <w:rPr>
                <w:sz w:val="18"/>
                <w:szCs w:val="18"/>
              </w:rPr>
              <w:t>/</w:t>
            </w:r>
          </w:p>
        </w:tc>
        <w:tc>
          <w:tcPr>
            <w:tcW w:w="231" w:type="dxa"/>
            <w:vMerge w:val="continue"/>
            <w:tcBorders>
              <w:top w:val="nil"/>
              <w:bottom w:val="nil"/>
              <w:right w:val="single" w:color="000000" w:sz="6" w:space="0"/>
            </w:tcBorders>
            <w:vAlign w:val="top"/>
          </w:tcPr>
          <w:p w14:paraId="235ED96E">
            <w:pPr>
              <w:rPr>
                <w:rFonts w:ascii="Arial"/>
                <w:sz w:val="21"/>
              </w:rPr>
            </w:pPr>
          </w:p>
        </w:tc>
      </w:tr>
      <w:tr w14:paraId="508C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624112B1">
            <w:pPr>
              <w:rPr>
                <w:rFonts w:ascii="Arial"/>
                <w:sz w:val="21"/>
              </w:rPr>
            </w:pPr>
          </w:p>
        </w:tc>
        <w:tc>
          <w:tcPr>
            <w:tcW w:w="221" w:type="dxa"/>
            <w:vMerge w:val="continue"/>
            <w:tcBorders>
              <w:top w:val="nil"/>
              <w:bottom w:val="nil"/>
            </w:tcBorders>
            <w:vAlign w:val="top"/>
          </w:tcPr>
          <w:p w14:paraId="0B93667C">
            <w:pPr>
              <w:rPr>
                <w:rFonts w:ascii="Arial"/>
                <w:sz w:val="21"/>
              </w:rPr>
            </w:pPr>
          </w:p>
        </w:tc>
        <w:tc>
          <w:tcPr>
            <w:tcW w:w="664" w:type="dxa"/>
            <w:vMerge w:val="continue"/>
            <w:tcBorders>
              <w:top w:val="nil"/>
              <w:bottom w:val="nil"/>
            </w:tcBorders>
            <w:vAlign w:val="top"/>
          </w:tcPr>
          <w:p w14:paraId="09FE82BB">
            <w:pPr>
              <w:rPr>
                <w:rFonts w:ascii="Arial"/>
                <w:sz w:val="21"/>
              </w:rPr>
            </w:pPr>
          </w:p>
        </w:tc>
        <w:tc>
          <w:tcPr>
            <w:tcW w:w="1876" w:type="dxa"/>
            <w:vAlign w:val="top"/>
          </w:tcPr>
          <w:p w14:paraId="65ED9022">
            <w:pPr>
              <w:pStyle w:val="6"/>
              <w:spacing w:before="60" w:line="200" w:lineRule="auto"/>
              <w:ind w:left="758"/>
              <w:rPr>
                <w:sz w:val="18"/>
                <w:szCs w:val="18"/>
              </w:rPr>
            </w:pPr>
            <w:r>
              <w:rPr>
                <w:spacing w:val="-4"/>
                <w:sz w:val="18"/>
                <w:szCs w:val="18"/>
              </w:rPr>
              <w:t>风机</w:t>
            </w:r>
          </w:p>
        </w:tc>
        <w:tc>
          <w:tcPr>
            <w:tcW w:w="1805" w:type="dxa"/>
            <w:vAlign w:val="top"/>
          </w:tcPr>
          <w:p w14:paraId="56DF8848">
            <w:pPr>
              <w:pStyle w:val="6"/>
              <w:spacing w:before="60" w:line="200" w:lineRule="auto"/>
              <w:ind w:left="861"/>
              <w:rPr>
                <w:sz w:val="18"/>
                <w:szCs w:val="18"/>
              </w:rPr>
            </w:pPr>
            <w:r>
              <w:rPr>
                <w:sz w:val="18"/>
                <w:szCs w:val="18"/>
              </w:rPr>
              <w:t>/</w:t>
            </w:r>
          </w:p>
        </w:tc>
        <w:tc>
          <w:tcPr>
            <w:tcW w:w="1774" w:type="dxa"/>
            <w:vAlign w:val="top"/>
          </w:tcPr>
          <w:p w14:paraId="6F1AF832">
            <w:pPr>
              <w:spacing w:before="88" w:line="188" w:lineRule="auto"/>
              <w:ind w:left="84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21" w:type="dxa"/>
            <w:vAlign w:val="top"/>
          </w:tcPr>
          <w:p w14:paraId="7540AA7E">
            <w:pPr>
              <w:pStyle w:val="6"/>
              <w:spacing w:before="60" w:line="200" w:lineRule="auto"/>
              <w:ind w:left="675"/>
              <w:rPr>
                <w:sz w:val="18"/>
                <w:szCs w:val="18"/>
              </w:rPr>
            </w:pPr>
            <w:r>
              <w:rPr>
                <w:sz w:val="18"/>
                <w:szCs w:val="18"/>
              </w:rPr>
              <w:t>/</w:t>
            </w:r>
          </w:p>
        </w:tc>
        <w:tc>
          <w:tcPr>
            <w:tcW w:w="231" w:type="dxa"/>
            <w:vMerge w:val="continue"/>
            <w:tcBorders>
              <w:top w:val="nil"/>
              <w:bottom w:val="nil"/>
              <w:right w:val="single" w:color="000000" w:sz="6" w:space="0"/>
            </w:tcBorders>
            <w:vAlign w:val="top"/>
          </w:tcPr>
          <w:p w14:paraId="53248648">
            <w:pPr>
              <w:rPr>
                <w:rFonts w:ascii="Arial"/>
                <w:sz w:val="21"/>
              </w:rPr>
            </w:pPr>
          </w:p>
        </w:tc>
      </w:tr>
      <w:tr w14:paraId="6E1EC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40C0CD48">
            <w:pPr>
              <w:rPr>
                <w:rFonts w:ascii="Arial"/>
                <w:sz w:val="21"/>
              </w:rPr>
            </w:pPr>
          </w:p>
        </w:tc>
        <w:tc>
          <w:tcPr>
            <w:tcW w:w="221" w:type="dxa"/>
            <w:vMerge w:val="continue"/>
            <w:tcBorders>
              <w:top w:val="nil"/>
              <w:bottom w:val="nil"/>
            </w:tcBorders>
            <w:vAlign w:val="top"/>
          </w:tcPr>
          <w:p w14:paraId="7A9BA780">
            <w:pPr>
              <w:rPr>
                <w:rFonts w:ascii="Arial"/>
                <w:sz w:val="21"/>
              </w:rPr>
            </w:pPr>
          </w:p>
        </w:tc>
        <w:tc>
          <w:tcPr>
            <w:tcW w:w="664" w:type="dxa"/>
            <w:vMerge w:val="continue"/>
            <w:tcBorders>
              <w:top w:val="nil"/>
              <w:bottom w:val="nil"/>
            </w:tcBorders>
            <w:vAlign w:val="top"/>
          </w:tcPr>
          <w:p w14:paraId="492195F9">
            <w:pPr>
              <w:rPr>
                <w:rFonts w:ascii="Arial"/>
                <w:sz w:val="21"/>
              </w:rPr>
            </w:pPr>
          </w:p>
        </w:tc>
        <w:tc>
          <w:tcPr>
            <w:tcW w:w="1876" w:type="dxa"/>
            <w:vAlign w:val="top"/>
          </w:tcPr>
          <w:p w14:paraId="5DE52AA2">
            <w:pPr>
              <w:pStyle w:val="6"/>
              <w:spacing w:before="58" w:line="202" w:lineRule="auto"/>
              <w:ind w:left="400"/>
              <w:rPr>
                <w:sz w:val="18"/>
                <w:szCs w:val="18"/>
              </w:rPr>
            </w:pPr>
            <w:r>
              <w:rPr>
                <w:spacing w:val="-2"/>
                <w:sz w:val="18"/>
                <w:szCs w:val="18"/>
              </w:rPr>
              <w:t>备用燃气锅炉</w:t>
            </w:r>
          </w:p>
        </w:tc>
        <w:tc>
          <w:tcPr>
            <w:tcW w:w="1805" w:type="dxa"/>
            <w:vAlign w:val="top"/>
          </w:tcPr>
          <w:p w14:paraId="3BE3FF9C">
            <w:pPr>
              <w:pStyle w:val="6"/>
              <w:spacing w:before="58" w:line="202" w:lineRule="auto"/>
              <w:ind w:left="728"/>
              <w:rPr>
                <w:sz w:val="18"/>
                <w:szCs w:val="18"/>
              </w:rPr>
            </w:pPr>
            <w:r>
              <w:rPr>
                <w:spacing w:val="-2"/>
                <w:sz w:val="18"/>
                <w:szCs w:val="18"/>
              </w:rPr>
              <w:t>8t/h</w:t>
            </w:r>
          </w:p>
        </w:tc>
        <w:tc>
          <w:tcPr>
            <w:tcW w:w="1774" w:type="dxa"/>
            <w:vAlign w:val="top"/>
          </w:tcPr>
          <w:p w14:paraId="55C773DF">
            <w:pPr>
              <w:spacing w:before="89"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restart"/>
            <w:tcBorders>
              <w:bottom w:val="nil"/>
            </w:tcBorders>
            <w:vAlign w:val="top"/>
          </w:tcPr>
          <w:p w14:paraId="606E2E68">
            <w:pPr>
              <w:pStyle w:val="6"/>
              <w:spacing w:before="195" w:line="220" w:lineRule="auto"/>
              <w:ind w:left="450"/>
              <w:rPr>
                <w:sz w:val="18"/>
                <w:szCs w:val="18"/>
              </w:rPr>
            </w:pPr>
            <w:r>
              <w:rPr>
                <w:spacing w:val="-3"/>
                <w:sz w:val="18"/>
                <w:szCs w:val="18"/>
              </w:rPr>
              <w:t>锅炉房</w:t>
            </w:r>
          </w:p>
        </w:tc>
        <w:tc>
          <w:tcPr>
            <w:tcW w:w="231" w:type="dxa"/>
            <w:vMerge w:val="continue"/>
            <w:tcBorders>
              <w:top w:val="nil"/>
              <w:bottom w:val="nil"/>
              <w:right w:val="single" w:color="000000" w:sz="6" w:space="0"/>
            </w:tcBorders>
            <w:vAlign w:val="top"/>
          </w:tcPr>
          <w:p w14:paraId="7457AB1B">
            <w:pPr>
              <w:rPr>
                <w:rFonts w:ascii="Arial"/>
                <w:sz w:val="21"/>
              </w:rPr>
            </w:pPr>
          </w:p>
        </w:tc>
      </w:tr>
      <w:tr w14:paraId="7E479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31463D8A">
            <w:pPr>
              <w:rPr>
                <w:rFonts w:ascii="Arial"/>
                <w:sz w:val="21"/>
              </w:rPr>
            </w:pPr>
          </w:p>
        </w:tc>
        <w:tc>
          <w:tcPr>
            <w:tcW w:w="221" w:type="dxa"/>
            <w:vMerge w:val="continue"/>
            <w:tcBorders>
              <w:top w:val="nil"/>
              <w:bottom w:val="nil"/>
            </w:tcBorders>
            <w:vAlign w:val="top"/>
          </w:tcPr>
          <w:p w14:paraId="27D364A1">
            <w:pPr>
              <w:rPr>
                <w:rFonts w:ascii="Arial"/>
                <w:sz w:val="21"/>
              </w:rPr>
            </w:pPr>
          </w:p>
        </w:tc>
        <w:tc>
          <w:tcPr>
            <w:tcW w:w="664" w:type="dxa"/>
            <w:vMerge w:val="continue"/>
            <w:tcBorders>
              <w:top w:val="nil"/>
              <w:bottom w:val="nil"/>
            </w:tcBorders>
            <w:vAlign w:val="top"/>
          </w:tcPr>
          <w:p w14:paraId="0D30FCB6">
            <w:pPr>
              <w:rPr>
                <w:rFonts w:ascii="Arial"/>
                <w:sz w:val="21"/>
              </w:rPr>
            </w:pPr>
          </w:p>
        </w:tc>
        <w:tc>
          <w:tcPr>
            <w:tcW w:w="1876" w:type="dxa"/>
            <w:vAlign w:val="top"/>
          </w:tcPr>
          <w:p w14:paraId="672A5A8A">
            <w:pPr>
              <w:pStyle w:val="6"/>
              <w:spacing w:before="60" w:line="200" w:lineRule="auto"/>
              <w:ind w:left="580"/>
              <w:rPr>
                <w:sz w:val="18"/>
                <w:szCs w:val="18"/>
              </w:rPr>
            </w:pPr>
            <w:r>
              <w:rPr>
                <w:spacing w:val="-3"/>
                <w:sz w:val="18"/>
                <w:szCs w:val="18"/>
              </w:rPr>
              <w:t>软水装置</w:t>
            </w:r>
          </w:p>
        </w:tc>
        <w:tc>
          <w:tcPr>
            <w:tcW w:w="1805" w:type="dxa"/>
            <w:vAlign w:val="top"/>
          </w:tcPr>
          <w:p w14:paraId="3E25A40B">
            <w:pPr>
              <w:pStyle w:val="6"/>
              <w:spacing w:before="60" w:line="200" w:lineRule="auto"/>
              <w:ind w:left="469"/>
              <w:rPr>
                <w:sz w:val="18"/>
                <w:szCs w:val="18"/>
              </w:rPr>
            </w:pPr>
            <w:r>
              <w:rPr>
                <w:spacing w:val="-5"/>
                <w:sz w:val="18"/>
                <w:szCs w:val="18"/>
              </w:rPr>
              <w:t>阳离子树脂</w:t>
            </w:r>
          </w:p>
        </w:tc>
        <w:tc>
          <w:tcPr>
            <w:tcW w:w="1774" w:type="dxa"/>
            <w:vAlign w:val="top"/>
          </w:tcPr>
          <w:p w14:paraId="2C27C1BC">
            <w:pPr>
              <w:spacing w:before="88"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Merge w:val="continue"/>
            <w:tcBorders>
              <w:top w:val="nil"/>
            </w:tcBorders>
            <w:vAlign w:val="top"/>
          </w:tcPr>
          <w:p w14:paraId="274F5772">
            <w:pPr>
              <w:rPr>
                <w:rFonts w:ascii="Arial"/>
                <w:sz w:val="21"/>
              </w:rPr>
            </w:pPr>
          </w:p>
        </w:tc>
        <w:tc>
          <w:tcPr>
            <w:tcW w:w="231" w:type="dxa"/>
            <w:vMerge w:val="continue"/>
            <w:tcBorders>
              <w:top w:val="nil"/>
              <w:bottom w:val="nil"/>
              <w:right w:val="single" w:color="000000" w:sz="6" w:space="0"/>
            </w:tcBorders>
            <w:vAlign w:val="top"/>
          </w:tcPr>
          <w:p w14:paraId="68D8D04F">
            <w:pPr>
              <w:rPr>
                <w:rFonts w:ascii="Arial"/>
                <w:sz w:val="21"/>
              </w:rPr>
            </w:pPr>
          </w:p>
        </w:tc>
      </w:tr>
      <w:tr w14:paraId="4162A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31" w:type="dxa"/>
            <w:vMerge w:val="continue"/>
            <w:tcBorders>
              <w:top w:val="nil"/>
              <w:left w:val="single" w:color="000000" w:sz="6" w:space="0"/>
            </w:tcBorders>
            <w:vAlign w:val="top"/>
          </w:tcPr>
          <w:p w14:paraId="33667D1D">
            <w:pPr>
              <w:rPr>
                <w:rFonts w:ascii="Arial"/>
                <w:sz w:val="21"/>
              </w:rPr>
            </w:pPr>
          </w:p>
        </w:tc>
        <w:tc>
          <w:tcPr>
            <w:tcW w:w="221" w:type="dxa"/>
            <w:vMerge w:val="continue"/>
            <w:tcBorders>
              <w:top w:val="nil"/>
            </w:tcBorders>
            <w:vAlign w:val="top"/>
          </w:tcPr>
          <w:p w14:paraId="111F55AA">
            <w:pPr>
              <w:rPr>
                <w:rFonts w:ascii="Arial"/>
                <w:sz w:val="21"/>
              </w:rPr>
            </w:pPr>
          </w:p>
        </w:tc>
        <w:tc>
          <w:tcPr>
            <w:tcW w:w="664" w:type="dxa"/>
            <w:vMerge w:val="continue"/>
            <w:tcBorders>
              <w:top w:val="nil"/>
            </w:tcBorders>
            <w:vAlign w:val="top"/>
          </w:tcPr>
          <w:p w14:paraId="2C435985">
            <w:pPr>
              <w:rPr>
                <w:rFonts w:ascii="Arial"/>
                <w:sz w:val="21"/>
              </w:rPr>
            </w:pPr>
          </w:p>
        </w:tc>
        <w:tc>
          <w:tcPr>
            <w:tcW w:w="1876" w:type="dxa"/>
            <w:vAlign w:val="top"/>
          </w:tcPr>
          <w:p w14:paraId="27FAF31E">
            <w:pPr>
              <w:pStyle w:val="6"/>
              <w:spacing w:before="58" w:line="204" w:lineRule="auto"/>
              <w:ind w:left="463"/>
              <w:rPr>
                <w:sz w:val="18"/>
                <w:szCs w:val="18"/>
              </w:rPr>
            </w:pPr>
            <w:r>
              <w:rPr>
                <w:spacing w:val="-2"/>
                <w:sz w:val="18"/>
                <w:szCs w:val="18"/>
              </w:rPr>
              <w:t>UV</w:t>
            </w:r>
            <w:r>
              <w:rPr>
                <w:spacing w:val="-39"/>
                <w:sz w:val="18"/>
                <w:szCs w:val="18"/>
              </w:rPr>
              <w:t xml:space="preserve"> </w:t>
            </w:r>
            <w:r>
              <w:rPr>
                <w:spacing w:val="-2"/>
                <w:sz w:val="18"/>
                <w:szCs w:val="18"/>
              </w:rPr>
              <w:t>光解设备</w:t>
            </w:r>
          </w:p>
        </w:tc>
        <w:tc>
          <w:tcPr>
            <w:tcW w:w="1805" w:type="dxa"/>
            <w:vAlign w:val="top"/>
          </w:tcPr>
          <w:p w14:paraId="0A5C27C7">
            <w:pPr>
              <w:pStyle w:val="6"/>
              <w:spacing w:before="58" w:line="204" w:lineRule="auto"/>
              <w:ind w:left="861"/>
              <w:rPr>
                <w:sz w:val="18"/>
                <w:szCs w:val="18"/>
              </w:rPr>
            </w:pPr>
            <w:r>
              <w:rPr>
                <w:sz w:val="18"/>
                <w:szCs w:val="18"/>
              </w:rPr>
              <w:t>/</w:t>
            </w:r>
          </w:p>
        </w:tc>
        <w:tc>
          <w:tcPr>
            <w:tcW w:w="1774" w:type="dxa"/>
            <w:vAlign w:val="top"/>
          </w:tcPr>
          <w:p w14:paraId="2B7B9D05">
            <w:pPr>
              <w:spacing w:before="89" w:line="188" w:lineRule="auto"/>
              <w:ind w:left="8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Align w:val="top"/>
          </w:tcPr>
          <w:p w14:paraId="57A2092A">
            <w:pPr>
              <w:pStyle w:val="6"/>
              <w:spacing w:before="58" w:line="204" w:lineRule="auto"/>
              <w:ind w:left="270"/>
              <w:rPr>
                <w:sz w:val="18"/>
                <w:szCs w:val="18"/>
              </w:rPr>
            </w:pPr>
            <w:r>
              <w:rPr>
                <w:spacing w:val="-2"/>
                <w:sz w:val="18"/>
                <w:szCs w:val="18"/>
              </w:rPr>
              <w:t>浸漆烤漆房</w:t>
            </w:r>
          </w:p>
        </w:tc>
        <w:tc>
          <w:tcPr>
            <w:tcW w:w="231" w:type="dxa"/>
            <w:vMerge w:val="continue"/>
            <w:tcBorders>
              <w:top w:val="nil"/>
              <w:right w:val="single" w:color="000000" w:sz="6" w:space="0"/>
            </w:tcBorders>
            <w:vAlign w:val="top"/>
          </w:tcPr>
          <w:p w14:paraId="3D570B39">
            <w:pPr>
              <w:rPr>
                <w:rFonts w:ascii="Arial"/>
                <w:sz w:val="21"/>
              </w:rPr>
            </w:pPr>
          </w:p>
        </w:tc>
      </w:tr>
    </w:tbl>
    <w:p w14:paraId="28217496">
      <w:pPr>
        <w:pStyle w:val="2"/>
      </w:pPr>
    </w:p>
    <w:p w14:paraId="73E9B86A">
      <w:pPr>
        <w:sectPr>
          <w:footerReference r:id="rId36" w:type="default"/>
          <w:pgSz w:w="11906" w:h="16839"/>
          <w:pgMar w:top="1431" w:right="1534" w:bottom="1260" w:left="1533" w:header="0" w:footer="1080" w:gutter="0"/>
          <w:cols w:space="720" w:num="1"/>
        </w:sectPr>
      </w:pPr>
    </w:p>
    <w:p w14:paraId="0D97E86C">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11"/>
        <w:gridCol w:w="557"/>
        <w:gridCol w:w="107"/>
        <w:gridCol w:w="398"/>
        <w:gridCol w:w="1274"/>
        <w:gridCol w:w="204"/>
        <w:gridCol w:w="1027"/>
        <w:gridCol w:w="778"/>
        <w:gridCol w:w="221"/>
        <w:gridCol w:w="1443"/>
        <w:gridCol w:w="110"/>
        <w:gridCol w:w="1421"/>
        <w:gridCol w:w="23"/>
        <w:gridCol w:w="218"/>
      </w:tblGrid>
      <w:tr w14:paraId="51D5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31" w:type="dxa"/>
            <w:vMerge w:val="restart"/>
            <w:tcBorders>
              <w:top w:val="single" w:color="000000" w:sz="6" w:space="0"/>
              <w:left w:val="single" w:color="000000" w:sz="6" w:space="0"/>
              <w:bottom w:val="nil"/>
            </w:tcBorders>
            <w:vAlign w:val="top"/>
          </w:tcPr>
          <w:p w14:paraId="4C6D2AD6">
            <w:pPr>
              <w:rPr>
                <w:rFonts w:ascii="Arial"/>
                <w:sz w:val="21"/>
              </w:rPr>
            </w:pPr>
          </w:p>
        </w:tc>
        <w:tc>
          <w:tcPr>
            <w:tcW w:w="211" w:type="dxa"/>
            <w:vMerge w:val="restart"/>
            <w:tcBorders>
              <w:top w:val="single" w:color="000000" w:sz="6" w:space="0"/>
              <w:bottom w:val="nil"/>
            </w:tcBorders>
            <w:vAlign w:val="top"/>
          </w:tcPr>
          <w:p w14:paraId="27D3E528">
            <w:pPr>
              <w:rPr>
                <w:rFonts w:ascii="Arial"/>
                <w:sz w:val="21"/>
              </w:rPr>
            </w:pPr>
          </w:p>
        </w:tc>
        <w:tc>
          <w:tcPr>
            <w:tcW w:w="664" w:type="dxa"/>
            <w:gridSpan w:val="2"/>
            <w:tcBorders>
              <w:top w:val="single" w:color="000000" w:sz="6" w:space="0"/>
            </w:tcBorders>
            <w:vAlign w:val="top"/>
          </w:tcPr>
          <w:p w14:paraId="63E8AE78">
            <w:pPr>
              <w:spacing w:before="98"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876" w:type="dxa"/>
            <w:gridSpan w:val="3"/>
            <w:tcBorders>
              <w:top w:val="single" w:color="000000" w:sz="6" w:space="0"/>
            </w:tcBorders>
            <w:vAlign w:val="top"/>
          </w:tcPr>
          <w:p w14:paraId="7E73CA7C">
            <w:pPr>
              <w:pStyle w:val="6"/>
              <w:spacing w:before="69" w:line="205" w:lineRule="auto"/>
              <w:ind w:left="319"/>
              <w:rPr>
                <w:sz w:val="18"/>
                <w:szCs w:val="18"/>
              </w:rPr>
            </w:pPr>
            <w:r>
              <w:rPr>
                <w:spacing w:val="-2"/>
                <w:sz w:val="18"/>
                <w:szCs w:val="18"/>
              </w:rPr>
              <w:t>两级活性炭装置</w:t>
            </w:r>
          </w:p>
        </w:tc>
        <w:tc>
          <w:tcPr>
            <w:tcW w:w="1805" w:type="dxa"/>
            <w:gridSpan w:val="2"/>
            <w:tcBorders>
              <w:top w:val="single" w:color="000000" w:sz="6" w:space="0"/>
            </w:tcBorders>
            <w:vAlign w:val="top"/>
          </w:tcPr>
          <w:p w14:paraId="40BAFB23">
            <w:pPr>
              <w:pStyle w:val="6"/>
              <w:spacing w:before="69" w:line="205" w:lineRule="auto"/>
              <w:ind w:left="871"/>
              <w:rPr>
                <w:sz w:val="18"/>
                <w:szCs w:val="18"/>
              </w:rPr>
            </w:pPr>
            <w:r>
              <w:rPr>
                <w:sz w:val="18"/>
                <w:szCs w:val="18"/>
              </w:rPr>
              <w:t>/</w:t>
            </w:r>
          </w:p>
        </w:tc>
        <w:tc>
          <w:tcPr>
            <w:tcW w:w="1774" w:type="dxa"/>
            <w:gridSpan w:val="3"/>
            <w:tcBorders>
              <w:top w:val="single" w:color="000000" w:sz="6" w:space="0"/>
            </w:tcBorders>
            <w:vAlign w:val="top"/>
          </w:tcPr>
          <w:p w14:paraId="5A4C9B2E">
            <w:pPr>
              <w:spacing w:before="98" w:line="188" w:lineRule="auto"/>
              <w:ind w:left="8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tcBorders>
              <w:top w:val="single" w:color="000000" w:sz="6" w:space="0"/>
            </w:tcBorders>
            <w:vAlign w:val="top"/>
          </w:tcPr>
          <w:p w14:paraId="78360090">
            <w:pPr>
              <w:rPr>
                <w:rFonts w:ascii="Arial"/>
                <w:sz w:val="21"/>
              </w:rPr>
            </w:pPr>
          </w:p>
        </w:tc>
        <w:tc>
          <w:tcPr>
            <w:tcW w:w="241" w:type="dxa"/>
            <w:gridSpan w:val="2"/>
            <w:vMerge w:val="restart"/>
            <w:tcBorders>
              <w:top w:val="single" w:color="000000" w:sz="6" w:space="0"/>
              <w:bottom w:val="nil"/>
              <w:right w:val="single" w:color="000000" w:sz="6" w:space="0"/>
            </w:tcBorders>
            <w:vAlign w:val="top"/>
          </w:tcPr>
          <w:p w14:paraId="66B4F119">
            <w:pPr>
              <w:rPr>
                <w:rFonts w:ascii="Arial"/>
                <w:sz w:val="21"/>
              </w:rPr>
            </w:pPr>
          </w:p>
        </w:tc>
      </w:tr>
      <w:tr w14:paraId="2E5FF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14:paraId="7FAB6196">
            <w:pPr>
              <w:rPr>
                <w:rFonts w:ascii="Arial"/>
                <w:sz w:val="21"/>
              </w:rPr>
            </w:pPr>
          </w:p>
        </w:tc>
        <w:tc>
          <w:tcPr>
            <w:tcW w:w="211" w:type="dxa"/>
            <w:vMerge w:val="continue"/>
            <w:tcBorders>
              <w:top w:val="nil"/>
              <w:bottom w:val="nil"/>
            </w:tcBorders>
            <w:vAlign w:val="top"/>
          </w:tcPr>
          <w:p w14:paraId="5406A601">
            <w:pPr>
              <w:rPr>
                <w:rFonts w:ascii="Arial"/>
                <w:sz w:val="21"/>
              </w:rPr>
            </w:pPr>
          </w:p>
        </w:tc>
        <w:tc>
          <w:tcPr>
            <w:tcW w:w="664" w:type="dxa"/>
            <w:gridSpan w:val="2"/>
            <w:vAlign w:val="top"/>
          </w:tcPr>
          <w:p w14:paraId="061CE612">
            <w:pPr>
              <w:spacing w:before="85"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1876" w:type="dxa"/>
            <w:gridSpan w:val="3"/>
            <w:vAlign w:val="top"/>
          </w:tcPr>
          <w:p w14:paraId="5F8DDEDA">
            <w:pPr>
              <w:pStyle w:val="6"/>
              <w:spacing w:before="54" w:line="206" w:lineRule="auto"/>
              <w:ind w:left="499"/>
              <w:rPr>
                <w:sz w:val="18"/>
                <w:szCs w:val="18"/>
              </w:rPr>
            </w:pPr>
            <w:r>
              <w:rPr>
                <w:spacing w:val="-2"/>
                <w:sz w:val="18"/>
                <w:szCs w:val="18"/>
              </w:rPr>
              <w:t>焊烟净化器</w:t>
            </w:r>
          </w:p>
        </w:tc>
        <w:tc>
          <w:tcPr>
            <w:tcW w:w="1805" w:type="dxa"/>
            <w:gridSpan w:val="2"/>
            <w:vAlign w:val="top"/>
          </w:tcPr>
          <w:p w14:paraId="55BC64C3">
            <w:pPr>
              <w:pStyle w:val="6"/>
              <w:spacing w:before="54" w:line="206" w:lineRule="auto"/>
              <w:ind w:left="871"/>
              <w:rPr>
                <w:sz w:val="18"/>
                <w:szCs w:val="18"/>
              </w:rPr>
            </w:pPr>
            <w:r>
              <w:rPr>
                <w:sz w:val="18"/>
                <w:szCs w:val="18"/>
              </w:rPr>
              <w:t>/</w:t>
            </w:r>
          </w:p>
        </w:tc>
        <w:tc>
          <w:tcPr>
            <w:tcW w:w="1774" w:type="dxa"/>
            <w:gridSpan w:val="3"/>
            <w:vAlign w:val="top"/>
          </w:tcPr>
          <w:p w14:paraId="6753799A">
            <w:pPr>
              <w:spacing w:before="85" w:line="188" w:lineRule="auto"/>
              <w:ind w:left="8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1" w:type="dxa"/>
            <w:vAlign w:val="top"/>
          </w:tcPr>
          <w:p w14:paraId="375514A9">
            <w:pPr>
              <w:pStyle w:val="6"/>
              <w:spacing w:before="54" w:line="206" w:lineRule="auto"/>
              <w:ind w:left="188"/>
              <w:rPr>
                <w:sz w:val="18"/>
                <w:szCs w:val="18"/>
              </w:rPr>
            </w:pPr>
            <w:r>
              <w:rPr>
                <w:spacing w:val="-1"/>
                <w:sz w:val="18"/>
                <w:szCs w:val="18"/>
              </w:rPr>
              <w:t>钢筋网加工间</w:t>
            </w:r>
          </w:p>
        </w:tc>
        <w:tc>
          <w:tcPr>
            <w:tcW w:w="241" w:type="dxa"/>
            <w:gridSpan w:val="2"/>
            <w:vMerge w:val="continue"/>
            <w:tcBorders>
              <w:top w:val="nil"/>
              <w:bottom w:val="nil"/>
              <w:right w:val="single" w:color="000000" w:sz="6" w:space="0"/>
            </w:tcBorders>
            <w:vAlign w:val="top"/>
          </w:tcPr>
          <w:p w14:paraId="464A23CB">
            <w:pPr>
              <w:rPr>
                <w:rFonts w:ascii="Arial"/>
                <w:sz w:val="21"/>
              </w:rPr>
            </w:pPr>
          </w:p>
        </w:tc>
      </w:tr>
      <w:tr w14:paraId="3102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3" w:hRule="atLeast"/>
        </w:trPr>
        <w:tc>
          <w:tcPr>
            <w:tcW w:w="831" w:type="dxa"/>
            <w:vMerge w:val="continue"/>
            <w:tcBorders>
              <w:top w:val="nil"/>
              <w:left w:val="single" w:color="000000" w:sz="6" w:space="0"/>
              <w:bottom w:val="nil"/>
            </w:tcBorders>
            <w:vAlign w:val="top"/>
          </w:tcPr>
          <w:p w14:paraId="5195AB49">
            <w:pPr>
              <w:rPr>
                <w:rFonts w:ascii="Arial"/>
                <w:sz w:val="21"/>
              </w:rPr>
            </w:pPr>
          </w:p>
        </w:tc>
        <w:tc>
          <w:tcPr>
            <w:tcW w:w="7992" w:type="dxa"/>
            <w:gridSpan w:val="14"/>
            <w:tcBorders>
              <w:right w:val="single" w:color="000000" w:sz="6" w:space="0"/>
            </w:tcBorders>
            <w:vAlign w:val="top"/>
          </w:tcPr>
          <w:p w14:paraId="7C56D4C1">
            <w:pPr>
              <w:spacing w:before="141" w:line="229" w:lineRule="auto"/>
              <w:ind w:left="86"/>
              <w:rPr>
                <w:rFonts w:ascii="黑体" w:hAnsi="黑体" w:eastAsia="黑体" w:cs="黑体"/>
                <w:sz w:val="20"/>
                <w:szCs w:val="20"/>
              </w:rPr>
            </w:pPr>
            <w:r>
              <w:rPr>
                <w:rFonts w:ascii="黑体" w:hAnsi="黑体" w:eastAsia="黑体" w:cs="黑体"/>
                <w:spacing w:val="9"/>
                <w:sz w:val="20"/>
                <w:szCs w:val="20"/>
              </w:rPr>
              <w:t>5、主要原辅材料种类及用量</w:t>
            </w:r>
          </w:p>
          <w:p w14:paraId="760021E3">
            <w:pPr>
              <w:pStyle w:val="6"/>
              <w:spacing w:before="151" w:line="362" w:lineRule="auto"/>
              <w:ind w:left="90" w:right="87" w:firstLine="421"/>
              <w:jc w:val="both"/>
              <w:rPr>
                <w:sz w:val="20"/>
                <w:szCs w:val="20"/>
              </w:rPr>
            </w:pPr>
            <w:r>
              <w:rPr>
                <w:spacing w:val="11"/>
                <w:sz w:val="20"/>
                <w:szCs w:val="20"/>
              </w:rPr>
              <w:t>本项目生产所用的原材料主要包括水泥、工业固废和建筑垃圾。其中工</w:t>
            </w:r>
            <w:r>
              <w:rPr>
                <w:spacing w:val="10"/>
                <w:sz w:val="20"/>
                <w:szCs w:val="20"/>
              </w:rPr>
              <w:t>业固废主</w:t>
            </w:r>
            <w:r>
              <w:rPr>
                <w:sz w:val="20"/>
                <w:szCs w:val="20"/>
              </w:rPr>
              <w:t xml:space="preserve"> </w:t>
            </w:r>
            <w:r>
              <w:rPr>
                <w:spacing w:val="11"/>
                <w:sz w:val="20"/>
                <w:szCs w:val="20"/>
              </w:rPr>
              <w:t>要为粉煤灰、脱硫石膏、废石材、炉渣、含硅尾矿、磷石膏、氟石膏等，建</w:t>
            </w:r>
            <w:r>
              <w:rPr>
                <w:spacing w:val="10"/>
                <w:sz w:val="20"/>
                <w:szCs w:val="20"/>
              </w:rPr>
              <w:t>筑垃圾主</w:t>
            </w:r>
            <w:r>
              <w:rPr>
                <w:sz w:val="20"/>
                <w:szCs w:val="20"/>
              </w:rPr>
              <w:t xml:space="preserve"> </w:t>
            </w:r>
            <w:r>
              <w:rPr>
                <w:spacing w:val="11"/>
                <w:sz w:val="20"/>
                <w:szCs w:val="20"/>
              </w:rPr>
              <w:t>要为废弃土石方、废弃水泥制品、废弃砖瓦材料等，不含拆迁和装修垃圾。</w:t>
            </w:r>
            <w:r>
              <w:rPr>
                <w:spacing w:val="10"/>
                <w:sz w:val="20"/>
                <w:szCs w:val="20"/>
              </w:rPr>
              <w:t>生产时依</w:t>
            </w:r>
            <w:r>
              <w:rPr>
                <w:sz w:val="20"/>
                <w:szCs w:val="20"/>
              </w:rPr>
              <w:t xml:space="preserve"> </w:t>
            </w:r>
            <w:r>
              <w:rPr>
                <w:spacing w:val="9"/>
                <w:sz w:val="20"/>
                <w:szCs w:val="20"/>
              </w:rPr>
              <w:t>据当前市场上所能采购的具体原料种类为准，同类别原料之间可相互替代。</w:t>
            </w:r>
          </w:p>
          <w:p w14:paraId="3801B6CD">
            <w:pPr>
              <w:pStyle w:val="6"/>
              <w:spacing w:before="30" w:line="360" w:lineRule="auto"/>
              <w:ind w:left="89" w:right="32" w:firstLine="424"/>
              <w:jc w:val="both"/>
              <w:rPr>
                <w:sz w:val="20"/>
                <w:szCs w:val="20"/>
              </w:rPr>
            </w:pPr>
            <w:r>
              <w:rPr>
                <w:spacing w:val="11"/>
                <w:sz w:val="20"/>
                <w:szCs w:val="20"/>
              </w:rPr>
              <w:t>建设单位已取得由达州市通川区综合行政执法局颁发的《四川省城市</w:t>
            </w:r>
            <w:r>
              <w:rPr>
                <w:spacing w:val="10"/>
                <w:sz w:val="20"/>
                <w:szCs w:val="20"/>
              </w:rPr>
              <w:t>建筑垃圾处</w:t>
            </w:r>
            <w:r>
              <w:rPr>
                <w:sz w:val="20"/>
                <w:szCs w:val="20"/>
              </w:rPr>
              <w:t xml:space="preserve"> </w:t>
            </w:r>
            <w:r>
              <w:rPr>
                <w:spacing w:val="4"/>
                <w:sz w:val="20"/>
                <w:szCs w:val="20"/>
              </w:rPr>
              <w:t>置许可证》（编号：通区综执建处置核</w:t>
            </w:r>
            <w:r>
              <w:rPr>
                <w:spacing w:val="-43"/>
                <w:sz w:val="20"/>
                <w:szCs w:val="20"/>
              </w:rPr>
              <w:t xml:space="preserve"> </w:t>
            </w:r>
            <w:r>
              <w:rPr>
                <w:rFonts w:ascii="Times New Roman" w:hAnsi="Times New Roman" w:eastAsia="Times New Roman" w:cs="Times New Roman"/>
                <w:spacing w:val="4"/>
                <w:sz w:val="20"/>
                <w:szCs w:val="20"/>
              </w:rPr>
              <w:t>20241</w:t>
            </w:r>
            <w:r>
              <w:rPr>
                <w:rFonts w:ascii="Times New Roman" w:hAnsi="Times New Roman" w:eastAsia="Times New Roman" w:cs="Times New Roman"/>
                <w:spacing w:val="17"/>
                <w:w w:val="101"/>
                <w:sz w:val="20"/>
                <w:szCs w:val="20"/>
              </w:rPr>
              <w:t xml:space="preserve"> </w:t>
            </w:r>
            <w:r>
              <w:rPr>
                <w:spacing w:val="3"/>
                <w:sz w:val="20"/>
                <w:szCs w:val="20"/>
              </w:rPr>
              <w:t>号</w:t>
            </w:r>
            <w:r>
              <w:rPr>
                <w:spacing w:val="-10"/>
                <w:sz w:val="20"/>
                <w:szCs w:val="20"/>
              </w:rPr>
              <w:t>），</w:t>
            </w:r>
            <w:r>
              <w:rPr>
                <w:spacing w:val="3"/>
                <w:sz w:val="20"/>
                <w:szCs w:val="20"/>
              </w:rPr>
              <w:t>允许日处理量</w:t>
            </w:r>
            <w:r>
              <w:rPr>
                <w:spacing w:val="-41"/>
                <w:sz w:val="20"/>
                <w:szCs w:val="20"/>
              </w:rPr>
              <w:t xml:space="preserve"> </w:t>
            </w:r>
            <w:r>
              <w:rPr>
                <w:rFonts w:ascii="Times New Roman" w:hAnsi="Times New Roman" w:eastAsia="Times New Roman" w:cs="Times New Roman"/>
                <w:spacing w:val="3"/>
                <w:sz w:val="20"/>
                <w:szCs w:val="20"/>
              </w:rPr>
              <w:t xml:space="preserve">2000 </w:t>
            </w:r>
            <w:r>
              <w:rPr>
                <w:spacing w:val="3"/>
                <w:sz w:val="20"/>
                <w:szCs w:val="20"/>
              </w:rPr>
              <w:t>立方米。因此，</w:t>
            </w:r>
            <w:r>
              <w:rPr>
                <w:sz w:val="20"/>
                <w:szCs w:val="20"/>
              </w:rPr>
              <w:t xml:space="preserve"> </w:t>
            </w:r>
            <w:r>
              <w:rPr>
                <w:spacing w:val="9"/>
                <w:sz w:val="20"/>
                <w:szCs w:val="20"/>
              </w:rPr>
              <w:t>本项目具备处理建筑垃圾（除拆迁、装修垃圾）的资格。</w:t>
            </w:r>
          </w:p>
          <w:p w14:paraId="78955C5A">
            <w:pPr>
              <w:pStyle w:val="6"/>
              <w:spacing w:before="30" w:line="226" w:lineRule="auto"/>
              <w:ind w:left="510"/>
              <w:rPr>
                <w:sz w:val="20"/>
                <w:szCs w:val="20"/>
              </w:rPr>
            </w:pPr>
            <w:r>
              <w:rPr>
                <w:b/>
                <w:bCs/>
                <w:spacing w:val="8"/>
                <w:sz w:val="20"/>
                <w:szCs w:val="20"/>
              </w:rPr>
              <w:t>评价要求，本项目所用固废类原料均为一般工业固废，禁止处置危险废物。</w:t>
            </w:r>
          </w:p>
          <w:p w14:paraId="5ACED67C">
            <w:pPr>
              <w:pStyle w:val="6"/>
              <w:spacing w:before="155" w:line="227" w:lineRule="auto"/>
              <w:ind w:left="514"/>
              <w:rPr>
                <w:sz w:val="20"/>
                <w:szCs w:val="20"/>
              </w:rPr>
            </w:pPr>
            <w:r>
              <w:rPr>
                <w:spacing w:val="8"/>
                <w:sz w:val="20"/>
                <w:szCs w:val="20"/>
              </w:rPr>
              <w:t>项目主要原辅材料及能耗情况见下表。</w:t>
            </w:r>
          </w:p>
          <w:p w14:paraId="2B78FE15">
            <w:pPr>
              <w:spacing w:before="214" w:line="222" w:lineRule="auto"/>
              <w:ind w:left="2461"/>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1"/>
                <w:sz w:val="18"/>
                <w:szCs w:val="18"/>
              </w:rPr>
              <w:t xml:space="preserve"> </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主要原辅材料及能耗情况表</w:t>
            </w:r>
          </w:p>
        </w:tc>
      </w:tr>
      <w:tr w14:paraId="26B8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23D18AB5">
            <w:pPr>
              <w:rPr>
                <w:rFonts w:ascii="Arial"/>
                <w:sz w:val="21"/>
              </w:rPr>
            </w:pPr>
          </w:p>
        </w:tc>
        <w:tc>
          <w:tcPr>
            <w:tcW w:w="211" w:type="dxa"/>
            <w:vMerge w:val="restart"/>
            <w:tcBorders>
              <w:top w:val="nil"/>
              <w:bottom w:val="nil"/>
            </w:tcBorders>
            <w:vAlign w:val="top"/>
          </w:tcPr>
          <w:p w14:paraId="6F97868C">
            <w:pPr>
              <w:rPr>
                <w:rFonts w:ascii="Arial"/>
                <w:sz w:val="21"/>
              </w:rPr>
            </w:pPr>
          </w:p>
        </w:tc>
        <w:tc>
          <w:tcPr>
            <w:tcW w:w="557" w:type="dxa"/>
            <w:vAlign w:val="top"/>
          </w:tcPr>
          <w:p w14:paraId="1FBA4717">
            <w:pPr>
              <w:pStyle w:val="6"/>
              <w:spacing w:before="74" w:line="206" w:lineRule="auto"/>
              <w:ind w:left="95"/>
              <w:rPr>
                <w:sz w:val="18"/>
                <w:szCs w:val="18"/>
              </w:rPr>
            </w:pPr>
            <w:r>
              <w:rPr>
                <w:b/>
                <w:bCs/>
                <w:spacing w:val="-6"/>
                <w:sz w:val="18"/>
                <w:szCs w:val="18"/>
              </w:rPr>
              <w:t>类别</w:t>
            </w:r>
          </w:p>
        </w:tc>
        <w:tc>
          <w:tcPr>
            <w:tcW w:w="1779" w:type="dxa"/>
            <w:gridSpan w:val="3"/>
            <w:vAlign w:val="top"/>
          </w:tcPr>
          <w:p w14:paraId="2B75C5AD">
            <w:pPr>
              <w:pStyle w:val="6"/>
              <w:spacing w:before="74" w:line="206" w:lineRule="auto"/>
              <w:ind w:left="711"/>
              <w:rPr>
                <w:sz w:val="18"/>
                <w:szCs w:val="18"/>
              </w:rPr>
            </w:pPr>
            <w:r>
              <w:rPr>
                <w:b/>
                <w:bCs/>
                <w:spacing w:val="-7"/>
                <w:sz w:val="18"/>
                <w:szCs w:val="18"/>
              </w:rPr>
              <w:t>名称</w:t>
            </w:r>
          </w:p>
        </w:tc>
        <w:tc>
          <w:tcPr>
            <w:tcW w:w="1231" w:type="dxa"/>
            <w:gridSpan w:val="2"/>
            <w:vAlign w:val="top"/>
          </w:tcPr>
          <w:p w14:paraId="3613247B">
            <w:pPr>
              <w:pStyle w:val="6"/>
              <w:spacing w:before="74" w:line="206" w:lineRule="auto"/>
              <w:ind w:left="90"/>
              <w:rPr>
                <w:sz w:val="18"/>
                <w:szCs w:val="18"/>
              </w:rPr>
            </w:pPr>
            <w:r>
              <w:rPr>
                <w:b/>
                <w:bCs/>
                <w:spacing w:val="-3"/>
                <w:sz w:val="18"/>
                <w:szCs w:val="18"/>
              </w:rPr>
              <w:t>年耗量（</w:t>
            </w:r>
            <w:r>
              <w:rPr>
                <w:rFonts w:ascii="Times New Roman" w:hAnsi="Times New Roman" w:eastAsia="Times New Roman" w:cs="Times New Roman"/>
                <w:b/>
                <w:bCs/>
                <w:spacing w:val="-3"/>
                <w:sz w:val="18"/>
                <w:szCs w:val="18"/>
              </w:rPr>
              <w:t>t/a</w:t>
            </w:r>
            <w:r>
              <w:rPr>
                <w:b/>
                <w:bCs/>
                <w:spacing w:val="-3"/>
                <w:sz w:val="18"/>
                <w:szCs w:val="18"/>
              </w:rPr>
              <w:t>）</w:t>
            </w:r>
          </w:p>
        </w:tc>
        <w:tc>
          <w:tcPr>
            <w:tcW w:w="999" w:type="dxa"/>
            <w:gridSpan w:val="2"/>
            <w:vAlign w:val="top"/>
          </w:tcPr>
          <w:p w14:paraId="722BAE97">
            <w:pPr>
              <w:pStyle w:val="6"/>
              <w:spacing w:before="74" w:line="206" w:lineRule="auto"/>
              <w:ind w:left="323"/>
              <w:rPr>
                <w:sz w:val="18"/>
                <w:szCs w:val="18"/>
              </w:rPr>
            </w:pPr>
            <w:r>
              <w:rPr>
                <w:b/>
                <w:bCs/>
                <w:spacing w:val="-6"/>
                <w:sz w:val="18"/>
                <w:szCs w:val="18"/>
              </w:rPr>
              <w:t>来源</w:t>
            </w:r>
          </w:p>
        </w:tc>
        <w:tc>
          <w:tcPr>
            <w:tcW w:w="1443" w:type="dxa"/>
            <w:vAlign w:val="top"/>
          </w:tcPr>
          <w:p w14:paraId="63882352">
            <w:pPr>
              <w:pStyle w:val="6"/>
              <w:spacing w:before="74" w:line="206" w:lineRule="auto"/>
              <w:ind w:left="549"/>
              <w:rPr>
                <w:sz w:val="18"/>
                <w:szCs w:val="18"/>
              </w:rPr>
            </w:pPr>
            <w:r>
              <w:rPr>
                <w:b/>
                <w:bCs/>
                <w:spacing w:val="-7"/>
                <w:sz w:val="18"/>
                <w:szCs w:val="18"/>
              </w:rPr>
              <w:t>成分</w:t>
            </w:r>
          </w:p>
        </w:tc>
        <w:tc>
          <w:tcPr>
            <w:tcW w:w="1554" w:type="dxa"/>
            <w:gridSpan w:val="3"/>
            <w:vAlign w:val="top"/>
          </w:tcPr>
          <w:p w14:paraId="1334A26E">
            <w:pPr>
              <w:pStyle w:val="6"/>
              <w:spacing w:before="74" w:line="206" w:lineRule="auto"/>
              <w:ind w:left="155"/>
              <w:rPr>
                <w:sz w:val="18"/>
                <w:szCs w:val="18"/>
              </w:rPr>
            </w:pPr>
            <w:r>
              <w:rPr>
                <w:b/>
                <w:bCs/>
                <w:spacing w:val="-3"/>
                <w:sz w:val="18"/>
                <w:szCs w:val="18"/>
              </w:rPr>
              <w:t>性状、贮存方式</w:t>
            </w:r>
          </w:p>
        </w:tc>
        <w:tc>
          <w:tcPr>
            <w:tcW w:w="218" w:type="dxa"/>
            <w:vMerge w:val="restart"/>
            <w:tcBorders>
              <w:top w:val="nil"/>
              <w:bottom w:val="nil"/>
              <w:right w:val="single" w:color="000000" w:sz="6" w:space="0"/>
            </w:tcBorders>
            <w:vAlign w:val="top"/>
          </w:tcPr>
          <w:p w14:paraId="42221BCB">
            <w:pPr>
              <w:rPr>
                <w:rFonts w:ascii="Arial"/>
                <w:sz w:val="21"/>
              </w:rPr>
            </w:pPr>
          </w:p>
        </w:tc>
      </w:tr>
      <w:tr w14:paraId="5D6E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5A3804D7">
            <w:pPr>
              <w:rPr>
                <w:rFonts w:ascii="Arial"/>
                <w:sz w:val="21"/>
              </w:rPr>
            </w:pPr>
          </w:p>
        </w:tc>
        <w:tc>
          <w:tcPr>
            <w:tcW w:w="211" w:type="dxa"/>
            <w:vMerge w:val="continue"/>
            <w:tcBorders>
              <w:top w:val="nil"/>
              <w:bottom w:val="nil"/>
            </w:tcBorders>
            <w:vAlign w:val="top"/>
          </w:tcPr>
          <w:p w14:paraId="38D9AF58">
            <w:pPr>
              <w:rPr>
                <w:rFonts w:ascii="Arial"/>
                <w:sz w:val="21"/>
              </w:rPr>
            </w:pPr>
          </w:p>
        </w:tc>
        <w:tc>
          <w:tcPr>
            <w:tcW w:w="557" w:type="dxa"/>
            <w:vMerge w:val="restart"/>
            <w:tcBorders>
              <w:bottom w:val="nil"/>
            </w:tcBorders>
            <w:vAlign w:val="top"/>
          </w:tcPr>
          <w:p w14:paraId="4D13A82A">
            <w:pPr>
              <w:spacing w:line="247" w:lineRule="auto"/>
              <w:rPr>
                <w:rFonts w:ascii="Arial"/>
                <w:sz w:val="21"/>
              </w:rPr>
            </w:pPr>
          </w:p>
          <w:p w14:paraId="7198ABE9">
            <w:pPr>
              <w:spacing w:line="247" w:lineRule="auto"/>
              <w:rPr>
                <w:rFonts w:ascii="Arial"/>
                <w:sz w:val="21"/>
              </w:rPr>
            </w:pPr>
          </w:p>
          <w:p w14:paraId="5862A563">
            <w:pPr>
              <w:spacing w:line="247" w:lineRule="auto"/>
              <w:rPr>
                <w:rFonts w:ascii="Arial"/>
                <w:sz w:val="21"/>
              </w:rPr>
            </w:pPr>
          </w:p>
          <w:p w14:paraId="473FEF8C">
            <w:pPr>
              <w:spacing w:line="248" w:lineRule="auto"/>
              <w:rPr>
                <w:rFonts w:ascii="Arial"/>
                <w:sz w:val="21"/>
              </w:rPr>
            </w:pPr>
          </w:p>
          <w:p w14:paraId="62D9B7D0">
            <w:pPr>
              <w:spacing w:line="248" w:lineRule="auto"/>
              <w:rPr>
                <w:rFonts w:ascii="Arial"/>
                <w:sz w:val="21"/>
              </w:rPr>
            </w:pPr>
          </w:p>
          <w:p w14:paraId="37D35EBD">
            <w:pPr>
              <w:spacing w:line="248" w:lineRule="auto"/>
              <w:rPr>
                <w:rFonts w:ascii="Arial"/>
                <w:sz w:val="21"/>
              </w:rPr>
            </w:pPr>
          </w:p>
          <w:p w14:paraId="0E80452A">
            <w:pPr>
              <w:spacing w:line="248" w:lineRule="auto"/>
              <w:rPr>
                <w:rFonts w:ascii="Arial"/>
                <w:sz w:val="21"/>
              </w:rPr>
            </w:pPr>
          </w:p>
          <w:p w14:paraId="78CC8B9A">
            <w:pPr>
              <w:spacing w:line="248" w:lineRule="auto"/>
              <w:rPr>
                <w:rFonts w:ascii="Arial"/>
                <w:sz w:val="21"/>
              </w:rPr>
            </w:pPr>
          </w:p>
          <w:p w14:paraId="58922AD9">
            <w:pPr>
              <w:spacing w:line="248" w:lineRule="auto"/>
              <w:rPr>
                <w:rFonts w:ascii="Arial"/>
                <w:sz w:val="21"/>
              </w:rPr>
            </w:pPr>
          </w:p>
          <w:p w14:paraId="0777C715">
            <w:pPr>
              <w:spacing w:line="248" w:lineRule="auto"/>
              <w:rPr>
                <w:rFonts w:ascii="Arial"/>
                <w:sz w:val="21"/>
              </w:rPr>
            </w:pPr>
          </w:p>
          <w:p w14:paraId="6EC37920">
            <w:pPr>
              <w:spacing w:line="248" w:lineRule="auto"/>
              <w:rPr>
                <w:rFonts w:ascii="Arial"/>
                <w:sz w:val="21"/>
              </w:rPr>
            </w:pPr>
          </w:p>
          <w:p w14:paraId="1EFC4339">
            <w:pPr>
              <w:spacing w:line="248" w:lineRule="auto"/>
              <w:rPr>
                <w:rFonts w:ascii="Arial"/>
                <w:sz w:val="21"/>
              </w:rPr>
            </w:pPr>
          </w:p>
          <w:p w14:paraId="73AF9BE3">
            <w:pPr>
              <w:spacing w:line="248" w:lineRule="auto"/>
              <w:rPr>
                <w:rFonts w:ascii="Arial"/>
                <w:sz w:val="21"/>
              </w:rPr>
            </w:pPr>
          </w:p>
          <w:p w14:paraId="2CEF3641">
            <w:pPr>
              <w:spacing w:line="248" w:lineRule="auto"/>
              <w:rPr>
                <w:rFonts w:ascii="Arial"/>
                <w:sz w:val="21"/>
              </w:rPr>
            </w:pPr>
          </w:p>
          <w:p w14:paraId="391A2C8E">
            <w:pPr>
              <w:spacing w:line="248" w:lineRule="auto"/>
              <w:rPr>
                <w:rFonts w:ascii="Arial"/>
                <w:sz w:val="21"/>
              </w:rPr>
            </w:pPr>
          </w:p>
          <w:p w14:paraId="6846C546">
            <w:pPr>
              <w:pStyle w:val="6"/>
              <w:spacing w:before="59" w:line="272" w:lineRule="auto"/>
              <w:ind w:left="97" w:right="101" w:firstLine="4"/>
              <w:rPr>
                <w:sz w:val="18"/>
                <w:szCs w:val="18"/>
              </w:rPr>
            </w:pPr>
            <w:r>
              <w:rPr>
                <w:spacing w:val="-6"/>
                <w:sz w:val="18"/>
                <w:szCs w:val="18"/>
              </w:rPr>
              <w:t>原辅</w:t>
            </w:r>
            <w:r>
              <w:rPr>
                <w:sz w:val="18"/>
                <w:szCs w:val="18"/>
              </w:rPr>
              <w:t xml:space="preserve"> </w:t>
            </w:r>
            <w:r>
              <w:rPr>
                <w:spacing w:val="-4"/>
                <w:sz w:val="18"/>
                <w:szCs w:val="18"/>
              </w:rPr>
              <w:t>材料</w:t>
            </w:r>
          </w:p>
        </w:tc>
        <w:tc>
          <w:tcPr>
            <w:tcW w:w="505" w:type="dxa"/>
            <w:gridSpan w:val="2"/>
            <w:vMerge w:val="restart"/>
            <w:tcBorders>
              <w:bottom w:val="nil"/>
            </w:tcBorders>
            <w:textDirection w:val="tbRlV"/>
            <w:vAlign w:val="top"/>
          </w:tcPr>
          <w:p w14:paraId="2A749796">
            <w:pPr>
              <w:pStyle w:val="6"/>
              <w:spacing w:before="164" w:line="208" w:lineRule="auto"/>
              <w:ind w:left="1447"/>
              <w:rPr>
                <w:sz w:val="18"/>
                <w:szCs w:val="18"/>
              </w:rPr>
            </w:pPr>
            <w:r>
              <w:rPr>
                <w:spacing w:val="-2"/>
                <w:sz w:val="18"/>
                <w:szCs w:val="18"/>
              </w:rPr>
              <w:t>混 凝</w:t>
            </w:r>
            <w:r>
              <w:rPr>
                <w:spacing w:val="-4"/>
                <w:sz w:val="18"/>
                <w:szCs w:val="18"/>
              </w:rPr>
              <w:t xml:space="preserve"> </w:t>
            </w:r>
            <w:r>
              <w:rPr>
                <w:spacing w:val="-2"/>
                <w:sz w:val="18"/>
                <w:szCs w:val="18"/>
              </w:rPr>
              <w:t>土</w:t>
            </w:r>
            <w:r>
              <w:rPr>
                <w:spacing w:val="-10"/>
                <w:sz w:val="18"/>
                <w:szCs w:val="18"/>
              </w:rPr>
              <w:t xml:space="preserve"> </w:t>
            </w:r>
            <w:r>
              <w:rPr>
                <w:spacing w:val="-2"/>
                <w:sz w:val="18"/>
                <w:szCs w:val="18"/>
              </w:rPr>
              <w:t>砌</w:t>
            </w:r>
            <w:r>
              <w:rPr>
                <w:spacing w:val="-11"/>
                <w:sz w:val="18"/>
                <w:szCs w:val="18"/>
              </w:rPr>
              <w:t xml:space="preserve"> </w:t>
            </w:r>
            <w:r>
              <w:rPr>
                <w:spacing w:val="-2"/>
                <w:sz w:val="18"/>
                <w:szCs w:val="18"/>
              </w:rPr>
              <w:t>块</w:t>
            </w:r>
            <w:r>
              <w:rPr>
                <w:spacing w:val="-8"/>
                <w:sz w:val="18"/>
                <w:szCs w:val="18"/>
              </w:rPr>
              <w:t xml:space="preserve"> </w:t>
            </w:r>
            <w:r>
              <w:rPr>
                <w:spacing w:val="-2"/>
                <w:sz w:val="18"/>
                <w:szCs w:val="18"/>
              </w:rPr>
              <w:t>和</w:t>
            </w:r>
            <w:r>
              <w:rPr>
                <w:spacing w:val="-11"/>
                <w:sz w:val="18"/>
                <w:szCs w:val="18"/>
              </w:rPr>
              <w:t xml:space="preserve"> </w:t>
            </w:r>
            <w:r>
              <w:rPr>
                <w:spacing w:val="-2"/>
                <w:sz w:val="18"/>
                <w:szCs w:val="18"/>
              </w:rPr>
              <w:t>板</w:t>
            </w:r>
            <w:r>
              <w:rPr>
                <w:spacing w:val="-10"/>
                <w:sz w:val="18"/>
                <w:szCs w:val="18"/>
              </w:rPr>
              <w:t xml:space="preserve"> </w:t>
            </w:r>
            <w:r>
              <w:rPr>
                <w:spacing w:val="-2"/>
                <w:sz w:val="18"/>
                <w:szCs w:val="18"/>
              </w:rPr>
              <w:t>材</w:t>
            </w:r>
          </w:p>
        </w:tc>
        <w:tc>
          <w:tcPr>
            <w:tcW w:w="1274" w:type="dxa"/>
            <w:vAlign w:val="top"/>
          </w:tcPr>
          <w:p w14:paraId="6C9CD2BF">
            <w:pPr>
              <w:pStyle w:val="6"/>
              <w:spacing w:before="213" w:line="219" w:lineRule="auto"/>
              <w:ind w:left="458"/>
              <w:rPr>
                <w:sz w:val="18"/>
                <w:szCs w:val="18"/>
              </w:rPr>
            </w:pPr>
            <w:r>
              <w:rPr>
                <w:spacing w:val="-5"/>
                <w:sz w:val="18"/>
                <w:szCs w:val="18"/>
              </w:rPr>
              <w:t>水泥</w:t>
            </w:r>
          </w:p>
        </w:tc>
        <w:tc>
          <w:tcPr>
            <w:tcW w:w="1231" w:type="dxa"/>
            <w:gridSpan w:val="2"/>
            <w:vAlign w:val="top"/>
          </w:tcPr>
          <w:p w14:paraId="61DCF8AE">
            <w:pPr>
              <w:spacing w:before="242"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50402.004</w:t>
            </w:r>
          </w:p>
        </w:tc>
        <w:tc>
          <w:tcPr>
            <w:tcW w:w="999" w:type="dxa"/>
            <w:gridSpan w:val="2"/>
            <w:vAlign w:val="top"/>
          </w:tcPr>
          <w:p w14:paraId="605BD9F6">
            <w:pPr>
              <w:pStyle w:val="6"/>
              <w:spacing w:before="213" w:line="219" w:lineRule="auto"/>
              <w:ind w:left="153"/>
              <w:rPr>
                <w:sz w:val="18"/>
                <w:szCs w:val="18"/>
              </w:rPr>
            </w:pPr>
            <w:r>
              <w:rPr>
                <w:spacing w:val="-5"/>
                <w:sz w:val="18"/>
                <w:szCs w:val="18"/>
              </w:rPr>
              <w:t>当地市场</w:t>
            </w:r>
          </w:p>
        </w:tc>
        <w:tc>
          <w:tcPr>
            <w:tcW w:w="1443" w:type="dxa"/>
            <w:vAlign w:val="top"/>
          </w:tcPr>
          <w:p w14:paraId="353E9F47">
            <w:pPr>
              <w:pStyle w:val="6"/>
              <w:spacing w:before="99" w:line="233" w:lineRule="auto"/>
              <w:ind w:left="402" w:right="146" w:hanging="278"/>
              <w:rPr>
                <w:sz w:val="18"/>
                <w:szCs w:val="18"/>
              </w:rPr>
            </w:pPr>
            <w:r>
              <w:rPr>
                <w:rFonts w:ascii="Times New Roman" w:hAnsi="Times New Roman" w:eastAsia="Times New Roman" w:cs="Times New Roman"/>
                <w:spacing w:val="-5"/>
                <w:sz w:val="18"/>
                <w:szCs w:val="18"/>
              </w:rPr>
              <w:t>CaCO</w:t>
            </w:r>
            <w:r>
              <w:rPr>
                <w:rFonts w:ascii="Times New Roman" w:hAnsi="Times New Roman" w:eastAsia="Times New Roman" w:cs="Times New Roman"/>
                <w:spacing w:val="-5"/>
                <w:position w:val="-1"/>
                <w:sz w:val="11"/>
                <w:szCs w:val="11"/>
              </w:rPr>
              <w:t>3</w:t>
            </w:r>
            <w:r>
              <w:rPr>
                <w:rFonts w:ascii="Times New Roman" w:hAnsi="Times New Roman" w:eastAsia="Times New Roman" w:cs="Times New Roman"/>
                <w:spacing w:val="-7"/>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SiO</w:t>
            </w:r>
            <w:r>
              <w:rPr>
                <w:rFonts w:ascii="Times New Roman" w:hAnsi="Times New Roman" w:eastAsia="Times New Roman" w:cs="Times New Roman"/>
                <w:spacing w:val="-5"/>
                <w:position w:val="-1"/>
                <w:sz w:val="11"/>
                <w:szCs w:val="11"/>
              </w:rPr>
              <w:t>2</w:t>
            </w:r>
            <w:r>
              <w:rPr>
                <w:spacing w:val="-5"/>
                <w:sz w:val="18"/>
                <w:szCs w:val="18"/>
              </w:rPr>
              <w:t>、</w:t>
            </w:r>
            <w:r>
              <w:rPr>
                <w:sz w:val="18"/>
                <w:szCs w:val="18"/>
              </w:rPr>
              <w:t xml:space="preserve"> </w:t>
            </w:r>
            <w:r>
              <w:rPr>
                <w:rFonts w:ascii="Times New Roman" w:hAnsi="Times New Roman" w:eastAsia="Times New Roman" w:cs="Times New Roman"/>
                <w:sz w:val="18"/>
                <w:szCs w:val="18"/>
              </w:rPr>
              <w:t>Al</w:t>
            </w:r>
            <w:r>
              <w:rPr>
                <w:rFonts w:ascii="Times New Roman" w:hAnsi="Times New Roman" w:eastAsia="Times New Roman" w:cs="Times New Roman"/>
                <w:position w:val="-1"/>
                <w:sz w:val="11"/>
                <w:szCs w:val="11"/>
              </w:rPr>
              <w:t>2</w:t>
            </w:r>
            <w:r>
              <w:rPr>
                <w:rFonts w:ascii="Times New Roman" w:hAnsi="Times New Roman" w:eastAsia="Times New Roman" w:cs="Times New Roman"/>
                <w:sz w:val="18"/>
                <w:szCs w:val="18"/>
              </w:rPr>
              <w:t>O</w:t>
            </w:r>
            <w:r>
              <w:rPr>
                <w:rFonts w:ascii="Times New Roman" w:hAnsi="Times New Roman" w:eastAsia="Times New Roman" w:cs="Times New Roman"/>
                <w:position w:val="-1"/>
                <w:sz w:val="11"/>
                <w:szCs w:val="11"/>
              </w:rPr>
              <w:t>3</w:t>
            </w:r>
            <w:r>
              <w:rPr>
                <w:rFonts w:ascii="Times New Roman" w:hAnsi="Times New Roman" w:eastAsia="Times New Roman" w:cs="Times New Roman"/>
                <w:spacing w:val="14"/>
                <w:w w:val="101"/>
                <w:position w:val="-1"/>
                <w:sz w:val="11"/>
                <w:szCs w:val="11"/>
              </w:rPr>
              <w:t xml:space="preserve"> </w:t>
            </w:r>
            <w:r>
              <w:rPr>
                <w:sz w:val="18"/>
                <w:szCs w:val="18"/>
              </w:rPr>
              <w:t>等</w:t>
            </w:r>
          </w:p>
        </w:tc>
        <w:tc>
          <w:tcPr>
            <w:tcW w:w="1554" w:type="dxa"/>
            <w:gridSpan w:val="3"/>
            <w:vAlign w:val="top"/>
          </w:tcPr>
          <w:p w14:paraId="5967978A">
            <w:pPr>
              <w:pStyle w:val="6"/>
              <w:spacing w:before="213" w:line="219"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1A1B8AEC">
            <w:pPr>
              <w:rPr>
                <w:rFonts w:ascii="Arial"/>
                <w:sz w:val="21"/>
              </w:rPr>
            </w:pPr>
          </w:p>
        </w:tc>
      </w:tr>
      <w:tr w14:paraId="67C2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7A93117A">
            <w:pPr>
              <w:rPr>
                <w:rFonts w:ascii="Arial"/>
                <w:sz w:val="21"/>
              </w:rPr>
            </w:pPr>
          </w:p>
        </w:tc>
        <w:tc>
          <w:tcPr>
            <w:tcW w:w="211" w:type="dxa"/>
            <w:vMerge w:val="continue"/>
            <w:tcBorders>
              <w:top w:val="nil"/>
              <w:bottom w:val="nil"/>
            </w:tcBorders>
            <w:vAlign w:val="top"/>
          </w:tcPr>
          <w:p w14:paraId="763AC6EA">
            <w:pPr>
              <w:rPr>
                <w:rFonts w:ascii="Arial"/>
                <w:sz w:val="21"/>
              </w:rPr>
            </w:pPr>
          </w:p>
        </w:tc>
        <w:tc>
          <w:tcPr>
            <w:tcW w:w="557" w:type="dxa"/>
            <w:vMerge w:val="continue"/>
            <w:tcBorders>
              <w:top w:val="nil"/>
              <w:bottom w:val="nil"/>
            </w:tcBorders>
            <w:vAlign w:val="top"/>
          </w:tcPr>
          <w:p w14:paraId="34F03F71">
            <w:pPr>
              <w:rPr>
                <w:rFonts w:ascii="Arial"/>
                <w:sz w:val="21"/>
              </w:rPr>
            </w:pPr>
          </w:p>
        </w:tc>
        <w:tc>
          <w:tcPr>
            <w:tcW w:w="505" w:type="dxa"/>
            <w:gridSpan w:val="2"/>
            <w:vMerge w:val="continue"/>
            <w:tcBorders>
              <w:top w:val="nil"/>
              <w:bottom w:val="nil"/>
            </w:tcBorders>
            <w:textDirection w:val="tbRlV"/>
            <w:vAlign w:val="top"/>
          </w:tcPr>
          <w:p w14:paraId="1CA01C66">
            <w:pPr>
              <w:rPr>
                <w:rFonts w:ascii="Arial"/>
                <w:sz w:val="21"/>
              </w:rPr>
            </w:pPr>
          </w:p>
        </w:tc>
        <w:tc>
          <w:tcPr>
            <w:tcW w:w="1274" w:type="dxa"/>
            <w:vAlign w:val="top"/>
          </w:tcPr>
          <w:p w14:paraId="756FF759">
            <w:pPr>
              <w:pStyle w:val="6"/>
              <w:spacing w:before="74" w:line="206" w:lineRule="auto"/>
              <w:ind w:left="457"/>
              <w:rPr>
                <w:sz w:val="18"/>
                <w:szCs w:val="18"/>
              </w:rPr>
            </w:pPr>
            <w:r>
              <w:rPr>
                <w:spacing w:val="-4"/>
                <w:sz w:val="18"/>
                <w:szCs w:val="18"/>
              </w:rPr>
              <w:t>石灰</w:t>
            </w:r>
          </w:p>
        </w:tc>
        <w:tc>
          <w:tcPr>
            <w:tcW w:w="1231" w:type="dxa"/>
            <w:gridSpan w:val="2"/>
            <w:vAlign w:val="top"/>
          </w:tcPr>
          <w:p w14:paraId="4E02C73E">
            <w:pPr>
              <w:spacing w:before="105"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41509.650</w:t>
            </w:r>
          </w:p>
        </w:tc>
        <w:tc>
          <w:tcPr>
            <w:tcW w:w="999" w:type="dxa"/>
            <w:gridSpan w:val="2"/>
            <w:vAlign w:val="top"/>
          </w:tcPr>
          <w:p w14:paraId="3E89E9BA">
            <w:pPr>
              <w:pStyle w:val="6"/>
              <w:spacing w:before="74" w:line="206" w:lineRule="auto"/>
              <w:ind w:left="153"/>
              <w:rPr>
                <w:sz w:val="18"/>
                <w:szCs w:val="18"/>
              </w:rPr>
            </w:pPr>
            <w:r>
              <w:rPr>
                <w:spacing w:val="-5"/>
                <w:sz w:val="18"/>
                <w:szCs w:val="18"/>
              </w:rPr>
              <w:t>当地市场</w:t>
            </w:r>
          </w:p>
        </w:tc>
        <w:tc>
          <w:tcPr>
            <w:tcW w:w="1443" w:type="dxa"/>
            <w:vAlign w:val="top"/>
          </w:tcPr>
          <w:p w14:paraId="6C46221F">
            <w:pPr>
              <w:spacing w:before="105" w:line="188" w:lineRule="auto"/>
              <w:ind w:left="56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CaO</w:t>
            </w:r>
          </w:p>
        </w:tc>
        <w:tc>
          <w:tcPr>
            <w:tcW w:w="1554" w:type="dxa"/>
            <w:gridSpan w:val="3"/>
            <w:vAlign w:val="top"/>
          </w:tcPr>
          <w:p w14:paraId="38C41E9B">
            <w:pPr>
              <w:pStyle w:val="6"/>
              <w:spacing w:before="74" w:line="206"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71352CB9">
            <w:pPr>
              <w:rPr>
                <w:rFonts w:ascii="Arial"/>
                <w:sz w:val="21"/>
              </w:rPr>
            </w:pPr>
          </w:p>
        </w:tc>
      </w:tr>
      <w:tr w14:paraId="2EBDD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5F85953E">
            <w:pPr>
              <w:rPr>
                <w:rFonts w:ascii="Arial"/>
                <w:sz w:val="21"/>
              </w:rPr>
            </w:pPr>
          </w:p>
        </w:tc>
        <w:tc>
          <w:tcPr>
            <w:tcW w:w="211" w:type="dxa"/>
            <w:vMerge w:val="continue"/>
            <w:tcBorders>
              <w:top w:val="nil"/>
              <w:bottom w:val="nil"/>
            </w:tcBorders>
            <w:vAlign w:val="top"/>
          </w:tcPr>
          <w:p w14:paraId="5DEA8BA0">
            <w:pPr>
              <w:rPr>
                <w:rFonts w:ascii="Arial"/>
                <w:sz w:val="21"/>
              </w:rPr>
            </w:pPr>
          </w:p>
        </w:tc>
        <w:tc>
          <w:tcPr>
            <w:tcW w:w="557" w:type="dxa"/>
            <w:vMerge w:val="continue"/>
            <w:tcBorders>
              <w:top w:val="nil"/>
              <w:bottom w:val="nil"/>
            </w:tcBorders>
            <w:vAlign w:val="top"/>
          </w:tcPr>
          <w:p w14:paraId="305064DB">
            <w:pPr>
              <w:rPr>
                <w:rFonts w:ascii="Arial"/>
                <w:sz w:val="21"/>
              </w:rPr>
            </w:pPr>
          </w:p>
        </w:tc>
        <w:tc>
          <w:tcPr>
            <w:tcW w:w="505" w:type="dxa"/>
            <w:gridSpan w:val="2"/>
            <w:vMerge w:val="continue"/>
            <w:tcBorders>
              <w:top w:val="nil"/>
              <w:bottom w:val="nil"/>
            </w:tcBorders>
            <w:textDirection w:val="tbRlV"/>
            <w:vAlign w:val="top"/>
          </w:tcPr>
          <w:p w14:paraId="28A64C36">
            <w:pPr>
              <w:rPr>
                <w:rFonts w:ascii="Arial"/>
                <w:sz w:val="21"/>
              </w:rPr>
            </w:pPr>
          </w:p>
        </w:tc>
        <w:tc>
          <w:tcPr>
            <w:tcW w:w="1274" w:type="dxa"/>
            <w:vAlign w:val="top"/>
          </w:tcPr>
          <w:p w14:paraId="1099581E">
            <w:pPr>
              <w:pStyle w:val="6"/>
              <w:spacing w:before="214" w:line="219" w:lineRule="auto"/>
              <w:ind w:left="366"/>
              <w:rPr>
                <w:sz w:val="18"/>
                <w:szCs w:val="18"/>
              </w:rPr>
            </w:pPr>
            <w:r>
              <w:rPr>
                <w:spacing w:val="-3"/>
                <w:sz w:val="18"/>
                <w:szCs w:val="18"/>
              </w:rPr>
              <w:t>粉煤灰</w:t>
            </w:r>
          </w:p>
        </w:tc>
        <w:tc>
          <w:tcPr>
            <w:tcW w:w="1231" w:type="dxa"/>
            <w:gridSpan w:val="2"/>
            <w:vAlign w:val="top"/>
          </w:tcPr>
          <w:p w14:paraId="1A98426B">
            <w:pPr>
              <w:spacing w:before="245"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48457.927</w:t>
            </w:r>
          </w:p>
        </w:tc>
        <w:tc>
          <w:tcPr>
            <w:tcW w:w="999" w:type="dxa"/>
            <w:gridSpan w:val="2"/>
            <w:vAlign w:val="top"/>
          </w:tcPr>
          <w:p w14:paraId="1C08A098">
            <w:pPr>
              <w:pStyle w:val="6"/>
              <w:spacing w:before="214" w:line="219" w:lineRule="auto"/>
              <w:ind w:left="153"/>
              <w:rPr>
                <w:sz w:val="18"/>
                <w:szCs w:val="18"/>
              </w:rPr>
            </w:pPr>
            <w:r>
              <w:rPr>
                <w:spacing w:val="-5"/>
                <w:sz w:val="18"/>
                <w:szCs w:val="18"/>
              </w:rPr>
              <w:t>当地市场</w:t>
            </w:r>
          </w:p>
        </w:tc>
        <w:tc>
          <w:tcPr>
            <w:tcW w:w="1443" w:type="dxa"/>
            <w:vAlign w:val="top"/>
          </w:tcPr>
          <w:p w14:paraId="51FB1A53">
            <w:pPr>
              <w:pStyle w:val="6"/>
              <w:spacing w:before="99" w:line="233" w:lineRule="auto"/>
              <w:ind w:left="159" w:right="155" w:firstLine="10"/>
              <w:rPr>
                <w:sz w:val="18"/>
                <w:szCs w:val="18"/>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5"/>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Al</w:t>
            </w:r>
            <w:r>
              <w:rPr>
                <w:rFonts w:ascii="Times New Roman" w:hAnsi="Times New Roman" w:eastAsia="Times New Roman" w:cs="Times New Roman"/>
                <w:spacing w:val="-5"/>
                <w:position w:val="-1"/>
                <w:sz w:val="11"/>
                <w:szCs w:val="11"/>
              </w:rPr>
              <w:t>2</w:t>
            </w:r>
            <w:r>
              <w:rPr>
                <w:rFonts w:ascii="Times New Roman" w:hAnsi="Times New Roman" w:eastAsia="Times New Roman" w:cs="Times New Roman"/>
                <w:spacing w:val="-5"/>
                <w:sz w:val="18"/>
                <w:szCs w:val="18"/>
              </w:rPr>
              <w:t>O</w:t>
            </w:r>
            <w:r>
              <w:rPr>
                <w:rFonts w:ascii="Times New Roman" w:hAnsi="Times New Roman" w:eastAsia="Times New Roman" w:cs="Times New Roman"/>
                <w:spacing w:val="-5"/>
                <w:position w:val="-1"/>
                <w:sz w:val="11"/>
                <w:szCs w:val="11"/>
              </w:rPr>
              <w:t>3</w:t>
            </w:r>
            <w:r>
              <w:rPr>
                <w:rFonts w:ascii="Times New Roman" w:hAnsi="Times New Roman" w:eastAsia="Times New Roman" w:cs="Times New Roman"/>
                <w:spacing w:val="-8"/>
                <w:position w:val="-1"/>
                <w:sz w:val="11"/>
                <w:szCs w:val="11"/>
              </w:rPr>
              <w:t xml:space="preserve"> </w:t>
            </w:r>
            <w:r>
              <w:rPr>
                <w:spacing w:val="-5"/>
                <w:sz w:val="18"/>
                <w:szCs w:val="18"/>
              </w:rPr>
              <w:t>、</w:t>
            </w:r>
            <w:r>
              <w:rPr>
                <w:sz w:val="18"/>
                <w:szCs w:val="18"/>
              </w:rPr>
              <w:t xml:space="preserve"> </w:t>
            </w:r>
            <w:r>
              <w:rPr>
                <w:rFonts w:ascii="Times New Roman" w:hAnsi="Times New Roman" w:eastAsia="Times New Roman" w:cs="Times New Roman"/>
                <w:spacing w:val="-3"/>
                <w:sz w:val="18"/>
                <w:szCs w:val="18"/>
              </w:rPr>
              <w:t>FeO</w:t>
            </w:r>
            <w:r>
              <w:rPr>
                <w:rFonts w:ascii="Times New Roman" w:hAnsi="Times New Roman" w:eastAsia="Times New Roman" w:cs="Times New Roman"/>
                <w:spacing w:val="-24"/>
                <w:sz w:val="18"/>
                <w:szCs w:val="18"/>
              </w:rPr>
              <w:t xml:space="preserve"> </w:t>
            </w:r>
            <w:r>
              <w:rPr>
                <w:spacing w:val="-3"/>
                <w:sz w:val="18"/>
                <w:szCs w:val="18"/>
              </w:rPr>
              <w:t>、</w:t>
            </w:r>
            <w:r>
              <w:rPr>
                <w:rFonts w:ascii="Times New Roman" w:hAnsi="Times New Roman" w:eastAsia="Times New Roman" w:cs="Times New Roman"/>
                <w:spacing w:val="-3"/>
                <w:sz w:val="18"/>
                <w:szCs w:val="18"/>
              </w:rPr>
              <w:t>Fe</w:t>
            </w:r>
            <w:r>
              <w:rPr>
                <w:rFonts w:ascii="Times New Roman" w:hAnsi="Times New Roman" w:eastAsia="Times New Roman" w:cs="Times New Roman"/>
                <w:spacing w:val="-3"/>
                <w:sz w:val="11"/>
                <w:szCs w:val="11"/>
              </w:rPr>
              <w:t>2</w:t>
            </w: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r>
              <w:rPr>
                <w:rFonts w:ascii="Times New Roman" w:hAnsi="Times New Roman" w:eastAsia="Times New Roman" w:cs="Times New Roman"/>
                <w:spacing w:val="13"/>
                <w:position w:val="-1"/>
                <w:sz w:val="11"/>
                <w:szCs w:val="11"/>
              </w:rPr>
              <w:t xml:space="preserve"> </w:t>
            </w:r>
            <w:r>
              <w:rPr>
                <w:spacing w:val="-3"/>
                <w:sz w:val="18"/>
                <w:szCs w:val="18"/>
              </w:rPr>
              <w:t>等</w:t>
            </w:r>
          </w:p>
        </w:tc>
        <w:tc>
          <w:tcPr>
            <w:tcW w:w="1554" w:type="dxa"/>
            <w:gridSpan w:val="3"/>
            <w:vAlign w:val="top"/>
          </w:tcPr>
          <w:p w14:paraId="4BC96488">
            <w:pPr>
              <w:pStyle w:val="6"/>
              <w:spacing w:before="214" w:line="219"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4025816A">
            <w:pPr>
              <w:rPr>
                <w:rFonts w:ascii="Arial"/>
                <w:sz w:val="21"/>
              </w:rPr>
            </w:pPr>
          </w:p>
        </w:tc>
      </w:tr>
      <w:tr w14:paraId="31F8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31" w:type="dxa"/>
            <w:vMerge w:val="continue"/>
            <w:tcBorders>
              <w:top w:val="nil"/>
              <w:left w:val="single" w:color="000000" w:sz="6" w:space="0"/>
              <w:bottom w:val="nil"/>
            </w:tcBorders>
            <w:vAlign w:val="top"/>
          </w:tcPr>
          <w:p w14:paraId="4CF89740">
            <w:pPr>
              <w:rPr>
                <w:rFonts w:ascii="Arial"/>
                <w:sz w:val="21"/>
              </w:rPr>
            </w:pPr>
          </w:p>
        </w:tc>
        <w:tc>
          <w:tcPr>
            <w:tcW w:w="211" w:type="dxa"/>
            <w:vMerge w:val="continue"/>
            <w:tcBorders>
              <w:top w:val="nil"/>
              <w:bottom w:val="nil"/>
            </w:tcBorders>
            <w:vAlign w:val="top"/>
          </w:tcPr>
          <w:p w14:paraId="415636BA">
            <w:pPr>
              <w:rPr>
                <w:rFonts w:ascii="Arial"/>
                <w:sz w:val="21"/>
              </w:rPr>
            </w:pPr>
          </w:p>
        </w:tc>
        <w:tc>
          <w:tcPr>
            <w:tcW w:w="557" w:type="dxa"/>
            <w:vMerge w:val="continue"/>
            <w:tcBorders>
              <w:top w:val="nil"/>
              <w:bottom w:val="nil"/>
            </w:tcBorders>
            <w:vAlign w:val="top"/>
          </w:tcPr>
          <w:p w14:paraId="1EF4FB96">
            <w:pPr>
              <w:rPr>
                <w:rFonts w:ascii="Arial"/>
                <w:sz w:val="21"/>
              </w:rPr>
            </w:pPr>
          </w:p>
        </w:tc>
        <w:tc>
          <w:tcPr>
            <w:tcW w:w="505" w:type="dxa"/>
            <w:gridSpan w:val="2"/>
            <w:vMerge w:val="continue"/>
            <w:tcBorders>
              <w:top w:val="nil"/>
              <w:bottom w:val="nil"/>
            </w:tcBorders>
            <w:textDirection w:val="tbRlV"/>
            <w:vAlign w:val="top"/>
          </w:tcPr>
          <w:p w14:paraId="1F904CD0">
            <w:pPr>
              <w:rPr>
                <w:rFonts w:ascii="Arial"/>
                <w:sz w:val="21"/>
              </w:rPr>
            </w:pPr>
          </w:p>
        </w:tc>
        <w:tc>
          <w:tcPr>
            <w:tcW w:w="1274" w:type="dxa"/>
            <w:vAlign w:val="top"/>
          </w:tcPr>
          <w:p w14:paraId="37A09E6F">
            <w:pPr>
              <w:pStyle w:val="6"/>
              <w:spacing w:before="216" w:line="220" w:lineRule="auto"/>
              <w:ind w:left="278"/>
              <w:rPr>
                <w:sz w:val="18"/>
                <w:szCs w:val="18"/>
              </w:rPr>
            </w:pPr>
            <w:r>
              <w:rPr>
                <w:spacing w:val="-3"/>
                <w:sz w:val="18"/>
                <w:szCs w:val="18"/>
              </w:rPr>
              <w:t>建筑垃圾</w:t>
            </w:r>
          </w:p>
        </w:tc>
        <w:tc>
          <w:tcPr>
            <w:tcW w:w="1231" w:type="dxa"/>
            <w:gridSpan w:val="2"/>
            <w:vAlign w:val="top"/>
          </w:tcPr>
          <w:p w14:paraId="088738DB">
            <w:pPr>
              <w:spacing w:before="244" w:line="188" w:lineRule="auto"/>
              <w:ind w:left="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219608.731</w:t>
            </w:r>
          </w:p>
        </w:tc>
        <w:tc>
          <w:tcPr>
            <w:tcW w:w="999" w:type="dxa"/>
            <w:gridSpan w:val="2"/>
            <w:vAlign w:val="top"/>
          </w:tcPr>
          <w:p w14:paraId="5BFEA3CE">
            <w:pPr>
              <w:pStyle w:val="6"/>
              <w:spacing w:before="216" w:line="219" w:lineRule="auto"/>
              <w:ind w:left="153"/>
              <w:rPr>
                <w:sz w:val="18"/>
                <w:szCs w:val="18"/>
              </w:rPr>
            </w:pPr>
            <w:r>
              <w:rPr>
                <w:spacing w:val="-5"/>
                <w:sz w:val="18"/>
                <w:szCs w:val="18"/>
              </w:rPr>
              <w:t>当地市场</w:t>
            </w:r>
          </w:p>
        </w:tc>
        <w:tc>
          <w:tcPr>
            <w:tcW w:w="1443" w:type="dxa"/>
            <w:vAlign w:val="top"/>
          </w:tcPr>
          <w:p w14:paraId="25C6C259">
            <w:pPr>
              <w:spacing w:before="241" w:line="197" w:lineRule="auto"/>
              <w:ind w:left="56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gridSpan w:val="3"/>
            <w:vAlign w:val="top"/>
          </w:tcPr>
          <w:p w14:paraId="3074CD8D">
            <w:pPr>
              <w:pStyle w:val="6"/>
              <w:spacing w:before="75" w:line="246" w:lineRule="auto"/>
              <w:ind w:left="428" w:right="77" w:hanging="334"/>
              <w:rPr>
                <w:sz w:val="18"/>
                <w:szCs w:val="18"/>
              </w:rPr>
            </w:pPr>
            <w:r>
              <w:rPr>
                <w:spacing w:val="-8"/>
                <w:sz w:val="18"/>
                <w:szCs w:val="18"/>
              </w:rPr>
              <w:t>无特殊性状、地下</w:t>
            </w:r>
            <w:r>
              <w:rPr>
                <w:sz w:val="18"/>
                <w:szCs w:val="18"/>
              </w:rPr>
              <w:t xml:space="preserve"> </w:t>
            </w:r>
            <w:r>
              <w:rPr>
                <w:spacing w:val="-3"/>
                <w:sz w:val="18"/>
                <w:szCs w:val="18"/>
              </w:rPr>
              <w:t>原料堆场</w:t>
            </w:r>
          </w:p>
        </w:tc>
        <w:tc>
          <w:tcPr>
            <w:tcW w:w="218" w:type="dxa"/>
            <w:vMerge w:val="continue"/>
            <w:tcBorders>
              <w:top w:val="nil"/>
              <w:bottom w:val="nil"/>
              <w:right w:val="single" w:color="000000" w:sz="6" w:space="0"/>
            </w:tcBorders>
            <w:vAlign w:val="top"/>
          </w:tcPr>
          <w:p w14:paraId="45991090">
            <w:pPr>
              <w:rPr>
                <w:rFonts w:ascii="Arial"/>
                <w:sz w:val="21"/>
              </w:rPr>
            </w:pPr>
          </w:p>
        </w:tc>
      </w:tr>
      <w:tr w14:paraId="498F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3671CBE4">
            <w:pPr>
              <w:rPr>
                <w:rFonts w:ascii="Arial"/>
                <w:sz w:val="21"/>
              </w:rPr>
            </w:pPr>
          </w:p>
        </w:tc>
        <w:tc>
          <w:tcPr>
            <w:tcW w:w="211" w:type="dxa"/>
            <w:vMerge w:val="continue"/>
            <w:tcBorders>
              <w:top w:val="nil"/>
              <w:bottom w:val="nil"/>
            </w:tcBorders>
            <w:vAlign w:val="top"/>
          </w:tcPr>
          <w:p w14:paraId="6C04FE67">
            <w:pPr>
              <w:rPr>
                <w:rFonts w:ascii="Arial"/>
                <w:sz w:val="21"/>
              </w:rPr>
            </w:pPr>
          </w:p>
        </w:tc>
        <w:tc>
          <w:tcPr>
            <w:tcW w:w="557" w:type="dxa"/>
            <w:vMerge w:val="continue"/>
            <w:tcBorders>
              <w:top w:val="nil"/>
              <w:bottom w:val="nil"/>
            </w:tcBorders>
            <w:vAlign w:val="top"/>
          </w:tcPr>
          <w:p w14:paraId="7610E7CE">
            <w:pPr>
              <w:rPr>
                <w:rFonts w:ascii="Arial"/>
                <w:sz w:val="21"/>
              </w:rPr>
            </w:pPr>
          </w:p>
        </w:tc>
        <w:tc>
          <w:tcPr>
            <w:tcW w:w="505" w:type="dxa"/>
            <w:gridSpan w:val="2"/>
            <w:vMerge w:val="continue"/>
            <w:tcBorders>
              <w:top w:val="nil"/>
              <w:bottom w:val="nil"/>
            </w:tcBorders>
            <w:textDirection w:val="tbRlV"/>
            <w:vAlign w:val="top"/>
          </w:tcPr>
          <w:p w14:paraId="258E12B0">
            <w:pPr>
              <w:rPr>
                <w:rFonts w:ascii="Arial"/>
                <w:sz w:val="21"/>
              </w:rPr>
            </w:pPr>
          </w:p>
        </w:tc>
        <w:tc>
          <w:tcPr>
            <w:tcW w:w="1274" w:type="dxa"/>
            <w:vAlign w:val="top"/>
          </w:tcPr>
          <w:p w14:paraId="539A0A28">
            <w:pPr>
              <w:pStyle w:val="6"/>
              <w:spacing w:before="75" w:line="205" w:lineRule="auto"/>
              <w:ind w:left="279"/>
              <w:rPr>
                <w:sz w:val="18"/>
                <w:szCs w:val="18"/>
              </w:rPr>
            </w:pPr>
            <w:r>
              <w:rPr>
                <w:spacing w:val="-3"/>
                <w:sz w:val="18"/>
                <w:szCs w:val="18"/>
              </w:rPr>
              <w:t>发泡铝粉</w:t>
            </w:r>
          </w:p>
        </w:tc>
        <w:tc>
          <w:tcPr>
            <w:tcW w:w="1231" w:type="dxa"/>
            <w:gridSpan w:val="2"/>
            <w:vAlign w:val="top"/>
          </w:tcPr>
          <w:p w14:paraId="03C77014">
            <w:pPr>
              <w:spacing w:before="104" w:line="188" w:lineRule="auto"/>
              <w:ind w:left="3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35.998</w:t>
            </w:r>
          </w:p>
        </w:tc>
        <w:tc>
          <w:tcPr>
            <w:tcW w:w="999" w:type="dxa"/>
            <w:gridSpan w:val="2"/>
            <w:vAlign w:val="top"/>
          </w:tcPr>
          <w:p w14:paraId="42CBD2FD">
            <w:pPr>
              <w:pStyle w:val="6"/>
              <w:spacing w:before="75" w:line="205" w:lineRule="auto"/>
              <w:ind w:left="153"/>
              <w:rPr>
                <w:sz w:val="18"/>
                <w:szCs w:val="18"/>
              </w:rPr>
            </w:pPr>
            <w:r>
              <w:rPr>
                <w:spacing w:val="-5"/>
                <w:sz w:val="18"/>
                <w:szCs w:val="18"/>
              </w:rPr>
              <w:t>当地市场</w:t>
            </w:r>
          </w:p>
        </w:tc>
        <w:tc>
          <w:tcPr>
            <w:tcW w:w="1443" w:type="dxa"/>
            <w:vAlign w:val="top"/>
          </w:tcPr>
          <w:p w14:paraId="7EE23C68">
            <w:pPr>
              <w:pStyle w:val="6"/>
              <w:spacing w:before="75" w:line="205" w:lineRule="auto"/>
              <w:ind w:left="548"/>
              <w:rPr>
                <w:sz w:val="18"/>
                <w:szCs w:val="18"/>
              </w:rPr>
            </w:pPr>
            <w:r>
              <w:rPr>
                <w:spacing w:val="-4"/>
                <w:sz w:val="18"/>
                <w:szCs w:val="18"/>
              </w:rPr>
              <w:t>铝粉</w:t>
            </w:r>
          </w:p>
        </w:tc>
        <w:tc>
          <w:tcPr>
            <w:tcW w:w="1554" w:type="dxa"/>
            <w:gridSpan w:val="3"/>
            <w:vAlign w:val="top"/>
          </w:tcPr>
          <w:p w14:paraId="4945CB72">
            <w:pPr>
              <w:pStyle w:val="6"/>
              <w:spacing w:before="75" w:line="205" w:lineRule="auto"/>
              <w:ind w:left="128"/>
              <w:rPr>
                <w:sz w:val="18"/>
                <w:szCs w:val="18"/>
              </w:rPr>
            </w:pPr>
            <w:r>
              <w:rPr>
                <w:spacing w:val="-1"/>
                <w:sz w:val="18"/>
                <w:szCs w:val="18"/>
              </w:rPr>
              <w:t>粉末状、</w:t>
            </w:r>
            <w:r>
              <w:rPr>
                <w:rFonts w:ascii="Times New Roman" w:hAnsi="Times New Roman" w:eastAsia="Times New Roman" w:cs="Times New Roman"/>
                <w:spacing w:val="-1"/>
                <w:sz w:val="18"/>
                <w:szCs w:val="18"/>
              </w:rPr>
              <w:t>25kg/</w:t>
            </w:r>
            <w:r>
              <w:rPr>
                <w:spacing w:val="-1"/>
                <w:sz w:val="18"/>
                <w:szCs w:val="18"/>
              </w:rPr>
              <w:t>袋</w:t>
            </w:r>
          </w:p>
        </w:tc>
        <w:tc>
          <w:tcPr>
            <w:tcW w:w="218" w:type="dxa"/>
            <w:vMerge w:val="continue"/>
            <w:tcBorders>
              <w:top w:val="nil"/>
              <w:bottom w:val="nil"/>
              <w:right w:val="single" w:color="000000" w:sz="6" w:space="0"/>
            </w:tcBorders>
            <w:vAlign w:val="top"/>
          </w:tcPr>
          <w:p w14:paraId="6F99C52E">
            <w:pPr>
              <w:rPr>
                <w:rFonts w:ascii="Arial"/>
                <w:sz w:val="21"/>
              </w:rPr>
            </w:pPr>
          </w:p>
        </w:tc>
      </w:tr>
      <w:tr w14:paraId="261DE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31" w:type="dxa"/>
            <w:vMerge w:val="continue"/>
            <w:tcBorders>
              <w:top w:val="nil"/>
              <w:left w:val="single" w:color="000000" w:sz="6" w:space="0"/>
              <w:bottom w:val="nil"/>
            </w:tcBorders>
            <w:vAlign w:val="top"/>
          </w:tcPr>
          <w:p w14:paraId="47B8C5EF">
            <w:pPr>
              <w:rPr>
                <w:rFonts w:ascii="Arial"/>
                <w:sz w:val="21"/>
              </w:rPr>
            </w:pPr>
          </w:p>
        </w:tc>
        <w:tc>
          <w:tcPr>
            <w:tcW w:w="211" w:type="dxa"/>
            <w:vMerge w:val="continue"/>
            <w:tcBorders>
              <w:top w:val="nil"/>
              <w:bottom w:val="nil"/>
            </w:tcBorders>
            <w:vAlign w:val="top"/>
          </w:tcPr>
          <w:p w14:paraId="2A3C37EE">
            <w:pPr>
              <w:rPr>
                <w:rFonts w:ascii="Arial"/>
                <w:sz w:val="21"/>
              </w:rPr>
            </w:pPr>
          </w:p>
        </w:tc>
        <w:tc>
          <w:tcPr>
            <w:tcW w:w="557" w:type="dxa"/>
            <w:vMerge w:val="continue"/>
            <w:tcBorders>
              <w:top w:val="nil"/>
              <w:bottom w:val="nil"/>
            </w:tcBorders>
            <w:vAlign w:val="top"/>
          </w:tcPr>
          <w:p w14:paraId="39694FF4">
            <w:pPr>
              <w:rPr>
                <w:rFonts w:ascii="Arial"/>
                <w:sz w:val="21"/>
              </w:rPr>
            </w:pPr>
          </w:p>
        </w:tc>
        <w:tc>
          <w:tcPr>
            <w:tcW w:w="505" w:type="dxa"/>
            <w:gridSpan w:val="2"/>
            <w:vMerge w:val="continue"/>
            <w:tcBorders>
              <w:top w:val="nil"/>
              <w:bottom w:val="nil"/>
            </w:tcBorders>
            <w:textDirection w:val="tbRlV"/>
            <w:vAlign w:val="top"/>
          </w:tcPr>
          <w:p w14:paraId="13179C94">
            <w:pPr>
              <w:rPr>
                <w:rFonts w:ascii="Arial"/>
                <w:sz w:val="21"/>
              </w:rPr>
            </w:pPr>
          </w:p>
        </w:tc>
        <w:tc>
          <w:tcPr>
            <w:tcW w:w="1274" w:type="dxa"/>
            <w:vAlign w:val="top"/>
          </w:tcPr>
          <w:p w14:paraId="1CED7EED">
            <w:pPr>
              <w:pStyle w:val="6"/>
              <w:spacing w:before="215" w:line="219" w:lineRule="auto"/>
              <w:ind w:left="192"/>
              <w:rPr>
                <w:sz w:val="18"/>
                <w:szCs w:val="18"/>
              </w:rPr>
            </w:pPr>
            <w:r>
              <w:rPr>
                <w:spacing w:val="-3"/>
                <w:sz w:val="18"/>
                <w:szCs w:val="18"/>
              </w:rPr>
              <w:t>带肋钢筋网</w:t>
            </w:r>
          </w:p>
        </w:tc>
        <w:tc>
          <w:tcPr>
            <w:tcW w:w="1231" w:type="dxa"/>
            <w:gridSpan w:val="2"/>
            <w:vAlign w:val="top"/>
          </w:tcPr>
          <w:p w14:paraId="04908119">
            <w:pPr>
              <w:spacing w:before="246"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10536.53</w:t>
            </w:r>
          </w:p>
        </w:tc>
        <w:tc>
          <w:tcPr>
            <w:tcW w:w="999" w:type="dxa"/>
            <w:gridSpan w:val="2"/>
            <w:vAlign w:val="top"/>
          </w:tcPr>
          <w:p w14:paraId="09CE08F8">
            <w:pPr>
              <w:pStyle w:val="6"/>
              <w:spacing w:before="215" w:line="219" w:lineRule="auto"/>
              <w:ind w:left="153"/>
              <w:rPr>
                <w:sz w:val="18"/>
                <w:szCs w:val="18"/>
              </w:rPr>
            </w:pPr>
            <w:r>
              <w:rPr>
                <w:spacing w:val="-5"/>
                <w:sz w:val="18"/>
                <w:szCs w:val="18"/>
              </w:rPr>
              <w:t>当地市场</w:t>
            </w:r>
          </w:p>
        </w:tc>
        <w:tc>
          <w:tcPr>
            <w:tcW w:w="1443" w:type="dxa"/>
            <w:vAlign w:val="top"/>
          </w:tcPr>
          <w:p w14:paraId="0F1652D3">
            <w:pPr>
              <w:pStyle w:val="6"/>
              <w:spacing w:before="75" w:line="246" w:lineRule="auto"/>
              <w:ind w:left="366" w:right="23" w:hanging="275"/>
              <w:rPr>
                <w:sz w:val="18"/>
                <w:szCs w:val="18"/>
              </w:rPr>
            </w:pPr>
            <w:r>
              <w:rPr>
                <w:spacing w:val="-15"/>
                <w:sz w:val="18"/>
                <w:szCs w:val="18"/>
              </w:rPr>
              <w:t>碳、硫、磷、锰、</w:t>
            </w:r>
            <w:r>
              <w:rPr>
                <w:spacing w:val="1"/>
                <w:sz w:val="18"/>
                <w:szCs w:val="18"/>
              </w:rPr>
              <w:t xml:space="preserve"> </w:t>
            </w:r>
            <w:r>
              <w:rPr>
                <w:spacing w:val="-2"/>
                <w:sz w:val="18"/>
                <w:szCs w:val="18"/>
              </w:rPr>
              <w:t>硅等元素</w:t>
            </w:r>
          </w:p>
        </w:tc>
        <w:tc>
          <w:tcPr>
            <w:tcW w:w="1554" w:type="dxa"/>
            <w:gridSpan w:val="3"/>
            <w:vAlign w:val="top"/>
          </w:tcPr>
          <w:p w14:paraId="6E1AE7B8">
            <w:pPr>
              <w:pStyle w:val="6"/>
              <w:spacing w:before="215" w:line="219" w:lineRule="auto"/>
              <w:ind w:left="94"/>
              <w:rPr>
                <w:sz w:val="18"/>
                <w:szCs w:val="18"/>
              </w:rPr>
            </w:pPr>
            <w:r>
              <w:rPr>
                <w:spacing w:val="-8"/>
                <w:sz w:val="18"/>
                <w:szCs w:val="18"/>
              </w:rPr>
              <w:t>条状、生产车间内</w:t>
            </w:r>
          </w:p>
        </w:tc>
        <w:tc>
          <w:tcPr>
            <w:tcW w:w="218" w:type="dxa"/>
            <w:vMerge w:val="continue"/>
            <w:tcBorders>
              <w:top w:val="nil"/>
              <w:bottom w:val="nil"/>
              <w:right w:val="single" w:color="000000" w:sz="6" w:space="0"/>
            </w:tcBorders>
            <w:vAlign w:val="top"/>
          </w:tcPr>
          <w:p w14:paraId="63264A19">
            <w:pPr>
              <w:rPr>
                <w:rFonts w:ascii="Arial"/>
                <w:sz w:val="21"/>
              </w:rPr>
            </w:pPr>
          </w:p>
        </w:tc>
      </w:tr>
      <w:tr w14:paraId="71C2A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31" w:type="dxa"/>
            <w:vMerge w:val="continue"/>
            <w:tcBorders>
              <w:top w:val="nil"/>
              <w:left w:val="single" w:color="000000" w:sz="6" w:space="0"/>
              <w:bottom w:val="nil"/>
            </w:tcBorders>
            <w:vAlign w:val="top"/>
          </w:tcPr>
          <w:p w14:paraId="03001847">
            <w:pPr>
              <w:rPr>
                <w:rFonts w:ascii="Arial"/>
                <w:sz w:val="21"/>
              </w:rPr>
            </w:pPr>
          </w:p>
        </w:tc>
        <w:tc>
          <w:tcPr>
            <w:tcW w:w="211" w:type="dxa"/>
            <w:vMerge w:val="continue"/>
            <w:tcBorders>
              <w:top w:val="nil"/>
              <w:bottom w:val="nil"/>
            </w:tcBorders>
            <w:vAlign w:val="top"/>
          </w:tcPr>
          <w:p w14:paraId="28E1C5A2">
            <w:pPr>
              <w:rPr>
                <w:rFonts w:ascii="Arial"/>
                <w:sz w:val="21"/>
              </w:rPr>
            </w:pPr>
          </w:p>
        </w:tc>
        <w:tc>
          <w:tcPr>
            <w:tcW w:w="557" w:type="dxa"/>
            <w:vMerge w:val="continue"/>
            <w:tcBorders>
              <w:top w:val="nil"/>
              <w:bottom w:val="nil"/>
            </w:tcBorders>
            <w:vAlign w:val="top"/>
          </w:tcPr>
          <w:p w14:paraId="3C44A5FC">
            <w:pPr>
              <w:rPr>
                <w:rFonts w:ascii="Arial"/>
                <w:sz w:val="21"/>
              </w:rPr>
            </w:pPr>
          </w:p>
        </w:tc>
        <w:tc>
          <w:tcPr>
            <w:tcW w:w="505" w:type="dxa"/>
            <w:gridSpan w:val="2"/>
            <w:vMerge w:val="continue"/>
            <w:tcBorders>
              <w:top w:val="nil"/>
              <w:bottom w:val="nil"/>
            </w:tcBorders>
            <w:textDirection w:val="tbRlV"/>
            <w:vAlign w:val="top"/>
          </w:tcPr>
          <w:p w14:paraId="72D85598">
            <w:pPr>
              <w:rPr>
                <w:rFonts w:ascii="Arial"/>
                <w:sz w:val="21"/>
              </w:rPr>
            </w:pPr>
          </w:p>
        </w:tc>
        <w:tc>
          <w:tcPr>
            <w:tcW w:w="1274" w:type="dxa"/>
            <w:vAlign w:val="top"/>
          </w:tcPr>
          <w:p w14:paraId="413E0C84">
            <w:pPr>
              <w:pStyle w:val="6"/>
              <w:spacing w:before="216" w:line="219" w:lineRule="auto"/>
              <w:ind w:left="369"/>
              <w:rPr>
                <w:sz w:val="18"/>
                <w:szCs w:val="18"/>
              </w:rPr>
            </w:pPr>
            <w:r>
              <w:rPr>
                <w:spacing w:val="-4"/>
                <w:sz w:val="18"/>
                <w:szCs w:val="18"/>
              </w:rPr>
              <w:t>水性漆</w:t>
            </w:r>
          </w:p>
        </w:tc>
        <w:tc>
          <w:tcPr>
            <w:tcW w:w="1231" w:type="dxa"/>
            <w:gridSpan w:val="2"/>
            <w:vAlign w:val="top"/>
          </w:tcPr>
          <w:p w14:paraId="5085899E">
            <w:pPr>
              <w:spacing w:before="245" w:line="188" w:lineRule="auto"/>
              <w:ind w:left="3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37.048</w:t>
            </w:r>
          </w:p>
        </w:tc>
        <w:tc>
          <w:tcPr>
            <w:tcW w:w="999" w:type="dxa"/>
            <w:gridSpan w:val="2"/>
            <w:vAlign w:val="top"/>
          </w:tcPr>
          <w:p w14:paraId="6CD06BCA">
            <w:pPr>
              <w:pStyle w:val="6"/>
              <w:spacing w:before="216" w:line="219" w:lineRule="auto"/>
              <w:ind w:left="153"/>
              <w:rPr>
                <w:sz w:val="18"/>
                <w:szCs w:val="18"/>
              </w:rPr>
            </w:pPr>
            <w:r>
              <w:rPr>
                <w:spacing w:val="-5"/>
                <w:sz w:val="18"/>
                <w:szCs w:val="18"/>
              </w:rPr>
              <w:t>当地市场</w:t>
            </w:r>
          </w:p>
        </w:tc>
        <w:tc>
          <w:tcPr>
            <w:tcW w:w="1443" w:type="dxa"/>
            <w:vAlign w:val="top"/>
          </w:tcPr>
          <w:p w14:paraId="269385E4">
            <w:pPr>
              <w:pStyle w:val="6"/>
              <w:spacing w:before="75" w:line="246" w:lineRule="auto"/>
              <w:ind w:left="95" w:right="88" w:firstLine="2"/>
              <w:rPr>
                <w:sz w:val="18"/>
                <w:szCs w:val="18"/>
              </w:rPr>
            </w:pPr>
            <w:r>
              <w:rPr>
                <w:spacing w:val="-2"/>
                <w:sz w:val="18"/>
                <w:szCs w:val="18"/>
              </w:rPr>
              <w:t>水性树脂、有机</w:t>
            </w:r>
            <w:r>
              <w:rPr>
                <w:spacing w:val="3"/>
                <w:sz w:val="18"/>
                <w:szCs w:val="18"/>
              </w:rPr>
              <w:t xml:space="preserve"> </w:t>
            </w:r>
            <w:r>
              <w:rPr>
                <w:spacing w:val="-1"/>
                <w:sz w:val="18"/>
                <w:szCs w:val="18"/>
              </w:rPr>
              <w:t>颜料、无机填料</w:t>
            </w:r>
          </w:p>
        </w:tc>
        <w:tc>
          <w:tcPr>
            <w:tcW w:w="1554" w:type="dxa"/>
            <w:gridSpan w:val="3"/>
            <w:vAlign w:val="top"/>
          </w:tcPr>
          <w:p w14:paraId="320B09E5">
            <w:pPr>
              <w:pStyle w:val="6"/>
              <w:spacing w:before="216" w:line="210" w:lineRule="auto"/>
              <w:ind w:left="130"/>
              <w:rPr>
                <w:sz w:val="18"/>
                <w:szCs w:val="18"/>
              </w:rPr>
            </w:pPr>
            <w:r>
              <w:rPr>
                <w:spacing w:val="-1"/>
                <w:sz w:val="18"/>
                <w:szCs w:val="18"/>
              </w:rPr>
              <w:t>流体态、</w:t>
            </w:r>
            <w:r>
              <w:rPr>
                <w:rFonts w:ascii="Times New Roman" w:hAnsi="Times New Roman" w:eastAsia="Times New Roman" w:cs="Times New Roman"/>
                <w:spacing w:val="-1"/>
                <w:sz w:val="18"/>
                <w:szCs w:val="18"/>
              </w:rPr>
              <w:t>10kg/</w:t>
            </w:r>
            <w:r>
              <w:rPr>
                <w:spacing w:val="-1"/>
                <w:sz w:val="18"/>
                <w:szCs w:val="18"/>
              </w:rPr>
              <w:t>桶</w:t>
            </w:r>
          </w:p>
        </w:tc>
        <w:tc>
          <w:tcPr>
            <w:tcW w:w="218" w:type="dxa"/>
            <w:vMerge w:val="continue"/>
            <w:tcBorders>
              <w:top w:val="nil"/>
              <w:bottom w:val="nil"/>
              <w:right w:val="single" w:color="000000" w:sz="6" w:space="0"/>
            </w:tcBorders>
            <w:vAlign w:val="top"/>
          </w:tcPr>
          <w:p w14:paraId="24C5E381">
            <w:pPr>
              <w:rPr>
                <w:rFonts w:ascii="Arial"/>
                <w:sz w:val="21"/>
              </w:rPr>
            </w:pPr>
          </w:p>
        </w:tc>
      </w:tr>
      <w:tr w14:paraId="6A7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0FD69007">
            <w:pPr>
              <w:rPr>
                <w:rFonts w:ascii="Arial"/>
                <w:sz w:val="21"/>
              </w:rPr>
            </w:pPr>
          </w:p>
        </w:tc>
        <w:tc>
          <w:tcPr>
            <w:tcW w:w="211" w:type="dxa"/>
            <w:vMerge w:val="continue"/>
            <w:tcBorders>
              <w:top w:val="nil"/>
              <w:bottom w:val="nil"/>
            </w:tcBorders>
            <w:vAlign w:val="top"/>
          </w:tcPr>
          <w:p w14:paraId="71031CC3">
            <w:pPr>
              <w:rPr>
                <w:rFonts w:ascii="Arial"/>
                <w:sz w:val="21"/>
              </w:rPr>
            </w:pPr>
          </w:p>
        </w:tc>
        <w:tc>
          <w:tcPr>
            <w:tcW w:w="557" w:type="dxa"/>
            <w:vMerge w:val="continue"/>
            <w:tcBorders>
              <w:top w:val="nil"/>
              <w:bottom w:val="nil"/>
            </w:tcBorders>
            <w:vAlign w:val="top"/>
          </w:tcPr>
          <w:p w14:paraId="7220AAEB">
            <w:pPr>
              <w:rPr>
                <w:rFonts w:ascii="Arial"/>
                <w:sz w:val="21"/>
              </w:rPr>
            </w:pPr>
          </w:p>
        </w:tc>
        <w:tc>
          <w:tcPr>
            <w:tcW w:w="505" w:type="dxa"/>
            <w:gridSpan w:val="2"/>
            <w:vMerge w:val="continue"/>
            <w:tcBorders>
              <w:top w:val="nil"/>
              <w:bottom w:val="nil"/>
            </w:tcBorders>
            <w:textDirection w:val="tbRlV"/>
            <w:vAlign w:val="top"/>
          </w:tcPr>
          <w:p w14:paraId="6636711C">
            <w:pPr>
              <w:rPr>
                <w:rFonts w:ascii="Arial"/>
                <w:sz w:val="21"/>
              </w:rPr>
            </w:pPr>
          </w:p>
        </w:tc>
        <w:tc>
          <w:tcPr>
            <w:tcW w:w="1274" w:type="dxa"/>
            <w:vAlign w:val="top"/>
          </w:tcPr>
          <w:p w14:paraId="01F69AD4">
            <w:pPr>
              <w:pStyle w:val="6"/>
              <w:spacing w:before="214" w:line="219" w:lineRule="auto"/>
              <w:ind w:left="368"/>
              <w:rPr>
                <w:sz w:val="18"/>
                <w:szCs w:val="18"/>
              </w:rPr>
            </w:pPr>
            <w:r>
              <w:rPr>
                <w:spacing w:val="-3"/>
                <w:sz w:val="18"/>
                <w:szCs w:val="18"/>
              </w:rPr>
              <w:t>脱模剂</w:t>
            </w:r>
          </w:p>
        </w:tc>
        <w:tc>
          <w:tcPr>
            <w:tcW w:w="1231" w:type="dxa"/>
            <w:gridSpan w:val="2"/>
            <w:vAlign w:val="top"/>
          </w:tcPr>
          <w:p w14:paraId="537D4A07">
            <w:pPr>
              <w:spacing w:before="246" w:line="188" w:lineRule="auto"/>
              <w:ind w:left="5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999" w:type="dxa"/>
            <w:gridSpan w:val="2"/>
            <w:vAlign w:val="top"/>
          </w:tcPr>
          <w:p w14:paraId="6E888994">
            <w:pPr>
              <w:pStyle w:val="6"/>
              <w:spacing w:before="215" w:line="219" w:lineRule="auto"/>
              <w:ind w:left="160"/>
              <w:rPr>
                <w:sz w:val="18"/>
                <w:szCs w:val="18"/>
              </w:rPr>
            </w:pPr>
            <w:r>
              <w:rPr>
                <w:spacing w:val="-7"/>
                <w:sz w:val="18"/>
                <w:szCs w:val="18"/>
              </w:rPr>
              <w:t>国内市场</w:t>
            </w:r>
          </w:p>
        </w:tc>
        <w:tc>
          <w:tcPr>
            <w:tcW w:w="1443" w:type="dxa"/>
            <w:vAlign w:val="top"/>
          </w:tcPr>
          <w:p w14:paraId="6D4BDEA5">
            <w:pPr>
              <w:pStyle w:val="6"/>
              <w:spacing w:before="75" w:line="246" w:lineRule="auto"/>
              <w:ind w:left="276" w:right="23" w:hanging="183"/>
              <w:rPr>
                <w:sz w:val="18"/>
                <w:szCs w:val="18"/>
              </w:rPr>
            </w:pPr>
            <w:r>
              <w:rPr>
                <w:spacing w:val="-15"/>
                <w:sz w:val="18"/>
                <w:szCs w:val="18"/>
              </w:rPr>
              <w:t>成膜剂、乳化剂、</w:t>
            </w:r>
            <w:r>
              <w:rPr>
                <w:sz w:val="18"/>
                <w:szCs w:val="18"/>
              </w:rPr>
              <w:t xml:space="preserve"> </w:t>
            </w:r>
            <w:r>
              <w:rPr>
                <w:spacing w:val="-2"/>
                <w:sz w:val="18"/>
                <w:szCs w:val="18"/>
              </w:rPr>
              <w:t>基础油和水</w:t>
            </w:r>
          </w:p>
        </w:tc>
        <w:tc>
          <w:tcPr>
            <w:tcW w:w="1554" w:type="dxa"/>
            <w:gridSpan w:val="3"/>
            <w:vAlign w:val="top"/>
          </w:tcPr>
          <w:p w14:paraId="649473BC">
            <w:pPr>
              <w:pStyle w:val="6"/>
              <w:spacing w:before="215" w:line="219" w:lineRule="auto"/>
              <w:ind w:left="332"/>
              <w:rPr>
                <w:sz w:val="18"/>
                <w:szCs w:val="18"/>
              </w:rPr>
            </w:pPr>
            <w:r>
              <w:rPr>
                <w:spacing w:val="-1"/>
                <w:sz w:val="18"/>
                <w:szCs w:val="18"/>
              </w:rPr>
              <w:t>液体、</w:t>
            </w:r>
            <w:r>
              <w:rPr>
                <w:rFonts w:ascii="Times New Roman" w:hAnsi="Times New Roman" w:eastAsia="Times New Roman" w:cs="Times New Roman"/>
                <w:spacing w:val="-1"/>
                <w:sz w:val="18"/>
                <w:szCs w:val="18"/>
              </w:rPr>
              <w:t>1t/</w:t>
            </w:r>
            <w:r>
              <w:rPr>
                <w:spacing w:val="-1"/>
                <w:sz w:val="18"/>
                <w:szCs w:val="18"/>
              </w:rPr>
              <w:t>桶</w:t>
            </w:r>
          </w:p>
        </w:tc>
        <w:tc>
          <w:tcPr>
            <w:tcW w:w="218" w:type="dxa"/>
            <w:vMerge w:val="continue"/>
            <w:tcBorders>
              <w:top w:val="nil"/>
              <w:bottom w:val="nil"/>
              <w:right w:val="single" w:color="000000" w:sz="6" w:space="0"/>
            </w:tcBorders>
            <w:vAlign w:val="top"/>
          </w:tcPr>
          <w:p w14:paraId="07BDADE4">
            <w:pPr>
              <w:rPr>
                <w:rFonts w:ascii="Arial"/>
                <w:sz w:val="21"/>
              </w:rPr>
            </w:pPr>
          </w:p>
        </w:tc>
      </w:tr>
      <w:tr w14:paraId="20C5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5005CEA5">
            <w:pPr>
              <w:rPr>
                <w:rFonts w:ascii="Arial"/>
                <w:sz w:val="21"/>
              </w:rPr>
            </w:pPr>
          </w:p>
        </w:tc>
        <w:tc>
          <w:tcPr>
            <w:tcW w:w="211" w:type="dxa"/>
            <w:vMerge w:val="continue"/>
            <w:tcBorders>
              <w:top w:val="nil"/>
              <w:bottom w:val="nil"/>
            </w:tcBorders>
            <w:vAlign w:val="top"/>
          </w:tcPr>
          <w:p w14:paraId="1E3F6ADD">
            <w:pPr>
              <w:rPr>
                <w:rFonts w:ascii="Arial"/>
                <w:sz w:val="21"/>
              </w:rPr>
            </w:pPr>
          </w:p>
        </w:tc>
        <w:tc>
          <w:tcPr>
            <w:tcW w:w="557" w:type="dxa"/>
            <w:vMerge w:val="continue"/>
            <w:tcBorders>
              <w:top w:val="nil"/>
              <w:bottom w:val="nil"/>
            </w:tcBorders>
            <w:vAlign w:val="top"/>
          </w:tcPr>
          <w:p w14:paraId="404B0E28">
            <w:pPr>
              <w:rPr>
                <w:rFonts w:ascii="Arial"/>
                <w:sz w:val="21"/>
              </w:rPr>
            </w:pPr>
          </w:p>
        </w:tc>
        <w:tc>
          <w:tcPr>
            <w:tcW w:w="505" w:type="dxa"/>
            <w:gridSpan w:val="2"/>
            <w:vMerge w:val="continue"/>
            <w:tcBorders>
              <w:top w:val="nil"/>
              <w:bottom w:val="nil"/>
            </w:tcBorders>
            <w:textDirection w:val="tbRlV"/>
            <w:vAlign w:val="top"/>
          </w:tcPr>
          <w:p w14:paraId="36E16AC3">
            <w:pPr>
              <w:rPr>
                <w:rFonts w:ascii="Arial"/>
                <w:sz w:val="21"/>
              </w:rPr>
            </w:pPr>
          </w:p>
        </w:tc>
        <w:tc>
          <w:tcPr>
            <w:tcW w:w="1274" w:type="dxa"/>
            <w:vAlign w:val="top"/>
          </w:tcPr>
          <w:p w14:paraId="0254B833">
            <w:pPr>
              <w:pStyle w:val="6"/>
              <w:spacing w:before="75" w:line="205" w:lineRule="auto"/>
              <w:ind w:left="299"/>
              <w:rPr>
                <w:sz w:val="18"/>
                <w:szCs w:val="18"/>
              </w:rPr>
            </w:pPr>
            <w:r>
              <w:rPr>
                <w:rFonts w:ascii="Times New Roman" w:hAnsi="Times New Roman" w:eastAsia="Times New Roman" w:cs="Times New Roman"/>
                <w:spacing w:val="-3"/>
                <w:sz w:val="18"/>
                <w:szCs w:val="18"/>
              </w:rPr>
              <w:t>UV</w:t>
            </w:r>
            <w:r>
              <w:rPr>
                <w:rFonts w:ascii="Times New Roman" w:hAnsi="Times New Roman" w:eastAsia="Times New Roman" w:cs="Times New Roman"/>
                <w:spacing w:val="7"/>
                <w:sz w:val="18"/>
                <w:szCs w:val="18"/>
              </w:rPr>
              <w:t xml:space="preserve"> </w:t>
            </w:r>
            <w:r>
              <w:rPr>
                <w:spacing w:val="-3"/>
                <w:sz w:val="18"/>
                <w:szCs w:val="18"/>
              </w:rPr>
              <w:t>灯管</w:t>
            </w:r>
          </w:p>
        </w:tc>
        <w:tc>
          <w:tcPr>
            <w:tcW w:w="1231" w:type="dxa"/>
            <w:gridSpan w:val="2"/>
            <w:vAlign w:val="top"/>
          </w:tcPr>
          <w:p w14:paraId="7C6DBFEA">
            <w:pPr>
              <w:spacing w:before="106" w:line="188" w:lineRule="auto"/>
              <w:ind w:left="4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0.012</w:t>
            </w:r>
          </w:p>
        </w:tc>
        <w:tc>
          <w:tcPr>
            <w:tcW w:w="999" w:type="dxa"/>
            <w:gridSpan w:val="2"/>
            <w:vAlign w:val="top"/>
          </w:tcPr>
          <w:p w14:paraId="1DC559E6">
            <w:pPr>
              <w:pStyle w:val="6"/>
              <w:spacing w:before="75" w:line="205" w:lineRule="auto"/>
              <w:ind w:left="160"/>
              <w:rPr>
                <w:sz w:val="18"/>
                <w:szCs w:val="18"/>
              </w:rPr>
            </w:pPr>
            <w:r>
              <w:rPr>
                <w:spacing w:val="-7"/>
                <w:sz w:val="18"/>
                <w:szCs w:val="18"/>
              </w:rPr>
              <w:t>国内市场</w:t>
            </w:r>
          </w:p>
        </w:tc>
        <w:tc>
          <w:tcPr>
            <w:tcW w:w="1443" w:type="dxa"/>
            <w:vAlign w:val="top"/>
          </w:tcPr>
          <w:p w14:paraId="2E68A339">
            <w:pPr>
              <w:spacing w:before="102" w:line="192" w:lineRule="auto"/>
              <w:ind w:left="6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4" w:type="dxa"/>
            <w:gridSpan w:val="3"/>
            <w:vAlign w:val="top"/>
          </w:tcPr>
          <w:p w14:paraId="5887C6BC">
            <w:pPr>
              <w:spacing w:before="102" w:line="192" w:lineRule="auto"/>
              <w:ind w:left="75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8" w:type="dxa"/>
            <w:vMerge w:val="continue"/>
            <w:tcBorders>
              <w:top w:val="nil"/>
              <w:bottom w:val="nil"/>
              <w:right w:val="single" w:color="000000" w:sz="6" w:space="0"/>
            </w:tcBorders>
            <w:vAlign w:val="top"/>
          </w:tcPr>
          <w:p w14:paraId="17E9AE02">
            <w:pPr>
              <w:rPr>
                <w:rFonts w:ascii="Arial"/>
                <w:sz w:val="21"/>
              </w:rPr>
            </w:pPr>
          </w:p>
        </w:tc>
      </w:tr>
      <w:tr w14:paraId="1FF85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31" w:type="dxa"/>
            <w:vMerge w:val="continue"/>
            <w:tcBorders>
              <w:top w:val="nil"/>
              <w:left w:val="single" w:color="000000" w:sz="6" w:space="0"/>
              <w:bottom w:val="nil"/>
            </w:tcBorders>
            <w:vAlign w:val="top"/>
          </w:tcPr>
          <w:p w14:paraId="07D300FE">
            <w:pPr>
              <w:rPr>
                <w:rFonts w:ascii="Arial"/>
                <w:sz w:val="21"/>
              </w:rPr>
            </w:pPr>
          </w:p>
        </w:tc>
        <w:tc>
          <w:tcPr>
            <w:tcW w:w="211" w:type="dxa"/>
            <w:vMerge w:val="continue"/>
            <w:tcBorders>
              <w:top w:val="nil"/>
              <w:bottom w:val="nil"/>
            </w:tcBorders>
            <w:vAlign w:val="top"/>
          </w:tcPr>
          <w:p w14:paraId="19D08FE9">
            <w:pPr>
              <w:rPr>
                <w:rFonts w:ascii="Arial"/>
                <w:sz w:val="21"/>
              </w:rPr>
            </w:pPr>
          </w:p>
        </w:tc>
        <w:tc>
          <w:tcPr>
            <w:tcW w:w="557" w:type="dxa"/>
            <w:vMerge w:val="continue"/>
            <w:tcBorders>
              <w:top w:val="nil"/>
              <w:bottom w:val="nil"/>
            </w:tcBorders>
            <w:vAlign w:val="top"/>
          </w:tcPr>
          <w:p w14:paraId="0A86E97A">
            <w:pPr>
              <w:rPr>
                <w:rFonts w:ascii="Arial"/>
                <w:sz w:val="21"/>
              </w:rPr>
            </w:pPr>
          </w:p>
        </w:tc>
        <w:tc>
          <w:tcPr>
            <w:tcW w:w="505" w:type="dxa"/>
            <w:gridSpan w:val="2"/>
            <w:vMerge w:val="continue"/>
            <w:tcBorders>
              <w:top w:val="nil"/>
              <w:bottom w:val="nil"/>
            </w:tcBorders>
            <w:textDirection w:val="tbRlV"/>
            <w:vAlign w:val="top"/>
          </w:tcPr>
          <w:p w14:paraId="5AEC0AE4">
            <w:pPr>
              <w:rPr>
                <w:rFonts w:ascii="Arial"/>
                <w:sz w:val="21"/>
              </w:rPr>
            </w:pPr>
          </w:p>
        </w:tc>
        <w:tc>
          <w:tcPr>
            <w:tcW w:w="1274" w:type="dxa"/>
            <w:vAlign w:val="top"/>
          </w:tcPr>
          <w:p w14:paraId="7C595AA2">
            <w:pPr>
              <w:pStyle w:val="6"/>
              <w:spacing w:before="75" w:line="205" w:lineRule="auto"/>
              <w:ind w:left="370"/>
              <w:rPr>
                <w:sz w:val="18"/>
                <w:szCs w:val="18"/>
              </w:rPr>
            </w:pPr>
            <w:r>
              <w:rPr>
                <w:spacing w:val="-4"/>
                <w:sz w:val="18"/>
                <w:szCs w:val="18"/>
              </w:rPr>
              <w:t>活性炭</w:t>
            </w:r>
          </w:p>
        </w:tc>
        <w:tc>
          <w:tcPr>
            <w:tcW w:w="1231" w:type="dxa"/>
            <w:gridSpan w:val="2"/>
            <w:vAlign w:val="top"/>
          </w:tcPr>
          <w:p w14:paraId="1D476C7A">
            <w:pPr>
              <w:spacing w:before="106" w:line="188" w:lineRule="auto"/>
              <w:ind w:left="47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18.2</w:t>
            </w:r>
          </w:p>
        </w:tc>
        <w:tc>
          <w:tcPr>
            <w:tcW w:w="999" w:type="dxa"/>
            <w:gridSpan w:val="2"/>
            <w:vAlign w:val="top"/>
          </w:tcPr>
          <w:p w14:paraId="6084C8C4">
            <w:pPr>
              <w:pStyle w:val="6"/>
              <w:spacing w:before="75" w:line="205" w:lineRule="auto"/>
              <w:ind w:left="160"/>
              <w:rPr>
                <w:sz w:val="18"/>
                <w:szCs w:val="18"/>
              </w:rPr>
            </w:pPr>
            <w:r>
              <w:rPr>
                <w:spacing w:val="-7"/>
                <w:sz w:val="18"/>
                <w:szCs w:val="18"/>
              </w:rPr>
              <w:t>国内市场</w:t>
            </w:r>
          </w:p>
        </w:tc>
        <w:tc>
          <w:tcPr>
            <w:tcW w:w="1443" w:type="dxa"/>
            <w:vAlign w:val="top"/>
          </w:tcPr>
          <w:p w14:paraId="224CE63E">
            <w:pPr>
              <w:spacing w:before="103" w:line="192" w:lineRule="auto"/>
              <w:ind w:left="6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4" w:type="dxa"/>
            <w:gridSpan w:val="3"/>
            <w:vAlign w:val="top"/>
          </w:tcPr>
          <w:p w14:paraId="56BB3065">
            <w:pPr>
              <w:spacing w:before="103" w:line="192" w:lineRule="auto"/>
              <w:ind w:left="75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8" w:type="dxa"/>
            <w:vMerge w:val="continue"/>
            <w:tcBorders>
              <w:top w:val="nil"/>
              <w:bottom w:val="nil"/>
              <w:right w:val="single" w:color="000000" w:sz="6" w:space="0"/>
            </w:tcBorders>
            <w:vAlign w:val="top"/>
          </w:tcPr>
          <w:p w14:paraId="1F6A6FD4">
            <w:pPr>
              <w:rPr>
                <w:rFonts w:ascii="Arial"/>
                <w:sz w:val="21"/>
              </w:rPr>
            </w:pPr>
          </w:p>
        </w:tc>
      </w:tr>
      <w:tr w14:paraId="7306E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6EBA4CEE">
            <w:pPr>
              <w:rPr>
                <w:rFonts w:ascii="Arial"/>
                <w:sz w:val="21"/>
              </w:rPr>
            </w:pPr>
          </w:p>
        </w:tc>
        <w:tc>
          <w:tcPr>
            <w:tcW w:w="211" w:type="dxa"/>
            <w:vMerge w:val="continue"/>
            <w:tcBorders>
              <w:top w:val="nil"/>
              <w:bottom w:val="nil"/>
            </w:tcBorders>
            <w:vAlign w:val="top"/>
          </w:tcPr>
          <w:p w14:paraId="72FED4A2">
            <w:pPr>
              <w:rPr>
                <w:rFonts w:ascii="Arial"/>
                <w:sz w:val="21"/>
              </w:rPr>
            </w:pPr>
          </w:p>
        </w:tc>
        <w:tc>
          <w:tcPr>
            <w:tcW w:w="557" w:type="dxa"/>
            <w:vMerge w:val="continue"/>
            <w:tcBorders>
              <w:top w:val="nil"/>
              <w:bottom w:val="nil"/>
            </w:tcBorders>
            <w:vAlign w:val="top"/>
          </w:tcPr>
          <w:p w14:paraId="2043A2FA">
            <w:pPr>
              <w:rPr>
                <w:rFonts w:ascii="Arial"/>
                <w:sz w:val="21"/>
              </w:rPr>
            </w:pPr>
          </w:p>
        </w:tc>
        <w:tc>
          <w:tcPr>
            <w:tcW w:w="505" w:type="dxa"/>
            <w:gridSpan w:val="2"/>
            <w:vMerge w:val="continue"/>
            <w:tcBorders>
              <w:top w:val="nil"/>
            </w:tcBorders>
            <w:textDirection w:val="tbRlV"/>
            <w:vAlign w:val="top"/>
          </w:tcPr>
          <w:p w14:paraId="61641BFC">
            <w:pPr>
              <w:rPr>
                <w:rFonts w:ascii="Arial"/>
                <w:sz w:val="21"/>
              </w:rPr>
            </w:pPr>
          </w:p>
        </w:tc>
        <w:tc>
          <w:tcPr>
            <w:tcW w:w="1274" w:type="dxa"/>
            <w:vAlign w:val="top"/>
          </w:tcPr>
          <w:p w14:paraId="6B32B039">
            <w:pPr>
              <w:pStyle w:val="6"/>
              <w:spacing w:before="75" w:line="205" w:lineRule="auto"/>
              <w:ind w:left="370"/>
              <w:rPr>
                <w:sz w:val="18"/>
                <w:szCs w:val="18"/>
              </w:rPr>
            </w:pPr>
            <w:r>
              <w:rPr>
                <w:spacing w:val="-4"/>
                <w:sz w:val="18"/>
                <w:szCs w:val="18"/>
              </w:rPr>
              <w:t>打包带</w:t>
            </w:r>
          </w:p>
        </w:tc>
        <w:tc>
          <w:tcPr>
            <w:tcW w:w="1231" w:type="dxa"/>
            <w:gridSpan w:val="2"/>
            <w:vAlign w:val="top"/>
          </w:tcPr>
          <w:p w14:paraId="22AF2734">
            <w:pPr>
              <w:spacing w:before="104" w:line="18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999" w:type="dxa"/>
            <w:gridSpan w:val="2"/>
            <w:vAlign w:val="top"/>
          </w:tcPr>
          <w:p w14:paraId="1080D8F3">
            <w:pPr>
              <w:pStyle w:val="6"/>
              <w:spacing w:before="75" w:line="205" w:lineRule="auto"/>
              <w:ind w:left="153"/>
              <w:rPr>
                <w:sz w:val="18"/>
                <w:szCs w:val="18"/>
              </w:rPr>
            </w:pPr>
            <w:r>
              <w:rPr>
                <w:spacing w:val="-5"/>
                <w:sz w:val="18"/>
                <w:szCs w:val="18"/>
              </w:rPr>
              <w:t>当地市场</w:t>
            </w:r>
          </w:p>
        </w:tc>
        <w:tc>
          <w:tcPr>
            <w:tcW w:w="1443" w:type="dxa"/>
            <w:vAlign w:val="top"/>
          </w:tcPr>
          <w:p w14:paraId="382E16A9">
            <w:pPr>
              <w:pStyle w:val="6"/>
              <w:spacing w:before="75" w:line="205" w:lineRule="auto"/>
              <w:ind w:left="551"/>
              <w:rPr>
                <w:sz w:val="18"/>
                <w:szCs w:val="18"/>
              </w:rPr>
            </w:pPr>
            <w:r>
              <w:rPr>
                <w:spacing w:val="-6"/>
                <w:sz w:val="18"/>
                <w:szCs w:val="18"/>
              </w:rPr>
              <w:t>塑料</w:t>
            </w:r>
          </w:p>
        </w:tc>
        <w:tc>
          <w:tcPr>
            <w:tcW w:w="1554" w:type="dxa"/>
            <w:gridSpan w:val="3"/>
            <w:vAlign w:val="top"/>
          </w:tcPr>
          <w:p w14:paraId="6AB981E0">
            <w:pPr>
              <w:pStyle w:val="6"/>
              <w:spacing w:before="75" w:line="205" w:lineRule="auto"/>
              <w:ind w:left="212"/>
              <w:rPr>
                <w:sz w:val="18"/>
                <w:szCs w:val="18"/>
              </w:rPr>
            </w:pPr>
            <w:r>
              <w:rPr>
                <w:spacing w:val="-3"/>
                <w:sz w:val="18"/>
                <w:szCs w:val="18"/>
              </w:rPr>
              <w:t>固体、</w:t>
            </w:r>
            <w:r>
              <w:rPr>
                <w:rFonts w:ascii="Times New Roman" w:hAnsi="Times New Roman" w:eastAsia="Times New Roman" w:cs="Times New Roman"/>
                <w:spacing w:val="-3"/>
                <w:sz w:val="18"/>
                <w:szCs w:val="18"/>
              </w:rPr>
              <w:t>100m/</w:t>
            </w:r>
            <w:r>
              <w:rPr>
                <w:spacing w:val="-3"/>
                <w:sz w:val="18"/>
                <w:szCs w:val="18"/>
              </w:rPr>
              <w:t>卷</w:t>
            </w:r>
          </w:p>
        </w:tc>
        <w:tc>
          <w:tcPr>
            <w:tcW w:w="218" w:type="dxa"/>
            <w:vMerge w:val="continue"/>
            <w:tcBorders>
              <w:top w:val="nil"/>
              <w:bottom w:val="nil"/>
              <w:right w:val="single" w:color="000000" w:sz="6" w:space="0"/>
            </w:tcBorders>
            <w:vAlign w:val="top"/>
          </w:tcPr>
          <w:p w14:paraId="27399C34">
            <w:pPr>
              <w:rPr>
                <w:rFonts w:ascii="Arial"/>
                <w:sz w:val="21"/>
              </w:rPr>
            </w:pPr>
          </w:p>
        </w:tc>
      </w:tr>
      <w:tr w14:paraId="34F9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6404AF9D">
            <w:pPr>
              <w:rPr>
                <w:rFonts w:ascii="Arial"/>
                <w:sz w:val="21"/>
              </w:rPr>
            </w:pPr>
          </w:p>
        </w:tc>
        <w:tc>
          <w:tcPr>
            <w:tcW w:w="211" w:type="dxa"/>
            <w:vMerge w:val="continue"/>
            <w:tcBorders>
              <w:top w:val="nil"/>
              <w:bottom w:val="nil"/>
            </w:tcBorders>
            <w:vAlign w:val="top"/>
          </w:tcPr>
          <w:p w14:paraId="1D775FAE">
            <w:pPr>
              <w:rPr>
                <w:rFonts w:ascii="Arial"/>
                <w:sz w:val="21"/>
              </w:rPr>
            </w:pPr>
          </w:p>
        </w:tc>
        <w:tc>
          <w:tcPr>
            <w:tcW w:w="557" w:type="dxa"/>
            <w:vMerge w:val="continue"/>
            <w:tcBorders>
              <w:top w:val="nil"/>
              <w:bottom w:val="nil"/>
            </w:tcBorders>
            <w:vAlign w:val="top"/>
          </w:tcPr>
          <w:p w14:paraId="0FC9C69B">
            <w:pPr>
              <w:rPr>
                <w:rFonts w:ascii="Arial"/>
                <w:sz w:val="21"/>
              </w:rPr>
            </w:pPr>
          </w:p>
        </w:tc>
        <w:tc>
          <w:tcPr>
            <w:tcW w:w="505" w:type="dxa"/>
            <w:gridSpan w:val="2"/>
            <w:vMerge w:val="restart"/>
            <w:tcBorders>
              <w:bottom w:val="nil"/>
            </w:tcBorders>
            <w:textDirection w:val="tbRlV"/>
            <w:vAlign w:val="top"/>
          </w:tcPr>
          <w:p w14:paraId="4F2EB4CA">
            <w:pPr>
              <w:pStyle w:val="6"/>
              <w:spacing w:before="164" w:line="208" w:lineRule="auto"/>
              <w:ind w:left="805"/>
              <w:rPr>
                <w:sz w:val="18"/>
                <w:szCs w:val="18"/>
              </w:rPr>
            </w:pPr>
            <w:r>
              <w:rPr>
                <w:spacing w:val="1"/>
                <w:sz w:val="18"/>
                <w:szCs w:val="18"/>
              </w:rPr>
              <w:t>普</w:t>
            </w:r>
            <w:r>
              <w:rPr>
                <w:spacing w:val="11"/>
                <w:sz w:val="18"/>
                <w:szCs w:val="18"/>
              </w:rPr>
              <w:t xml:space="preserve"> </w:t>
            </w:r>
            <w:r>
              <w:rPr>
                <w:spacing w:val="1"/>
                <w:sz w:val="18"/>
                <w:szCs w:val="18"/>
              </w:rPr>
              <w:t>通 干</w:t>
            </w:r>
            <w:r>
              <w:rPr>
                <w:spacing w:val="10"/>
                <w:sz w:val="18"/>
                <w:szCs w:val="18"/>
              </w:rPr>
              <w:t xml:space="preserve"> </w:t>
            </w:r>
            <w:r>
              <w:rPr>
                <w:spacing w:val="1"/>
                <w:sz w:val="18"/>
                <w:szCs w:val="18"/>
              </w:rPr>
              <w:t>混</w:t>
            </w:r>
            <w:r>
              <w:rPr>
                <w:spacing w:val="11"/>
                <w:sz w:val="18"/>
                <w:szCs w:val="18"/>
              </w:rPr>
              <w:t xml:space="preserve"> </w:t>
            </w:r>
            <w:r>
              <w:rPr>
                <w:spacing w:val="1"/>
                <w:sz w:val="18"/>
                <w:szCs w:val="18"/>
              </w:rPr>
              <w:t>砂</w:t>
            </w:r>
            <w:r>
              <w:rPr>
                <w:spacing w:val="9"/>
                <w:sz w:val="18"/>
                <w:szCs w:val="18"/>
              </w:rPr>
              <w:t xml:space="preserve"> </w:t>
            </w:r>
            <w:r>
              <w:rPr>
                <w:spacing w:val="1"/>
                <w:sz w:val="18"/>
                <w:szCs w:val="18"/>
              </w:rPr>
              <w:t>浆</w:t>
            </w:r>
          </w:p>
        </w:tc>
        <w:tc>
          <w:tcPr>
            <w:tcW w:w="1274" w:type="dxa"/>
            <w:vAlign w:val="top"/>
          </w:tcPr>
          <w:p w14:paraId="4BBDB3E5">
            <w:pPr>
              <w:pStyle w:val="6"/>
              <w:spacing w:before="215" w:line="219" w:lineRule="auto"/>
              <w:ind w:left="458"/>
              <w:rPr>
                <w:sz w:val="18"/>
                <w:szCs w:val="18"/>
              </w:rPr>
            </w:pPr>
            <w:r>
              <w:rPr>
                <w:spacing w:val="-5"/>
                <w:sz w:val="18"/>
                <w:szCs w:val="18"/>
              </w:rPr>
              <w:t>水泥</w:t>
            </w:r>
          </w:p>
        </w:tc>
        <w:tc>
          <w:tcPr>
            <w:tcW w:w="1231" w:type="dxa"/>
            <w:gridSpan w:val="2"/>
            <w:vAlign w:val="top"/>
          </w:tcPr>
          <w:p w14:paraId="06DB861C">
            <w:pPr>
              <w:spacing w:before="246"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40002.006</w:t>
            </w:r>
          </w:p>
        </w:tc>
        <w:tc>
          <w:tcPr>
            <w:tcW w:w="999" w:type="dxa"/>
            <w:gridSpan w:val="2"/>
            <w:vAlign w:val="top"/>
          </w:tcPr>
          <w:p w14:paraId="545DAC5D">
            <w:pPr>
              <w:pStyle w:val="6"/>
              <w:spacing w:before="215" w:line="219" w:lineRule="auto"/>
              <w:ind w:left="153"/>
              <w:rPr>
                <w:sz w:val="18"/>
                <w:szCs w:val="18"/>
              </w:rPr>
            </w:pPr>
            <w:r>
              <w:rPr>
                <w:spacing w:val="-5"/>
                <w:sz w:val="18"/>
                <w:szCs w:val="18"/>
              </w:rPr>
              <w:t>当地市场</w:t>
            </w:r>
          </w:p>
        </w:tc>
        <w:tc>
          <w:tcPr>
            <w:tcW w:w="1443" w:type="dxa"/>
            <w:vAlign w:val="top"/>
          </w:tcPr>
          <w:p w14:paraId="5D0F284F">
            <w:pPr>
              <w:pStyle w:val="6"/>
              <w:spacing w:before="100" w:line="233" w:lineRule="auto"/>
              <w:ind w:left="402" w:right="146" w:hanging="278"/>
              <w:rPr>
                <w:sz w:val="18"/>
                <w:szCs w:val="18"/>
              </w:rPr>
            </w:pPr>
            <w:r>
              <w:rPr>
                <w:rFonts w:ascii="Times New Roman" w:hAnsi="Times New Roman" w:eastAsia="Times New Roman" w:cs="Times New Roman"/>
                <w:spacing w:val="-5"/>
                <w:sz w:val="18"/>
                <w:szCs w:val="18"/>
              </w:rPr>
              <w:t>CaCO</w:t>
            </w:r>
            <w:r>
              <w:rPr>
                <w:rFonts w:ascii="Times New Roman" w:hAnsi="Times New Roman" w:eastAsia="Times New Roman" w:cs="Times New Roman"/>
                <w:spacing w:val="-5"/>
                <w:position w:val="-1"/>
                <w:sz w:val="11"/>
                <w:szCs w:val="11"/>
              </w:rPr>
              <w:t>3</w:t>
            </w:r>
            <w:r>
              <w:rPr>
                <w:rFonts w:ascii="Times New Roman" w:hAnsi="Times New Roman" w:eastAsia="Times New Roman" w:cs="Times New Roman"/>
                <w:spacing w:val="-7"/>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SiO</w:t>
            </w:r>
            <w:r>
              <w:rPr>
                <w:rFonts w:ascii="Times New Roman" w:hAnsi="Times New Roman" w:eastAsia="Times New Roman" w:cs="Times New Roman"/>
                <w:spacing w:val="-5"/>
                <w:position w:val="-1"/>
                <w:sz w:val="11"/>
                <w:szCs w:val="11"/>
              </w:rPr>
              <w:t>2</w:t>
            </w:r>
            <w:r>
              <w:rPr>
                <w:spacing w:val="-5"/>
                <w:sz w:val="18"/>
                <w:szCs w:val="18"/>
              </w:rPr>
              <w:t>、</w:t>
            </w:r>
            <w:r>
              <w:rPr>
                <w:sz w:val="18"/>
                <w:szCs w:val="18"/>
              </w:rPr>
              <w:t xml:space="preserve"> </w:t>
            </w:r>
            <w:r>
              <w:rPr>
                <w:rFonts w:ascii="Times New Roman" w:hAnsi="Times New Roman" w:eastAsia="Times New Roman" w:cs="Times New Roman"/>
                <w:sz w:val="18"/>
                <w:szCs w:val="18"/>
              </w:rPr>
              <w:t>Al</w:t>
            </w:r>
            <w:r>
              <w:rPr>
                <w:rFonts w:ascii="Times New Roman" w:hAnsi="Times New Roman" w:eastAsia="Times New Roman" w:cs="Times New Roman"/>
                <w:position w:val="-1"/>
                <w:sz w:val="11"/>
                <w:szCs w:val="11"/>
              </w:rPr>
              <w:t>2</w:t>
            </w:r>
            <w:r>
              <w:rPr>
                <w:rFonts w:ascii="Times New Roman" w:hAnsi="Times New Roman" w:eastAsia="Times New Roman" w:cs="Times New Roman"/>
                <w:sz w:val="18"/>
                <w:szCs w:val="18"/>
              </w:rPr>
              <w:t>O</w:t>
            </w:r>
            <w:r>
              <w:rPr>
                <w:rFonts w:ascii="Times New Roman" w:hAnsi="Times New Roman" w:eastAsia="Times New Roman" w:cs="Times New Roman"/>
                <w:position w:val="-1"/>
                <w:sz w:val="11"/>
                <w:szCs w:val="11"/>
              </w:rPr>
              <w:t>3</w:t>
            </w:r>
            <w:r>
              <w:rPr>
                <w:rFonts w:ascii="Times New Roman" w:hAnsi="Times New Roman" w:eastAsia="Times New Roman" w:cs="Times New Roman"/>
                <w:spacing w:val="14"/>
                <w:w w:val="101"/>
                <w:position w:val="-1"/>
                <w:sz w:val="11"/>
                <w:szCs w:val="11"/>
              </w:rPr>
              <w:t xml:space="preserve"> </w:t>
            </w:r>
            <w:r>
              <w:rPr>
                <w:sz w:val="18"/>
                <w:szCs w:val="18"/>
              </w:rPr>
              <w:t>等</w:t>
            </w:r>
          </w:p>
        </w:tc>
        <w:tc>
          <w:tcPr>
            <w:tcW w:w="1554" w:type="dxa"/>
            <w:gridSpan w:val="3"/>
            <w:vAlign w:val="top"/>
          </w:tcPr>
          <w:p w14:paraId="174A304F">
            <w:pPr>
              <w:pStyle w:val="6"/>
              <w:spacing w:before="215" w:line="219"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1FB5F73F">
            <w:pPr>
              <w:rPr>
                <w:rFonts w:ascii="Arial"/>
                <w:sz w:val="21"/>
              </w:rPr>
            </w:pPr>
          </w:p>
        </w:tc>
      </w:tr>
      <w:tr w14:paraId="0DB0E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831" w:type="dxa"/>
            <w:vMerge w:val="continue"/>
            <w:tcBorders>
              <w:top w:val="nil"/>
              <w:left w:val="single" w:color="000000" w:sz="6" w:space="0"/>
              <w:bottom w:val="nil"/>
            </w:tcBorders>
            <w:vAlign w:val="top"/>
          </w:tcPr>
          <w:p w14:paraId="34A96595">
            <w:pPr>
              <w:rPr>
                <w:rFonts w:ascii="Arial"/>
                <w:sz w:val="21"/>
              </w:rPr>
            </w:pPr>
          </w:p>
        </w:tc>
        <w:tc>
          <w:tcPr>
            <w:tcW w:w="211" w:type="dxa"/>
            <w:vMerge w:val="continue"/>
            <w:tcBorders>
              <w:top w:val="nil"/>
              <w:bottom w:val="nil"/>
            </w:tcBorders>
            <w:vAlign w:val="top"/>
          </w:tcPr>
          <w:p w14:paraId="570E80D7">
            <w:pPr>
              <w:rPr>
                <w:rFonts w:ascii="Arial"/>
                <w:sz w:val="21"/>
              </w:rPr>
            </w:pPr>
          </w:p>
        </w:tc>
        <w:tc>
          <w:tcPr>
            <w:tcW w:w="557" w:type="dxa"/>
            <w:vMerge w:val="continue"/>
            <w:tcBorders>
              <w:top w:val="nil"/>
              <w:bottom w:val="nil"/>
            </w:tcBorders>
            <w:vAlign w:val="top"/>
          </w:tcPr>
          <w:p w14:paraId="31A37E4B">
            <w:pPr>
              <w:rPr>
                <w:rFonts w:ascii="Arial"/>
                <w:sz w:val="21"/>
              </w:rPr>
            </w:pPr>
          </w:p>
        </w:tc>
        <w:tc>
          <w:tcPr>
            <w:tcW w:w="505" w:type="dxa"/>
            <w:gridSpan w:val="2"/>
            <w:vMerge w:val="continue"/>
            <w:tcBorders>
              <w:top w:val="nil"/>
              <w:bottom w:val="nil"/>
            </w:tcBorders>
            <w:textDirection w:val="tbRlV"/>
            <w:vAlign w:val="top"/>
          </w:tcPr>
          <w:p w14:paraId="378B2A03">
            <w:pPr>
              <w:rPr>
                <w:rFonts w:ascii="Arial"/>
                <w:sz w:val="21"/>
              </w:rPr>
            </w:pPr>
          </w:p>
        </w:tc>
        <w:tc>
          <w:tcPr>
            <w:tcW w:w="1274" w:type="dxa"/>
            <w:vAlign w:val="top"/>
          </w:tcPr>
          <w:p w14:paraId="33FC453A">
            <w:pPr>
              <w:pStyle w:val="6"/>
              <w:spacing w:before="75" w:line="205" w:lineRule="auto"/>
              <w:ind w:left="141"/>
              <w:rPr>
                <w:sz w:val="18"/>
                <w:szCs w:val="18"/>
              </w:rPr>
            </w:pPr>
            <w:r>
              <w:rPr>
                <w:spacing w:val="-9"/>
                <w:sz w:val="18"/>
                <w:szCs w:val="18"/>
              </w:rPr>
              <w:t>黄沙（绝干）</w:t>
            </w:r>
          </w:p>
        </w:tc>
        <w:tc>
          <w:tcPr>
            <w:tcW w:w="1231" w:type="dxa"/>
            <w:gridSpan w:val="2"/>
            <w:vAlign w:val="top"/>
          </w:tcPr>
          <w:p w14:paraId="6D09CEA7">
            <w:pPr>
              <w:spacing w:before="106"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80004.039</w:t>
            </w:r>
          </w:p>
        </w:tc>
        <w:tc>
          <w:tcPr>
            <w:tcW w:w="999" w:type="dxa"/>
            <w:gridSpan w:val="2"/>
            <w:vAlign w:val="top"/>
          </w:tcPr>
          <w:p w14:paraId="0DFF3DFB">
            <w:pPr>
              <w:pStyle w:val="6"/>
              <w:spacing w:before="75" w:line="205" w:lineRule="auto"/>
              <w:ind w:left="153"/>
              <w:rPr>
                <w:sz w:val="18"/>
                <w:szCs w:val="18"/>
              </w:rPr>
            </w:pPr>
            <w:r>
              <w:rPr>
                <w:spacing w:val="-5"/>
                <w:sz w:val="18"/>
                <w:szCs w:val="18"/>
              </w:rPr>
              <w:t>当地市场</w:t>
            </w:r>
          </w:p>
        </w:tc>
        <w:tc>
          <w:tcPr>
            <w:tcW w:w="1443" w:type="dxa"/>
            <w:vAlign w:val="top"/>
          </w:tcPr>
          <w:p w14:paraId="48838890">
            <w:pPr>
              <w:spacing w:before="102" w:line="197" w:lineRule="auto"/>
              <w:ind w:left="56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gridSpan w:val="3"/>
            <w:vAlign w:val="top"/>
          </w:tcPr>
          <w:p w14:paraId="1650E211">
            <w:pPr>
              <w:pStyle w:val="6"/>
              <w:spacing w:before="75" w:line="205"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0FFF5E0F">
            <w:pPr>
              <w:rPr>
                <w:rFonts w:ascii="Arial"/>
                <w:sz w:val="21"/>
              </w:rPr>
            </w:pPr>
          </w:p>
        </w:tc>
      </w:tr>
      <w:tr w14:paraId="49F6F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2F92B4CF">
            <w:pPr>
              <w:rPr>
                <w:rFonts w:ascii="Arial"/>
                <w:sz w:val="21"/>
              </w:rPr>
            </w:pPr>
          </w:p>
        </w:tc>
        <w:tc>
          <w:tcPr>
            <w:tcW w:w="211" w:type="dxa"/>
            <w:vMerge w:val="continue"/>
            <w:tcBorders>
              <w:top w:val="nil"/>
              <w:bottom w:val="nil"/>
            </w:tcBorders>
            <w:vAlign w:val="top"/>
          </w:tcPr>
          <w:p w14:paraId="71CDF45C">
            <w:pPr>
              <w:rPr>
                <w:rFonts w:ascii="Arial"/>
                <w:sz w:val="21"/>
              </w:rPr>
            </w:pPr>
          </w:p>
        </w:tc>
        <w:tc>
          <w:tcPr>
            <w:tcW w:w="557" w:type="dxa"/>
            <w:vMerge w:val="continue"/>
            <w:tcBorders>
              <w:top w:val="nil"/>
              <w:bottom w:val="nil"/>
            </w:tcBorders>
            <w:vAlign w:val="top"/>
          </w:tcPr>
          <w:p w14:paraId="43584DCA">
            <w:pPr>
              <w:rPr>
                <w:rFonts w:ascii="Arial"/>
                <w:sz w:val="21"/>
              </w:rPr>
            </w:pPr>
          </w:p>
        </w:tc>
        <w:tc>
          <w:tcPr>
            <w:tcW w:w="505" w:type="dxa"/>
            <w:gridSpan w:val="2"/>
            <w:vMerge w:val="continue"/>
            <w:tcBorders>
              <w:top w:val="nil"/>
              <w:bottom w:val="nil"/>
            </w:tcBorders>
            <w:textDirection w:val="tbRlV"/>
            <w:vAlign w:val="top"/>
          </w:tcPr>
          <w:p w14:paraId="097243CD">
            <w:pPr>
              <w:rPr>
                <w:rFonts w:ascii="Arial"/>
                <w:sz w:val="21"/>
              </w:rPr>
            </w:pPr>
          </w:p>
        </w:tc>
        <w:tc>
          <w:tcPr>
            <w:tcW w:w="1274" w:type="dxa"/>
            <w:vAlign w:val="top"/>
          </w:tcPr>
          <w:p w14:paraId="504B1F10">
            <w:pPr>
              <w:pStyle w:val="6"/>
              <w:spacing w:before="214" w:line="219" w:lineRule="auto"/>
              <w:ind w:left="366"/>
              <w:rPr>
                <w:sz w:val="18"/>
                <w:szCs w:val="18"/>
              </w:rPr>
            </w:pPr>
            <w:r>
              <w:rPr>
                <w:spacing w:val="-3"/>
                <w:sz w:val="18"/>
                <w:szCs w:val="18"/>
              </w:rPr>
              <w:t>粉煤灰</w:t>
            </w:r>
          </w:p>
        </w:tc>
        <w:tc>
          <w:tcPr>
            <w:tcW w:w="1231" w:type="dxa"/>
            <w:gridSpan w:val="2"/>
            <w:vAlign w:val="top"/>
          </w:tcPr>
          <w:p w14:paraId="7607C63F">
            <w:pPr>
              <w:spacing w:before="245"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8000.401</w:t>
            </w:r>
          </w:p>
        </w:tc>
        <w:tc>
          <w:tcPr>
            <w:tcW w:w="999" w:type="dxa"/>
            <w:gridSpan w:val="2"/>
            <w:vAlign w:val="top"/>
          </w:tcPr>
          <w:p w14:paraId="175F2570">
            <w:pPr>
              <w:pStyle w:val="6"/>
              <w:spacing w:before="214" w:line="219" w:lineRule="auto"/>
              <w:ind w:left="153"/>
              <w:rPr>
                <w:sz w:val="18"/>
                <w:szCs w:val="18"/>
              </w:rPr>
            </w:pPr>
            <w:r>
              <w:rPr>
                <w:spacing w:val="-5"/>
                <w:sz w:val="18"/>
                <w:szCs w:val="18"/>
              </w:rPr>
              <w:t>当地市场</w:t>
            </w:r>
          </w:p>
        </w:tc>
        <w:tc>
          <w:tcPr>
            <w:tcW w:w="1443" w:type="dxa"/>
            <w:vAlign w:val="top"/>
          </w:tcPr>
          <w:p w14:paraId="62851D19">
            <w:pPr>
              <w:pStyle w:val="6"/>
              <w:spacing w:before="102" w:line="232" w:lineRule="auto"/>
              <w:ind w:left="159" w:right="155" w:firstLine="10"/>
              <w:rPr>
                <w:sz w:val="18"/>
                <w:szCs w:val="18"/>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5"/>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Al</w:t>
            </w:r>
            <w:r>
              <w:rPr>
                <w:rFonts w:ascii="Times New Roman" w:hAnsi="Times New Roman" w:eastAsia="Times New Roman" w:cs="Times New Roman"/>
                <w:spacing w:val="-5"/>
                <w:position w:val="-1"/>
                <w:sz w:val="11"/>
                <w:szCs w:val="11"/>
              </w:rPr>
              <w:t>2</w:t>
            </w:r>
            <w:r>
              <w:rPr>
                <w:rFonts w:ascii="Times New Roman" w:hAnsi="Times New Roman" w:eastAsia="Times New Roman" w:cs="Times New Roman"/>
                <w:spacing w:val="-5"/>
                <w:sz w:val="18"/>
                <w:szCs w:val="18"/>
              </w:rPr>
              <w:t>O</w:t>
            </w:r>
            <w:r>
              <w:rPr>
                <w:rFonts w:ascii="Times New Roman" w:hAnsi="Times New Roman" w:eastAsia="Times New Roman" w:cs="Times New Roman"/>
                <w:spacing w:val="-5"/>
                <w:position w:val="-1"/>
                <w:sz w:val="11"/>
                <w:szCs w:val="11"/>
              </w:rPr>
              <w:t>3</w:t>
            </w:r>
            <w:r>
              <w:rPr>
                <w:rFonts w:ascii="Times New Roman" w:hAnsi="Times New Roman" w:eastAsia="Times New Roman" w:cs="Times New Roman"/>
                <w:spacing w:val="-8"/>
                <w:position w:val="-1"/>
                <w:sz w:val="11"/>
                <w:szCs w:val="11"/>
              </w:rPr>
              <w:t xml:space="preserve"> </w:t>
            </w:r>
            <w:r>
              <w:rPr>
                <w:spacing w:val="-5"/>
                <w:sz w:val="18"/>
                <w:szCs w:val="18"/>
              </w:rPr>
              <w:t>、</w:t>
            </w:r>
            <w:r>
              <w:rPr>
                <w:sz w:val="18"/>
                <w:szCs w:val="18"/>
              </w:rPr>
              <w:t xml:space="preserve"> </w:t>
            </w:r>
            <w:r>
              <w:rPr>
                <w:rFonts w:ascii="Times New Roman" w:hAnsi="Times New Roman" w:eastAsia="Times New Roman" w:cs="Times New Roman"/>
                <w:spacing w:val="-3"/>
                <w:sz w:val="18"/>
                <w:szCs w:val="18"/>
              </w:rPr>
              <w:t>FeO</w:t>
            </w:r>
            <w:r>
              <w:rPr>
                <w:rFonts w:ascii="Times New Roman" w:hAnsi="Times New Roman" w:eastAsia="Times New Roman" w:cs="Times New Roman"/>
                <w:spacing w:val="-24"/>
                <w:sz w:val="18"/>
                <w:szCs w:val="18"/>
              </w:rPr>
              <w:t xml:space="preserve"> </w:t>
            </w:r>
            <w:r>
              <w:rPr>
                <w:spacing w:val="-3"/>
                <w:sz w:val="18"/>
                <w:szCs w:val="18"/>
              </w:rPr>
              <w:t>、</w:t>
            </w:r>
            <w:r>
              <w:rPr>
                <w:rFonts w:ascii="Times New Roman" w:hAnsi="Times New Roman" w:eastAsia="Times New Roman" w:cs="Times New Roman"/>
                <w:spacing w:val="-3"/>
                <w:sz w:val="18"/>
                <w:szCs w:val="18"/>
              </w:rPr>
              <w:t>Fe</w:t>
            </w:r>
            <w:r>
              <w:rPr>
                <w:rFonts w:ascii="Times New Roman" w:hAnsi="Times New Roman" w:eastAsia="Times New Roman" w:cs="Times New Roman"/>
                <w:spacing w:val="-3"/>
                <w:sz w:val="11"/>
                <w:szCs w:val="11"/>
              </w:rPr>
              <w:t>2</w:t>
            </w: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r>
              <w:rPr>
                <w:rFonts w:ascii="Times New Roman" w:hAnsi="Times New Roman" w:eastAsia="Times New Roman" w:cs="Times New Roman"/>
                <w:spacing w:val="13"/>
                <w:position w:val="-1"/>
                <w:sz w:val="11"/>
                <w:szCs w:val="11"/>
              </w:rPr>
              <w:t xml:space="preserve"> </w:t>
            </w:r>
            <w:r>
              <w:rPr>
                <w:spacing w:val="-3"/>
                <w:sz w:val="18"/>
                <w:szCs w:val="18"/>
              </w:rPr>
              <w:t>等</w:t>
            </w:r>
          </w:p>
        </w:tc>
        <w:tc>
          <w:tcPr>
            <w:tcW w:w="1554" w:type="dxa"/>
            <w:gridSpan w:val="3"/>
            <w:vAlign w:val="top"/>
          </w:tcPr>
          <w:p w14:paraId="62C7DFF0">
            <w:pPr>
              <w:pStyle w:val="6"/>
              <w:spacing w:before="214" w:line="219"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6274DF5C">
            <w:pPr>
              <w:rPr>
                <w:rFonts w:ascii="Arial"/>
                <w:sz w:val="21"/>
              </w:rPr>
            </w:pPr>
          </w:p>
        </w:tc>
      </w:tr>
      <w:tr w14:paraId="6E8DF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494E9992">
            <w:pPr>
              <w:rPr>
                <w:rFonts w:ascii="Arial"/>
                <w:sz w:val="21"/>
              </w:rPr>
            </w:pPr>
          </w:p>
        </w:tc>
        <w:tc>
          <w:tcPr>
            <w:tcW w:w="211" w:type="dxa"/>
            <w:vMerge w:val="continue"/>
            <w:tcBorders>
              <w:top w:val="nil"/>
              <w:bottom w:val="nil"/>
            </w:tcBorders>
            <w:vAlign w:val="top"/>
          </w:tcPr>
          <w:p w14:paraId="5982C7E6">
            <w:pPr>
              <w:rPr>
                <w:rFonts w:ascii="Arial"/>
                <w:sz w:val="21"/>
              </w:rPr>
            </w:pPr>
          </w:p>
        </w:tc>
        <w:tc>
          <w:tcPr>
            <w:tcW w:w="557" w:type="dxa"/>
            <w:vMerge w:val="continue"/>
            <w:tcBorders>
              <w:top w:val="nil"/>
              <w:bottom w:val="nil"/>
            </w:tcBorders>
            <w:vAlign w:val="top"/>
          </w:tcPr>
          <w:p w14:paraId="5F8C6D2F">
            <w:pPr>
              <w:rPr>
                <w:rFonts w:ascii="Arial"/>
                <w:sz w:val="21"/>
              </w:rPr>
            </w:pPr>
          </w:p>
        </w:tc>
        <w:tc>
          <w:tcPr>
            <w:tcW w:w="505" w:type="dxa"/>
            <w:gridSpan w:val="2"/>
            <w:vMerge w:val="continue"/>
            <w:tcBorders>
              <w:top w:val="nil"/>
              <w:bottom w:val="nil"/>
            </w:tcBorders>
            <w:textDirection w:val="tbRlV"/>
            <w:vAlign w:val="top"/>
          </w:tcPr>
          <w:p w14:paraId="21FB81A0">
            <w:pPr>
              <w:rPr>
                <w:rFonts w:ascii="Arial"/>
                <w:sz w:val="21"/>
              </w:rPr>
            </w:pPr>
          </w:p>
        </w:tc>
        <w:tc>
          <w:tcPr>
            <w:tcW w:w="1274" w:type="dxa"/>
            <w:vAlign w:val="top"/>
          </w:tcPr>
          <w:p w14:paraId="185CC43D">
            <w:pPr>
              <w:pStyle w:val="6"/>
              <w:spacing w:before="76" w:line="204" w:lineRule="auto"/>
              <w:ind w:left="188"/>
              <w:rPr>
                <w:sz w:val="18"/>
                <w:szCs w:val="18"/>
              </w:rPr>
            </w:pPr>
            <w:r>
              <w:rPr>
                <w:spacing w:val="-2"/>
                <w:sz w:val="18"/>
                <w:szCs w:val="18"/>
              </w:rPr>
              <w:t>石灰或石膏</w:t>
            </w:r>
          </w:p>
        </w:tc>
        <w:tc>
          <w:tcPr>
            <w:tcW w:w="1231" w:type="dxa"/>
            <w:gridSpan w:val="2"/>
            <w:vAlign w:val="top"/>
          </w:tcPr>
          <w:p w14:paraId="3E95BF59">
            <w:pPr>
              <w:spacing w:before="105"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10000.502</w:t>
            </w:r>
          </w:p>
        </w:tc>
        <w:tc>
          <w:tcPr>
            <w:tcW w:w="999" w:type="dxa"/>
            <w:gridSpan w:val="2"/>
            <w:vAlign w:val="top"/>
          </w:tcPr>
          <w:p w14:paraId="1032CFCE">
            <w:pPr>
              <w:pStyle w:val="6"/>
              <w:spacing w:before="76" w:line="204" w:lineRule="auto"/>
              <w:ind w:left="153"/>
              <w:rPr>
                <w:sz w:val="18"/>
                <w:szCs w:val="18"/>
              </w:rPr>
            </w:pPr>
            <w:r>
              <w:rPr>
                <w:spacing w:val="-5"/>
                <w:sz w:val="18"/>
                <w:szCs w:val="18"/>
              </w:rPr>
              <w:t>当地市场</w:t>
            </w:r>
          </w:p>
        </w:tc>
        <w:tc>
          <w:tcPr>
            <w:tcW w:w="1443" w:type="dxa"/>
            <w:vAlign w:val="top"/>
          </w:tcPr>
          <w:p w14:paraId="13364A15">
            <w:pPr>
              <w:pStyle w:val="6"/>
              <w:spacing w:before="76" w:line="204" w:lineRule="auto"/>
              <w:ind w:left="182"/>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CaO</w:t>
            </w:r>
            <w:r>
              <w:rPr>
                <w:rFonts w:ascii="Times New Roman" w:hAnsi="Times New Roman" w:eastAsia="Times New Roman" w:cs="Times New Roman"/>
                <w:spacing w:val="14"/>
                <w:w w:val="101"/>
                <w:sz w:val="18"/>
                <w:szCs w:val="18"/>
              </w:rPr>
              <w:t xml:space="preserve"> </w:t>
            </w:r>
            <w:r>
              <w:rPr>
                <w:spacing w:val="-3"/>
                <w:sz w:val="18"/>
                <w:szCs w:val="18"/>
              </w:rPr>
              <w:t>或</w:t>
            </w:r>
            <w:r>
              <w:rPr>
                <w:spacing w:val="-38"/>
                <w:sz w:val="18"/>
                <w:szCs w:val="18"/>
              </w:rPr>
              <w:t xml:space="preserve"> </w:t>
            </w:r>
            <w:r>
              <w:rPr>
                <w:rFonts w:ascii="Times New Roman" w:hAnsi="Times New Roman" w:eastAsia="Times New Roman" w:cs="Times New Roman"/>
                <w:spacing w:val="-3"/>
                <w:sz w:val="18"/>
                <w:szCs w:val="18"/>
              </w:rPr>
              <w:t>CaSO</w:t>
            </w:r>
            <w:r>
              <w:rPr>
                <w:rFonts w:ascii="Times New Roman" w:hAnsi="Times New Roman" w:eastAsia="Times New Roman" w:cs="Times New Roman"/>
                <w:spacing w:val="-3"/>
                <w:position w:val="-1"/>
                <w:sz w:val="11"/>
                <w:szCs w:val="11"/>
              </w:rPr>
              <w:t>4</w:t>
            </w:r>
          </w:p>
        </w:tc>
        <w:tc>
          <w:tcPr>
            <w:tcW w:w="1554" w:type="dxa"/>
            <w:gridSpan w:val="3"/>
            <w:vAlign w:val="top"/>
          </w:tcPr>
          <w:p w14:paraId="3FCC062E">
            <w:pPr>
              <w:pStyle w:val="6"/>
              <w:spacing w:before="76" w:line="204" w:lineRule="auto"/>
              <w:ind w:left="155"/>
              <w:rPr>
                <w:sz w:val="18"/>
                <w:szCs w:val="18"/>
              </w:rPr>
            </w:pPr>
            <w:r>
              <w:rPr>
                <w:spacing w:val="-1"/>
                <w:sz w:val="18"/>
                <w:szCs w:val="18"/>
              </w:rPr>
              <w:t>粉状、筒仓贮存</w:t>
            </w:r>
          </w:p>
        </w:tc>
        <w:tc>
          <w:tcPr>
            <w:tcW w:w="218" w:type="dxa"/>
            <w:vMerge w:val="continue"/>
            <w:tcBorders>
              <w:top w:val="nil"/>
              <w:bottom w:val="nil"/>
              <w:right w:val="single" w:color="000000" w:sz="6" w:space="0"/>
            </w:tcBorders>
            <w:vAlign w:val="top"/>
          </w:tcPr>
          <w:p w14:paraId="15EC5537">
            <w:pPr>
              <w:rPr>
                <w:rFonts w:ascii="Arial"/>
                <w:sz w:val="21"/>
              </w:rPr>
            </w:pPr>
          </w:p>
        </w:tc>
      </w:tr>
      <w:tr w14:paraId="5AAD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31" w:type="dxa"/>
            <w:vMerge w:val="continue"/>
            <w:tcBorders>
              <w:top w:val="nil"/>
              <w:left w:val="single" w:color="000000" w:sz="6" w:space="0"/>
              <w:bottom w:val="nil"/>
            </w:tcBorders>
            <w:vAlign w:val="top"/>
          </w:tcPr>
          <w:p w14:paraId="486FDEE6">
            <w:pPr>
              <w:rPr>
                <w:rFonts w:ascii="Arial"/>
                <w:sz w:val="21"/>
              </w:rPr>
            </w:pPr>
          </w:p>
        </w:tc>
        <w:tc>
          <w:tcPr>
            <w:tcW w:w="211" w:type="dxa"/>
            <w:vMerge w:val="continue"/>
            <w:tcBorders>
              <w:top w:val="nil"/>
              <w:bottom w:val="nil"/>
            </w:tcBorders>
            <w:vAlign w:val="top"/>
          </w:tcPr>
          <w:p w14:paraId="228DAFBD">
            <w:pPr>
              <w:rPr>
                <w:rFonts w:ascii="Arial"/>
                <w:sz w:val="21"/>
              </w:rPr>
            </w:pPr>
          </w:p>
        </w:tc>
        <w:tc>
          <w:tcPr>
            <w:tcW w:w="557" w:type="dxa"/>
            <w:vMerge w:val="continue"/>
            <w:tcBorders>
              <w:top w:val="nil"/>
              <w:bottom w:val="nil"/>
            </w:tcBorders>
            <w:vAlign w:val="top"/>
          </w:tcPr>
          <w:p w14:paraId="7152E70B">
            <w:pPr>
              <w:rPr>
                <w:rFonts w:ascii="Arial"/>
                <w:sz w:val="21"/>
              </w:rPr>
            </w:pPr>
          </w:p>
        </w:tc>
        <w:tc>
          <w:tcPr>
            <w:tcW w:w="505" w:type="dxa"/>
            <w:gridSpan w:val="2"/>
            <w:vMerge w:val="continue"/>
            <w:tcBorders>
              <w:top w:val="nil"/>
              <w:bottom w:val="nil"/>
            </w:tcBorders>
            <w:textDirection w:val="tbRlV"/>
            <w:vAlign w:val="top"/>
          </w:tcPr>
          <w:p w14:paraId="0D7FB885">
            <w:pPr>
              <w:rPr>
                <w:rFonts w:ascii="Arial"/>
                <w:sz w:val="21"/>
              </w:rPr>
            </w:pPr>
          </w:p>
        </w:tc>
        <w:tc>
          <w:tcPr>
            <w:tcW w:w="1274" w:type="dxa"/>
            <w:vAlign w:val="top"/>
          </w:tcPr>
          <w:p w14:paraId="2586461F">
            <w:pPr>
              <w:pStyle w:val="6"/>
              <w:spacing w:before="75" w:line="246" w:lineRule="auto"/>
              <w:ind w:left="546" w:right="99" w:hanging="449"/>
              <w:rPr>
                <w:sz w:val="18"/>
                <w:szCs w:val="18"/>
              </w:rPr>
            </w:pPr>
            <w:r>
              <w:rPr>
                <w:spacing w:val="-2"/>
                <w:sz w:val="18"/>
                <w:szCs w:val="18"/>
              </w:rPr>
              <w:t>可再分散乳胶</w:t>
            </w:r>
            <w:r>
              <w:rPr>
                <w:spacing w:val="2"/>
                <w:sz w:val="18"/>
                <w:szCs w:val="18"/>
              </w:rPr>
              <w:t xml:space="preserve"> </w:t>
            </w:r>
            <w:r>
              <w:rPr>
                <w:sz w:val="18"/>
                <w:szCs w:val="18"/>
              </w:rPr>
              <w:t>粉</w:t>
            </w:r>
          </w:p>
        </w:tc>
        <w:tc>
          <w:tcPr>
            <w:tcW w:w="1231" w:type="dxa"/>
            <w:gridSpan w:val="2"/>
            <w:vAlign w:val="top"/>
          </w:tcPr>
          <w:p w14:paraId="6A637DC6">
            <w:pPr>
              <w:spacing w:before="244"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1600.080</w:t>
            </w:r>
          </w:p>
        </w:tc>
        <w:tc>
          <w:tcPr>
            <w:tcW w:w="999" w:type="dxa"/>
            <w:gridSpan w:val="2"/>
            <w:vAlign w:val="top"/>
          </w:tcPr>
          <w:p w14:paraId="6F1921AA">
            <w:pPr>
              <w:pStyle w:val="6"/>
              <w:spacing w:before="216" w:line="219" w:lineRule="auto"/>
              <w:ind w:left="153"/>
              <w:rPr>
                <w:sz w:val="18"/>
                <w:szCs w:val="18"/>
              </w:rPr>
            </w:pPr>
            <w:r>
              <w:rPr>
                <w:spacing w:val="-5"/>
                <w:sz w:val="18"/>
                <w:szCs w:val="18"/>
              </w:rPr>
              <w:t>当地市场</w:t>
            </w:r>
          </w:p>
        </w:tc>
        <w:tc>
          <w:tcPr>
            <w:tcW w:w="1443" w:type="dxa"/>
            <w:vAlign w:val="top"/>
          </w:tcPr>
          <w:p w14:paraId="7422FAA9">
            <w:pPr>
              <w:pStyle w:val="6"/>
              <w:spacing w:before="75" w:line="246" w:lineRule="auto"/>
              <w:ind w:left="384" w:right="88" w:hanging="281"/>
              <w:rPr>
                <w:sz w:val="18"/>
                <w:szCs w:val="18"/>
              </w:rPr>
            </w:pPr>
            <w:r>
              <w:rPr>
                <w:spacing w:val="-3"/>
                <w:sz w:val="18"/>
                <w:szCs w:val="18"/>
              </w:rPr>
              <w:t>聚醋酸乙烯酯或</w:t>
            </w:r>
            <w:r>
              <w:rPr>
                <w:spacing w:val="5"/>
                <w:sz w:val="18"/>
                <w:szCs w:val="18"/>
              </w:rPr>
              <w:t xml:space="preserve"> </w:t>
            </w:r>
            <w:r>
              <w:rPr>
                <w:spacing w:val="-7"/>
                <w:sz w:val="18"/>
                <w:szCs w:val="18"/>
              </w:rPr>
              <w:t>乙烯树脂</w:t>
            </w:r>
          </w:p>
        </w:tc>
        <w:tc>
          <w:tcPr>
            <w:tcW w:w="1554" w:type="dxa"/>
            <w:gridSpan w:val="3"/>
            <w:vAlign w:val="top"/>
          </w:tcPr>
          <w:p w14:paraId="582CA110">
            <w:pPr>
              <w:pStyle w:val="6"/>
              <w:spacing w:before="215" w:line="210" w:lineRule="auto"/>
              <w:ind w:left="128"/>
              <w:rPr>
                <w:sz w:val="18"/>
                <w:szCs w:val="18"/>
              </w:rPr>
            </w:pPr>
            <w:r>
              <w:rPr>
                <w:spacing w:val="-1"/>
                <w:sz w:val="18"/>
                <w:szCs w:val="18"/>
              </w:rPr>
              <w:t>粉末状、</w:t>
            </w:r>
            <w:r>
              <w:rPr>
                <w:rFonts w:ascii="Times New Roman" w:hAnsi="Times New Roman" w:eastAsia="Times New Roman" w:cs="Times New Roman"/>
                <w:spacing w:val="-1"/>
                <w:sz w:val="18"/>
                <w:szCs w:val="18"/>
              </w:rPr>
              <w:t>25kg/</w:t>
            </w:r>
            <w:r>
              <w:rPr>
                <w:spacing w:val="-1"/>
                <w:sz w:val="18"/>
                <w:szCs w:val="18"/>
              </w:rPr>
              <w:t>袋</w:t>
            </w:r>
          </w:p>
        </w:tc>
        <w:tc>
          <w:tcPr>
            <w:tcW w:w="218" w:type="dxa"/>
            <w:vMerge w:val="continue"/>
            <w:tcBorders>
              <w:top w:val="nil"/>
              <w:bottom w:val="nil"/>
              <w:right w:val="single" w:color="000000" w:sz="6" w:space="0"/>
            </w:tcBorders>
            <w:vAlign w:val="top"/>
          </w:tcPr>
          <w:p w14:paraId="29526F16">
            <w:pPr>
              <w:rPr>
                <w:rFonts w:ascii="Arial"/>
                <w:sz w:val="21"/>
              </w:rPr>
            </w:pPr>
          </w:p>
        </w:tc>
      </w:tr>
      <w:tr w14:paraId="3EE79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20A7C715">
            <w:pPr>
              <w:rPr>
                <w:rFonts w:ascii="Arial"/>
                <w:sz w:val="21"/>
              </w:rPr>
            </w:pPr>
          </w:p>
        </w:tc>
        <w:tc>
          <w:tcPr>
            <w:tcW w:w="211" w:type="dxa"/>
            <w:vMerge w:val="continue"/>
            <w:tcBorders>
              <w:top w:val="nil"/>
              <w:bottom w:val="nil"/>
            </w:tcBorders>
            <w:vAlign w:val="top"/>
          </w:tcPr>
          <w:p w14:paraId="1ABE54FE">
            <w:pPr>
              <w:rPr>
                <w:rFonts w:ascii="Arial"/>
                <w:sz w:val="21"/>
              </w:rPr>
            </w:pPr>
          </w:p>
        </w:tc>
        <w:tc>
          <w:tcPr>
            <w:tcW w:w="557" w:type="dxa"/>
            <w:vMerge w:val="continue"/>
            <w:tcBorders>
              <w:top w:val="nil"/>
              <w:bottom w:val="nil"/>
            </w:tcBorders>
            <w:vAlign w:val="top"/>
          </w:tcPr>
          <w:p w14:paraId="0D9DCA97">
            <w:pPr>
              <w:rPr>
                <w:rFonts w:ascii="Arial"/>
                <w:sz w:val="21"/>
              </w:rPr>
            </w:pPr>
          </w:p>
        </w:tc>
        <w:tc>
          <w:tcPr>
            <w:tcW w:w="505" w:type="dxa"/>
            <w:gridSpan w:val="2"/>
            <w:vMerge w:val="continue"/>
            <w:tcBorders>
              <w:top w:val="nil"/>
              <w:bottom w:val="nil"/>
            </w:tcBorders>
            <w:textDirection w:val="tbRlV"/>
            <w:vAlign w:val="top"/>
          </w:tcPr>
          <w:p w14:paraId="6CC4C1B4">
            <w:pPr>
              <w:rPr>
                <w:rFonts w:ascii="Arial"/>
                <w:sz w:val="21"/>
              </w:rPr>
            </w:pPr>
          </w:p>
        </w:tc>
        <w:tc>
          <w:tcPr>
            <w:tcW w:w="1274" w:type="dxa"/>
            <w:vAlign w:val="top"/>
          </w:tcPr>
          <w:p w14:paraId="325442BA">
            <w:pPr>
              <w:pStyle w:val="6"/>
              <w:spacing w:before="75" w:line="205" w:lineRule="auto"/>
              <w:ind w:left="279"/>
              <w:rPr>
                <w:sz w:val="18"/>
                <w:szCs w:val="18"/>
              </w:rPr>
            </w:pPr>
            <w:r>
              <w:rPr>
                <w:spacing w:val="-3"/>
                <w:sz w:val="18"/>
                <w:szCs w:val="18"/>
              </w:rPr>
              <w:t>玻璃纤维</w:t>
            </w:r>
          </w:p>
        </w:tc>
        <w:tc>
          <w:tcPr>
            <w:tcW w:w="1231" w:type="dxa"/>
            <w:gridSpan w:val="2"/>
            <w:vAlign w:val="top"/>
          </w:tcPr>
          <w:p w14:paraId="0409AD89">
            <w:pPr>
              <w:spacing w:before="10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400.020</w:t>
            </w:r>
          </w:p>
        </w:tc>
        <w:tc>
          <w:tcPr>
            <w:tcW w:w="999" w:type="dxa"/>
            <w:gridSpan w:val="2"/>
            <w:vAlign w:val="top"/>
          </w:tcPr>
          <w:p w14:paraId="3B2A8EAD">
            <w:pPr>
              <w:pStyle w:val="6"/>
              <w:spacing w:before="75" w:line="205" w:lineRule="auto"/>
              <w:ind w:left="153"/>
              <w:rPr>
                <w:sz w:val="18"/>
                <w:szCs w:val="18"/>
              </w:rPr>
            </w:pPr>
            <w:r>
              <w:rPr>
                <w:spacing w:val="-5"/>
                <w:sz w:val="18"/>
                <w:szCs w:val="18"/>
              </w:rPr>
              <w:t>当地市场</w:t>
            </w:r>
          </w:p>
        </w:tc>
        <w:tc>
          <w:tcPr>
            <w:tcW w:w="1443" w:type="dxa"/>
            <w:vAlign w:val="top"/>
          </w:tcPr>
          <w:p w14:paraId="6CCB6AFF">
            <w:pPr>
              <w:spacing w:before="101" w:line="197" w:lineRule="auto"/>
              <w:ind w:left="56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gridSpan w:val="3"/>
            <w:vAlign w:val="top"/>
          </w:tcPr>
          <w:p w14:paraId="6DF87335">
            <w:pPr>
              <w:pStyle w:val="6"/>
              <w:spacing w:before="75" w:line="205" w:lineRule="auto"/>
              <w:ind w:left="130"/>
              <w:rPr>
                <w:sz w:val="18"/>
                <w:szCs w:val="18"/>
              </w:rPr>
            </w:pPr>
            <w:r>
              <w:rPr>
                <w:spacing w:val="-1"/>
                <w:sz w:val="18"/>
                <w:szCs w:val="18"/>
              </w:rPr>
              <w:t>丝状物、</w:t>
            </w:r>
            <w:r>
              <w:rPr>
                <w:rFonts w:ascii="Times New Roman" w:hAnsi="Times New Roman" w:eastAsia="Times New Roman" w:cs="Times New Roman"/>
                <w:spacing w:val="-1"/>
                <w:sz w:val="18"/>
                <w:szCs w:val="18"/>
              </w:rPr>
              <w:t>25kg/</w:t>
            </w:r>
            <w:r>
              <w:rPr>
                <w:spacing w:val="-1"/>
                <w:sz w:val="18"/>
                <w:szCs w:val="18"/>
              </w:rPr>
              <w:t>袋</w:t>
            </w:r>
          </w:p>
        </w:tc>
        <w:tc>
          <w:tcPr>
            <w:tcW w:w="218" w:type="dxa"/>
            <w:vMerge w:val="continue"/>
            <w:tcBorders>
              <w:top w:val="nil"/>
              <w:bottom w:val="nil"/>
              <w:right w:val="single" w:color="000000" w:sz="6" w:space="0"/>
            </w:tcBorders>
            <w:vAlign w:val="top"/>
          </w:tcPr>
          <w:p w14:paraId="28682380">
            <w:pPr>
              <w:rPr>
                <w:rFonts w:ascii="Arial"/>
                <w:sz w:val="21"/>
              </w:rPr>
            </w:pPr>
          </w:p>
        </w:tc>
      </w:tr>
      <w:tr w14:paraId="3516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1" w:type="dxa"/>
            <w:vMerge w:val="continue"/>
            <w:tcBorders>
              <w:top w:val="nil"/>
              <w:left w:val="single" w:color="000000" w:sz="6" w:space="0"/>
            </w:tcBorders>
            <w:vAlign w:val="top"/>
          </w:tcPr>
          <w:p w14:paraId="26AFA442">
            <w:pPr>
              <w:rPr>
                <w:rFonts w:ascii="Arial"/>
                <w:sz w:val="21"/>
              </w:rPr>
            </w:pPr>
          </w:p>
        </w:tc>
        <w:tc>
          <w:tcPr>
            <w:tcW w:w="211" w:type="dxa"/>
            <w:vMerge w:val="continue"/>
            <w:tcBorders>
              <w:top w:val="nil"/>
            </w:tcBorders>
            <w:vAlign w:val="top"/>
          </w:tcPr>
          <w:p w14:paraId="51F6BFFE">
            <w:pPr>
              <w:rPr>
                <w:rFonts w:ascii="Arial"/>
                <w:sz w:val="21"/>
              </w:rPr>
            </w:pPr>
          </w:p>
        </w:tc>
        <w:tc>
          <w:tcPr>
            <w:tcW w:w="557" w:type="dxa"/>
            <w:vMerge w:val="continue"/>
            <w:tcBorders>
              <w:top w:val="nil"/>
            </w:tcBorders>
            <w:vAlign w:val="top"/>
          </w:tcPr>
          <w:p w14:paraId="4E5513B4">
            <w:pPr>
              <w:rPr>
                <w:rFonts w:ascii="Arial"/>
                <w:sz w:val="21"/>
              </w:rPr>
            </w:pPr>
          </w:p>
        </w:tc>
        <w:tc>
          <w:tcPr>
            <w:tcW w:w="505" w:type="dxa"/>
            <w:gridSpan w:val="2"/>
            <w:vMerge w:val="continue"/>
            <w:tcBorders>
              <w:top w:val="nil"/>
            </w:tcBorders>
            <w:textDirection w:val="tbRlV"/>
            <w:vAlign w:val="top"/>
          </w:tcPr>
          <w:p w14:paraId="5D15E4ED">
            <w:pPr>
              <w:rPr>
                <w:rFonts w:ascii="Arial"/>
                <w:sz w:val="21"/>
              </w:rPr>
            </w:pPr>
          </w:p>
        </w:tc>
        <w:tc>
          <w:tcPr>
            <w:tcW w:w="1274" w:type="dxa"/>
            <w:vAlign w:val="top"/>
          </w:tcPr>
          <w:p w14:paraId="4577BAD5">
            <w:pPr>
              <w:pStyle w:val="6"/>
              <w:spacing w:before="215" w:line="220" w:lineRule="auto"/>
              <w:ind w:left="278"/>
              <w:rPr>
                <w:sz w:val="18"/>
                <w:szCs w:val="18"/>
              </w:rPr>
            </w:pPr>
            <w:r>
              <w:rPr>
                <w:spacing w:val="-3"/>
                <w:sz w:val="18"/>
                <w:szCs w:val="18"/>
              </w:rPr>
              <w:t>建筑垃圾</w:t>
            </w:r>
          </w:p>
        </w:tc>
        <w:tc>
          <w:tcPr>
            <w:tcW w:w="1231" w:type="dxa"/>
            <w:gridSpan w:val="2"/>
            <w:vAlign w:val="top"/>
          </w:tcPr>
          <w:p w14:paraId="7A99991A">
            <w:pPr>
              <w:spacing w:before="246"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60003.010</w:t>
            </w:r>
          </w:p>
        </w:tc>
        <w:tc>
          <w:tcPr>
            <w:tcW w:w="999" w:type="dxa"/>
            <w:gridSpan w:val="2"/>
            <w:vAlign w:val="top"/>
          </w:tcPr>
          <w:p w14:paraId="61E5335D">
            <w:pPr>
              <w:pStyle w:val="6"/>
              <w:spacing w:before="215" w:line="219" w:lineRule="auto"/>
              <w:ind w:left="153"/>
              <w:rPr>
                <w:sz w:val="18"/>
                <w:szCs w:val="18"/>
              </w:rPr>
            </w:pPr>
            <w:r>
              <w:rPr>
                <w:spacing w:val="-5"/>
                <w:sz w:val="18"/>
                <w:szCs w:val="18"/>
              </w:rPr>
              <w:t>当地市场</w:t>
            </w:r>
          </w:p>
        </w:tc>
        <w:tc>
          <w:tcPr>
            <w:tcW w:w="1443" w:type="dxa"/>
            <w:vAlign w:val="top"/>
          </w:tcPr>
          <w:p w14:paraId="7AE0A495">
            <w:pPr>
              <w:spacing w:before="243" w:line="194" w:lineRule="auto"/>
              <w:ind w:left="56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gridSpan w:val="3"/>
            <w:vAlign w:val="top"/>
          </w:tcPr>
          <w:p w14:paraId="3418F19B">
            <w:pPr>
              <w:pStyle w:val="6"/>
              <w:spacing w:before="75" w:line="247" w:lineRule="auto"/>
              <w:ind w:left="604" w:right="77" w:hanging="511"/>
              <w:rPr>
                <w:sz w:val="18"/>
                <w:szCs w:val="18"/>
              </w:rPr>
            </w:pPr>
            <w:r>
              <w:rPr>
                <w:spacing w:val="-8"/>
                <w:sz w:val="18"/>
                <w:szCs w:val="18"/>
              </w:rPr>
              <w:t>加工为粉状、筒仓</w:t>
            </w:r>
            <w:r>
              <w:rPr>
                <w:sz w:val="18"/>
                <w:szCs w:val="18"/>
              </w:rPr>
              <w:t xml:space="preserve"> </w:t>
            </w:r>
            <w:r>
              <w:rPr>
                <w:spacing w:val="-4"/>
                <w:sz w:val="18"/>
                <w:szCs w:val="18"/>
              </w:rPr>
              <w:t>贮存</w:t>
            </w:r>
          </w:p>
        </w:tc>
        <w:tc>
          <w:tcPr>
            <w:tcW w:w="218" w:type="dxa"/>
            <w:vMerge w:val="continue"/>
            <w:tcBorders>
              <w:top w:val="nil"/>
              <w:right w:val="single" w:color="000000" w:sz="6" w:space="0"/>
            </w:tcBorders>
            <w:vAlign w:val="top"/>
          </w:tcPr>
          <w:p w14:paraId="6B30F259">
            <w:pPr>
              <w:rPr>
                <w:rFonts w:ascii="Arial"/>
                <w:sz w:val="21"/>
              </w:rPr>
            </w:pPr>
          </w:p>
        </w:tc>
      </w:tr>
    </w:tbl>
    <w:p w14:paraId="6DAE8FC0">
      <w:pPr>
        <w:pStyle w:val="2"/>
      </w:pPr>
    </w:p>
    <w:p w14:paraId="6492F106">
      <w:pPr>
        <w:sectPr>
          <w:footerReference r:id="rId37" w:type="default"/>
          <w:pgSz w:w="11906" w:h="16839"/>
          <w:pgMar w:top="1431" w:right="1532" w:bottom="1260" w:left="1533" w:header="0" w:footer="1080" w:gutter="0"/>
          <w:cols w:space="720" w:num="1"/>
        </w:sectPr>
      </w:pPr>
    </w:p>
    <w:p w14:paraId="6506AE15">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10"/>
        <w:gridCol w:w="557"/>
        <w:gridCol w:w="505"/>
        <w:gridCol w:w="1274"/>
        <w:gridCol w:w="1231"/>
        <w:gridCol w:w="998"/>
        <w:gridCol w:w="1444"/>
        <w:gridCol w:w="1554"/>
        <w:gridCol w:w="219"/>
      </w:tblGrid>
      <w:tr w14:paraId="5AA95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831" w:type="dxa"/>
            <w:vMerge w:val="restart"/>
            <w:tcBorders>
              <w:top w:val="single" w:color="000000" w:sz="6" w:space="0"/>
              <w:left w:val="single" w:color="000000" w:sz="6" w:space="0"/>
              <w:bottom w:val="nil"/>
            </w:tcBorders>
            <w:vAlign w:val="top"/>
          </w:tcPr>
          <w:p w14:paraId="2D07CD68">
            <w:pPr>
              <w:rPr>
                <w:rFonts w:ascii="Arial"/>
                <w:sz w:val="21"/>
              </w:rPr>
            </w:pPr>
          </w:p>
        </w:tc>
        <w:tc>
          <w:tcPr>
            <w:tcW w:w="210" w:type="dxa"/>
            <w:vMerge w:val="restart"/>
            <w:tcBorders>
              <w:top w:val="single" w:color="000000" w:sz="6" w:space="0"/>
              <w:bottom w:val="nil"/>
            </w:tcBorders>
            <w:vAlign w:val="top"/>
          </w:tcPr>
          <w:p w14:paraId="462A224A">
            <w:pPr>
              <w:rPr>
                <w:rFonts w:ascii="Arial"/>
                <w:sz w:val="21"/>
              </w:rPr>
            </w:pPr>
          </w:p>
        </w:tc>
        <w:tc>
          <w:tcPr>
            <w:tcW w:w="557" w:type="dxa"/>
            <w:vMerge w:val="restart"/>
            <w:tcBorders>
              <w:top w:val="single" w:color="000000" w:sz="6" w:space="0"/>
              <w:bottom w:val="nil"/>
            </w:tcBorders>
            <w:vAlign w:val="top"/>
          </w:tcPr>
          <w:p w14:paraId="750F50D4">
            <w:pPr>
              <w:rPr>
                <w:rFonts w:ascii="Arial"/>
                <w:sz w:val="21"/>
              </w:rPr>
            </w:pPr>
          </w:p>
        </w:tc>
        <w:tc>
          <w:tcPr>
            <w:tcW w:w="505" w:type="dxa"/>
            <w:tcBorders>
              <w:top w:val="single" w:color="000000" w:sz="6" w:space="0"/>
            </w:tcBorders>
            <w:vAlign w:val="top"/>
          </w:tcPr>
          <w:p w14:paraId="2AD28AE7">
            <w:pPr>
              <w:rPr>
                <w:rFonts w:ascii="Arial"/>
                <w:sz w:val="21"/>
              </w:rPr>
            </w:pPr>
          </w:p>
        </w:tc>
        <w:tc>
          <w:tcPr>
            <w:tcW w:w="1274" w:type="dxa"/>
            <w:tcBorders>
              <w:top w:val="single" w:color="000000" w:sz="6" w:space="0"/>
            </w:tcBorders>
            <w:vAlign w:val="top"/>
          </w:tcPr>
          <w:p w14:paraId="7369DEE4">
            <w:pPr>
              <w:pStyle w:val="6"/>
              <w:spacing w:before="86" w:line="208" w:lineRule="auto"/>
              <w:ind w:left="368"/>
              <w:rPr>
                <w:sz w:val="18"/>
                <w:szCs w:val="18"/>
              </w:rPr>
            </w:pPr>
            <w:r>
              <w:rPr>
                <w:spacing w:val="-3"/>
                <w:sz w:val="18"/>
                <w:szCs w:val="18"/>
              </w:rPr>
              <w:t>包装袋</w:t>
            </w:r>
          </w:p>
        </w:tc>
        <w:tc>
          <w:tcPr>
            <w:tcW w:w="1231" w:type="dxa"/>
            <w:tcBorders>
              <w:top w:val="single" w:color="000000" w:sz="6" w:space="0"/>
            </w:tcBorders>
            <w:vAlign w:val="top"/>
          </w:tcPr>
          <w:p w14:paraId="5A69D749">
            <w:pPr>
              <w:spacing w:before="115" w:line="188" w:lineRule="auto"/>
              <w:ind w:left="51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w:t>
            </w:r>
          </w:p>
        </w:tc>
        <w:tc>
          <w:tcPr>
            <w:tcW w:w="998" w:type="dxa"/>
            <w:tcBorders>
              <w:top w:val="single" w:color="000000" w:sz="6" w:space="0"/>
            </w:tcBorders>
            <w:vAlign w:val="top"/>
          </w:tcPr>
          <w:p w14:paraId="5F67BEE9">
            <w:pPr>
              <w:pStyle w:val="6"/>
              <w:spacing w:before="86" w:line="208" w:lineRule="auto"/>
              <w:ind w:left="154"/>
              <w:rPr>
                <w:sz w:val="18"/>
                <w:szCs w:val="18"/>
              </w:rPr>
            </w:pPr>
            <w:r>
              <w:rPr>
                <w:spacing w:val="-5"/>
                <w:sz w:val="18"/>
                <w:szCs w:val="18"/>
              </w:rPr>
              <w:t>当地市场</w:t>
            </w:r>
          </w:p>
        </w:tc>
        <w:tc>
          <w:tcPr>
            <w:tcW w:w="1444" w:type="dxa"/>
            <w:tcBorders>
              <w:top w:val="single" w:color="000000" w:sz="6" w:space="0"/>
            </w:tcBorders>
            <w:vAlign w:val="top"/>
          </w:tcPr>
          <w:p w14:paraId="6BBA5D97">
            <w:pPr>
              <w:pStyle w:val="6"/>
              <w:spacing w:before="86" w:line="208" w:lineRule="auto"/>
              <w:ind w:left="553"/>
              <w:rPr>
                <w:sz w:val="18"/>
                <w:szCs w:val="18"/>
              </w:rPr>
            </w:pPr>
            <w:r>
              <w:rPr>
                <w:spacing w:val="-6"/>
                <w:sz w:val="18"/>
                <w:szCs w:val="18"/>
              </w:rPr>
              <w:t>塑料</w:t>
            </w:r>
          </w:p>
        </w:tc>
        <w:tc>
          <w:tcPr>
            <w:tcW w:w="1554" w:type="dxa"/>
            <w:tcBorders>
              <w:top w:val="single" w:color="000000" w:sz="6" w:space="0"/>
            </w:tcBorders>
            <w:vAlign w:val="top"/>
          </w:tcPr>
          <w:p w14:paraId="16168D0F">
            <w:pPr>
              <w:spacing w:before="111"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restart"/>
            <w:tcBorders>
              <w:top w:val="single" w:color="000000" w:sz="6" w:space="0"/>
              <w:bottom w:val="nil"/>
              <w:right w:val="single" w:color="000000" w:sz="6" w:space="0"/>
            </w:tcBorders>
            <w:vAlign w:val="top"/>
          </w:tcPr>
          <w:p w14:paraId="0DE4BF72">
            <w:pPr>
              <w:rPr>
                <w:rFonts w:ascii="Arial"/>
                <w:sz w:val="21"/>
              </w:rPr>
            </w:pPr>
          </w:p>
        </w:tc>
      </w:tr>
      <w:tr w14:paraId="4427A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637E52A5">
            <w:pPr>
              <w:rPr>
                <w:rFonts w:ascii="Arial"/>
                <w:sz w:val="21"/>
              </w:rPr>
            </w:pPr>
          </w:p>
        </w:tc>
        <w:tc>
          <w:tcPr>
            <w:tcW w:w="210" w:type="dxa"/>
            <w:vMerge w:val="continue"/>
            <w:tcBorders>
              <w:top w:val="nil"/>
              <w:bottom w:val="nil"/>
            </w:tcBorders>
            <w:vAlign w:val="top"/>
          </w:tcPr>
          <w:p w14:paraId="6509D4D5">
            <w:pPr>
              <w:rPr>
                <w:rFonts w:ascii="Arial"/>
                <w:sz w:val="21"/>
              </w:rPr>
            </w:pPr>
          </w:p>
        </w:tc>
        <w:tc>
          <w:tcPr>
            <w:tcW w:w="557" w:type="dxa"/>
            <w:vMerge w:val="continue"/>
            <w:tcBorders>
              <w:top w:val="nil"/>
              <w:bottom w:val="nil"/>
            </w:tcBorders>
            <w:vAlign w:val="top"/>
          </w:tcPr>
          <w:p w14:paraId="2038FB39">
            <w:pPr>
              <w:rPr>
                <w:rFonts w:ascii="Arial"/>
                <w:sz w:val="21"/>
              </w:rPr>
            </w:pPr>
          </w:p>
        </w:tc>
        <w:tc>
          <w:tcPr>
            <w:tcW w:w="505" w:type="dxa"/>
            <w:vMerge w:val="restart"/>
            <w:tcBorders>
              <w:bottom w:val="nil"/>
            </w:tcBorders>
            <w:textDirection w:val="tbRlV"/>
            <w:vAlign w:val="top"/>
          </w:tcPr>
          <w:p w14:paraId="66A70930">
            <w:pPr>
              <w:pStyle w:val="6"/>
              <w:spacing w:before="163" w:line="208" w:lineRule="auto"/>
              <w:ind w:left="802"/>
              <w:rPr>
                <w:sz w:val="18"/>
                <w:szCs w:val="18"/>
              </w:rPr>
            </w:pPr>
            <w:r>
              <w:rPr>
                <w:spacing w:val="1"/>
                <w:sz w:val="18"/>
                <w:szCs w:val="18"/>
              </w:rPr>
              <w:t>特 种</w:t>
            </w:r>
            <w:r>
              <w:rPr>
                <w:spacing w:val="10"/>
                <w:sz w:val="18"/>
                <w:szCs w:val="18"/>
              </w:rPr>
              <w:t xml:space="preserve"> </w:t>
            </w:r>
            <w:r>
              <w:rPr>
                <w:spacing w:val="1"/>
                <w:sz w:val="18"/>
                <w:szCs w:val="18"/>
              </w:rPr>
              <w:t>干</w:t>
            </w:r>
            <w:r>
              <w:rPr>
                <w:spacing w:val="11"/>
                <w:sz w:val="18"/>
                <w:szCs w:val="18"/>
              </w:rPr>
              <w:t xml:space="preserve"> </w:t>
            </w:r>
            <w:r>
              <w:rPr>
                <w:spacing w:val="1"/>
                <w:sz w:val="18"/>
                <w:szCs w:val="18"/>
              </w:rPr>
              <w:t>混</w:t>
            </w:r>
            <w:r>
              <w:rPr>
                <w:spacing w:val="9"/>
                <w:sz w:val="18"/>
                <w:szCs w:val="18"/>
              </w:rPr>
              <w:t xml:space="preserve"> </w:t>
            </w:r>
            <w:r>
              <w:rPr>
                <w:spacing w:val="1"/>
                <w:sz w:val="18"/>
                <w:szCs w:val="18"/>
              </w:rPr>
              <w:t>砂</w:t>
            </w:r>
            <w:r>
              <w:rPr>
                <w:spacing w:val="11"/>
                <w:sz w:val="18"/>
                <w:szCs w:val="18"/>
              </w:rPr>
              <w:t xml:space="preserve"> </w:t>
            </w:r>
            <w:r>
              <w:rPr>
                <w:spacing w:val="1"/>
                <w:sz w:val="18"/>
                <w:szCs w:val="18"/>
              </w:rPr>
              <w:t>浆</w:t>
            </w:r>
          </w:p>
        </w:tc>
        <w:tc>
          <w:tcPr>
            <w:tcW w:w="1274" w:type="dxa"/>
            <w:vAlign w:val="top"/>
          </w:tcPr>
          <w:p w14:paraId="1A0FC0C7">
            <w:pPr>
              <w:pStyle w:val="6"/>
              <w:spacing w:before="212" w:line="219" w:lineRule="auto"/>
              <w:ind w:left="459"/>
              <w:rPr>
                <w:sz w:val="18"/>
                <w:szCs w:val="18"/>
              </w:rPr>
            </w:pPr>
            <w:r>
              <w:rPr>
                <w:spacing w:val="-5"/>
                <w:sz w:val="18"/>
                <w:szCs w:val="18"/>
              </w:rPr>
              <w:t>水泥</w:t>
            </w:r>
          </w:p>
        </w:tc>
        <w:tc>
          <w:tcPr>
            <w:tcW w:w="1231" w:type="dxa"/>
            <w:vAlign w:val="top"/>
          </w:tcPr>
          <w:p w14:paraId="549FF26B">
            <w:pPr>
              <w:spacing w:before="240"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8000.333</w:t>
            </w:r>
          </w:p>
        </w:tc>
        <w:tc>
          <w:tcPr>
            <w:tcW w:w="998" w:type="dxa"/>
            <w:vAlign w:val="top"/>
          </w:tcPr>
          <w:p w14:paraId="10DE1D6C">
            <w:pPr>
              <w:pStyle w:val="6"/>
              <w:spacing w:before="212" w:line="219" w:lineRule="auto"/>
              <w:ind w:left="154"/>
              <w:rPr>
                <w:sz w:val="18"/>
                <w:szCs w:val="18"/>
              </w:rPr>
            </w:pPr>
            <w:r>
              <w:rPr>
                <w:spacing w:val="-5"/>
                <w:sz w:val="18"/>
                <w:szCs w:val="18"/>
              </w:rPr>
              <w:t>当地市场</w:t>
            </w:r>
          </w:p>
        </w:tc>
        <w:tc>
          <w:tcPr>
            <w:tcW w:w="1444" w:type="dxa"/>
            <w:vAlign w:val="top"/>
          </w:tcPr>
          <w:p w14:paraId="4EB38BF1">
            <w:pPr>
              <w:pStyle w:val="6"/>
              <w:spacing w:before="98" w:line="234" w:lineRule="auto"/>
              <w:ind w:left="404" w:right="145" w:hanging="278"/>
              <w:rPr>
                <w:sz w:val="18"/>
                <w:szCs w:val="18"/>
              </w:rPr>
            </w:pPr>
            <w:r>
              <w:rPr>
                <w:rFonts w:ascii="Times New Roman" w:hAnsi="Times New Roman" w:eastAsia="Times New Roman" w:cs="Times New Roman"/>
                <w:spacing w:val="-5"/>
                <w:sz w:val="18"/>
                <w:szCs w:val="18"/>
              </w:rPr>
              <w:t>CaCO</w:t>
            </w:r>
            <w:r>
              <w:rPr>
                <w:rFonts w:ascii="Times New Roman" w:hAnsi="Times New Roman" w:eastAsia="Times New Roman" w:cs="Times New Roman"/>
                <w:spacing w:val="-5"/>
                <w:position w:val="-1"/>
                <w:sz w:val="11"/>
                <w:szCs w:val="11"/>
              </w:rPr>
              <w:t>3</w:t>
            </w:r>
            <w:r>
              <w:rPr>
                <w:rFonts w:ascii="Times New Roman" w:hAnsi="Times New Roman" w:eastAsia="Times New Roman" w:cs="Times New Roman"/>
                <w:spacing w:val="-7"/>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SiO</w:t>
            </w:r>
            <w:r>
              <w:rPr>
                <w:rFonts w:ascii="Times New Roman" w:hAnsi="Times New Roman" w:eastAsia="Times New Roman" w:cs="Times New Roman"/>
                <w:spacing w:val="-5"/>
                <w:position w:val="-1"/>
                <w:sz w:val="11"/>
                <w:szCs w:val="11"/>
              </w:rPr>
              <w:t>2</w:t>
            </w:r>
            <w:r>
              <w:rPr>
                <w:spacing w:val="-5"/>
                <w:sz w:val="18"/>
                <w:szCs w:val="18"/>
              </w:rPr>
              <w:t>、</w:t>
            </w:r>
            <w:r>
              <w:rPr>
                <w:sz w:val="18"/>
                <w:szCs w:val="18"/>
              </w:rPr>
              <w:t xml:space="preserve"> </w:t>
            </w:r>
            <w:r>
              <w:rPr>
                <w:rFonts w:ascii="Times New Roman" w:hAnsi="Times New Roman" w:eastAsia="Times New Roman" w:cs="Times New Roman"/>
                <w:sz w:val="18"/>
                <w:szCs w:val="18"/>
              </w:rPr>
              <w:t>Al</w:t>
            </w:r>
            <w:r>
              <w:rPr>
                <w:rFonts w:ascii="Times New Roman" w:hAnsi="Times New Roman" w:eastAsia="Times New Roman" w:cs="Times New Roman"/>
                <w:position w:val="-1"/>
                <w:sz w:val="11"/>
                <w:szCs w:val="11"/>
              </w:rPr>
              <w:t>2</w:t>
            </w:r>
            <w:r>
              <w:rPr>
                <w:rFonts w:ascii="Times New Roman" w:hAnsi="Times New Roman" w:eastAsia="Times New Roman" w:cs="Times New Roman"/>
                <w:sz w:val="18"/>
                <w:szCs w:val="18"/>
              </w:rPr>
              <w:t>O</w:t>
            </w:r>
            <w:r>
              <w:rPr>
                <w:rFonts w:ascii="Times New Roman" w:hAnsi="Times New Roman" w:eastAsia="Times New Roman" w:cs="Times New Roman"/>
                <w:position w:val="-1"/>
                <w:sz w:val="11"/>
                <w:szCs w:val="11"/>
              </w:rPr>
              <w:t>3</w:t>
            </w:r>
            <w:r>
              <w:rPr>
                <w:rFonts w:ascii="Times New Roman" w:hAnsi="Times New Roman" w:eastAsia="Times New Roman" w:cs="Times New Roman"/>
                <w:spacing w:val="14"/>
                <w:w w:val="101"/>
                <w:position w:val="-1"/>
                <w:sz w:val="11"/>
                <w:szCs w:val="11"/>
              </w:rPr>
              <w:t xml:space="preserve"> </w:t>
            </w:r>
            <w:r>
              <w:rPr>
                <w:sz w:val="18"/>
                <w:szCs w:val="18"/>
              </w:rPr>
              <w:t>等</w:t>
            </w:r>
          </w:p>
        </w:tc>
        <w:tc>
          <w:tcPr>
            <w:tcW w:w="1554" w:type="dxa"/>
            <w:vAlign w:val="top"/>
          </w:tcPr>
          <w:p w14:paraId="126692C3">
            <w:pPr>
              <w:pStyle w:val="6"/>
              <w:spacing w:before="212" w:line="219" w:lineRule="auto"/>
              <w:ind w:left="156"/>
              <w:rPr>
                <w:sz w:val="18"/>
                <w:szCs w:val="18"/>
              </w:rPr>
            </w:pPr>
            <w:r>
              <w:rPr>
                <w:spacing w:val="-1"/>
                <w:sz w:val="18"/>
                <w:szCs w:val="18"/>
              </w:rPr>
              <w:t>粉状、筒仓贮存</w:t>
            </w:r>
          </w:p>
        </w:tc>
        <w:tc>
          <w:tcPr>
            <w:tcW w:w="219" w:type="dxa"/>
            <w:vMerge w:val="continue"/>
            <w:tcBorders>
              <w:top w:val="nil"/>
              <w:bottom w:val="nil"/>
              <w:right w:val="single" w:color="000000" w:sz="6" w:space="0"/>
            </w:tcBorders>
            <w:vAlign w:val="top"/>
          </w:tcPr>
          <w:p w14:paraId="7FF5DEB3">
            <w:pPr>
              <w:rPr>
                <w:rFonts w:ascii="Arial"/>
                <w:sz w:val="21"/>
              </w:rPr>
            </w:pPr>
          </w:p>
        </w:tc>
      </w:tr>
      <w:tr w14:paraId="5F887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28047112">
            <w:pPr>
              <w:rPr>
                <w:rFonts w:ascii="Arial"/>
                <w:sz w:val="21"/>
              </w:rPr>
            </w:pPr>
          </w:p>
        </w:tc>
        <w:tc>
          <w:tcPr>
            <w:tcW w:w="210" w:type="dxa"/>
            <w:vMerge w:val="continue"/>
            <w:tcBorders>
              <w:top w:val="nil"/>
              <w:bottom w:val="nil"/>
            </w:tcBorders>
            <w:vAlign w:val="top"/>
          </w:tcPr>
          <w:p w14:paraId="700BC464">
            <w:pPr>
              <w:rPr>
                <w:rFonts w:ascii="Arial"/>
                <w:sz w:val="21"/>
              </w:rPr>
            </w:pPr>
          </w:p>
        </w:tc>
        <w:tc>
          <w:tcPr>
            <w:tcW w:w="557" w:type="dxa"/>
            <w:vMerge w:val="continue"/>
            <w:tcBorders>
              <w:top w:val="nil"/>
              <w:bottom w:val="nil"/>
            </w:tcBorders>
            <w:vAlign w:val="top"/>
          </w:tcPr>
          <w:p w14:paraId="4C6AE76F">
            <w:pPr>
              <w:rPr>
                <w:rFonts w:ascii="Arial"/>
                <w:sz w:val="21"/>
              </w:rPr>
            </w:pPr>
          </w:p>
        </w:tc>
        <w:tc>
          <w:tcPr>
            <w:tcW w:w="505" w:type="dxa"/>
            <w:vMerge w:val="continue"/>
            <w:tcBorders>
              <w:top w:val="nil"/>
              <w:bottom w:val="nil"/>
            </w:tcBorders>
            <w:textDirection w:val="tbRlV"/>
            <w:vAlign w:val="top"/>
          </w:tcPr>
          <w:p w14:paraId="46BD5415">
            <w:pPr>
              <w:rPr>
                <w:rFonts w:ascii="Arial"/>
                <w:sz w:val="21"/>
              </w:rPr>
            </w:pPr>
          </w:p>
        </w:tc>
        <w:tc>
          <w:tcPr>
            <w:tcW w:w="1274" w:type="dxa"/>
            <w:vAlign w:val="top"/>
          </w:tcPr>
          <w:p w14:paraId="22BEA2F4">
            <w:pPr>
              <w:pStyle w:val="6"/>
              <w:spacing w:before="71" w:line="209" w:lineRule="auto"/>
              <w:ind w:left="142"/>
              <w:rPr>
                <w:sz w:val="18"/>
                <w:szCs w:val="18"/>
              </w:rPr>
            </w:pPr>
            <w:r>
              <w:rPr>
                <w:spacing w:val="-9"/>
                <w:sz w:val="18"/>
                <w:szCs w:val="18"/>
              </w:rPr>
              <w:t>黄沙（绝干）</w:t>
            </w:r>
          </w:p>
        </w:tc>
        <w:tc>
          <w:tcPr>
            <w:tcW w:w="1231" w:type="dxa"/>
            <w:vAlign w:val="top"/>
          </w:tcPr>
          <w:p w14:paraId="6731DCE8">
            <w:pPr>
              <w:spacing w:before="100"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25001.049</w:t>
            </w:r>
          </w:p>
        </w:tc>
        <w:tc>
          <w:tcPr>
            <w:tcW w:w="998" w:type="dxa"/>
            <w:vAlign w:val="top"/>
          </w:tcPr>
          <w:p w14:paraId="0986A7CB">
            <w:pPr>
              <w:pStyle w:val="6"/>
              <w:spacing w:before="71" w:line="209" w:lineRule="auto"/>
              <w:ind w:left="154"/>
              <w:rPr>
                <w:sz w:val="18"/>
                <w:szCs w:val="18"/>
              </w:rPr>
            </w:pPr>
            <w:r>
              <w:rPr>
                <w:spacing w:val="-5"/>
                <w:sz w:val="18"/>
                <w:szCs w:val="18"/>
              </w:rPr>
              <w:t>当地市场</w:t>
            </w:r>
          </w:p>
        </w:tc>
        <w:tc>
          <w:tcPr>
            <w:tcW w:w="1444" w:type="dxa"/>
            <w:vAlign w:val="top"/>
          </w:tcPr>
          <w:p w14:paraId="552020C7">
            <w:pPr>
              <w:spacing w:before="97" w:line="197" w:lineRule="auto"/>
              <w:ind w:left="565"/>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vAlign w:val="top"/>
          </w:tcPr>
          <w:p w14:paraId="78A57026">
            <w:pPr>
              <w:pStyle w:val="6"/>
              <w:spacing w:before="71" w:line="209" w:lineRule="auto"/>
              <w:ind w:left="156"/>
              <w:rPr>
                <w:sz w:val="18"/>
                <w:szCs w:val="18"/>
              </w:rPr>
            </w:pPr>
            <w:r>
              <w:rPr>
                <w:spacing w:val="-1"/>
                <w:sz w:val="18"/>
                <w:szCs w:val="18"/>
              </w:rPr>
              <w:t>粉状、筒仓贮存</w:t>
            </w:r>
          </w:p>
        </w:tc>
        <w:tc>
          <w:tcPr>
            <w:tcW w:w="219" w:type="dxa"/>
            <w:vMerge w:val="continue"/>
            <w:tcBorders>
              <w:top w:val="nil"/>
              <w:bottom w:val="nil"/>
              <w:right w:val="single" w:color="000000" w:sz="6" w:space="0"/>
            </w:tcBorders>
            <w:vAlign w:val="top"/>
          </w:tcPr>
          <w:p w14:paraId="32651C5F">
            <w:pPr>
              <w:rPr>
                <w:rFonts w:ascii="Arial"/>
                <w:sz w:val="21"/>
              </w:rPr>
            </w:pPr>
          </w:p>
        </w:tc>
      </w:tr>
      <w:tr w14:paraId="5483F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831" w:type="dxa"/>
            <w:vMerge w:val="continue"/>
            <w:tcBorders>
              <w:top w:val="nil"/>
              <w:left w:val="single" w:color="000000" w:sz="6" w:space="0"/>
              <w:bottom w:val="nil"/>
            </w:tcBorders>
            <w:vAlign w:val="top"/>
          </w:tcPr>
          <w:p w14:paraId="5F867568">
            <w:pPr>
              <w:rPr>
                <w:rFonts w:ascii="Arial"/>
                <w:sz w:val="21"/>
              </w:rPr>
            </w:pPr>
          </w:p>
        </w:tc>
        <w:tc>
          <w:tcPr>
            <w:tcW w:w="210" w:type="dxa"/>
            <w:vMerge w:val="continue"/>
            <w:tcBorders>
              <w:top w:val="nil"/>
              <w:bottom w:val="nil"/>
            </w:tcBorders>
            <w:vAlign w:val="top"/>
          </w:tcPr>
          <w:p w14:paraId="4FF726A6">
            <w:pPr>
              <w:rPr>
                <w:rFonts w:ascii="Arial"/>
                <w:sz w:val="21"/>
              </w:rPr>
            </w:pPr>
          </w:p>
        </w:tc>
        <w:tc>
          <w:tcPr>
            <w:tcW w:w="557" w:type="dxa"/>
            <w:vMerge w:val="continue"/>
            <w:tcBorders>
              <w:top w:val="nil"/>
              <w:bottom w:val="nil"/>
            </w:tcBorders>
            <w:vAlign w:val="top"/>
          </w:tcPr>
          <w:p w14:paraId="55C8C820">
            <w:pPr>
              <w:rPr>
                <w:rFonts w:ascii="Arial"/>
                <w:sz w:val="21"/>
              </w:rPr>
            </w:pPr>
          </w:p>
        </w:tc>
        <w:tc>
          <w:tcPr>
            <w:tcW w:w="505" w:type="dxa"/>
            <w:vMerge w:val="continue"/>
            <w:tcBorders>
              <w:top w:val="nil"/>
              <w:bottom w:val="nil"/>
            </w:tcBorders>
            <w:textDirection w:val="tbRlV"/>
            <w:vAlign w:val="top"/>
          </w:tcPr>
          <w:p w14:paraId="33D98DEF">
            <w:pPr>
              <w:rPr>
                <w:rFonts w:ascii="Arial"/>
                <w:sz w:val="21"/>
              </w:rPr>
            </w:pPr>
          </w:p>
        </w:tc>
        <w:tc>
          <w:tcPr>
            <w:tcW w:w="1274" w:type="dxa"/>
            <w:vAlign w:val="top"/>
          </w:tcPr>
          <w:p w14:paraId="4F495C72">
            <w:pPr>
              <w:pStyle w:val="6"/>
              <w:spacing w:before="211" w:line="220" w:lineRule="auto"/>
              <w:ind w:left="279"/>
              <w:rPr>
                <w:sz w:val="18"/>
                <w:szCs w:val="18"/>
              </w:rPr>
            </w:pPr>
            <w:r>
              <w:rPr>
                <w:spacing w:val="-3"/>
                <w:sz w:val="18"/>
                <w:szCs w:val="18"/>
              </w:rPr>
              <w:t>建筑垃圾</w:t>
            </w:r>
          </w:p>
        </w:tc>
        <w:tc>
          <w:tcPr>
            <w:tcW w:w="1231" w:type="dxa"/>
            <w:vAlign w:val="top"/>
          </w:tcPr>
          <w:p w14:paraId="2BC05C5F">
            <w:pPr>
              <w:spacing w:before="242"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24501.021</w:t>
            </w:r>
          </w:p>
        </w:tc>
        <w:tc>
          <w:tcPr>
            <w:tcW w:w="998" w:type="dxa"/>
            <w:vAlign w:val="top"/>
          </w:tcPr>
          <w:p w14:paraId="7F582A4F">
            <w:pPr>
              <w:pStyle w:val="6"/>
              <w:spacing w:before="211" w:line="219" w:lineRule="auto"/>
              <w:ind w:left="154"/>
              <w:rPr>
                <w:sz w:val="18"/>
                <w:szCs w:val="18"/>
              </w:rPr>
            </w:pPr>
            <w:r>
              <w:rPr>
                <w:spacing w:val="-5"/>
                <w:sz w:val="18"/>
                <w:szCs w:val="18"/>
              </w:rPr>
              <w:t>当地市场</w:t>
            </w:r>
          </w:p>
        </w:tc>
        <w:tc>
          <w:tcPr>
            <w:tcW w:w="1444" w:type="dxa"/>
            <w:vAlign w:val="top"/>
          </w:tcPr>
          <w:p w14:paraId="08E5F0EF">
            <w:pPr>
              <w:spacing w:before="239" w:line="194" w:lineRule="auto"/>
              <w:ind w:left="565"/>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vAlign w:val="top"/>
          </w:tcPr>
          <w:p w14:paraId="45474B34">
            <w:pPr>
              <w:pStyle w:val="6"/>
              <w:spacing w:before="72" w:line="247" w:lineRule="auto"/>
              <w:ind w:left="605" w:right="76" w:hanging="511"/>
              <w:rPr>
                <w:sz w:val="18"/>
                <w:szCs w:val="18"/>
              </w:rPr>
            </w:pPr>
            <w:r>
              <w:rPr>
                <w:spacing w:val="-8"/>
                <w:sz w:val="18"/>
                <w:szCs w:val="18"/>
              </w:rPr>
              <w:t>加工为粉状、筒仓</w:t>
            </w:r>
            <w:r>
              <w:rPr>
                <w:sz w:val="18"/>
                <w:szCs w:val="18"/>
              </w:rPr>
              <w:t xml:space="preserve"> </w:t>
            </w:r>
            <w:r>
              <w:rPr>
                <w:spacing w:val="-4"/>
                <w:sz w:val="18"/>
                <w:szCs w:val="18"/>
              </w:rPr>
              <w:t>贮存</w:t>
            </w:r>
          </w:p>
        </w:tc>
        <w:tc>
          <w:tcPr>
            <w:tcW w:w="219" w:type="dxa"/>
            <w:vMerge w:val="continue"/>
            <w:tcBorders>
              <w:top w:val="nil"/>
              <w:bottom w:val="nil"/>
              <w:right w:val="single" w:color="000000" w:sz="6" w:space="0"/>
            </w:tcBorders>
            <w:vAlign w:val="top"/>
          </w:tcPr>
          <w:p w14:paraId="6257B89A">
            <w:pPr>
              <w:rPr>
                <w:rFonts w:ascii="Arial"/>
                <w:sz w:val="21"/>
              </w:rPr>
            </w:pPr>
          </w:p>
        </w:tc>
      </w:tr>
      <w:tr w14:paraId="0DBFC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7AF99B47">
            <w:pPr>
              <w:rPr>
                <w:rFonts w:ascii="Arial"/>
                <w:sz w:val="21"/>
              </w:rPr>
            </w:pPr>
          </w:p>
        </w:tc>
        <w:tc>
          <w:tcPr>
            <w:tcW w:w="210" w:type="dxa"/>
            <w:vMerge w:val="continue"/>
            <w:tcBorders>
              <w:top w:val="nil"/>
              <w:bottom w:val="nil"/>
            </w:tcBorders>
            <w:vAlign w:val="top"/>
          </w:tcPr>
          <w:p w14:paraId="141ACD5F">
            <w:pPr>
              <w:rPr>
                <w:rFonts w:ascii="Arial"/>
                <w:sz w:val="21"/>
              </w:rPr>
            </w:pPr>
          </w:p>
        </w:tc>
        <w:tc>
          <w:tcPr>
            <w:tcW w:w="557" w:type="dxa"/>
            <w:vMerge w:val="continue"/>
            <w:tcBorders>
              <w:top w:val="nil"/>
              <w:bottom w:val="nil"/>
            </w:tcBorders>
            <w:vAlign w:val="top"/>
          </w:tcPr>
          <w:p w14:paraId="0B7ECCCA">
            <w:pPr>
              <w:rPr>
                <w:rFonts w:ascii="Arial"/>
                <w:sz w:val="21"/>
              </w:rPr>
            </w:pPr>
          </w:p>
        </w:tc>
        <w:tc>
          <w:tcPr>
            <w:tcW w:w="505" w:type="dxa"/>
            <w:vMerge w:val="continue"/>
            <w:tcBorders>
              <w:top w:val="nil"/>
              <w:bottom w:val="nil"/>
            </w:tcBorders>
            <w:textDirection w:val="tbRlV"/>
            <w:vAlign w:val="top"/>
          </w:tcPr>
          <w:p w14:paraId="3E9BF9E6">
            <w:pPr>
              <w:rPr>
                <w:rFonts w:ascii="Arial"/>
                <w:sz w:val="21"/>
              </w:rPr>
            </w:pPr>
          </w:p>
        </w:tc>
        <w:tc>
          <w:tcPr>
            <w:tcW w:w="1274" w:type="dxa"/>
            <w:vAlign w:val="top"/>
          </w:tcPr>
          <w:p w14:paraId="556532F4">
            <w:pPr>
              <w:pStyle w:val="6"/>
              <w:spacing w:before="72" w:line="208" w:lineRule="auto"/>
              <w:ind w:left="458"/>
              <w:rPr>
                <w:sz w:val="18"/>
                <w:szCs w:val="18"/>
              </w:rPr>
            </w:pPr>
            <w:r>
              <w:rPr>
                <w:spacing w:val="-4"/>
                <w:sz w:val="18"/>
                <w:szCs w:val="18"/>
              </w:rPr>
              <w:t>石膏</w:t>
            </w:r>
          </w:p>
        </w:tc>
        <w:tc>
          <w:tcPr>
            <w:tcW w:w="1231" w:type="dxa"/>
            <w:vAlign w:val="top"/>
          </w:tcPr>
          <w:p w14:paraId="7DFAE355">
            <w:pPr>
              <w:spacing w:before="103"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500.021</w:t>
            </w:r>
          </w:p>
        </w:tc>
        <w:tc>
          <w:tcPr>
            <w:tcW w:w="998" w:type="dxa"/>
            <w:vAlign w:val="top"/>
          </w:tcPr>
          <w:p w14:paraId="244005E5">
            <w:pPr>
              <w:pStyle w:val="6"/>
              <w:spacing w:before="72" w:line="208" w:lineRule="auto"/>
              <w:ind w:left="154"/>
              <w:rPr>
                <w:sz w:val="18"/>
                <w:szCs w:val="18"/>
              </w:rPr>
            </w:pPr>
            <w:r>
              <w:rPr>
                <w:spacing w:val="-5"/>
                <w:sz w:val="18"/>
                <w:szCs w:val="18"/>
              </w:rPr>
              <w:t>当地市场</w:t>
            </w:r>
          </w:p>
        </w:tc>
        <w:tc>
          <w:tcPr>
            <w:tcW w:w="1444" w:type="dxa"/>
            <w:vAlign w:val="top"/>
          </w:tcPr>
          <w:p w14:paraId="7CDD638B">
            <w:pPr>
              <w:spacing w:before="102" w:line="194" w:lineRule="auto"/>
              <w:ind w:left="484"/>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CaSO</w:t>
            </w:r>
            <w:r>
              <w:rPr>
                <w:rFonts w:ascii="Times New Roman" w:hAnsi="Times New Roman" w:eastAsia="Times New Roman" w:cs="Times New Roman"/>
                <w:spacing w:val="-1"/>
                <w:position w:val="-1"/>
                <w:sz w:val="11"/>
                <w:szCs w:val="11"/>
              </w:rPr>
              <w:t>4</w:t>
            </w:r>
          </w:p>
        </w:tc>
        <w:tc>
          <w:tcPr>
            <w:tcW w:w="1554" w:type="dxa"/>
            <w:vAlign w:val="top"/>
          </w:tcPr>
          <w:p w14:paraId="6A5E7154">
            <w:pPr>
              <w:pStyle w:val="6"/>
              <w:spacing w:before="72" w:line="208" w:lineRule="auto"/>
              <w:ind w:left="156"/>
              <w:rPr>
                <w:sz w:val="18"/>
                <w:szCs w:val="18"/>
              </w:rPr>
            </w:pPr>
            <w:r>
              <w:rPr>
                <w:spacing w:val="-1"/>
                <w:sz w:val="18"/>
                <w:szCs w:val="18"/>
              </w:rPr>
              <w:t>粉状、筒仓贮存</w:t>
            </w:r>
          </w:p>
        </w:tc>
        <w:tc>
          <w:tcPr>
            <w:tcW w:w="219" w:type="dxa"/>
            <w:vMerge w:val="continue"/>
            <w:tcBorders>
              <w:top w:val="nil"/>
              <w:bottom w:val="nil"/>
              <w:right w:val="single" w:color="000000" w:sz="6" w:space="0"/>
            </w:tcBorders>
            <w:vAlign w:val="top"/>
          </w:tcPr>
          <w:p w14:paraId="4F8308D2">
            <w:pPr>
              <w:rPr>
                <w:rFonts w:ascii="Arial"/>
                <w:sz w:val="21"/>
              </w:rPr>
            </w:pPr>
          </w:p>
        </w:tc>
      </w:tr>
      <w:tr w14:paraId="62527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01A1CCF3">
            <w:pPr>
              <w:rPr>
                <w:rFonts w:ascii="Arial"/>
                <w:sz w:val="21"/>
              </w:rPr>
            </w:pPr>
          </w:p>
        </w:tc>
        <w:tc>
          <w:tcPr>
            <w:tcW w:w="210" w:type="dxa"/>
            <w:vMerge w:val="continue"/>
            <w:tcBorders>
              <w:top w:val="nil"/>
              <w:bottom w:val="nil"/>
            </w:tcBorders>
            <w:vAlign w:val="top"/>
          </w:tcPr>
          <w:p w14:paraId="28CD5A3E">
            <w:pPr>
              <w:rPr>
                <w:rFonts w:ascii="Arial"/>
                <w:sz w:val="21"/>
              </w:rPr>
            </w:pPr>
          </w:p>
        </w:tc>
        <w:tc>
          <w:tcPr>
            <w:tcW w:w="557" w:type="dxa"/>
            <w:vMerge w:val="continue"/>
            <w:tcBorders>
              <w:top w:val="nil"/>
              <w:bottom w:val="nil"/>
            </w:tcBorders>
            <w:vAlign w:val="top"/>
          </w:tcPr>
          <w:p w14:paraId="0DFDB0AB">
            <w:pPr>
              <w:rPr>
                <w:rFonts w:ascii="Arial"/>
                <w:sz w:val="21"/>
              </w:rPr>
            </w:pPr>
          </w:p>
        </w:tc>
        <w:tc>
          <w:tcPr>
            <w:tcW w:w="505" w:type="dxa"/>
            <w:vMerge w:val="continue"/>
            <w:tcBorders>
              <w:top w:val="nil"/>
              <w:bottom w:val="nil"/>
            </w:tcBorders>
            <w:textDirection w:val="tbRlV"/>
            <w:vAlign w:val="top"/>
          </w:tcPr>
          <w:p w14:paraId="6E7AE3D4">
            <w:pPr>
              <w:rPr>
                <w:rFonts w:ascii="Arial"/>
                <w:sz w:val="21"/>
              </w:rPr>
            </w:pPr>
          </w:p>
        </w:tc>
        <w:tc>
          <w:tcPr>
            <w:tcW w:w="1274" w:type="dxa"/>
            <w:vAlign w:val="top"/>
          </w:tcPr>
          <w:p w14:paraId="28217AD2">
            <w:pPr>
              <w:pStyle w:val="6"/>
              <w:spacing w:before="211" w:line="219" w:lineRule="auto"/>
              <w:ind w:left="280"/>
              <w:rPr>
                <w:sz w:val="18"/>
                <w:szCs w:val="18"/>
              </w:rPr>
            </w:pPr>
            <w:r>
              <w:rPr>
                <w:spacing w:val="-3"/>
                <w:sz w:val="18"/>
                <w:szCs w:val="18"/>
              </w:rPr>
              <w:t>玻化微珠</w:t>
            </w:r>
          </w:p>
        </w:tc>
        <w:tc>
          <w:tcPr>
            <w:tcW w:w="1231" w:type="dxa"/>
            <w:vAlign w:val="top"/>
          </w:tcPr>
          <w:p w14:paraId="47E0EB43">
            <w:pPr>
              <w:spacing w:before="242"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40501.686</w:t>
            </w:r>
          </w:p>
        </w:tc>
        <w:tc>
          <w:tcPr>
            <w:tcW w:w="998" w:type="dxa"/>
            <w:vAlign w:val="top"/>
          </w:tcPr>
          <w:p w14:paraId="797B0E00">
            <w:pPr>
              <w:pStyle w:val="6"/>
              <w:spacing w:before="211" w:line="219" w:lineRule="auto"/>
              <w:ind w:left="154"/>
              <w:rPr>
                <w:sz w:val="18"/>
                <w:szCs w:val="18"/>
              </w:rPr>
            </w:pPr>
            <w:r>
              <w:rPr>
                <w:spacing w:val="-5"/>
                <w:sz w:val="18"/>
                <w:szCs w:val="18"/>
              </w:rPr>
              <w:t>当地市场</w:t>
            </w:r>
          </w:p>
        </w:tc>
        <w:tc>
          <w:tcPr>
            <w:tcW w:w="1444" w:type="dxa"/>
            <w:vAlign w:val="top"/>
          </w:tcPr>
          <w:p w14:paraId="7FCA996C">
            <w:pPr>
              <w:pStyle w:val="6"/>
              <w:spacing w:before="100" w:line="233" w:lineRule="auto"/>
              <w:ind w:left="450" w:right="185" w:hanging="278"/>
              <w:rPr>
                <w:sz w:val="18"/>
                <w:szCs w:val="18"/>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5"/>
                <w:position w:val="-1"/>
                <w:sz w:val="11"/>
                <w:szCs w:val="11"/>
              </w:rPr>
              <w:t xml:space="preserve"> </w:t>
            </w:r>
            <w:r>
              <w:rPr>
                <w:spacing w:val="-3"/>
                <w:sz w:val="18"/>
                <w:szCs w:val="18"/>
              </w:rPr>
              <w:t>、</w:t>
            </w:r>
            <w:r>
              <w:rPr>
                <w:rFonts w:ascii="Times New Roman" w:hAnsi="Times New Roman" w:eastAsia="Times New Roman" w:cs="Times New Roman"/>
                <w:spacing w:val="-3"/>
                <w:sz w:val="18"/>
                <w:szCs w:val="18"/>
              </w:rPr>
              <w:t>Al</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r>
              <w:rPr>
                <w:spacing w:val="-28"/>
                <w:sz w:val="18"/>
                <w:szCs w:val="18"/>
              </w:rPr>
              <w:t>、</w:t>
            </w:r>
            <w:r>
              <w:rPr>
                <w:sz w:val="18"/>
                <w:szCs w:val="18"/>
              </w:rPr>
              <w:t xml:space="preserve"> </w:t>
            </w:r>
            <w:r>
              <w:rPr>
                <w:rFonts w:ascii="Times New Roman" w:hAnsi="Times New Roman" w:eastAsia="Times New Roman" w:cs="Times New Roman"/>
                <w:spacing w:val="-2"/>
                <w:sz w:val="18"/>
                <w:szCs w:val="18"/>
              </w:rPr>
              <w:t>CaO</w:t>
            </w:r>
            <w:r>
              <w:rPr>
                <w:rFonts w:ascii="Times New Roman" w:hAnsi="Times New Roman" w:eastAsia="Times New Roman" w:cs="Times New Roman"/>
                <w:spacing w:val="8"/>
                <w:sz w:val="18"/>
                <w:szCs w:val="18"/>
              </w:rPr>
              <w:t xml:space="preserve"> </w:t>
            </w:r>
            <w:r>
              <w:rPr>
                <w:spacing w:val="-2"/>
                <w:sz w:val="18"/>
                <w:szCs w:val="18"/>
              </w:rPr>
              <w:t>等</w:t>
            </w:r>
          </w:p>
        </w:tc>
        <w:tc>
          <w:tcPr>
            <w:tcW w:w="1554" w:type="dxa"/>
            <w:vAlign w:val="top"/>
          </w:tcPr>
          <w:p w14:paraId="0A625D5F">
            <w:pPr>
              <w:pStyle w:val="6"/>
              <w:spacing w:before="211" w:line="219" w:lineRule="auto"/>
              <w:ind w:left="93"/>
              <w:rPr>
                <w:sz w:val="18"/>
                <w:szCs w:val="18"/>
              </w:rPr>
            </w:pPr>
            <w:r>
              <w:rPr>
                <w:spacing w:val="-8"/>
                <w:sz w:val="18"/>
                <w:szCs w:val="18"/>
              </w:rPr>
              <w:t>砂粒状、筒仓贮存</w:t>
            </w:r>
          </w:p>
        </w:tc>
        <w:tc>
          <w:tcPr>
            <w:tcW w:w="219" w:type="dxa"/>
            <w:vMerge w:val="continue"/>
            <w:tcBorders>
              <w:top w:val="nil"/>
              <w:bottom w:val="nil"/>
              <w:right w:val="single" w:color="000000" w:sz="6" w:space="0"/>
            </w:tcBorders>
            <w:vAlign w:val="top"/>
          </w:tcPr>
          <w:p w14:paraId="7939351F">
            <w:pPr>
              <w:rPr>
                <w:rFonts w:ascii="Arial"/>
                <w:sz w:val="21"/>
              </w:rPr>
            </w:pPr>
          </w:p>
        </w:tc>
      </w:tr>
      <w:tr w14:paraId="12DDD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51D6D223">
            <w:pPr>
              <w:rPr>
                <w:rFonts w:ascii="Arial"/>
                <w:sz w:val="21"/>
              </w:rPr>
            </w:pPr>
          </w:p>
        </w:tc>
        <w:tc>
          <w:tcPr>
            <w:tcW w:w="210" w:type="dxa"/>
            <w:vMerge w:val="continue"/>
            <w:tcBorders>
              <w:top w:val="nil"/>
              <w:bottom w:val="nil"/>
            </w:tcBorders>
            <w:vAlign w:val="top"/>
          </w:tcPr>
          <w:p w14:paraId="18A9824F">
            <w:pPr>
              <w:rPr>
                <w:rFonts w:ascii="Arial"/>
                <w:sz w:val="21"/>
              </w:rPr>
            </w:pPr>
          </w:p>
        </w:tc>
        <w:tc>
          <w:tcPr>
            <w:tcW w:w="557" w:type="dxa"/>
            <w:vMerge w:val="continue"/>
            <w:tcBorders>
              <w:top w:val="nil"/>
              <w:bottom w:val="nil"/>
            </w:tcBorders>
            <w:vAlign w:val="top"/>
          </w:tcPr>
          <w:p w14:paraId="107640B2">
            <w:pPr>
              <w:rPr>
                <w:rFonts w:ascii="Arial"/>
                <w:sz w:val="21"/>
              </w:rPr>
            </w:pPr>
          </w:p>
        </w:tc>
        <w:tc>
          <w:tcPr>
            <w:tcW w:w="505" w:type="dxa"/>
            <w:vMerge w:val="continue"/>
            <w:tcBorders>
              <w:top w:val="nil"/>
              <w:bottom w:val="nil"/>
            </w:tcBorders>
            <w:textDirection w:val="tbRlV"/>
            <w:vAlign w:val="top"/>
          </w:tcPr>
          <w:p w14:paraId="0B6E70E6">
            <w:pPr>
              <w:rPr>
                <w:rFonts w:ascii="Arial"/>
                <w:sz w:val="21"/>
              </w:rPr>
            </w:pPr>
          </w:p>
        </w:tc>
        <w:tc>
          <w:tcPr>
            <w:tcW w:w="1274" w:type="dxa"/>
            <w:vAlign w:val="top"/>
          </w:tcPr>
          <w:p w14:paraId="3C4F9F78">
            <w:pPr>
              <w:pStyle w:val="6"/>
              <w:spacing w:before="73" w:line="247" w:lineRule="auto"/>
              <w:ind w:left="98" w:right="98" w:firstLine="1"/>
              <w:rPr>
                <w:sz w:val="18"/>
                <w:szCs w:val="18"/>
              </w:rPr>
            </w:pPr>
            <w:r>
              <w:rPr>
                <w:spacing w:val="-2"/>
                <w:sz w:val="18"/>
                <w:szCs w:val="18"/>
              </w:rPr>
              <w:t>玻璃纤维或可</w:t>
            </w:r>
            <w:r>
              <w:rPr>
                <w:spacing w:val="1"/>
                <w:sz w:val="18"/>
                <w:szCs w:val="18"/>
              </w:rPr>
              <w:t xml:space="preserve"> </w:t>
            </w:r>
            <w:r>
              <w:rPr>
                <w:spacing w:val="-2"/>
                <w:sz w:val="18"/>
                <w:szCs w:val="18"/>
              </w:rPr>
              <w:t>再分散乳胶粉</w:t>
            </w:r>
          </w:p>
        </w:tc>
        <w:tc>
          <w:tcPr>
            <w:tcW w:w="1231" w:type="dxa"/>
            <w:vAlign w:val="top"/>
          </w:tcPr>
          <w:p w14:paraId="338D4156">
            <w:pPr>
              <w:spacing w:before="241"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1500.062</w:t>
            </w:r>
          </w:p>
        </w:tc>
        <w:tc>
          <w:tcPr>
            <w:tcW w:w="998" w:type="dxa"/>
            <w:vAlign w:val="top"/>
          </w:tcPr>
          <w:p w14:paraId="1A526CA9">
            <w:pPr>
              <w:pStyle w:val="6"/>
              <w:spacing w:before="212" w:line="219" w:lineRule="auto"/>
              <w:ind w:left="154"/>
              <w:rPr>
                <w:sz w:val="18"/>
                <w:szCs w:val="18"/>
              </w:rPr>
            </w:pPr>
            <w:r>
              <w:rPr>
                <w:spacing w:val="-5"/>
                <w:sz w:val="18"/>
                <w:szCs w:val="18"/>
              </w:rPr>
              <w:t>当地市场</w:t>
            </w:r>
          </w:p>
        </w:tc>
        <w:tc>
          <w:tcPr>
            <w:tcW w:w="1444" w:type="dxa"/>
            <w:vAlign w:val="top"/>
          </w:tcPr>
          <w:p w14:paraId="3D0D79EB">
            <w:pPr>
              <w:spacing w:before="238" w:line="197" w:lineRule="auto"/>
              <w:ind w:left="565"/>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position w:val="-1"/>
                <w:sz w:val="11"/>
                <w:szCs w:val="11"/>
              </w:rPr>
              <w:t>2</w:t>
            </w:r>
          </w:p>
        </w:tc>
        <w:tc>
          <w:tcPr>
            <w:tcW w:w="1554" w:type="dxa"/>
            <w:vAlign w:val="top"/>
          </w:tcPr>
          <w:p w14:paraId="3F35194B">
            <w:pPr>
              <w:pStyle w:val="6"/>
              <w:spacing w:before="212" w:line="210" w:lineRule="auto"/>
              <w:ind w:left="487"/>
              <w:rPr>
                <w:sz w:val="18"/>
                <w:szCs w:val="18"/>
              </w:rPr>
            </w:pPr>
            <w:r>
              <w:rPr>
                <w:rFonts w:ascii="Times New Roman" w:hAnsi="Times New Roman" w:eastAsia="Times New Roman" w:cs="Times New Roman"/>
                <w:spacing w:val="-1"/>
                <w:sz w:val="18"/>
                <w:szCs w:val="18"/>
              </w:rPr>
              <w:t>25kg/</w:t>
            </w:r>
            <w:r>
              <w:rPr>
                <w:spacing w:val="-1"/>
                <w:sz w:val="18"/>
                <w:szCs w:val="18"/>
              </w:rPr>
              <w:t>袋</w:t>
            </w:r>
          </w:p>
        </w:tc>
        <w:tc>
          <w:tcPr>
            <w:tcW w:w="219" w:type="dxa"/>
            <w:vMerge w:val="continue"/>
            <w:tcBorders>
              <w:top w:val="nil"/>
              <w:bottom w:val="nil"/>
              <w:right w:val="single" w:color="000000" w:sz="6" w:space="0"/>
            </w:tcBorders>
            <w:vAlign w:val="top"/>
          </w:tcPr>
          <w:p w14:paraId="1CFD6144">
            <w:pPr>
              <w:rPr>
                <w:rFonts w:ascii="Arial"/>
                <w:sz w:val="21"/>
              </w:rPr>
            </w:pPr>
          </w:p>
        </w:tc>
      </w:tr>
      <w:tr w14:paraId="5657E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596A173F">
            <w:pPr>
              <w:rPr>
                <w:rFonts w:ascii="Arial"/>
                <w:sz w:val="21"/>
              </w:rPr>
            </w:pPr>
          </w:p>
        </w:tc>
        <w:tc>
          <w:tcPr>
            <w:tcW w:w="210" w:type="dxa"/>
            <w:vMerge w:val="continue"/>
            <w:tcBorders>
              <w:top w:val="nil"/>
              <w:bottom w:val="nil"/>
            </w:tcBorders>
            <w:vAlign w:val="top"/>
          </w:tcPr>
          <w:p w14:paraId="2936E15D">
            <w:pPr>
              <w:rPr>
                <w:rFonts w:ascii="Arial"/>
                <w:sz w:val="21"/>
              </w:rPr>
            </w:pPr>
          </w:p>
        </w:tc>
        <w:tc>
          <w:tcPr>
            <w:tcW w:w="557" w:type="dxa"/>
            <w:vMerge w:val="continue"/>
            <w:tcBorders>
              <w:top w:val="nil"/>
              <w:bottom w:val="nil"/>
            </w:tcBorders>
            <w:vAlign w:val="top"/>
          </w:tcPr>
          <w:p w14:paraId="6986ED4C">
            <w:pPr>
              <w:rPr>
                <w:rFonts w:ascii="Arial"/>
                <w:sz w:val="21"/>
              </w:rPr>
            </w:pPr>
          </w:p>
        </w:tc>
        <w:tc>
          <w:tcPr>
            <w:tcW w:w="505" w:type="dxa"/>
            <w:vMerge w:val="continue"/>
            <w:tcBorders>
              <w:top w:val="nil"/>
            </w:tcBorders>
            <w:textDirection w:val="tbRlV"/>
            <w:vAlign w:val="top"/>
          </w:tcPr>
          <w:p w14:paraId="3B72F223">
            <w:pPr>
              <w:rPr>
                <w:rFonts w:ascii="Arial"/>
                <w:sz w:val="21"/>
              </w:rPr>
            </w:pPr>
          </w:p>
        </w:tc>
        <w:tc>
          <w:tcPr>
            <w:tcW w:w="1274" w:type="dxa"/>
            <w:vAlign w:val="top"/>
          </w:tcPr>
          <w:p w14:paraId="6BF79D82">
            <w:pPr>
              <w:pStyle w:val="6"/>
              <w:spacing w:before="72" w:line="208" w:lineRule="auto"/>
              <w:ind w:left="368"/>
              <w:rPr>
                <w:sz w:val="18"/>
                <w:szCs w:val="18"/>
              </w:rPr>
            </w:pPr>
            <w:r>
              <w:rPr>
                <w:spacing w:val="-3"/>
                <w:sz w:val="18"/>
                <w:szCs w:val="18"/>
              </w:rPr>
              <w:t>包装袋</w:t>
            </w:r>
          </w:p>
        </w:tc>
        <w:tc>
          <w:tcPr>
            <w:tcW w:w="1231" w:type="dxa"/>
            <w:vAlign w:val="top"/>
          </w:tcPr>
          <w:p w14:paraId="29A1767F">
            <w:pPr>
              <w:spacing w:before="103" w:line="188" w:lineRule="auto"/>
              <w:ind w:left="5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w:t>
            </w:r>
          </w:p>
        </w:tc>
        <w:tc>
          <w:tcPr>
            <w:tcW w:w="998" w:type="dxa"/>
            <w:vAlign w:val="top"/>
          </w:tcPr>
          <w:p w14:paraId="51681444">
            <w:pPr>
              <w:pStyle w:val="6"/>
              <w:spacing w:before="72" w:line="208" w:lineRule="auto"/>
              <w:ind w:left="154"/>
              <w:rPr>
                <w:sz w:val="18"/>
                <w:szCs w:val="18"/>
              </w:rPr>
            </w:pPr>
            <w:r>
              <w:rPr>
                <w:spacing w:val="-5"/>
                <w:sz w:val="18"/>
                <w:szCs w:val="18"/>
              </w:rPr>
              <w:t>当地市场</w:t>
            </w:r>
          </w:p>
        </w:tc>
        <w:tc>
          <w:tcPr>
            <w:tcW w:w="1444" w:type="dxa"/>
            <w:vAlign w:val="top"/>
          </w:tcPr>
          <w:p w14:paraId="415097A8">
            <w:pPr>
              <w:pStyle w:val="6"/>
              <w:spacing w:before="72" w:line="208" w:lineRule="auto"/>
              <w:ind w:left="553"/>
              <w:rPr>
                <w:sz w:val="18"/>
                <w:szCs w:val="18"/>
              </w:rPr>
            </w:pPr>
            <w:r>
              <w:rPr>
                <w:spacing w:val="-6"/>
                <w:sz w:val="18"/>
                <w:szCs w:val="18"/>
              </w:rPr>
              <w:t>塑料</w:t>
            </w:r>
          </w:p>
        </w:tc>
        <w:tc>
          <w:tcPr>
            <w:tcW w:w="1554" w:type="dxa"/>
            <w:vAlign w:val="top"/>
          </w:tcPr>
          <w:p w14:paraId="44C03DE6">
            <w:pPr>
              <w:spacing w:before="100"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continue"/>
            <w:tcBorders>
              <w:top w:val="nil"/>
              <w:bottom w:val="nil"/>
              <w:right w:val="single" w:color="000000" w:sz="6" w:space="0"/>
            </w:tcBorders>
            <w:vAlign w:val="top"/>
          </w:tcPr>
          <w:p w14:paraId="02594F20">
            <w:pPr>
              <w:rPr>
                <w:rFonts w:ascii="Arial"/>
                <w:sz w:val="21"/>
              </w:rPr>
            </w:pPr>
          </w:p>
        </w:tc>
      </w:tr>
      <w:tr w14:paraId="5C63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4476EA8E">
            <w:pPr>
              <w:rPr>
                <w:rFonts w:ascii="Arial"/>
                <w:sz w:val="21"/>
              </w:rPr>
            </w:pPr>
          </w:p>
        </w:tc>
        <w:tc>
          <w:tcPr>
            <w:tcW w:w="210" w:type="dxa"/>
            <w:vMerge w:val="continue"/>
            <w:tcBorders>
              <w:top w:val="nil"/>
              <w:bottom w:val="nil"/>
            </w:tcBorders>
            <w:vAlign w:val="top"/>
          </w:tcPr>
          <w:p w14:paraId="0F48EE31">
            <w:pPr>
              <w:rPr>
                <w:rFonts w:ascii="Arial"/>
                <w:sz w:val="21"/>
              </w:rPr>
            </w:pPr>
          </w:p>
        </w:tc>
        <w:tc>
          <w:tcPr>
            <w:tcW w:w="557" w:type="dxa"/>
            <w:vMerge w:val="continue"/>
            <w:tcBorders>
              <w:top w:val="nil"/>
            </w:tcBorders>
            <w:vAlign w:val="top"/>
          </w:tcPr>
          <w:p w14:paraId="7D08BFE1">
            <w:pPr>
              <w:rPr>
                <w:rFonts w:ascii="Arial"/>
                <w:sz w:val="21"/>
              </w:rPr>
            </w:pPr>
          </w:p>
        </w:tc>
        <w:tc>
          <w:tcPr>
            <w:tcW w:w="505" w:type="dxa"/>
            <w:textDirection w:val="tbRlV"/>
            <w:vAlign w:val="top"/>
          </w:tcPr>
          <w:p w14:paraId="4466C450">
            <w:pPr>
              <w:pStyle w:val="6"/>
              <w:spacing w:before="163" w:line="209" w:lineRule="auto"/>
              <w:ind w:left="72"/>
              <w:rPr>
                <w:sz w:val="18"/>
                <w:szCs w:val="18"/>
              </w:rPr>
            </w:pPr>
            <w:r>
              <w:rPr>
                <w:spacing w:val="-1"/>
                <w:sz w:val="18"/>
                <w:szCs w:val="18"/>
              </w:rPr>
              <w:t>锅</w:t>
            </w:r>
            <w:r>
              <w:rPr>
                <w:spacing w:val="11"/>
                <w:sz w:val="18"/>
                <w:szCs w:val="18"/>
              </w:rPr>
              <w:t xml:space="preserve"> </w:t>
            </w:r>
            <w:r>
              <w:rPr>
                <w:spacing w:val="-1"/>
                <w:sz w:val="18"/>
                <w:szCs w:val="18"/>
              </w:rPr>
              <w:t>炉</w:t>
            </w:r>
          </w:p>
        </w:tc>
        <w:tc>
          <w:tcPr>
            <w:tcW w:w="1274" w:type="dxa"/>
            <w:vAlign w:val="top"/>
          </w:tcPr>
          <w:p w14:paraId="5DE3C5E7">
            <w:pPr>
              <w:pStyle w:val="6"/>
              <w:spacing w:before="73" w:line="247" w:lineRule="auto"/>
              <w:ind w:left="456" w:right="187" w:hanging="255"/>
              <w:rPr>
                <w:sz w:val="18"/>
                <w:szCs w:val="18"/>
              </w:rPr>
            </w:pPr>
            <w:r>
              <w:rPr>
                <w:spacing w:val="-5"/>
                <w:sz w:val="18"/>
                <w:szCs w:val="18"/>
              </w:rPr>
              <w:t>阳离子交换</w:t>
            </w:r>
            <w:r>
              <w:rPr>
                <w:spacing w:val="3"/>
                <w:sz w:val="18"/>
                <w:szCs w:val="18"/>
              </w:rPr>
              <w:t xml:space="preserve"> </w:t>
            </w:r>
            <w:r>
              <w:rPr>
                <w:spacing w:val="-4"/>
                <w:sz w:val="18"/>
                <w:szCs w:val="18"/>
              </w:rPr>
              <w:t>树脂</w:t>
            </w:r>
          </w:p>
        </w:tc>
        <w:tc>
          <w:tcPr>
            <w:tcW w:w="1231" w:type="dxa"/>
            <w:vAlign w:val="top"/>
          </w:tcPr>
          <w:p w14:paraId="3BA56628">
            <w:pPr>
              <w:spacing w:before="243"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998" w:type="dxa"/>
            <w:vAlign w:val="top"/>
          </w:tcPr>
          <w:p w14:paraId="753005BC">
            <w:pPr>
              <w:pStyle w:val="6"/>
              <w:spacing w:before="212" w:line="219" w:lineRule="auto"/>
              <w:ind w:left="154"/>
              <w:rPr>
                <w:sz w:val="18"/>
                <w:szCs w:val="18"/>
              </w:rPr>
            </w:pPr>
            <w:r>
              <w:rPr>
                <w:spacing w:val="-5"/>
                <w:sz w:val="18"/>
                <w:szCs w:val="18"/>
              </w:rPr>
              <w:t>当地市场</w:t>
            </w:r>
          </w:p>
        </w:tc>
        <w:tc>
          <w:tcPr>
            <w:tcW w:w="1444" w:type="dxa"/>
            <w:vAlign w:val="top"/>
          </w:tcPr>
          <w:p w14:paraId="0AAA7AAF">
            <w:pPr>
              <w:spacing w:before="239" w:line="192" w:lineRule="auto"/>
              <w:ind w:left="6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4" w:type="dxa"/>
            <w:vAlign w:val="top"/>
          </w:tcPr>
          <w:p w14:paraId="534F096F">
            <w:pPr>
              <w:spacing w:before="239"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continue"/>
            <w:tcBorders>
              <w:top w:val="nil"/>
              <w:bottom w:val="nil"/>
              <w:right w:val="single" w:color="000000" w:sz="6" w:space="0"/>
            </w:tcBorders>
            <w:vAlign w:val="top"/>
          </w:tcPr>
          <w:p w14:paraId="16870D85">
            <w:pPr>
              <w:rPr>
                <w:rFonts w:ascii="Arial"/>
                <w:sz w:val="21"/>
              </w:rPr>
            </w:pPr>
          </w:p>
        </w:tc>
      </w:tr>
      <w:tr w14:paraId="60A2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456C2AB3">
            <w:pPr>
              <w:rPr>
                <w:rFonts w:ascii="Arial"/>
                <w:sz w:val="21"/>
              </w:rPr>
            </w:pPr>
          </w:p>
        </w:tc>
        <w:tc>
          <w:tcPr>
            <w:tcW w:w="210" w:type="dxa"/>
            <w:vMerge w:val="continue"/>
            <w:tcBorders>
              <w:top w:val="nil"/>
              <w:bottom w:val="nil"/>
            </w:tcBorders>
            <w:vAlign w:val="top"/>
          </w:tcPr>
          <w:p w14:paraId="384500D8">
            <w:pPr>
              <w:rPr>
                <w:rFonts w:ascii="Arial"/>
                <w:sz w:val="21"/>
              </w:rPr>
            </w:pPr>
          </w:p>
        </w:tc>
        <w:tc>
          <w:tcPr>
            <w:tcW w:w="557" w:type="dxa"/>
            <w:vMerge w:val="restart"/>
            <w:tcBorders>
              <w:bottom w:val="nil"/>
            </w:tcBorders>
            <w:vAlign w:val="top"/>
          </w:tcPr>
          <w:p w14:paraId="255EAFBB">
            <w:pPr>
              <w:spacing w:line="301" w:lineRule="auto"/>
              <w:rPr>
                <w:rFonts w:ascii="Arial"/>
                <w:sz w:val="21"/>
              </w:rPr>
            </w:pPr>
          </w:p>
          <w:p w14:paraId="57D3B7FE">
            <w:pPr>
              <w:pStyle w:val="6"/>
              <w:spacing w:before="58" w:line="221" w:lineRule="auto"/>
              <w:ind w:left="105"/>
              <w:rPr>
                <w:sz w:val="18"/>
                <w:szCs w:val="18"/>
              </w:rPr>
            </w:pPr>
            <w:r>
              <w:rPr>
                <w:spacing w:val="-8"/>
                <w:sz w:val="18"/>
                <w:szCs w:val="18"/>
              </w:rPr>
              <w:t>能源</w:t>
            </w:r>
          </w:p>
        </w:tc>
        <w:tc>
          <w:tcPr>
            <w:tcW w:w="1779" w:type="dxa"/>
            <w:gridSpan w:val="2"/>
            <w:vAlign w:val="top"/>
          </w:tcPr>
          <w:p w14:paraId="0DCD1170">
            <w:pPr>
              <w:pStyle w:val="6"/>
              <w:spacing w:before="71" w:line="209" w:lineRule="auto"/>
              <w:ind w:left="531"/>
              <w:rPr>
                <w:sz w:val="18"/>
                <w:szCs w:val="18"/>
              </w:rPr>
            </w:pPr>
            <w:r>
              <w:rPr>
                <w:spacing w:val="-3"/>
                <w:sz w:val="18"/>
                <w:szCs w:val="18"/>
              </w:rPr>
              <w:t>生产用水</w:t>
            </w:r>
          </w:p>
        </w:tc>
        <w:tc>
          <w:tcPr>
            <w:tcW w:w="1231" w:type="dxa"/>
            <w:vAlign w:val="top"/>
          </w:tcPr>
          <w:p w14:paraId="5D42A5DA">
            <w:pPr>
              <w:spacing w:before="87" w:line="206"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1329m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998" w:type="dxa"/>
            <w:vAlign w:val="top"/>
          </w:tcPr>
          <w:p w14:paraId="3A911687">
            <w:pPr>
              <w:pStyle w:val="6"/>
              <w:spacing w:before="71" w:line="209" w:lineRule="auto"/>
              <w:ind w:left="264"/>
              <w:rPr>
                <w:sz w:val="18"/>
                <w:szCs w:val="18"/>
              </w:rPr>
            </w:pPr>
            <w:r>
              <w:rPr>
                <w:spacing w:val="-13"/>
                <w:sz w:val="18"/>
                <w:szCs w:val="18"/>
              </w:rPr>
              <w:t>自来水</w:t>
            </w:r>
          </w:p>
        </w:tc>
        <w:tc>
          <w:tcPr>
            <w:tcW w:w="1444" w:type="dxa"/>
            <w:vAlign w:val="top"/>
          </w:tcPr>
          <w:p w14:paraId="4BF5C4E1">
            <w:pPr>
              <w:spacing w:before="102" w:line="194" w:lineRule="auto"/>
              <w:ind w:left="5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O</w:t>
            </w:r>
          </w:p>
        </w:tc>
        <w:tc>
          <w:tcPr>
            <w:tcW w:w="1554" w:type="dxa"/>
            <w:vAlign w:val="top"/>
          </w:tcPr>
          <w:p w14:paraId="60B3550C">
            <w:pPr>
              <w:spacing w:before="99"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continue"/>
            <w:tcBorders>
              <w:top w:val="nil"/>
              <w:bottom w:val="nil"/>
              <w:right w:val="single" w:color="000000" w:sz="6" w:space="0"/>
            </w:tcBorders>
            <w:vAlign w:val="top"/>
          </w:tcPr>
          <w:p w14:paraId="51A1D8CB">
            <w:pPr>
              <w:rPr>
                <w:rFonts w:ascii="Arial"/>
                <w:sz w:val="21"/>
              </w:rPr>
            </w:pPr>
          </w:p>
        </w:tc>
      </w:tr>
      <w:tr w14:paraId="40A85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189EC7DF">
            <w:pPr>
              <w:rPr>
                <w:rFonts w:ascii="Arial"/>
                <w:sz w:val="21"/>
              </w:rPr>
            </w:pPr>
          </w:p>
        </w:tc>
        <w:tc>
          <w:tcPr>
            <w:tcW w:w="210" w:type="dxa"/>
            <w:vMerge w:val="continue"/>
            <w:tcBorders>
              <w:top w:val="nil"/>
              <w:bottom w:val="nil"/>
            </w:tcBorders>
            <w:vAlign w:val="top"/>
          </w:tcPr>
          <w:p w14:paraId="04F90B2B">
            <w:pPr>
              <w:rPr>
                <w:rFonts w:ascii="Arial"/>
                <w:sz w:val="21"/>
              </w:rPr>
            </w:pPr>
          </w:p>
        </w:tc>
        <w:tc>
          <w:tcPr>
            <w:tcW w:w="557" w:type="dxa"/>
            <w:vMerge w:val="continue"/>
            <w:tcBorders>
              <w:top w:val="nil"/>
              <w:bottom w:val="nil"/>
            </w:tcBorders>
            <w:vAlign w:val="top"/>
          </w:tcPr>
          <w:p w14:paraId="645C41E4">
            <w:pPr>
              <w:rPr>
                <w:rFonts w:ascii="Arial"/>
                <w:sz w:val="21"/>
              </w:rPr>
            </w:pPr>
          </w:p>
        </w:tc>
        <w:tc>
          <w:tcPr>
            <w:tcW w:w="1779" w:type="dxa"/>
            <w:gridSpan w:val="2"/>
            <w:vAlign w:val="top"/>
          </w:tcPr>
          <w:p w14:paraId="736B9490">
            <w:pPr>
              <w:pStyle w:val="6"/>
              <w:spacing w:before="72" w:line="208" w:lineRule="auto"/>
              <w:ind w:left="731"/>
              <w:rPr>
                <w:sz w:val="18"/>
                <w:szCs w:val="18"/>
              </w:rPr>
            </w:pPr>
            <w:r>
              <w:rPr>
                <w:spacing w:val="-15"/>
                <w:sz w:val="18"/>
                <w:szCs w:val="18"/>
              </w:rPr>
              <w:t>电能</w:t>
            </w:r>
          </w:p>
        </w:tc>
        <w:tc>
          <w:tcPr>
            <w:tcW w:w="1231" w:type="dxa"/>
            <w:vAlign w:val="top"/>
          </w:tcPr>
          <w:p w14:paraId="5C797303">
            <w:pPr>
              <w:pStyle w:val="6"/>
              <w:spacing w:before="72" w:line="208"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542</w:t>
            </w:r>
            <w:r>
              <w:rPr>
                <w:rFonts w:ascii="Times New Roman" w:hAnsi="Times New Roman" w:eastAsia="Times New Roman" w:cs="Times New Roman"/>
                <w:spacing w:val="11"/>
                <w:w w:val="101"/>
                <w:sz w:val="18"/>
                <w:szCs w:val="18"/>
              </w:rPr>
              <w:t xml:space="preserve"> </w:t>
            </w:r>
            <w:r>
              <w:rPr>
                <w:spacing w:val="-3"/>
                <w:sz w:val="18"/>
                <w:szCs w:val="18"/>
              </w:rPr>
              <w:t>万</w:t>
            </w:r>
            <w:r>
              <w:rPr>
                <w:spacing w:val="-43"/>
                <w:sz w:val="18"/>
                <w:szCs w:val="18"/>
              </w:rPr>
              <w:t xml:space="preserve"> </w:t>
            </w:r>
            <w:r>
              <w:rPr>
                <w:rFonts w:ascii="Times New Roman" w:hAnsi="Times New Roman" w:eastAsia="Times New Roman" w:cs="Times New Roman"/>
                <w:spacing w:val="-3"/>
                <w:sz w:val="18"/>
                <w:szCs w:val="18"/>
              </w:rPr>
              <w:t>kW·h</w:t>
            </w:r>
          </w:p>
        </w:tc>
        <w:tc>
          <w:tcPr>
            <w:tcW w:w="998" w:type="dxa"/>
            <w:vAlign w:val="top"/>
          </w:tcPr>
          <w:p w14:paraId="278BB84F">
            <w:pPr>
              <w:pStyle w:val="6"/>
              <w:spacing w:before="72" w:line="208" w:lineRule="auto"/>
              <w:ind w:left="148"/>
              <w:rPr>
                <w:sz w:val="18"/>
                <w:szCs w:val="18"/>
              </w:rPr>
            </w:pPr>
            <w:r>
              <w:rPr>
                <w:spacing w:val="-3"/>
                <w:sz w:val="18"/>
                <w:szCs w:val="18"/>
              </w:rPr>
              <w:t>市政电网</w:t>
            </w:r>
          </w:p>
        </w:tc>
        <w:tc>
          <w:tcPr>
            <w:tcW w:w="1444" w:type="dxa"/>
            <w:vAlign w:val="top"/>
          </w:tcPr>
          <w:p w14:paraId="5321616B">
            <w:pPr>
              <w:spacing w:before="99" w:line="192" w:lineRule="auto"/>
              <w:ind w:left="6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4" w:type="dxa"/>
            <w:vAlign w:val="top"/>
          </w:tcPr>
          <w:p w14:paraId="10EC7B05">
            <w:pPr>
              <w:spacing w:before="99"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continue"/>
            <w:tcBorders>
              <w:top w:val="nil"/>
              <w:bottom w:val="nil"/>
              <w:right w:val="single" w:color="000000" w:sz="6" w:space="0"/>
            </w:tcBorders>
            <w:vAlign w:val="top"/>
          </w:tcPr>
          <w:p w14:paraId="4CC154F9">
            <w:pPr>
              <w:rPr>
                <w:rFonts w:ascii="Arial"/>
                <w:sz w:val="21"/>
              </w:rPr>
            </w:pPr>
          </w:p>
        </w:tc>
      </w:tr>
      <w:tr w14:paraId="7414E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406EF2BC">
            <w:pPr>
              <w:rPr>
                <w:rFonts w:ascii="Arial"/>
                <w:sz w:val="21"/>
              </w:rPr>
            </w:pPr>
          </w:p>
        </w:tc>
        <w:tc>
          <w:tcPr>
            <w:tcW w:w="210" w:type="dxa"/>
            <w:vMerge w:val="continue"/>
            <w:tcBorders>
              <w:top w:val="nil"/>
              <w:bottom w:val="nil"/>
            </w:tcBorders>
            <w:vAlign w:val="top"/>
          </w:tcPr>
          <w:p w14:paraId="02827075">
            <w:pPr>
              <w:rPr>
                <w:rFonts w:ascii="Arial"/>
                <w:sz w:val="21"/>
              </w:rPr>
            </w:pPr>
          </w:p>
        </w:tc>
        <w:tc>
          <w:tcPr>
            <w:tcW w:w="557" w:type="dxa"/>
            <w:vMerge w:val="continue"/>
            <w:tcBorders>
              <w:top w:val="nil"/>
            </w:tcBorders>
            <w:vAlign w:val="top"/>
          </w:tcPr>
          <w:p w14:paraId="4BD41074">
            <w:pPr>
              <w:rPr>
                <w:rFonts w:ascii="Arial"/>
                <w:sz w:val="21"/>
              </w:rPr>
            </w:pPr>
          </w:p>
        </w:tc>
        <w:tc>
          <w:tcPr>
            <w:tcW w:w="1779" w:type="dxa"/>
            <w:gridSpan w:val="2"/>
            <w:vAlign w:val="top"/>
          </w:tcPr>
          <w:p w14:paraId="560FAA3E">
            <w:pPr>
              <w:pStyle w:val="6"/>
              <w:spacing w:before="72" w:line="208" w:lineRule="auto"/>
              <w:ind w:left="531"/>
              <w:rPr>
                <w:sz w:val="18"/>
                <w:szCs w:val="18"/>
              </w:rPr>
            </w:pPr>
            <w:r>
              <w:rPr>
                <w:spacing w:val="-3"/>
                <w:sz w:val="18"/>
                <w:szCs w:val="18"/>
              </w:rPr>
              <w:t>生活用水</w:t>
            </w:r>
          </w:p>
        </w:tc>
        <w:tc>
          <w:tcPr>
            <w:tcW w:w="1231" w:type="dxa"/>
            <w:vAlign w:val="top"/>
          </w:tcPr>
          <w:p w14:paraId="59143CBB">
            <w:pPr>
              <w:spacing w:before="87" w:line="206"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180m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998" w:type="dxa"/>
            <w:vAlign w:val="top"/>
          </w:tcPr>
          <w:p w14:paraId="5E12AB03">
            <w:pPr>
              <w:pStyle w:val="6"/>
              <w:spacing w:before="72" w:line="208" w:lineRule="auto"/>
              <w:ind w:left="264"/>
              <w:rPr>
                <w:sz w:val="18"/>
                <w:szCs w:val="18"/>
              </w:rPr>
            </w:pPr>
            <w:r>
              <w:rPr>
                <w:spacing w:val="-13"/>
                <w:sz w:val="18"/>
                <w:szCs w:val="18"/>
              </w:rPr>
              <w:t>自来水</w:t>
            </w:r>
          </w:p>
        </w:tc>
        <w:tc>
          <w:tcPr>
            <w:tcW w:w="1444" w:type="dxa"/>
            <w:vAlign w:val="top"/>
          </w:tcPr>
          <w:p w14:paraId="659A614E">
            <w:pPr>
              <w:spacing w:before="103" w:line="199" w:lineRule="auto"/>
              <w:ind w:left="5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sz w:val="11"/>
                <w:szCs w:val="11"/>
              </w:rPr>
              <w:t>2</w:t>
            </w:r>
            <w:r>
              <w:rPr>
                <w:rFonts w:ascii="Times New Roman" w:hAnsi="Times New Roman" w:eastAsia="Times New Roman" w:cs="Times New Roman"/>
                <w:spacing w:val="-1"/>
                <w:sz w:val="18"/>
                <w:szCs w:val="18"/>
              </w:rPr>
              <w:t>O</w:t>
            </w:r>
          </w:p>
        </w:tc>
        <w:tc>
          <w:tcPr>
            <w:tcW w:w="1554" w:type="dxa"/>
            <w:vAlign w:val="top"/>
          </w:tcPr>
          <w:p w14:paraId="214A15BC">
            <w:pPr>
              <w:spacing w:before="100" w:line="192"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19" w:type="dxa"/>
            <w:vMerge w:val="continue"/>
            <w:tcBorders>
              <w:top w:val="nil"/>
              <w:bottom w:val="nil"/>
              <w:right w:val="single" w:color="000000" w:sz="6" w:space="0"/>
            </w:tcBorders>
            <w:vAlign w:val="top"/>
          </w:tcPr>
          <w:p w14:paraId="7F3B7BDF">
            <w:pPr>
              <w:rPr>
                <w:rFonts w:ascii="Arial"/>
                <w:sz w:val="21"/>
              </w:rPr>
            </w:pPr>
          </w:p>
        </w:tc>
      </w:tr>
      <w:tr w14:paraId="318C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4" w:hRule="atLeast"/>
        </w:trPr>
        <w:tc>
          <w:tcPr>
            <w:tcW w:w="831" w:type="dxa"/>
            <w:vMerge w:val="continue"/>
            <w:tcBorders>
              <w:top w:val="nil"/>
              <w:left w:val="single" w:color="000000" w:sz="6" w:space="0"/>
            </w:tcBorders>
            <w:vAlign w:val="top"/>
          </w:tcPr>
          <w:p w14:paraId="61AF92BC">
            <w:pPr>
              <w:rPr>
                <w:rFonts w:ascii="Arial"/>
                <w:sz w:val="21"/>
              </w:rPr>
            </w:pPr>
          </w:p>
        </w:tc>
        <w:tc>
          <w:tcPr>
            <w:tcW w:w="7992" w:type="dxa"/>
            <w:gridSpan w:val="9"/>
            <w:tcBorders>
              <w:right w:val="single" w:color="000000" w:sz="6" w:space="0"/>
            </w:tcBorders>
            <w:vAlign w:val="top"/>
          </w:tcPr>
          <w:p w14:paraId="265AF400">
            <w:pPr>
              <w:pStyle w:val="6"/>
              <w:spacing w:before="141" w:line="227" w:lineRule="auto"/>
              <w:ind w:left="513"/>
              <w:rPr>
                <w:sz w:val="20"/>
                <w:szCs w:val="20"/>
              </w:rPr>
            </w:pPr>
            <w:r>
              <w:rPr>
                <w:b/>
                <w:bCs/>
                <w:spacing w:val="7"/>
                <w:sz w:val="20"/>
                <w:szCs w:val="20"/>
              </w:rPr>
              <w:t>主要原辅材料理化性质介绍和用量核算</w:t>
            </w:r>
            <w:r>
              <w:rPr>
                <w:spacing w:val="7"/>
                <w:sz w:val="20"/>
                <w:szCs w:val="20"/>
              </w:rPr>
              <w:t>：</w:t>
            </w:r>
          </w:p>
          <w:p w14:paraId="612003CA">
            <w:pPr>
              <w:pStyle w:val="6"/>
              <w:spacing w:before="155" w:line="228" w:lineRule="auto"/>
              <w:ind w:left="521"/>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）建筑垃圾</w:t>
            </w:r>
          </w:p>
          <w:p w14:paraId="42D719D7">
            <w:pPr>
              <w:pStyle w:val="6"/>
              <w:spacing w:before="145" w:line="330" w:lineRule="auto"/>
              <w:ind w:left="92" w:right="84" w:firstLine="440"/>
            </w:pPr>
            <w:r>
              <w:rPr>
                <w:spacing w:val="-3"/>
              </w:rPr>
              <w:t>建筑垃圾：建筑垃圾指人们在从事拆迁、建</w:t>
            </w:r>
            <w:r>
              <w:rPr>
                <w:spacing w:val="-4"/>
              </w:rPr>
              <w:t>设、装修、修缮等建筑业的生产活</w:t>
            </w:r>
            <w:r>
              <w:t xml:space="preserve"> </w:t>
            </w:r>
            <w:r>
              <w:rPr>
                <w:spacing w:val="-3"/>
              </w:rPr>
              <w:t>动中产生的渣土、废旧混凝土、废旧砖石及其他废弃物的统称。</w:t>
            </w:r>
            <w:r>
              <w:rPr>
                <w:spacing w:val="-4"/>
              </w:rPr>
              <w:t>按产生源分类，建</w:t>
            </w:r>
            <w:r>
              <w:t xml:space="preserve"> </w:t>
            </w:r>
            <w:r>
              <w:rPr>
                <w:spacing w:val="-3"/>
              </w:rPr>
              <w:t>筑垃圾可分为工程渣土、装修垃圾、拆迁垃圾、工程泥浆</w:t>
            </w:r>
            <w:r>
              <w:rPr>
                <w:spacing w:val="-4"/>
              </w:rPr>
              <w:t>等；按组成成分分类，建</w:t>
            </w:r>
            <w:r>
              <w:t xml:space="preserve"> </w:t>
            </w:r>
            <w:r>
              <w:rPr>
                <w:spacing w:val="-3"/>
              </w:rPr>
              <w:t>筑垃圾中可分为渣土、混凝土块、碎石块、砖瓦碎块、废砂浆、</w:t>
            </w:r>
            <w:r>
              <w:rPr>
                <w:spacing w:val="-4"/>
              </w:rPr>
              <w:t>泥浆、沥青块、废</w:t>
            </w:r>
            <w:r>
              <w:t xml:space="preserve"> </w:t>
            </w:r>
            <w:r>
              <w:rPr>
                <w:spacing w:val="-1"/>
              </w:rPr>
              <w:t>塑料、废金属、废竹木等。</w:t>
            </w:r>
          </w:p>
          <w:p w14:paraId="7C894F9F">
            <w:pPr>
              <w:pStyle w:val="6"/>
              <w:spacing w:before="32" w:line="348" w:lineRule="auto"/>
              <w:ind w:left="92" w:right="86" w:firstLine="438"/>
              <w:rPr>
                <w:sz w:val="20"/>
                <w:szCs w:val="20"/>
              </w:rPr>
            </w:pPr>
            <w:r>
              <w:rPr>
                <w:spacing w:val="9"/>
              </w:rPr>
              <w:t>根据</w:t>
            </w:r>
            <w:r>
              <w:rPr>
                <w:spacing w:val="9"/>
                <w:sz w:val="20"/>
                <w:szCs w:val="20"/>
              </w:rPr>
              <w:t>建设单位已取得由达州市通川区综合行政执法局颁发的《四川省城市建筑垃</w:t>
            </w:r>
            <w:r>
              <w:rPr>
                <w:spacing w:val="3"/>
                <w:sz w:val="20"/>
                <w:szCs w:val="20"/>
              </w:rPr>
              <w:t xml:space="preserve"> </w:t>
            </w:r>
            <w:r>
              <w:rPr>
                <w:spacing w:val="8"/>
                <w:sz w:val="20"/>
                <w:szCs w:val="20"/>
              </w:rPr>
              <w:t>圾处置许可证》（编号：通区综执建处置核</w:t>
            </w:r>
            <w:r>
              <w:rPr>
                <w:rFonts w:ascii="Times New Roman" w:hAnsi="Times New Roman" w:eastAsia="Times New Roman" w:cs="Times New Roman"/>
                <w:spacing w:val="8"/>
                <w:sz w:val="20"/>
                <w:szCs w:val="20"/>
              </w:rPr>
              <w:t>202</w:t>
            </w:r>
            <w:r>
              <w:rPr>
                <w:rFonts w:ascii="Times New Roman" w:hAnsi="Times New Roman" w:eastAsia="Times New Roman" w:cs="Times New Roman"/>
                <w:spacing w:val="7"/>
                <w:sz w:val="20"/>
                <w:szCs w:val="20"/>
              </w:rPr>
              <w:t>41</w:t>
            </w:r>
            <w:r>
              <w:rPr>
                <w:spacing w:val="7"/>
                <w:sz w:val="20"/>
                <w:szCs w:val="20"/>
              </w:rPr>
              <w:t>号）。因此，本项目允许处置的建筑</w:t>
            </w:r>
            <w:r>
              <w:rPr>
                <w:sz w:val="20"/>
                <w:szCs w:val="20"/>
              </w:rPr>
              <w:t xml:space="preserve"> </w:t>
            </w:r>
            <w:r>
              <w:rPr>
                <w:spacing w:val="8"/>
                <w:sz w:val="20"/>
                <w:szCs w:val="20"/>
              </w:rPr>
              <w:t>垃圾不包括拆迁、装修垃圾。</w:t>
            </w:r>
          </w:p>
          <w:p w14:paraId="3CC414CC">
            <w:pPr>
              <w:pStyle w:val="6"/>
              <w:spacing w:before="38" w:line="228" w:lineRule="auto"/>
              <w:ind w:left="521"/>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）发泡铝粉</w:t>
            </w:r>
          </w:p>
          <w:p w14:paraId="5EE9CE05">
            <w:pPr>
              <w:pStyle w:val="6"/>
              <w:spacing w:before="155" w:line="359" w:lineRule="auto"/>
              <w:ind w:left="91" w:right="130" w:firstLine="423"/>
              <w:rPr>
                <w:sz w:val="20"/>
                <w:szCs w:val="20"/>
              </w:rPr>
            </w:pPr>
            <w:r>
              <w:rPr>
                <w:spacing w:val="10"/>
                <w:sz w:val="20"/>
                <w:szCs w:val="20"/>
              </w:rPr>
              <w:t>发泡铝粉：也叫铝膏，是由矿物溶剂、特殊水溶</w:t>
            </w:r>
            <w:r>
              <w:rPr>
                <w:spacing w:val="9"/>
                <w:sz w:val="20"/>
                <w:szCs w:val="20"/>
              </w:rPr>
              <w:t>剂、表面活性剂，经精致加工生</w:t>
            </w:r>
            <w:r>
              <w:rPr>
                <w:sz w:val="20"/>
                <w:szCs w:val="20"/>
              </w:rPr>
              <w:t xml:space="preserve"> </w:t>
            </w:r>
            <w:r>
              <w:rPr>
                <w:spacing w:val="10"/>
                <w:sz w:val="20"/>
                <w:szCs w:val="20"/>
              </w:rPr>
              <w:t>产而成的银灰色、鳞片状粉末。具有性能稳定、活性高、使</w:t>
            </w:r>
            <w:r>
              <w:rPr>
                <w:spacing w:val="9"/>
                <w:sz w:val="20"/>
                <w:szCs w:val="20"/>
              </w:rPr>
              <w:t>用方便、易分散于水等特</w:t>
            </w:r>
            <w:r>
              <w:rPr>
                <w:sz w:val="20"/>
                <w:szCs w:val="20"/>
              </w:rPr>
              <w:t xml:space="preserve"> </w:t>
            </w:r>
            <w:r>
              <w:rPr>
                <w:spacing w:val="9"/>
                <w:sz w:val="20"/>
                <w:szCs w:val="20"/>
              </w:rPr>
              <w:t>性，有利于加工混凝土浇筑生产，在低温受冻、结冰时待温融化后活性铝指标不变，</w:t>
            </w:r>
          </w:p>
          <w:p w14:paraId="332B0C5A">
            <w:pPr>
              <w:pStyle w:val="6"/>
              <w:spacing w:before="33" w:line="363" w:lineRule="auto"/>
              <w:ind w:left="86" w:right="58" w:firstLine="8"/>
              <w:rPr>
                <w:sz w:val="20"/>
                <w:szCs w:val="20"/>
              </w:rPr>
            </w:pPr>
            <w:r>
              <w:rPr>
                <w:spacing w:val="5"/>
                <w:sz w:val="20"/>
                <w:szCs w:val="20"/>
              </w:rPr>
              <w:t>是硅酸盐制品的理想添加剂、发气剂。固体份≧</w:t>
            </w:r>
            <w:r>
              <w:rPr>
                <w:rFonts w:ascii="Times New Roman" w:hAnsi="Times New Roman" w:eastAsia="Times New Roman" w:cs="Times New Roman"/>
                <w:spacing w:val="5"/>
                <w:sz w:val="20"/>
                <w:szCs w:val="20"/>
              </w:rPr>
              <w:t>65%</w:t>
            </w:r>
            <w:r>
              <w:rPr>
                <w:rFonts w:ascii="Times New Roman" w:hAnsi="Times New Roman" w:eastAsia="Times New Roman" w:cs="Times New Roman"/>
                <w:spacing w:val="-8"/>
                <w:sz w:val="20"/>
                <w:szCs w:val="20"/>
              </w:rPr>
              <w:t xml:space="preserve"> </w:t>
            </w:r>
            <w:r>
              <w:rPr>
                <w:spacing w:val="5"/>
                <w:sz w:val="20"/>
                <w:szCs w:val="20"/>
              </w:rPr>
              <w:t>，固体份中活性铝≧</w:t>
            </w:r>
            <w:r>
              <w:rPr>
                <w:rFonts w:ascii="Times New Roman" w:hAnsi="Times New Roman" w:eastAsia="Times New Roman" w:cs="Times New Roman"/>
                <w:spacing w:val="5"/>
                <w:sz w:val="20"/>
                <w:szCs w:val="20"/>
              </w:rPr>
              <w:t>85%</w:t>
            </w:r>
            <w:r>
              <w:rPr>
                <w:rFonts w:ascii="Times New Roman" w:hAnsi="Times New Roman" w:eastAsia="Times New Roman" w:cs="Times New Roman"/>
                <w:spacing w:val="-26"/>
                <w:sz w:val="20"/>
                <w:szCs w:val="20"/>
              </w:rPr>
              <w:t xml:space="preserve"> </w:t>
            </w:r>
            <w:r>
              <w:rPr>
                <w:spacing w:val="5"/>
                <w:sz w:val="20"/>
                <w:szCs w:val="20"/>
              </w:rPr>
              <w:t>，发气率</w:t>
            </w:r>
            <w:r>
              <w:rPr>
                <w:sz w:val="20"/>
                <w:szCs w:val="20"/>
              </w:rPr>
              <w:t xml:space="preserve"> </w:t>
            </w:r>
            <w:r>
              <w:rPr>
                <w:rFonts w:ascii="Times New Roman" w:hAnsi="Times New Roman" w:eastAsia="Times New Roman" w:cs="Times New Roman"/>
                <w:spacing w:val="6"/>
                <w:sz w:val="20"/>
                <w:szCs w:val="20"/>
              </w:rPr>
              <w:t>4</w:t>
            </w:r>
            <w:r>
              <w:rPr>
                <w:spacing w:val="6"/>
                <w:sz w:val="20"/>
                <w:szCs w:val="20"/>
              </w:rPr>
              <w:t>分钟</w:t>
            </w:r>
            <w:r>
              <w:rPr>
                <w:rFonts w:ascii="Times New Roman" w:hAnsi="Times New Roman" w:eastAsia="Times New Roman" w:cs="Times New Roman"/>
                <w:spacing w:val="6"/>
                <w:sz w:val="20"/>
                <w:szCs w:val="20"/>
              </w:rPr>
              <w:t>40-60%</w:t>
            </w:r>
            <w:r>
              <w:rPr>
                <w:rFonts w:ascii="Times New Roman" w:hAnsi="Times New Roman" w:eastAsia="Times New Roman" w:cs="Times New Roman"/>
                <w:spacing w:val="-26"/>
                <w:sz w:val="20"/>
                <w:szCs w:val="20"/>
              </w:rPr>
              <w:t xml:space="preserve"> </w:t>
            </w:r>
            <w:r>
              <w:rPr>
                <w:spacing w:val="6"/>
                <w:sz w:val="20"/>
                <w:szCs w:val="20"/>
              </w:rPr>
              <w:t>、</w:t>
            </w:r>
            <w:r>
              <w:rPr>
                <w:rFonts w:ascii="Times New Roman" w:hAnsi="Times New Roman" w:eastAsia="Times New Roman" w:cs="Times New Roman"/>
                <w:spacing w:val="6"/>
                <w:sz w:val="20"/>
                <w:szCs w:val="20"/>
              </w:rPr>
              <w:t>16</w:t>
            </w:r>
            <w:r>
              <w:rPr>
                <w:spacing w:val="6"/>
                <w:sz w:val="20"/>
                <w:szCs w:val="20"/>
              </w:rPr>
              <w:t>分钟≧</w:t>
            </w:r>
            <w:r>
              <w:rPr>
                <w:rFonts w:ascii="Times New Roman" w:hAnsi="Times New Roman" w:eastAsia="Times New Roman" w:cs="Times New Roman"/>
                <w:spacing w:val="6"/>
                <w:sz w:val="20"/>
                <w:szCs w:val="20"/>
              </w:rPr>
              <w:t>90%</w:t>
            </w:r>
            <w:r>
              <w:rPr>
                <w:rFonts w:ascii="Times New Roman" w:hAnsi="Times New Roman" w:eastAsia="Times New Roman" w:cs="Times New Roman"/>
                <w:spacing w:val="-29"/>
                <w:sz w:val="20"/>
                <w:szCs w:val="20"/>
              </w:rPr>
              <w:t xml:space="preserve"> </w:t>
            </w:r>
            <w:r>
              <w:rPr>
                <w:spacing w:val="6"/>
                <w:sz w:val="20"/>
                <w:szCs w:val="20"/>
              </w:rPr>
              <w:t>、</w:t>
            </w:r>
            <w:r>
              <w:rPr>
                <w:rFonts w:ascii="Times New Roman" w:hAnsi="Times New Roman" w:eastAsia="Times New Roman" w:cs="Times New Roman"/>
                <w:spacing w:val="6"/>
                <w:sz w:val="20"/>
                <w:szCs w:val="20"/>
              </w:rPr>
              <w:t>30</w:t>
            </w:r>
            <w:r>
              <w:rPr>
                <w:spacing w:val="6"/>
                <w:sz w:val="20"/>
                <w:szCs w:val="20"/>
              </w:rPr>
              <w:t>分钟≧</w:t>
            </w:r>
            <w:r>
              <w:rPr>
                <w:rFonts w:ascii="Times New Roman" w:hAnsi="Times New Roman" w:eastAsia="Times New Roman" w:cs="Times New Roman"/>
                <w:spacing w:val="6"/>
                <w:sz w:val="20"/>
                <w:szCs w:val="20"/>
              </w:rPr>
              <w:t>99%.</w:t>
            </w:r>
            <w:r>
              <w:rPr>
                <w:spacing w:val="6"/>
                <w:sz w:val="20"/>
                <w:szCs w:val="20"/>
              </w:rPr>
              <w:t>该产品应储存于阴凉、干燥、通风室</w:t>
            </w:r>
            <w:r>
              <w:rPr>
                <w:spacing w:val="5"/>
                <w:sz w:val="20"/>
                <w:szCs w:val="20"/>
              </w:rPr>
              <w:t>内，</w:t>
            </w:r>
            <w:r>
              <w:rPr>
                <w:sz w:val="20"/>
                <w:szCs w:val="20"/>
              </w:rPr>
              <w:t xml:space="preserve"> </w:t>
            </w:r>
            <w:r>
              <w:rPr>
                <w:spacing w:val="10"/>
                <w:sz w:val="20"/>
                <w:szCs w:val="20"/>
              </w:rPr>
              <w:t>隔绝火源、热源、防雨、防晒，严禁与水、酸、碱、石灰、水泥等氧化</w:t>
            </w:r>
            <w:r>
              <w:rPr>
                <w:spacing w:val="9"/>
                <w:sz w:val="20"/>
                <w:szCs w:val="20"/>
              </w:rPr>
              <w:t>剂及腐蚀物混</w:t>
            </w:r>
            <w:r>
              <w:rPr>
                <w:sz w:val="20"/>
                <w:szCs w:val="20"/>
              </w:rPr>
              <w:t xml:space="preserve"> </w:t>
            </w:r>
            <w:r>
              <w:rPr>
                <w:spacing w:val="9"/>
                <w:sz w:val="20"/>
                <w:szCs w:val="20"/>
              </w:rPr>
              <w:t>放。使用时如先用一部分，取后要立即密封，以</w:t>
            </w:r>
            <w:r>
              <w:rPr>
                <w:spacing w:val="8"/>
                <w:sz w:val="20"/>
                <w:szCs w:val="20"/>
              </w:rPr>
              <w:t>免变质氧化，储存在</w:t>
            </w:r>
            <w:r>
              <w:rPr>
                <w:rFonts w:ascii="Times New Roman" w:hAnsi="Times New Roman" w:eastAsia="Times New Roman" w:cs="Times New Roman"/>
                <w:spacing w:val="8"/>
                <w:sz w:val="20"/>
                <w:szCs w:val="20"/>
              </w:rPr>
              <w:t>15</w:t>
            </w:r>
            <w:r>
              <w:rPr>
                <w:spacing w:val="8"/>
                <w:sz w:val="20"/>
                <w:szCs w:val="20"/>
              </w:rPr>
              <w:t>℃</w:t>
            </w:r>
            <w:r>
              <w:rPr>
                <w:rFonts w:ascii="Times New Roman" w:hAnsi="Times New Roman" w:eastAsia="Times New Roman" w:cs="Times New Roman"/>
                <w:spacing w:val="8"/>
                <w:sz w:val="20"/>
                <w:szCs w:val="20"/>
              </w:rPr>
              <w:t>-25</w:t>
            </w:r>
            <w:r>
              <w:rPr>
                <w:spacing w:val="8"/>
                <w:sz w:val="20"/>
                <w:szCs w:val="20"/>
              </w:rPr>
              <w:t>℃的温度</w:t>
            </w:r>
            <w:r>
              <w:rPr>
                <w:sz w:val="20"/>
                <w:szCs w:val="20"/>
              </w:rPr>
              <w:t xml:space="preserve"> </w:t>
            </w:r>
            <w:r>
              <w:rPr>
                <w:spacing w:val="8"/>
                <w:sz w:val="20"/>
                <w:szCs w:val="20"/>
              </w:rPr>
              <w:t>条件下，保质期在六个月以上。</w:t>
            </w:r>
          </w:p>
          <w:p w14:paraId="7635FDEE">
            <w:pPr>
              <w:pStyle w:val="6"/>
              <w:spacing w:before="32" w:line="228" w:lineRule="auto"/>
              <w:ind w:left="521"/>
              <w:rPr>
                <w:sz w:val="20"/>
                <w:szCs w:val="20"/>
              </w:rPr>
            </w:pPr>
            <w:r>
              <w:rPr>
                <w:spacing w:val="5"/>
                <w:sz w:val="20"/>
                <w:szCs w:val="20"/>
              </w:rPr>
              <w:t>（</w:t>
            </w:r>
            <w:r>
              <w:rPr>
                <w:rFonts w:ascii="Times New Roman" w:hAnsi="Times New Roman" w:eastAsia="Times New Roman" w:cs="Times New Roman"/>
                <w:spacing w:val="5"/>
                <w:sz w:val="20"/>
                <w:szCs w:val="20"/>
              </w:rPr>
              <w:t>3</w:t>
            </w:r>
            <w:r>
              <w:rPr>
                <w:spacing w:val="5"/>
                <w:sz w:val="20"/>
                <w:szCs w:val="20"/>
              </w:rPr>
              <w:t>）水性漆</w:t>
            </w:r>
          </w:p>
          <w:p w14:paraId="420A9047">
            <w:pPr>
              <w:pStyle w:val="6"/>
              <w:spacing w:before="154" w:line="227" w:lineRule="auto"/>
              <w:jc w:val="right"/>
              <w:rPr>
                <w:sz w:val="20"/>
                <w:szCs w:val="20"/>
              </w:rPr>
            </w:pPr>
            <w:r>
              <w:rPr>
                <w:spacing w:val="7"/>
                <w:sz w:val="20"/>
                <w:szCs w:val="20"/>
              </w:rPr>
              <w:t>水性漆：属自干性涂料，由脂肪酸树脂、颜料、防锈颜料、助剂和去离子</w:t>
            </w:r>
            <w:r>
              <w:rPr>
                <w:spacing w:val="6"/>
                <w:sz w:val="20"/>
                <w:szCs w:val="20"/>
              </w:rPr>
              <w:t>水组成。</w:t>
            </w:r>
          </w:p>
        </w:tc>
      </w:tr>
    </w:tbl>
    <w:p w14:paraId="3B43F414">
      <w:pPr>
        <w:pStyle w:val="2"/>
      </w:pPr>
    </w:p>
    <w:p w14:paraId="608B7A10">
      <w:pPr>
        <w:sectPr>
          <w:footerReference r:id="rId38" w:type="default"/>
          <w:pgSz w:w="11906" w:h="16839"/>
          <w:pgMar w:top="1431" w:right="1534" w:bottom="1260" w:left="1533" w:header="0" w:footer="1080" w:gutter="0"/>
          <w:cols w:space="720" w:num="1"/>
        </w:sectPr>
      </w:pPr>
    </w:p>
    <w:p w14:paraId="28F06EF6">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7F9E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1CA30352">
            <w:pPr>
              <w:rPr>
                <w:rFonts w:ascii="Arial"/>
                <w:sz w:val="21"/>
              </w:rPr>
            </w:pPr>
          </w:p>
        </w:tc>
        <w:tc>
          <w:tcPr>
            <w:tcW w:w="7992" w:type="dxa"/>
            <w:tcBorders>
              <w:left w:val="single" w:color="000000" w:sz="2" w:space="0"/>
              <w:bottom w:val="single" w:color="000000" w:sz="2" w:space="0"/>
            </w:tcBorders>
            <w:vAlign w:val="top"/>
          </w:tcPr>
          <w:p w14:paraId="2A3A4D09">
            <w:pPr>
              <w:pStyle w:val="6"/>
              <w:spacing w:before="146" w:line="362" w:lineRule="auto"/>
              <w:ind w:left="90" w:right="15"/>
              <w:jc w:val="both"/>
              <w:rPr>
                <w:sz w:val="20"/>
                <w:szCs w:val="20"/>
              </w:rPr>
            </w:pPr>
            <w:r>
              <w:rPr>
                <w:spacing w:val="10"/>
                <w:sz w:val="20"/>
                <w:szCs w:val="20"/>
              </w:rPr>
              <w:t>对环境无污染，不含甲苯、二甲苯等苯系物，</w:t>
            </w:r>
            <w:r>
              <w:rPr>
                <w:rFonts w:ascii="Times New Roman" w:hAnsi="Times New Roman" w:eastAsia="Times New Roman" w:cs="Times New Roman"/>
                <w:sz w:val="20"/>
                <w:szCs w:val="20"/>
              </w:rPr>
              <w:t>VOC</w:t>
            </w:r>
            <w:r>
              <w:rPr>
                <w:spacing w:val="10"/>
                <w:sz w:val="20"/>
                <w:szCs w:val="20"/>
              </w:rPr>
              <w:t>含量低于国家强制标准，无刺激性</w:t>
            </w:r>
            <w:r>
              <w:rPr>
                <w:spacing w:val="4"/>
                <w:sz w:val="20"/>
                <w:szCs w:val="20"/>
              </w:rPr>
              <w:t xml:space="preserve">  </w:t>
            </w:r>
            <w:r>
              <w:rPr>
                <w:spacing w:val="7"/>
                <w:sz w:val="20"/>
                <w:szCs w:val="20"/>
              </w:rPr>
              <w:t xml:space="preserve">气味，对人体无毒害，属于环境友好型涂料，用于各种电机、电器、仪器、机械设备、 </w:t>
            </w:r>
            <w:r>
              <w:rPr>
                <w:spacing w:val="10"/>
                <w:sz w:val="20"/>
                <w:szCs w:val="20"/>
              </w:rPr>
              <w:t>粮油机械、金属制品外表涂装保护。根据建设单位提供的水</w:t>
            </w:r>
            <w:r>
              <w:rPr>
                <w:spacing w:val="9"/>
                <w:sz w:val="20"/>
                <w:szCs w:val="20"/>
              </w:rPr>
              <w:t>性油漆检测资料，其挥发</w:t>
            </w:r>
            <w:r>
              <w:rPr>
                <w:sz w:val="20"/>
                <w:szCs w:val="20"/>
              </w:rPr>
              <w:t xml:space="preserve">  </w:t>
            </w:r>
            <w:r>
              <w:rPr>
                <w:spacing w:val="6"/>
                <w:sz w:val="20"/>
                <w:szCs w:val="20"/>
              </w:rPr>
              <w:t>性有机物含量为</w:t>
            </w:r>
            <w:r>
              <w:rPr>
                <w:rFonts w:ascii="Times New Roman" w:hAnsi="Times New Roman" w:eastAsia="Times New Roman" w:cs="Times New Roman"/>
                <w:spacing w:val="6"/>
                <w:sz w:val="20"/>
                <w:szCs w:val="20"/>
              </w:rPr>
              <w:t>193g/L</w:t>
            </w:r>
            <w:r>
              <w:rPr>
                <w:spacing w:val="6"/>
                <w:sz w:val="20"/>
                <w:szCs w:val="20"/>
              </w:rPr>
              <w:t>。</w:t>
            </w:r>
          </w:p>
          <w:p w14:paraId="6828EE1E">
            <w:pPr>
              <w:pStyle w:val="6"/>
              <w:spacing w:before="31" w:line="228" w:lineRule="auto"/>
              <w:ind w:left="513"/>
              <w:rPr>
                <w:sz w:val="20"/>
                <w:szCs w:val="20"/>
              </w:rPr>
            </w:pPr>
            <w:r>
              <w:rPr>
                <w:spacing w:val="5"/>
                <w:sz w:val="20"/>
                <w:szCs w:val="20"/>
              </w:rPr>
              <w:t>用量核算：</w:t>
            </w:r>
          </w:p>
          <w:p w14:paraId="62C59AE9">
            <w:pPr>
              <w:pStyle w:val="6"/>
              <w:spacing w:before="151" w:line="346" w:lineRule="auto"/>
              <w:ind w:left="84" w:right="32" w:firstLine="425"/>
              <w:rPr>
                <w:sz w:val="20"/>
                <w:szCs w:val="20"/>
              </w:rPr>
            </w:pPr>
            <w:r>
              <w:rPr>
                <w:spacing w:val="11"/>
                <w:sz w:val="20"/>
                <w:szCs w:val="20"/>
              </w:rPr>
              <w:t>①带肋钢筋用量：根据建设单位介绍，项目蒸压加气混凝土板材为定制产品</w:t>
            </w:r>
            <w:r>
              <w:rPr>
                <w:spacing w:val="10"/>
                <w:sz w:val="20"/>
                <w:szCs w:val="20"/>
              </w:rPr>
              <w:t>，长</w:t>
            </w:r>
            <w:r>
              <w:rPr>
                <w:sz w:val="20"/>
                <w:szCs w:val="20"/>
              </w:rPr>
              <w:t xml:space="preserve"> </w:t>
            </w:r>
            <w:r>
              <w:rPr>
                <w:spacing w:val="3"/>
                <w:sz w:val="20"/>
                <w:szCs w:val="20"/>
              </w:rPr>
              <w:t>度约</w:t>
            </w:r>
            <w:r>
              <w:rPr>
                <w:spacing w:val="-34"/>
                <w:sz w:val="20"/>
                <w:szCs w:val="20"/>
              </w:rPr>
              <w:t xml:space="preserve"> </w:t>
            </w:r>
            <w:r>
              <w:rPr>
                <w:rFonts w:ascii="Times New Roman" w:hAnsi="Times New Roman" w:eastAsia="Times New Roman" w:cs="Times New Roman"/>
                <w:spacing w:val="3"/>
                <w:sz w:val="20"/>
                <w:szCs w:val="20"/>
              </w:rPr>
              <w:t>3m</w:t>
            </w:r>
            <w:r>
              <w:rPr>
                <w:spacing w:val="3"/>
                <w:sz w:val="20"/>
                <w:szCs w:val="20"/>
              </w:rPr>
              <w:t>（或</w:t>
            </w:r>
            <w:r>
              <w:rPr>
                <w:spacing w:val="-44"/>
                <w:sz w:val="20"/>
                <w:szCs w:val="20"/>
              </w:rPr>
              <w:t xml:space="preserve"> </w:t>
            </w:r>
            <w:r>
              <w:rPr>
                <w:rFonts w:ascii="Times New Roman" w:hAnsi="Times New Roman" w:eastAsia="Times New Roman" w:cs="Times New Roman"/>
                <w:spacing w:val="3"/>
                <w:sz w:val="20"/>
                <w:szCs w:val="20"/>
              </w:rPr>
              <w:t>4m</w:t>
            </w:r>
            <w:r>
              <w:rPr>
                <w:rFonts w:ascii="Times New Roman" w:hAnsi="Times New Roman" w:eastAsia="Times New Roman" w:cs="Times New Roman"/>
                <w:spacing w:val="-26"/>
                <w:sz w:val="20"/>
                <w:szCs w:val="20"/>
              </w:rPr>
              <w:t xml:space="preserve"> </w:t>
            </w:r>
            <w:r>
              <w:rPr>
                <w:spacing w:val="3"/>
                <w:sz w:val="20"/>
                <w:szCs w:val="20"/>
              </w:rPr>
              <w:t>、</w:t>
            </w:r>
            <w:r>
              <w:rPr>
                <w:rFonts w:ascii="Times New Roman" w:hAnsi="Times New Roman" w:eastAsia="Times New Roman" w:cs="Times New Roman"/>
                <w:spacing w:val="3"/>
                <w:sz w:val="20"/>
                <w:szCs w:val="20"/>
              </w:rPr>
              <w:t>5m</w:t>
            </w:r>
            <w:r>
              <w:rPr>
                <w:spacing w:val="3"/>
                <w:sz w:val="20"/>
                <w:szCs w:val="20"/>
              </w:rPr>
              <w:t>）宽度统一为</w:t>
            </w:r>
            <w:r>
              <w:rPr>
                <w:spacing w:val="-40"/>
                <w:sz w:val="20"/>
                <w:szCs w:val="20"/>
              </w:rPr>
              <w:t xml:space="preserve"> </w:t>
            </w:r>
            <w:r>
              <w:rPr>
                <w:rFonts w:ascii="Times New Roman" w:hAnsi="Times New Roman" w:eastAsia="Times New Roman" w:cs="Times New Roman"/>
                <w:spacing w:val="3"/>
                <w:sz w:val="20"/>
                <w:szCs w:val="20"/>
              </w:rPr>
              <w:t>0.6m</w:t>
            </w:r>
            <w:r>
              <w:rPr>
                <w:rFonts w:ascii="Times New Roman" w:hAnsi="Times New Roman" w:eastAsia="Times New Roman" w:cs="Times New Roman"/>
                <w:spacing w:val="14"/>
                <w:w w:val="101"/>
                <w:sz w:val="20"/>
                <w:szCs w:val="20"/>
              </w:rPr>
              <w:t xml:space="preserve"> </w:t>
            </w:r>
            <w:r>
              <w:rPr>
                <w:spacing w:val="3"/>
                <w:sz w:val="20"/>
                <w:szCs w:val="20"/>
              </w:rPr>
              <w:t>厚度约</w:t>
            </w:r>
            <w:r>
              <w:rPr>
                <w:spacing w:val="-40"/>
                <w:sz w:val="20"/>
                <w:szCs w:val="20"/>
              </w:rPr>
              <w:t xml:space="preserve"> </w:t>
            </w:r>
            <w:r>
              <w:rPr>
                <w:rFonts w:ascii="Times New Roman" w:hAnsi="Times New Roman" w:eastAsia="Times New Roman" w:cs="Times New Roman"/>
                <w:spacing w:val="3"/>
                <w:sz w:val="20"/>
                <w:szCs w:val="20"/>
              </w:rPr>
              <w:t>0.03~0.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12m</w:t>
            </w:r>
            <w:r>
              <w:rPr>
                <w:rFonts w:ascii="Times New Roman" w:hAnsi="Times New Roman" w:eastAsia="Times New Roman" w:cs="Times New Roman"/>
                <w:spacing w:val="-21"/>
                <w:sz w:val="20"/>
                <w:szCs w:val="20"/>
              </w:rPr>
              <w:t xml:space="preserve"> </w:t>
            </w:r>
            <w:r>
              <w:rPr>
                <w:spacing w:val="3"/>
                <w:sz w:val="20"/>
                <w:szCs w:val="20"/>
              </w:rPr>
              <w:t>。钢筋网孔径约</w:t>
            </w:r>
            <w:r>
              <w:rPr>
                <w:spacing w:val="-23"/>
                <w:sz w:val="20"/>
                <w:szCs w:val="20"/>
              </w:rPr>
              <w:t xml:space="preserve"> </w:t>
            </w:r>
            <w:r>
              <w:rPr>
                <w:rFonts w:ascii="Times New Roman" w:hAnsi="Times New Roman" w:eastAsia="Times New Roman" w:cs="Times New Roman"/>
                <w:spacing w:val="3"/>
                <w:sz w:val="20"/>
                <w:szCs w:val="20"/>
              </w:rPr>
              <w:t>150</w:t>
            </w:r>
            <w:r>
              <w:rPr>
                <w:rFonts w:ascii="Times New Roman" w:hAnsi="Times New Roman" w:eastAsia="Times New Roman" w:cs="Times New Roman"/>
                <w:sz w:val="20"/>
                <w:szCs w:val="20"/>
              </w:rPr>
              <w:t>mm</w:t>
            </w:r>
            <w:r>
              <w:rPr>
                <w:rFonts w:ascii="Times New Roman" w:hAnsi="Times New Roman" w:eastAsia="Times New Roman" w:cs="Times New Roman"/>
                <w:spacing w:val="15"/>
                <w:w w:val="101"/>
                <w:sz w:val="20"/>
                <w:szCs w:val="20"/>
              </w:rPr>
              <w:t xml:space="preserve"> </w:t>
            </w:r>
            <w:r>
              <w:rPr>
                <w:spacing w:val="3"/>
                <w:sz w:val="20"/>
                <w:szCs w:val="20"/>
              </w:rPr>
              <w:t>制</w:t>
            </w:r>
            <w:r>
              <w:rPr>
                <w:sz w:val="20"/>
                <w:szCs w:val="20"/>
              </w:rPr>
              <w:t xml:space="preserve"> </w:t>
            </w:r>
            <w:r>
              <w:rPr>
                <w:spacing w:val="6"/>
                <w:sz w:val="20"/>
                <w:szCs w:val="20"/>
              </w:rPr>
              <w:t>作，则</w:t>
            </w:r>
            <w:r>
              <w:rPr>
                <w:spacing w:val="-36"/>
                <w:sz w:val="20"/>
                <w:szCs w:val="20"/>
              </w:rPr>
              <w:t xml:space="preserve"> </w:t>
            </w:r>
            <w:r>
              <w:rPr>
                <w:rFonts w:ascii="Times New Roman" w:hAnsi="Times New Roman" w:eastAsia="Times New Roman" w:cs="Times New Roman"/>
                <w:spacing w:val="6"/>
                <w:sz w:val="20"/>
                <w:szCs w:val="20"/>
              </w:rPr>
              <w:t xml:space="preserve">3m </w:t>
            </w:r>
            <w:r>
              <w:rPr>
                <w:spacing w:val="6"/>
                <w:sz w:val="20"/>
                <w:szCs w:val="20"/>
              </w:rPr>
              <w:t>板材所需单张钢筋网的钢筋用量约</w:t>
            </w:r>
            <w:r>
              <w:rPr>
                <w:spacing w:val="-23"/>
                <w:sz w:val="20"/>
                <w:szCs w:val="20"/>
              </w:rPr>
              <w:t xml:space="preserve"> </w:t>
            </w:r>
            <w:r>
              <w:rPr>
                <w:rFonts w:ascii="Times New Roman" w:hAnsi="Times New Roman" w:eastAsia="Times New Roman" w:cs="Times New Roman"/>
                <w:spacing w:val="6"/>
                <w:sz w:val="20"/>
                <w:szCs w:val="20"/>
              </w:rPr>
              <w:t>11</w:t>
            </w:r>
            <w:r>
              <w:rPr>
                <w:rFonts w:ascii="Times New Roman" w:hAnsi="Times New Roman" w:eastAsia="Times New Roman" w:cs="Times New Roman"/>
                <w:spacing w:val="5"/>
                <w:sz w:val="20"/>
                <w:szCs w:val="20"/>
              </w:rPr>
              <w:t>.89m</w:t>
            </w:r>
            <w:r>
              <w:rPr>
                <w:spacing w:val="5"/>
                <w:sz w:val="20"/>
                <w:szCs w:val="20"/>
              </w:rPr>
              <w:t>。项目设计年产混凝土板材</w:t>
            </w:r>
            <w:r>
              <w:rPr>
                <w:spacing w:val="-43"/>
                <w:sz w:val="20"/>
                <w:szCs w:val="20"/>
              </w:rPr>
              <w:t xml:space="preserve"> </w:t>
            </w:r>
            <w:r>
              <w:rPr>
                <w:rFonts w:ascii="Times New Roman" w:hAnsi="Times New Roman" w:eastAsia="Times New Roman" w:cs="Times New Roman"/>
                <w:spacing w:val="5"/>
                <w:sz w:val="20"/>
                <w:szCs w:val="20"/>
              </w:rPr>
              <w:t>20</w:t>
            </w:r>
            <w:r>
              <w:rPr>
                <w:rFonts w:ascii="Times New Roman" w:hAnsi="Times New Roman" w:eastAsia="Times New Roman" w:cs="Times New Roman"/>
                <w:spacing w:val="17"/>
                <w:sz w:val="20"/>
                <w:szCs w:val="20"/>
              </w:rPr>
              <w:t xml:space="preserve"> </w:t>
            </w:r>
            <w:r>
              <w:rPr>
                <w:spacing w:val="5"/>
                <w:sz w:val="20"/>
                <w:szCs w:val="20"/>
              </w:rPr>
              <w:t>万</w:t>
            </w:r>
            <w:r>
              <w:rPr>
                <w:sz w:val="20"/>
                <w:szCs w:val="20"/>
              </w:rPr>
              <w:t xml:space="preserve"> </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3</w:t>
            </w:r>
            <w:r>
              <w:rPr>
                <w:spacing w:val="1"/>
                <w:sz w:val="20"/>
                <w:szCs w:val="20"/>
              </w:rPr>
              <w:t>，以常规产品（长宽厚：</w:t>
            </w:r>
            <w:r>
              <w:rPr>
                <w:rFonts w:ascii="Times New Roman" w:hAnsi="Times New Roman" w:eastAsia="Times New Roman" w:cs="Times New Roman"/>
                <w:spacing w:val="1"/>
                <w:sz w:val="20"/>
                <w:szCs w:val="20"/>
              </w:rPr>
              <w:t>3m*0.6m*0.05m</w:t>
            </w:r>
            <w:r>
              <w:rPr>
                <w:spacing w:val="1"/>
                <w:sz w:val="20"/>
                <w:szCs w:val="20"/>
              </w:rPr>
              <w:t>）为例，经计算单张板材折算体积约</w:t>
            </w:r>
            <w:r>
              <w:rPr>
                <w:spacing w:val="-37"/>
                <w:sz w:val="20"/>
                <w:szCs w:val="20"/>
              </w:rPr>
              <w:t xml:space="preserve"> </w:t>
            </w:r>
            <w:r>
              <w:rPr>
                <w:rFonts w:ascii="Times New Roman" w:hAnsi="Times New Roman" w:eastAsia="Times New Roman" w:cs="Times New Roman"/>
                <w:spacing w:val="1"/>
                <w:sz w:val="20"/>
                <w:szCs w:val="20"/>
              </w:rPr>
              <w:t>0</w:t>
            </w:r>
            <w:r>
              <w:rPr>
                <w:rFonts w:ascii="Times New Roman" w:hAnsi="Times New Roman" w:eastAsia="Times New Roman" w:cs="Times New Roman"/>
                <w:sz w:val="20"/>
                <w:szCs w:val="20"/>
              </w:rPr>
              <w:t>.09m</w:t>
            </w:r>
            <w:r>
              <w:rPr>
                <w:rFonts w:ascii="Times New Roman" w:hAnsi="Times New Roman" w:eastAsia="Times New Roman" w:cs="Times New Roman"/>
                <w:position w:val="6"/>
                <w:sz w:val="13"/>
                <w:szCs w:val="13"/>
              </w:rPr>
              <w:t>3</w:t>
            </w:r>
            <w:r>
              <w:rPr>
                <w:sz w:val="20"/>
                <w:szCs w:val="20"/>
              </w:rPr>
              <w:t xml:space="preserve">， </w:t>
            </w:r>
            <w:r>
              <w:rPr>
                <w:spacing w:val="3"/>
                <w:sz w:val="20"/>
                <w:szCs w:val="20"/>
              </w:rPr>
              <w:t>板材</w:t>
            </w:r>
            <w:r>
              <w:rPr>
                <w:spacing w:val="-34"/>
                <w:sz w:val="20"/>
                <w:szCs w:val="20"/>
              </w:rPr>
              <w:t xml:space="preserve"> </w:t>
            </w:r>
            <w:r>
              <w:rPr>
                <w:rFonts w:ascii="Times New Roman" w:hAnsi="Times New Roman" w:eastAsia="Times New Roman" w:cs="Times New Roman"/>
                <w:spacing w:val="3"/>
                <w:sz w:val="20"/>
                <w:szCs w:val="20"/>
              </w:rPr>
              <w:t>20</w:t>
            </w:r>
            <w:r>
              <w:rPr>
                <w:rFonts w:ascii="Times New Roman" w:hAnsi="Times New Roman" w:eastAsia="Times New Roman" w:cs="Times New Roman"/>
                <w:spacing w:val="17"/>
                <w:sz w:val="20"/>
                <w:szCs w:val="20"/>
              </w:rPr>
              <w:t xml:space="preserve"> </w:t>
            </w:r>
            <w:r>
              <w:rPr>
                <w:spacing w:val="3"/>
                <w:sz w:val="20"/>
                <w:szCs w:val="20"/>
              </w:rPr>
              <w:t>万</w:t>
            </w:r>
            <w:r>
              <w:rPr>
                <w:spacing w:val="-46"/>
                <w:sz w:val="20"/>
                <w:szCs w:val="20"/>
              </w:rPr>
              <w:t xml:space="preserve"> </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12"/>
                <w:w w:val="102"/>
                <w:position w:val="6"/>
                <w:sz w:val="13"/>
                <w:szCs w:val="13"/>
              </w:rPr>
              <w:t xml:space="preserve"> </w:t>
            </w:r>
            <w:r>
              <w:rPr>
                <w:spacing w:val="3"/>
                <w:sz w:val="20"/>
                <w:szCs w:val="20"/>
              </w:rPr>
              <w:t>折算约</w:t>
            </w:r>
            <w:r>
              <w:rPr>
                <w:spacing w:val="-43"/>
                <w:sz w:val="20"/>
                <w:szCs w:val="20"/>
              </w:rPr>
              <w:t xml:space="preserve"> </w:t>
            </w:r>
            <w:r>
              <w:rPr>
                <w:rFonts w:ascii="Times New Roman" w:hAnsi="Times New Roman" w:eastAsia="Times New Roman" w:cs="Times New Roman"/>
                <w:spacing w:val="3"/>
                <w:sz w:val="20"/>
                <w:szCs w:val="20"/>
              </w:rPr>
              <w:t>222</w:t>
            </w:r>
            <w:r>
              <w:rPr>
                <w:rFonts w:ascii="Times New Roman" w:hAnsi="Times New Roman" w:eastAsia="Times New Roman" w:cs="Times New Roman"/>
                <w:spacing w:val="14"/>
                <w:w w:val="101"/>
                <w:sz w:val="20"/>
                <w:szCs w:val="20"/>
              </w:rPr>
              <w:t xml:space="preserve"> </w:t>
            </w:r>
            <w:r>
              <w:rPr>
                <w:spacing w:val="3"/>
                <w:sz w:val="20"/>
                <w:szCs w:val="20"/>
              </w:rPr>
              <w:t>万张。经计算，项目混凝土板材总使用带肋钢筋的量约</w:t>
            </w:r>
            <w:r>
              <w:rPr>
                <w:spacing w:val="-43"/>
                <w:sz w:val="20"/>
                <w:szCs w:val="20"/>
              </w:rPr>
              <w:t xml:space="preserve"> </w:t>
            </w:r>
            <w:r>
              <w:rPr>
                <w:rFonts w:ascii="Times New Roman" w:hAnsi="Times New Roman" w:eastAsia="Times New Roman" w:cs="Times New Roman"/>
                <w:spacing w:val="3"/>
                <w:sz w:val="20"/>
                <w:szCs w:val="20"/>
              </w:rPr>
              <w:t>2640.8</w:t>
            </w:r>
            <w:r>
              <w:rPr>
                <w:rFonts w:ascii="Times New Roman" w:hAnsi="Times New Roman" w:eastAsia="Times New Roman" w:cs="Times New Roman"/>
                <w:sz w:val="20"/>
                <w:szCs w:val="20"/>
              </w:rPr>
              <w:t xml:space="preserve">  </w:t>
            </w:r>
            <w:r>
              <w:rPr>
                <w:spacing w:val="4"/>
                <w:sz w:val="20"/>
                <w:szCs w:val="20"/>
              </w:rPr>
              <w:t>万</w:t>
            </w:r>
            <w:r>
              <w:rPr>
                <w:spacing w:val="-46"/>
                <w:sz w:val="20"/>
                <w:szCs w:val="20"/>
              </w:rPr>
              <w:t xml:space="preserve"> </w:t>
            </w:r>
            <w:r>
              <w:rPr>
                <w:rFonts w:ascii="Times New Roman" w:hAnsi="Times New Roman" w:eastAsia="Times New Roman" w:cs="Times New Roman"/>
                <w:spacing w:val="4"/>
                <w:sz w:val="20"/>
                <w:szCs w:val="20"/>
              </w:rPr>
              <w:t>m</w:t>
            </w:r>
            <w:r>
              <w:rPr>
                <w:spacing w:val="4"/>
                <w:sz w:val="20"/>
                <w:szCs w:val="20"/>
              </w:rPr>
              <w:t>。</w:t>
            </w:r>
          </w:p>
          <w:p w14:paraId="500561FA">
            <w:pPr>
              <w:pStyle w:val="6"/>
              <w:spacing w:before="150" w:line="299" w:lineRule="auto"/>
              <w:ind w:left="89" w:right="87" w:firstLine="419"/>
              <w:rPr>
                <w:sz w:val="20"/>
                <w:szCs w:val="20"/>
              </w:rPr>
            </w:pPr>
            <w:r>
              <w:rPr>
                <w:spacing w:val="7"/>
                <w:sz w:val="20"/>
                <w:szCs w:val="20"/>
              </w:rPr>
              <w:t>②钢筋浸漆使用量：项目所用钢筋直径为</w:t>
            </w:r>
            <w:r>
              <w:rPr>
                <w:spacing w:val="-20"/>
                <w:sz w:val="20"/>
                <w:szCs w:val="20"/>
              </w:rPr>
              <w:t xml:space="preserve"> </w:t>
            </w:r>
            <w:r>
              <w:rPr>
                <w:rFonts w:ascii="Times New Roman" w:hAnsi="Times New Roman" w:eastAsia="Times New Roman" w:cs="Times New Roman"/>
                <w:spacing w:val="7"/>
                <w:sz w:val="20"/>
                <w:szCs w:val="20"/>
              </w:rPr>
              <w:t>8</w:t>
            </w:r>
            <w:r>
              <w:rPr>
                <w:rFonts w:ascii="Times New Roman" w:hAnsi="Times New Roman" w:eastAsia="Times New Roman" w:cs="Times New Roman"/>
                <w:sz w:val="20"/>
                <w:szCs w:val="20"/>
              </w:rPr>
              <w:t>mm</w:t>
            </w:r>
            <w:r>
              <w:rPr>
                <w:rFonts w:ascii="Times New Roman" w:hAnsi="Times New Roman" w:eastAsia="Times New Roman" w:cs="Times New Roman"/>
                <w:spacing w:val="-19"/>
                <w:sz w:val="20"/>
                <w:szCs w:val="20"/>
              </w:rPr>
              <w:t xml:space="preserve"> </w:t>
            </w:r>
            <w:r>
              <w:rPr>
                <w:spacing w:val="7"/>
                <w:sz w:val="20"/>
                <w:szCs w:val="20"/>
              </w:rPr>
              <w:t>，周长约</w:t>
            </w:r>
            <w:r>
              <w:rPr>
                <w:spacing w:val="-37"/>
                <w:sz w:val="20"/>
                <w:szCs w:val="20"/>
              </w:rPr>
              <w:t xml:space="preserve"> </w:t>
            </w:r>
            <w:r>
              <w:rPr>
                <w:rFonts w:ascii="Times New Roman" w:hAnsi="Times New Roman" w:eastAsia="Times New Roman" w:cs="Times New Roman"/>
                <w:spacing w:val="7"/>
                <w:sz w:val="20"/>
                <w:szCs w:val="20"/>
              </w:rPr>
              <w:t>0.025m</w:t>
            </w:r>
            <w:r>
              <w:rPr>
                <w:rFonts w:ascii="Times New Roman" w:hAnsi="Times New Roman" w:eastAsia="Times New Roman" w:cs="Times New Roman"/>
                <w:spacing w:val="-22"/>
                <w:sz w:val="20"/>
                <w:szCs w:val="20"/>
              </w:rPr>
              <w:t xml:space="preserve"> </w:t>
            </w:r>
            <w:r>
              <w:rPr>
                <w:spacing w:val="7"/>
                <w:sz w:val="20"/>
                <w:szCs w:val="20"/>
              </w:rPr>
              <w:t>，则</w:t>
            </w:r>
            <w:r>
              <w:rPr>
                <w:spacing w:val="-40"/>
                <w:sz w:val="20"/>
                <w:szCs w:val="20"/>
              </w:rPr>
              <w:t xml:space="preserve"> </w:t>
            </w:r>
            <w:r>
              <w:rPr>
                <w:rFonts w:ascii="Times New Roman" w:hAnsi="Times New Roman" w:eastAsia="Times New Roman" w:cs="Times New Roman"/>
                <w:spacing w:val="7"/>
                <w:sz w:val="20"/>
                <w:szCs w:val="20"/>
              </w:rPr>
              <w:t>2640.8</w:t>
            </w:r>
            <w:r>
              <w:rPr>
                <w:rFonts w:ascii="Times New Roman" w:hAnsi="Times New Roman" w:eastAsia="Times New Roman" w:cs="Times New Roman"/>
                <w:spacing w:val="19"/>
                <w:w w:val="101"/>
                <w:sz w:val="20"/>
                <w:szCs w:val="20"/>
              </w:rPr>
              <w:t xml:space="preserve"> </w:t>
            </w:r>
            <w:r>
              <w:rPr>
                <w:spacing w:val="7"/>
                <w:sz w:val="20"/>
                <w:szCs w:val="20"/>
              </w:rPr>
              <w:t>万</w:t>
            </w:r>
            <w:r>
              <w:rPr>
                <w:spacing w:val="-44"/>
                <w:sz w:val="20"/>
                <w:szCs w:val="20"/>
              </w:rPr>
              <w:t xml:space="preserve"> </w:t>
            </w:r>
            <w:r>
              <w:rPr>
                <w:rFonts w:ascii="Times New Roman" w:hAnsi="Times New Roman" w:eastAsia="Times New Roman" w:cs="Times New Roman"/>
                <w:spacing w:val="7"/>
                <w:sz w:val="20"/>
                <w:szCs w:val="20"/>
              </w:rPr>
              <w:t>m</w:t>
            </w:r>
            <w:r>
              <w:rPr>
                <w:rFonts w:ascii="Times New Roman" w:hAnsi="Times New Roman" w:eastAsia="Times New Roman" w:cs="Times New Roman"/>
                <w:sz w:val="20"/>
                <w:szCs w:val="20"/>
              </w:rPr>
              <w:t xml:space="preserve"> </w:t>
            </w:r>
            <w:r>
              <w:rPr>
                <w:spacing w:val="6"/>
                <w:sz w:val="20"/>
                <w:szCs w:val="20"/>
              </w:rPr>
              <w:t>钢筋需浸漆的面积约</w:t>
            </w:r>
            <w:r>
              <w:rPr>
                <w:spacing w:val="-34"/>
                <w:sz w:val="20"/>
                <w:szCs w:val="20"/>
              </w:rPr>
              <w:t xml:space="preserve"> </w:t>
            </w:r>
            <w:r>
              <w:rPr>
                <w:rFonts w:ascii="Times New Roman" w:hAnsi="Times New Roman" w:eastAsia="Times New Roman" w:cs="Times New Roman"/>
                <w:spacing w:val="6"/>
                <w:sz w:val="20"/>
                <w:szCs w:val="20"/>
              </w:rPr>
              <w:t>660200m</w:t>
            </w:r>
            <w:r>
              <w:rPr>
                <w:rFonts w:ascii="Times New Roman" w:hAnsi="Times New Roman" w:eastAsia="Times New Roman" w:cs="Times New Roman"/>
                <w:spacing w:val="6"/>
                <w:position w:val="6"/>
                <w:sz w:val="13"/>
                <w:szCs w:val="13"/>
              </w:rPr>
              <w:t>2</w:t>
            </w:r>
            <w:r>
              <w:rPr>
                <w:spacing w:val="6"/>
                <w:sz w:val="20"/>
                <w:szCs w:val="20"/>
              </w:rPr>
              <w:t>。</w:t>
            </w:r>
          </w:p>
          <w:p w14:paraId="5E1F614B">
            <w:pPr>
              <w:pStyle w:val="6"/>
              <w:spacing w:before="154" w:line="362" w:lineRule="auto"/>
              <w:ind w:left="91" w:right="86" w:firstLine="422"/>
              <w:rPr>
                <w:sz w:val="20"/>
                <w:szCs w:val="20"/>
              </w:rPr>
            </w:pPr>
            <w:r>
              <w:rPr>
                <w:spacing w:val="7"/>
                <w:sz w:val="20"/>
                <w:szCs w:val="20"/>
              </w:rPr>
              <w:t>查询资料，浸漆工艺浸件表面漆膜厚度约</w:t>
            </w:r>
            <w:r>
              <w:rPr>
                <w:spacing w:val="-33"/>
                <w:sz w:val="20"/>
                <w:szCs w:val="20"/>
              </w:rPr>
              <w:t xml:space="preserve"> </w:t>
            </w:r>
            <w:r>
              <w:rPr>
                <w:rFonts w:ascii="Times New Roman" w:hAnsi="Times New Roman" w:eastAsia="Times New Roman" w:cs="Times New Roman"/>
                <w:spacing w:val="7"/>
                <w:sz w:val="20"/>
                <w:szCs w:val="20"/>
              </w:rPr>
              <w:t>0.05</w:t>
            </w:r>
            <w:r>
              <w:rPr>
                <w:rFonts w:ascii="Times New Roman" w:hAnsi="Times New Roman" w:eastAsia="Times New Roman" w:cs="Times New Roman"/>
                <w:sz w:val="20"/>
                <w:szCs w:val="20"/>
              </w:rPr>
              <w:t>mm</w:t>
            </w:r>
            <w:r>
              <w:rPr>
                <w:spacing w:val="7"/>
                <w:sz w:val="20"/>
                <w:szCs w:val="20"/>
              </w:rPr>
              <w:t>。经计算，项目所有钢筋在浸漆</w:t>
            </w:r>
            <w:r>
              <w:rPr>
                <w:sz w:val="20"/>
                <w:szCs w:val="20"/>
              </w:rPr>
              <w:t xml:space="preserve"> </w:t>
            </w:r>
            <w:r>
              <w:rPr>
                <w:spacing w:val="7"/>
                <w:sz w:val="20"/>
                <w:szCs w:val="20"/>
              </w:rPr>
              <w:t>环节漆膜所需漆量</w:t>
            </w:r>
            <w:r>
              <w:rPr>
                <w:spacing w:val="-39"/>
                <w:sz w:val="20"/>
                <w:szCs w:val="20"/>
              </w:rPr>
              <w:t xml:space="preserve"> </w:t>
            </w:r>
            <w:r>
              <w:rPr>
                <w:rFonts w:ascii="Times New Roman" w:hAnsi="Times New Roman" w:eastAsia="Times New Roman" w:cs="Times New Roman"/>
                <w:spacing w:val="7"/>
                <w:sz w:val="20"/>
                <w:szCs w:val="20"/>
              </w:rPr>
              <w:t>33.01m</w:t>
            </w:r>
            <w:r>
              <w:rPr>
                <w:rFonts w:ascii="Times New Roman" w:hAnsi="Times New Roman" w:eastAsia="Times New Roman" w:cs="Times New Roman"/>
                <w:spacing w:val="7"/>
                <w:position w:val="6"/>
                <w:sz w:val="13"/>
                <w:szCs w:val="13"/>
              </w:rPr>
              <w:t>3</w:t>
            </w:r>
            <w:r>
              <w:rPr>
                <w:spacing w:val="7"/>
                <w:sz w:val="20"/>
                <w:szCs w:val="20"/>
              </w:rPr>
              <w:t>。浸漆作业过程油漆滴</w:t>
            </w:r>
            <w:r>
              <w:rPr>
                <w:spacing w:val="6"/>
                <w:sz w:val="20"/>
                <w:szCs w:val="20"/>
              </w:rPr>
              <w:t>漏，浸漆槽附着等情况会损耗少量的</w:t>
            </w:r>
            <w:r>
              <w:rPr>
                <w:sz w:val="20"/>
                <w:szCs w:val="20"/>
              </w:rPr>
              <w:t xml:space="preserve"> </w:t>
            </w:r>
            <w:r>
              <w:rPr>
                <w:spacing w:val="5"/>
                <w:sz w:val="20"/>
                <w:szCs w:val="20"/>
              </w:rPr>
              <w:t>油漆，损耗量取</w:t>
            </w:r>
            <w:r>
              <w:rPr>
                <w:spacing w:val="-43"/>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23"/>
                <w:sz w:val="20"/>
                <w:szCs w:val="20"/>
              </w:rPr>
              <w:t xml:space="preserve"> </w:t>
            </w:r>
            <w:r>
              <w:rPr>
                <w:spacing w:val="5"/>
                <w:sz w:val="20"/>
                <w:szCs w:val="20"/>
              </w:rPr>
              <w:t>，因此浸漆环节油漆总用量约</w:t>
            </w:r>
            <w:r>
              <w:rPr>
                <w:spacing w:val="-39"/>
                <w:sz w:val="20"/>
                <w:szCs w:val="20"/>
              </w:rPr>
              <w:t xml:space="preserve"> </w:t>
            </w:r>
            <w:r>
              <w:rPr>
                <w:rFonts w:ascii="Times New Roman" w:hAnsi="Times New Roman" w:eastAsia="Times New Roman" w:cs="Times New Roman"/>
                <w:spacing w:val="5"/>
                <w:sz w:val="20"/>
                <w:szCs w:val="20"/>
              </w:rPr>
              <w:t>33.68</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5"/>
                <w:position w:val="6"/>
                <w:sz w:val="13"/>
                <w:szCs w:val="13"/>
              </w:rPr>
              <w:t xml:space="preserve"> </w:t>
            </w:r>
            <w:r>
              <w:rPr>
                <w:spacing w:val="4"/>
                <w:sz w:val="20"/>
                <w:szCs w:val="20"/>
              </w:rPr>
              <w:t>。水性漆的密度取</w:t>
            </w:r>
            <w:r>
              <w:rPr>
                <w:spacing w:val="-21"/>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1t/m</w:t>
            </w:r>
            <w:r>
              <w:rPr>
                <w:rFonts w:ascii="Times New Roman" w:hAnsi="Times New Roman" w:eastAsia="Times New Roman" w:cs="Times New Roman"/>
                <w:spacing w:val="4"/>
                <w:position w:val="6"/>
                <w:sz w:val="13"/>
                <w:szCs w:val="13"/>
              </w:rPr>
              <w:t>3</w:t>
            </w:r>
            <w:r>
              <w:rPr>
                <w:spacing w:val="4"/>
                <w:sz w:val="20"/>
                <w:szCs w:val="20"/>
              </w:rPr>
              <w:t>，</w:t>
            </w:r>
            <w:r>
              <w:rPr>
                <w:sz w:val="20"/>
                <w:szCs w:val="20"/>
              </w:rPr>
              <w:t xml:space="preserve"> </w:t>
            </w:r>
            <w:r>
              <w:rPr>
                <w:spacing w:val="5"/>
                <w:sz w:val="20"/>
                <w:szCs w:val="20"/>
              </w:rPr>
              <w:t>则所需油漆量约</w:t>
            </w:r>
            <w:r>
              <w:rPr>
                <w:spacing w:val="-37"/>
                <w:sz w:val="20"/>
                <w:szCs w:val="20"/>
              </w:rPr>
              <w:t xml:space="preserve"> </w:t>
            </w:r>
            <w:r>
              <w:rPr>
                <w:rFonts w:ascii="Times New Roman" w:hAnsi="Times New Roman" w:eastAsia="Times New Roman" w:cs="Times New Roman"/>
                <w:spacing w:val="5"/>
                <w:sz w:val="20"/>
                <w:szCs w:val="20"/>
              </w:rPr>
              <w:t>37.048t/a</w:t>
            </w:r>
            <w:r>
              <w:rPr>
                <w:spacing w:val="5"/>
                <w:sz w:val="20"/>
                <w:szCs w:val="20"/>
              </w:rPr>
              <w:t>。</w:t>
            </w:r>
          </w:p>
          <w:p w14:paraId="1BC4B909">
            <w:pPr>
              <w:pStyle w:val="6"/>
              <w:spacing w:before="29" w:line="228" w:lineRule="auto"/>
              <w:ind w:left="521"/>
              <w:rPr>
                <w:sz w:val="20"/>
                <w:szCs w:val="20"/>
              </w:rPr>
            </w:pPr>
            <w:r>
              <w:rPr>
                <w:spacing w:val="7"/>
                <w:sz w:val="20"/>
                <w:szCs w:val="20"/>
              </w:rPr>
              <w:t>（</w:t>
            </w:r>
            <w:r>
              <w:rPr>
                <w:rFonts w:ascii="Times New Roman" w:hAnsi="Times New Roman" w:eastAsia="Times New Roman" w:cs="Times New Roman"/>
                <w:spacing w:val="7"/>
                <w:sz w:val="20"/>
                <w:szCs w:val="20"/>
              </w:rPr>
              <w:t>4</w:t>
            </w:r>
            <w:r>
              <w:rPr>
                <w:spacing w:val="7"/>
                <w:sz w:val="20"/>
                <w:szCs w:val="20"/>
              </w:rPr>
              <w:t>）可再分散乳胶粉</w:t>
            </w:r>
          </w:p>
          <w:p w14:paraId="71E0C7CE">
            <w:pPr>
              <w:pStyle w:val="6"/>
              <w:spacing w:before="155" w:line="364" w:lineRule="auto"/>
              <w:ind w:left="91" w:right="86" w:firstLine="421"/>
              <w:rPr>
                <w:sz w:val="20"/>
                <w:szCs w:val="20"/>
              </w:rPr>
            </w:pPr>
            <w:r>
              <w:rPr>
                <w:spacing w:val="9"/>
                <w:sz w:val="20"/>
                <w:szCs w:val="20"/>
              </w:rPr>
              <w:t>可再分散乳胶粉产品为水溶性可再分散粉末，分为乙烯</w:t>
            </w:r>
            <w:r>
              <w:rPr>
                <w:rFonts w:ascii="Times New Roman" w:hAnsi="Times New Roman" w:eastAsia="Times New Roman" w:cs="Times New Roman"/>
                <w:spacing w:val="9"/>
                <w:sz w:val="20"/>
                <w:szCs w:val="20"/>
              </w:rPr>
              <w:t>/</w:t>
            </w:r>
            <w:r>
              <w:rPr>
                <w:spacing w:val="9"/>
                <w:sz w:val="20"/>
                <w:szCs w:val="20"/>
              </w:rPr>
              <w:t>醋酸乙烯酯的共聚物、醋</w:t>
            </w:r>
            <w:r>
              <w:rPr>
                <w:spacing w:val="1"/>
                <w:sz w:val="20"/>
                <w:szCs w:val="20"/>
              </w:rPr>
              <w:t xml:space="preserve"> </w:t>
            </w:r>
            <w:r>
              <w:rPr>
                <w:spacing w:val="9"/>
                <w:sz w:val="20"/>
                <w:szCs w:val="20"/>
              </w:rPr>
              <w:t>酸乙烯</w:t>
            </w:r>
            <w:r>
              <w:rPr>
                <w:rFonts w:ascii="Times New Roman" w:hAnsi="Times New Roman" w:eastAsia="Times New Roman" w:cs="Times New Roman"/>
                <w:spacing w:val="9"/>
                <w:sz w:val="20"/>
                <w:szCs w:val="20"/>
              </w:rPr>
              <w:t>/</w:t>
            </w:r>
            <w:r>
              <w:rPr>
                <w:spacing w:val="9"/>
                <w:sz w:val="20"/>
                <w:szCs w:val="20"/>
              </w:rPr>
              <w:t>叔碳酸乙烯共聚物、丙烯酸共聚物等等，喷雾干燥后制成的粉体粘合剂，以聚</w:t>
            </w:r>
            <w:r>
              <w:rPr>
                <w:spacing w:val="5"/>
                <w:sz w:val="20"/>
                <w:szCs w:val="20"/>
              </w:rPr>
              <w:t xml:space="preserve"> </w:t>
            </w:r>
            <w:r>
              <w:rPr>
                <w:spacing w:val="10"/>
                <w:sz w:val="20"/>
                <w:szCs w:val="20"/>
              </w:rPr>
              <w:t>乙烯醇作为保护胶体。这种粉体在与水接触后可以很快再分</w:t>
            </w:r>
            <w:r>
              <w:rPr>
                <w:spacing w:val="9"/>
                <w:sz w:val="20"/>
                <w:szCs w:val="20"/>
              </w:rPr>
              <w:t>散成乳液，由于可再分散</w:t>
            </w:r>
            <w:r>
              <w:rPr>
                <w:sz w:val="20"/>
                <w:szCs w:val="20"/>
              </w:rPr>
              <w:t xml:space="preserve"> </w:t>
            </w:r>
            <w:r>
              <w:rPr>
                <w:spacing w:val="10"/>
                <w:sz w:val="20"/>
                <w:szCs w:val="20"/>
              </w:rPr>
              <w:t>乳胶粉具有高粘结能力和独特的性能，其使用的范围也逐渐</w:t>
            </w:r>
            <w:r>
              <w:rPr>
                <w:spacing w:val="9"/>
                <w:sz w:val="20"/>
                <w:szCs w:val="20"/>
              </w:rPr>
              <w:t>扩展到各种结构和非结构</w:t>
            </w:r>
            <w:r>
              <w:rPr>
                <w:sz w:val="20"/>
                <w:szCs w:val="20"/>
              </w:rPr>
              <w:t xml:space="preserve"> </w:t>
            </w:r>
            <w:r>
              <w:rPr>
                <w:spacing w:val="10"/>
                <w:sz w:val="20"/>
                <w:szCs w:val="20"/>
              </w:rPr>
              <w:t>建筑粘合剂、干混砂浆改性、墙体保温及饰面系统、墙体抹</w:t>
            </w:r>
            <w:r>
              <w:rPr>
                <w:spacing w:val="9"/>
                <w:sz w:val="20"/>
                <w:szCs w:val="20"/>
              </w:rPr>
              <w:t>平胶和密封灰膏、粉末涂</w:t>
            </w:r>
            <w:r>
              <w:rPr>
                <w:sz w:val="20"/>
                <w:szCs w:val="20"/>
              </w:rPr>
              <w:t xml:space="preserve"> </w:t>
            </w:r>
            <w:r>
              <w:rPr>
                <w:spacing w:val="8"/>
                <w:sz w:val="20"/>
                <w:szCs w:val="20"/>
              </w:rPr>
              <w:t>料、建筑腻子的领域。</w:t>
            </w:r>
          </w:p>
          <w:p w14:paraId="738B54C2">
            <w:pPr>
              <w:pStyle w:val="6"/>
              <w:spacing w:before="32" w:line="228" w:lineRule="auto"/>
              <w:ind w:left="521"/>
              <w:rPr>
                <w:sz w:val="20"/>
                <w:szCs w:val="20"/>
              </w:rPr>
            </w:pPr>
            <w:r>
              <w:rPr>
                <w:spacing w:val="6"/>
                <w:sz w:val="20"/>
                <w:szCs w:val="20"/>
              </w:rPr>
              <w:t>（</w:t>
            </w:r>
            <w:r>
              <w:rPr>
                <w:rFonts w:ascii="Times New Roman" w:hAnsi="Times New Roman" w:eastAsia="Times New Roman" w:cs="Times New Roman"/>
                <w:spacing w:val="6"/>
                <w:sz w:val="20"/>
                <w:szCs w:val="20"/>
              </w:rPr>
              <w:t>5</w:t>
            </w:r>
            <w:r>
              <w:rPr>
                <w:spacing w:val="6"/>
                <w:sz w:val="20"/>
                <w:szCs w:val="20"/>
              </w:rPr>
              <w:t>）玻璃纤维</w:t>
            </w:r>
          </w:p>
          <w:p w14:paraId="3A401C57">
            <w:pPr>
              <w:pStyle w:val="6"/>
              <w:spacing w:before="155" w:line="364" w:lineRule="auto"/>
              <w:ind w:left="91" w:right="130" w:firstLine="423"/>
              <w:rPr>
                <w:sz w:val="20"/>
                <w:szCs w:val="20"/>
              </w:rPr>
            </w:pPr>
            <w:r>
              <w:rPr>
                <w:spacing w:val="10"/>
                <w:sz w:val="20"/>
                <w:szCs w:val="20"/>
              </w:rPr>
              <w:t>玻璃纤维，是一种性能优异的无机非金属材料，</w:t>
            </w:r>
            <w:r>
              <w:rPr>
                <w:spacing w:val="9"/>
                <w:sz w:val="20"/>
                <w:szCs w:val="20"/>
              </w:rPr>
              <w:t>种类繁多，优点是绝缘性好、耐</w:t>
            </w:r>
            <w:r>
              <w:rPr>
                <w:sz w:val="20"/>
                <w:szCs w:val="20"/>
              </w:rPr>
              <w:t xml:space="preserve"> </w:t>
            </w:r>
            <w:r>
              <w:rPr>
                <w:spacing w:val="10"/>
                <w:sz w:val="20"/>
                <w:szCs w:val="20"/>
              </w:rPr>
              <w:t>热性强、抗腐蚀性好、机械强度高，但缺点是性脆，耐磨性</w:t>
            </w:r>
            <w:r>
              <w:rPr>
                <w:spacing w:val="9"/>
                <w:sz w:val="20"/>
                <w:szCs w:val="20"/>
              </w:rPr>
              <w:t>较差。它是以叶腊石、石</w:t>
            </w:r>
            <w:r>
              <w:rPr>
                <w:sz w:val="20"/>
                <w:szCs w:val="20"/>
              </w:rPr>
              <w:t xml:space="preserve"> </w:t>
            </w:r>
            <w:r>
              <w:rPr>
                <w:spacing w:val="9"/>
                <w:sz w:val="20"/>
                <w:szCs w:val="20"/>
              </w:rPr>
              <w:t>英砂、石灰石、</w:t>
            </w:r>
            <w:r>
              <w:rPr>
                <w:spacing w:val="-56"/>
                <w:sz w:val="20"/>
                <w:szCs w:val="20"/>
              </w:rPr>
              <w:t xml:space="preserve"> </w:t>
            </w:r>
            <w:r>
              <w:rPr>
                <w:spacing w:val="9"/>
                <w:sz w:val="20"/>
                <w:szCs w:val="20"/>
              </w:rPr>
              <w:t>白云石、硼钙石、硼镁石六</w:t>
            </w:r>
            <w:r>
              <w:rPr>
                <w:spacing w:val="8"/>
                <w:sz w:val="20"/>
                <w:szCs w:val="20"/>
              </w:rPr>
              <w:t>种矿石为原料经高温熔制、拉丝、络纱、</w:t>
            </w:r>
            <w:r>
              <w:rPr>
                <w:sz w:val="20"/>
                <w:szCs w:val="20"/>
              </w:rPr>
              <w:t xml:space="preserve"> </w:t>
            </w:r>
            <w:r>
              <w:rPr>
                <w:spacing w:val="10"/>
                <w:sz w:val="20"/>
                <w:szCs w:val="20"/>
              </w:rPr>
              <w:t>织布等工艺制造成的，其单丝的直径为几个微米到二十几个</w:t>
            </w:r>
            <w:r>
              <w:rPr>
                <w:spacing w:val="9"/>
                <w:sz w:val="20"/>
                <w:szCs w:val="20"/>
              </w:rPr>
              <w:t>微米，相当于一根头发丝</w:t>
            </w:r>
            <w:r>
              <w:rPr>
                <w:sz w:val="20"/>
                <w:szCs w:val="20"/>
              </w:rPr>
              <w:t xml:space="preserve"> </w:t>
            </w:r>
            <w:r>
              <w:rPr>
                <w:spacing w:val="8"/>
                <w:sz w:val="20"/>
                <w:szCs w:val="20"/>
              </w:rPr>
              <w:t>的</w:t>
            </w:r>
            <w:r>
              <w:rPr>
                <w:rFonts w:ascii="Times New Roman" w:hAnsi="Times New Roman" w:eastAsia="Times New Roman" w:cs="Times New Roman"/>
                <w:spacing w:val="8"/>
                <w:sz w:val="20"/>
                <w:szCs w:val="20"/>
              </w:rPr>
              <w:t>1/20-1/5</w:t>
            </w:r>
            <w:r>
              <w:rPr>
                <w:rFonts w:ascii="Times New Roman" w:hAnsi="Times New Roman" w:eastAsia="Times New Roman" w:cs="Times New Roman"/>
                <w:spacing w:val="16"/>
                <w:sz w:val="20"/>
                <w:szCs w:val="20"/>
              </w:rPr>
              <w:t xml:space="preserve">  </w:t>
            </w:r>
            <w:r>
              <w:rPr>
                <w:spacing w:val="8"/>
                <w:sz w:val="20"/>
                <w:szCs w:val="20"/>
              </w:rPr>
              <w:t>，每束纤维原丝都由数百根甚至上千根单丝组成。玻璃纤维通</w:t>
            </w:r>
            <w:r>
              <w:rPr>
                <w:spacing w:val="7"/>
                <w:sz w:val="20"/>
                <w:szCs w:val="20"/>
              </w:rPr>
              <w:t>常用作复合</w:t>
            </w:r>
            <w:r>
              <w:rPr>
                <w:sz w:val="20"/>
                <w:szCs w:val="20"/>
              </w:rPr>
              <w:t xml:space="preserve"> </w:t>
            </w:r>
            <w:r>
              <w:rPr>
                <w:spacing w:val="8"/>
                <w:sz w:val="20"/>
                <w:szCs w:val="20"/>
              </w:rPr>
              <w:t>材料中的增强材料，电绝缘材料和绝热保温材料，</w:t>
            </w:r>
            <w:r>
              <w:rPr>
                <w:spacing w:val="-49"/>
                <w:sz w:val="20"/>
                <w:szCs w:val="20"/>
              </w:rPr>
              <w:t xml:space="preserve"> </w:t>
            </w:r>
            <w:r>
              <w:rPr>
                <w:spacing w:val="8"/>
                <w:sz w:val="20"/>
                <w:szCs w:val="20"/>
              </w:rPr>
              <w:t>电路基板等国民经济各个领域。</w:t>
            </w:r>
          </w:p>
          <w:p w14:paraId="6B2A7407">
            <w:pPr>
              <w:pStyle w:val="6"/>
              <w:spacing w:before="33" w:line="228" w:lineRule="auto"/>
              <w:ind w:left="521"/>
              <w:rPr>
                <w:sz w:val="20"/>
                <w:szCs w:val="20"/>
              </w:rPr>
            </w:pPr>
            <w:r>
              <w:rPr>
                <w:spacing w:val="6"/>
                <w:sz w:val="20"/>
                <w:szCs w:val="20"/>
              </w:rPr>
              <w:t>（</w:t>
            </w:r>
            <w:r>
              <w:rPr>
                <w:rFonts w:ascii="Times New Roman" w:hAnsi="Times New Roman" w:eastAsia="Times New Roman" w:cs="Times New Roman"/>
                <w:spacing w:val="6"/>
                <w:sz w:val="20"/>
                <w:szCs w:val="20"/>
              </w:rPr>
              <w:t>6</w:t>
            </w:r>
            <w:r>
              <w:rPr>
                <w:spacing w:val="6"/>
                <w:sz w:val="20"/>
                <w:szCs w:val="20"/>
              </w:rPr>
              <w:t>）玻化微珠</w:t>
            </w:r>
          </w:p>
          <w:p w14:paraId="2607832A">
            <w:pPr>
              <w:pStyle w:val="6"/>
              <w:spacing w:before="152" w:line="227" w:lineRule="auto"/>
              <w:ind w:left="490"/>
              <w:rPr>
                <w:sz w:val="20"/>
                <w:szCs w:val="20"/>
              </w:rPr>
            </w:pPr>
            <w:r>
              <w:rPr>
                <w:spacing w:val="-2"/>
                <w:sz w:val="20"/>
                <w:szCs w:val="20"/>
              </w:rPr>
              <w:t>玻化微珠是一种无机玻璃质矿物材料，由于表面玻化形成一定的颗粒强度，理化性能</w:t>
            </w:r>
          </w:p>
        </w:tc>
      </w:tr>
    </w:tbl>
    <w:p w14:paraId="6A8FA0A5">
      <w:pPr>
        <w:pStyle w:val="2"/>
      </w:pPr>
    </w:p>
    <w:p w14:paraId="669537D0">
      <w:pPr>
        <w:sectPr>
          <w:footerReference r:id="rId39" w:type="default"/>
          <w:pgSz w:w="11906" w:h="16839"/>
          <w:pgMar w:top="1431" w:right="1532" w:bottom="1260" w:left="1533" w:header="0" w:footer="1080" w:gutter="0"/>
          <w:cols w:space="720" w:num="1"/>
        </w:sectPr>
      </w:pPr>
    </w:p>
    <w:p w14:paraId="479BE2BF">
      <w:pPr>
        <w:spacing w:before="28"/>
      </w:pPr>
      <w:r>
        <w:drawing>
          <wp:anchor distT="0" distB="0" distL="0" distR="0" simplePos="0" relativeHeight="251685888" behindDoc="0" locked="0" layoutInCell="0" allowOverlap="1">
            <wp:simplePos x="0" y="0"/>
            <wp:positionH relativeFrom="page">
              <wp:posOffset>6513195</wp:posOffset>
            </wp:positionH>
            <wp:positionV relativeFrom="page">
              <wp:posOffset>7899400</wp:posOffset>
            </wp:positionV>
            <wp:extent cx="6350" cy="156908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3"/>
                    <a:stretch>
                      <a:fillRect/>
                    </a:stretch>
                  </pic:blipFill>
                  <pic:spPr>
                    <a:xfrm>
                      <a:off x="0" y="0"/>
                      <a:ext cx="6350" cy="1569338"/>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1560830</wp:posOffset>
            </wp:positionH>
            <wp:positionV relativeFrom="page">
              <wp:posOffset>7893050</wp:posOffset>
            </wp:positionV>
            <wp:extent cx="6350" cy="157543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4"/>
                    <a:stretch>
                      <a:fillRect/>
                    </a:stretch>
                  </pic:blipFill>
                  <pic:spPr>
                    <a:xfrm>
                      <a:off x="0" y="0"/>
                      <a:ext cx="6350" cy="1575434"/>
                    </a:xfrm>
                    <a:prstGeom prst="rect">
                      <a:avLst/>
                    </a:prstGeom>
                  </pic:spPr>
                </pic:pic>
              </a:graphicData>
            </a:graphic>
          </wp:anchor>
        </w:drawing>
      </w:r>
      <w:r>
        <w:pict>
          <v:shape id="_x0000_s1037" o:spid="_x0000_s1037" style="position:absolute;left:0pt;margin-left:124.45pt;margin-top:446.05pt;height:155.5pt;width:0.5pt;mso-position-horizontal-relative:page;mso-position-vertical-relative:page;z-index:251684864;mso-width-relative:page;mso-height-relative:page;" filled="f" stroked="t" coordsize="10,3110" o:allowincell="f" path="m4,0l4,3109e">
            <v:fill on="f" focussize="0,0"/>
            <v:stroke weight="0.48pt" color="#000000" miterlimit="2" joinstyle="bevel"/>
            <v:imagedata o:title=""/>
            <o:lock v:ext="edit"/>
          </v:shape>
        </w:pict>
      </w: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72"/>
        <w:gridCol w:w="1715"/>
        <w:gridCol w:w="2181"/>
        <w:gridCol w:w="1992"/>
        <w:gridCol w:w="132"/>
      </w:tblGrid>
      <w:tr w14:paraId="1013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7" w:hRule="atLeast"/>
        </w:trPr>
        <w:tc>
          <w:tcPr>
            <w:tcW w:w="831" w:type="dxa"/>
            <w:vMerge w:val="restart"/>
            <w:tcBorders>
              <w:top w:val="single" w:color="000000" w:sz="6" w:space="0"/>
              <w:left w:val="single" w:color="000000" w:sz="6" w:space="0"/>
              <w:bottom w:val="nil"/>
            </w:tcBorders>
            <w:vAlign w:val="top"/>
          </w:tcPr>
          <w:p w14:paraId="586E0330">
            <w:pPr>
              <w:rPr>
                <w:rFonts w:ascii="Arial"/>
                <w:sz w:val="21"/>
              </w:rPr>
            </w:pPr>
          </w:p>
        </w:tc>
        <w:tc>
          <w:tcPr>
            <w:tcW w:w="7992" w:type="dxa"/>
            <w:gridSpan w:val="5"/>
            <w:tcBorders>
              <w:top w:val="single" w:color="000000" w:sz="6" w:space="0"/>
              <w:right w:val="single" w:color="000000" w:sz="6" w:space="0"/>
            </w:tcBorders>
            <w:vAlign w:val="top"/>
          </w:tcPr>
          <w:p w14:paraId="185722A4">
            <w:pPr>
              <w:pStyle w:val="6"/>
              <w:spacing w:before="142" w:line="366" w:lineRule="auto"/>
              <w:ind w:left="90" w:right="166" w:firstLine="1"/>
              <w:rPr>
                <w:sz w:val="20"/>
                <w:szCs w:val="20"/>
              </w:rPr>
            </w:pPr>
            <w:r>
              <w:rPr>
                <w:spacing w:val="-2"/>
                <w:sz w:val="20"/>
                <w:szCs w:val="20"/>
              </w:rPr>
              <w:t>十分稳定，耐老化耐候性强，具有优异的绝热﹑防火﹑吸音性能，适合诸多领域中作轻质</w:t>
            </w:r>
            <w:r>
              <w:rPr>
                <w:sz w:val="20"/>
                <w:szCs w:val="20"/>
              </w:rPr>
              <w:t xml:space="preserve"> </w:t>
            </w:r>
            <w:r>
              <w:rPr>
                <w:spacing w:val="-2"/>
                <w:sz w:val="20"/>
                <w:szCs w:val="20"/>
              </w:rPr>
              <w:t>填充骨料和绝热﹑防火﹑吸音﹑保温材料。在建材行业中，用玻化微珠作为轻质骨料，可</w:t>
            </w:r>
            <w:r>
              <w:rPr>
                <w:spacing w:val="2"/>
                <w:sz w:val="20"/>
                <w:szCs w:val="20"/>
              </w:rPr>
              <w:t xml:space="preserve"> </w:t>
            </w:r>
            <w:r>
              <w:rPr>
                <w:spacing w:val="-2"/>
                <w:sz w:val="20"/>
                <w:szCs w:val="20"/>
              </w:rPr>
              <w:t>提高砂浆的和易流动性和自抗强度，减少材性收缩率，提高产品综合性能，降低综合生产</w:t>
            </w:r>
            <w:r>
              <w:rPr>
                <w:spacing w:val="2"/>
                <w:sz w:val="20"/>
                <w:szCs w:val="20"/>
              </w:rPr>
              <w:t xml:space="preserve"> </w:t>
            </w:r>
            <w:r>
              <w:rPr>
                <w:spacing w:val="-2"/>
                <w:sz w:val="20"/>
                <w:szCs w:val="20"/>
              </w:rPr>
              <w:t>成本。在轻质干混砂浆（保温型、砌筑型、抹面型）应用中，用玻化微珠替代传统的普通</w:t>
            </w:r>
            <w:r>
              <w:rPr>
                <w:spacing w:val="2"/>
                <w:sz w:val="20"/>
                <w:szCs w:val="20"/>
              </w:rPr>
              <w:t xml:space="preserve"> </w:t>
            </w:r>
            <w:r>
              <w:rPr>
                <w:spacing w:val="-2"/>
                <w:sz w:val="20"/>
                <w:szCs w:val="20"/>
              </w:rPr>
              <w:t>膨胀珍珠岩和聚苯颗粒作干混保温砂浆轻质骨料，克服了膨胀珍珠岩吸水性大﹑易粉化，</w:t>
            </w:r>
            <w:r>
              <w:rPr>
                <w:spacing w:val="2"/>
                <w:sz w:val="20"/>
                <w:szCs w:val="20"/>
              </w:rPr>
              <w:t xml:space="preserve"> </w:t>
            </w:r>
            <w:r>
              <w:rPr>
                <w:spacing w:val="-2"/>
                <w:sz w:val="20"/>
                <w:szCs w:val="20"/>
              </w:rPr>
              <w:t>在料浆搅拌中体积收缩率大，易造成产品后期强度低和空鼓开裂等现象，同时又弥补了聚</w:t>
            </w:r>
            <w:r>
              <w:rPr>
                <w:spacing w:val="2"/>
                <w:sz w:val="20"/>
                <w:szCs w:val="20"/>
              </w:rPr>
              <w:t xml:space="preserve"> </w:t>
            </w:r>
            <w:r>
              <w:rPr>
                <w:spacing w:val="-2"/>
                <w:sz w:val="20"/>
                <w:szCs w:val="20"/>
              </w:rPr>
              <w:t>苯颗粒有机材料易燃﹑防火性能差﹑ 高温产生有害气体和耐老化耐候性低</w:t>
            </w:r>
            <w:r>
              <w:rPr>
                <w:spacing w:val="-3"/>
                <w:sz w:val="20"/>
                <w:szCs w:val="20"/>
              </w:rPr>
              <w:t>﹑施工中反弹</w:t>
            </w:r>
            <w:r>
              <w:rPr>
                <w:sz w:val="20"/>
                <w:szCs w:val="20"/>
              </w:rPr>
              <w:t xml:space="preserve">  </w:t>
            </w:r>
            <w:r>
              <w:rPr>
                <w:spacing w:val="-2"/>
                <w:sz w:val="20"/>
                <w:szCs w:val="20"/>
              </w:rPr>
              <w:t>性大等缺陷，提高完善了保温砂浆的综合性能和施工性能。</w:t>
            </w:r>
          </w:p>
          <w:p w14:paraId="5B4345E3">
            <w:pPr>
              <w:pStyle w:val="6"/>
              <w:spacing w:before="29" w:line="227" w:lineRule="auto"/>
              <w:ind w:left="521"/>
              <w:rPr>
                <w:sz w:val="20"/>
                <w:szCs w:val="20"/>
              </w:rPr>
            </w:pPr>
            <w:r>
              <w:rPr>
                <w:spacing w:val="5"/>
                <w:sz w:val="20"/>
                <w:szCs w:val="20"/>
              </w:rPr>
              <w:t>（</w:t>
            </w:r>
            <w:r>
              <w:rPr>
                <w:rFonts w:ascii="Times New Roman" w:hAnsi="Times New Roman" w:eastAsia="Times New Roman" w:cs="Times New Roman"/>
                <w:spacing w:val="5"/>
                <w:sz w:val="20"/>
                <w:szCs w:val="20"/>
              </w:rPr>
              <w:t>7</w:t>
            </w:r>
            <w:r>
              <w:rPr>
                <w:spacing w:val="5"/>
                <w:sz w:val="20"/>
                <w:szCs w:val="20"/>
              </w:rPr>
              <w:t>）脱模剂</w:t>
            </w:r>
          </w:p>
          <w:p w14:paraId="43A4BF43">
            <w:pPr>
              <w:pStyle w:val="6"/>
              <w:spacing w:before="155" w:line="364" w:lineRule="auto"/>
              <w:ind w:left="91" w:right="129" w:firstLine="420"/>
              <w:jc w:val="both"/>
              <w:rPr>
                <w:sz w:val="20"/>
                <w:szCs w:val="20"/>
              </w:rPr>
            </w:pPr>
            <w:r>
              <w:rPr>
                <w:spacing w:val="10"/>
                <w:sz w:val="20"/>
                <w:szCs w:val="20"/>
              </w:rPr>
              <w:t>脱模剂：一种介于模具和成品之间的功能性物质，具</w:t>
            </w:r>
            <w:r>
              <w:rPr>
                <w:spacing w:val="9"/>
                <w:sz w:val="20"/>
                <w:szCs w:val="20"/>
              </w:rPr>
              <w:t>有耐热及应力性能不易分解</w:t>
            </w:r>
            <w:r>
              <w:rPr>
                <w:sz w:val="20"/>
                <w:szCs w:val="20"/>
              </w:rPr>
              <w:t xml:space="preserve"> </w:t>
            </w:r>
            <w:r>
              <w:rPr>
                <w:spacing w:val="10"/>
                <w:sz w:val="20"/>
                <w:szCs w:val="20"/>
              </w:rPr>
              <w:t>或磨损。脱模剂的作用是使已固化的复合材料制品顺利地从</w:t>
            </w:r>
            <w:r>
              <w:rPr>
                <w:spacing w:val="9"/>
                <w:sz w:val="20"/>
                <w:szCs w:val="20"/>
              </w:rPr>
              <w:t>模县上分离开来，得到光</w:t>
            </w:r>
            <w:r>
              <w:rPr>
                <w:sz w:val="20"/>
                <w:szCs w:val="20"/>
              </w:rPr>
              <w:t xml:space="preserve"> </w:t>
            </w:r>
            <w:r>
              <w:rPr>
                <w:spacing w:val="10"/>
                <w:sz w:val="20"/>
                <w:szCs w:val="20"/>
              </w:rPr>
              <w:t>滑平整的制品，并保证模具多次使用的物质。项目采用脱模</w:t>
            </w:r>
            <w:r>
              <w:rPr>
                <w:spacing w:val="9"/>
                <w:sz w:val="20"/>
                <w:szCs w:val="20"/>
              </w:rPr>
              <w:t>剂为水性脱模剂，基本组</w:t>
            </w:r>
            <w:r>
              <w:rPr>
                <w:sz w:val="20"/>
                <w:szCs w:val="20"/>
              </w:rPr>
              <w:t xml:space="preserve"> </w:t>
            </w:r>
            <w:r>
              <w:rPr>
                <w:spacing w:val="10"/>
                <w:sz w:val="20"/>
                <w:szCs w:val="20"/>
              </w:rPr>
              <w:t>成成分为成膜剂、乳化剂、基础油和水。该脱模剂成膜</w:t>
            </w:r>
            <w:r>
              <w:rPr>
                <w:spacing w:val="9"/>
                <w:sz w:val="20"/>
                <w:szCs w:val="20"/>
              </w:rPr>
              <w:t>稳定，表面张力小，无毒、无</w:t>
            </w:r>
            <w:r>
              <w:rPr>
                <w:sz w:val="20"/>
                <w:szCs w:val="20"/>
              </w:rPr>
              <w:t xml:space="preserve"> </w:t>
            </w:r>
            <w:r>
              <w:rPr>
                <w:spacing w:val="10"/>
                <w:sz w:val="20"/>
                <w:szCs w:val="20"/>
              </w:rPr>
              <w:t>异味、无腐蚀性、无刺激性、脱模后模具不生锈。本项目采</w:t>
            </w:r>
            <w:r>
              <w:rPr>
                <w:spacing w:val="9"/>
                <w:sz w:val="20"/>
                <w:szCs w:val="20"/>
              </w:rPr>
              <w:t>用的脱模剂为桶装型，使</w:t>
            </w:r>
            <w:r>
              <w:rPr>
                <w:sz w:val="20"/>
                <w:szCs w:val="20"/>
              </w:rPr>
              <w:t xml:space="preserve"> </w:t>
            </w:r>
            <w:r>
              <w:rPr>
                <w:spacing w:val="8"/>
                <w:sz w:val="20"/>
                <w:szCs w:val="20"/>
              </w:rPr>
              <w:t>用后会产生废脱模剂桶。</w:t>
            </w:r>
          </w:p>
          <w:p w14:paraId="3774EB13">
            <w:pPr>
              <w:spacing w:before="23" w:line="223" w:lineRule="auto"/>
              <w:ind w:left="90"/>
              <w:rPr>
                <w:rFonts w:ascii="黑体" w:hAnsi="黑体" w:eastAsia="黑体" w:cs="黑体"/>
                <w:sz w:val="22"/>
                <w:szCs w:val="22"/>
              </w:rPr>
            </w:pPr>
            <w:r>
              <w:rPr>
                <w:rFonts w:ascii="黑体" w:hAnsi="黑体" w:eastAsia="黑体" w:cs="黑体"/>
                <w:spacing w:val="-1"/>
                <w:sz w:val="22"/>
                <w:szCs w:val="22"/>
              </w:rPr>
              <w:t>6、物料平衡分析</w:t>
            </w:r>
          </w:p>
          <w:p w14:paraId="0BCC8688">
            <w:pPr>
              <w:pStyle w:val="6"/>
              <w:spacing w:before="135" w:line="220" w:lineRule="auto"/>
              <w:ind w:left="537"/>
            </w:pPr>
            <w:r>
              <w:rPr>
                <w:spacing w:val="-2"/>
              </w:rPr>
              <w:t>营运期物料平衡见下表。</w:t>
            </w:r>
          </w:p>
          <w:p w14:paraId="5DFFD6FA">
            <w:pPr>
              <w:spacing w:before="174" w:line="219" w:lineRule="auto"/>
              <w:ind w:left="187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7"/>
                <w:sz w:val="18"/>
                <w:szCs w:val="18"/>
              </w:rPr>
              <w:t xml:space="preserve"> </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营运期混凝土砌块及板材生产线物料平衡表</w:t>
            </w:r>
          </w:p>
        </w:tc>
      </w:tr>
      <w:tr w14:paraId="51C7E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14:paraId="33EA9A75">
            <w:pPr>
              <w:rPr>
                <w:rFonts w:ascii="Arial"/>
                <w:sz w:val="21"/>
              </w:rPr>
            </w:pPr>
          </w:p>
        </w:tc>
        <w:tc>
          <w:tcPr>
            <w:tcW w:w="3687" w:type="dxa"/>
            <w:gridSpan w:val="2"/>
            <w:vAlign w:val="top"/>
          </w:tcPr>
          <w:p w14:paraId="39667742">
            <w:pPr>
              <w:pStyle w:val="6"/>
              <w:spacing w:before="88" w:line="211" w:lineRule="auto"/>
              <w:ind w:left="1731"/>
              <w:rPr>
                <w:sz w:val="18"/>
                <w:szCs w:val="18"/>
              </w:rPr>
            </w:pPr>
            <w:r>
              <w:rPr>
                <w:b/>
                <w:bCs/>
                <w:spacing w:val="-7"/>
                <w:sz w:val="18"/>
                <w:szCs w:val="18"/>
              </w:rPr>
              <w:t>投入</w:t>
            </w:r>
          </w:p>
        </w:tc>
        <w:tc>
          <w:tcPr>
            <w:tcW w:w="4173" w:type="dxa"/>
            <w:gridSpan w:val="2"/>
            <w:vAlign w:val="top"/>
          </w:tcPr>
          <w:p w14:paraId="61190723">
            <w:pPr>
              <w:pStyle w:val="6"/>
              <w:spacing w:before="88" w:line="211" w:lineRule="auto"/>
              <w:ind w:left="1911"/>
              <w:rPr>
                <w:sz w:val="18"/>
                <w:szCs w:val="18"/>
              </w:rPr>
            </w:pPr>
            <w:r>
              <w:rPr>
                <w:b/>
                <w:bCs/>
                <w:spacing w:val="-6"/>
                <w:sz w:val="18"/>
                <w:szCs w:val="18"/>
              </w:rPr>
              <w:t>产出</w:t>
            </w:r>
          </w:p>
        </w:tc>
        <w:tc>
          <w:tcPr>
            <w:tcW w:w="132" w:type="dxa"/>
            <w:vMerge w:val="restart"/>
            <w:tcBorders>
              <w:top w:val="nil"/>
              <w:bottom w:val="nil"/>
              <w:right w:val="single" w:color="000000" w:sz="6" w:space="0"/>
            </w:tcBorders>
            <w:vAlign w:val="top"/>
          </w:tcPr>
          <w:p w14:paraId="5581DACF">
            <w:pPr>
              <w:rPr>
                <w:rFonts w:ascii="Arial"/>
                <w:sz w:val="21"/>
              </w:rPr>
            </w:pPr>
          </w:p>
        </w:tc>
      </w:tr>
      <w:tr w14:paraId="4542B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2263E991">
            <w:pPr>
              <w:rPr>
                <w:rFonts w:ascii="Arial"/>
                <w:sz w:val="21"/>
              </w:rPr>
            </w:pPr>
          </w:p>
        </w:tc>
        <w:tc>
          <w:tcPr>
            <w:tcW w:w="1972" w:type="dxa"/>
            <w:vAlign w:val="top"/>
          </w:tcPr>
          <w:p w14:paraId="67D3EABA">
            <w:pPr>
              <w:pStyle w:val="6"/>
              <w:spacing w:before="89" w:line="211" w:lineRule="auto"/>
              <w:ind w:left="876"/>
              <w:rPr>
                <w:sz w:val="18"/>
                <w:szCs w:val="18"/>
              </w:rPr>
            </w:pPr>
            <w:r>
              <w:rPr>
                <w:b/>
                <w:bCs/>
                <w:spacing w:val="-8"/>
                <w:sz w:val="18"/>
                <w:szCs w:val="18"/>
              </w:rPr>
              <w:t>原料</w:t>
            </w:r>
          </w:p>
        </w:tc>
        <w:tc>
          <w:tcPr>
            <w:tcW w:w="1715" w:type="dxa"/>
            <w:vAlign w:val="top"/>
          </w:tcPr>
          <w:p w14:paraId="122D40D1">
            <w:pPr>
              <w:pStyle w:val="6"/>
              <w:spacing w:before="89" w:line="211" w:lineRule="auto"/>
              <w:ind w:left="313"/>
              <w:rPr>
                <w:sz w:val="18"/>
                <w:szCs w:val="18"/>
              </w:rPr>
            </w:pPr>
            <w:r>
              <w:rPr>
                <w:b/>
                <w:bCs/>
                <w:spacing w:val="-2"/>
                <w:sz w:val="18"/>
                <w:szCs w:val="18"/>
              </w:rPr>
              <w:t>投入量（</w:t>
            </w:r>
            <w:r>
              <w:rPr>
                <w:rFonts w:ascii="Times New Roman" w:hAnsi="Times New Roman" w:eastAsia="Times New Roman" w:cs="Times New Roman"/>
                <w:b/>
                <w:bCs/>
                <w:spacing w:val="-2"/>
                <w:sz w:val="18"/>
                <w:szCs w:val="18"/>
              </w:rPr>
              <w:t>t/a</w:t>
            </w:r>
            <w:r>
              <w:rPr>
                <w:b/>
                <w:bCs/>
                <w:spacing w:val="-2"/>
                <w:sz w:val="18"/>
                <w:szCs w:val="18"/>
              </w:rPr>
              <w:t>）</w:t>
            </w:r>
          </w:p>
        </w:tc>
        <w:tc>
          <w:tcPr>
            <w:tcW w:w="2181" w:type="dxa"/>
            <w:vAlign w:val="top"/>
          </w:tcPr>
          <w:p w14:paraId="3D7A6CED">
            <w:pPr>
              <w:pStyle w:val="6"/>
              <w:spacing w:before="89" w:line="211" w:lineRule="auto"/>
              <w:ind w:left="912"/>
              <w:rPr>
                <w:sz w:val="18"/>
                <w:szCs w:val="18"/>
              </w:rPr>
            </w:pPr>
            <w:r>
              <w:rPr>
                <w:b/>
                <w:bCs/>
                <w:spacing w:val="-6"/>
                <w:sz w:val="18"/>
                <w:szCs w:val="18"/>
              </w:rPr>
              <w:t>产品</w:t>
            </w:r>
          </w:p>
        </w:tc>
        <w:tc>
          <w:tcPr>
            <w:tcW w:w="1992" w:type="dxa"/>
            <w:vAlign w:val="top"/>
          </w:tcPr>
          <w:p w14:paraId="14F83B5D">
            <w:pPr>
              <w:pStyle w:val="6"/>
              <w:spacing w:before="89" w:line="211" w:lineRule="auto"/>
              <w:ind w:left="447"/>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c>
          <w:tcPr>
            <w:tcW w:w="132" w:type="dxa"/>
            <w:vMerge w:val="continue"/>
            <w:tcBorders>
              <w:top w:val="nil"/>
              <w:bottom w:val="nil"/>
              <w:right w:val="single" w:color="000000" w:sz="6" w:space="0"/>
            </w:tcBorders>
            <w:vAlign w:val="top"/>
          </w:tcPr>
          <w:p w14:paraId="1D2EC60A">
            <w:pPr>
              <w:rPr>
                <w:rFonts w:ascii="Arial"/>
                <w:sz w:val="21"/>
              </w:rPr>
            </w:pPr>
          </w:p>
        </w:tc>
      </w:tr>
      <w:tr w14:paraId="36FC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10375A56">
            <w:pPr>
              <w:rPr>
                <w:rFonts w:ascii="Arial"/>
                <w:sz w:val="21"/>
              </w:rPr>
            </w:pPr>
          </w:p>
        </w:tc>
        <w:tc>
          <w:tcPr>
            <w:tcW w:w="1972" w:type="dxa"/>
            <w:vAlign w:val="top"/>
          </w:tcPr>
          <w:p w14:paraId="5859B564">
            <w:pPr>
              <w:pStyle w:val="6"/>
              <w:spacing w:before="84" w:line="216" w:lineRule="auto"/>
              <w:ind w:left="874"/>
              <w:rPr>
                <w:sz w:val="18"/>
                <w:szCs w:val="18"/>
              </w:rPr>
            </w:pPr>
            <w:r>
              <w:rPr>
                <w:spacing w:val="-5"/>
                <w:sz w:val="18"/>
                <w:szCs w:val="18"/>
              </w:rPr>
              <w:t>水泥</w:t>
            </w:r>
          </w:p>
        </w:tc>
        <w:tc>
          <w:tcPr>
            <w:tcW w:w="1715" w:type="dxa"/>
            <w:vAlign w:val="top"/>
          </w:tcPr>
          <w:p w14:paraId="3A32974D">
            <w:pPr>
              <w:spacing w:before="115" w:line="188" w:lineRule="auto"/>
              <w:ind w:left="4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50402.004</w:t>
            </w:r>
          </w:p>
        </w:tc>
        <w:tc>
          <w:tcPr>
            <w:tcW w:w="2181" w:type="dxa"/>
            <w:vAlign w:val="top"/>
          </w:tcPr>
          <w:p w14:paraId="47239D0E">
            <w:pPr>
              <w:pStyle w:val="6"/>
              <w:spacing w:before="65" w:line="220" w:lineRule="auto"/>
              <w:ind w:left="286"/>
              <w:rPr>
                <w:sz w:val="18"/>
                <w:szCs w:val="18"/>
              </w:rPr>
            </w:pPr>
            <w:r>
              <w:rPr>
                <w:spacing w:val="-2"/>
                <w:sz w:val="18"/>
                <w:szCs w:val="18"/>
              </w:rPr>
              <w:t>蒸压加气混凝土砌块</w:t>
            </w:r>
          </w:p>
        </w:tc>
        <w:tc>
          <w:tcPr>
            <w:tcW w:w="1992" w:type="dxa"/>
            <w:vAlign w:val="top"/>
          </w:tcPr>
          <w:p w14:paraId="6532A329">
            <w:pPr>
              <w:spacing w:before="96" w:line="188" w:lineRule="auto"/>
              <w:ind w:left="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240000</w:t>
            </w:r>
          </w:p>
        </w:tc>
        <w:tc>
          <w:tcPr>
            <w:tcW w:w="132" w:type="dxa"/>
            <w:vMerge w:val="continue"/>
            <w:tcBorders>
              <w:top w:val="nil"/>
              <w:bottom w:val="nil"/>
              <w:right w:val="single" w:color="000000" w:sz="6" w:space="0"/>
            </w:tcBorders>
            <w:vAlign w:val="top"/>
          </w:tcPr>
          <w:p w14:paraId="26391E65">
            <w:pPr>
              <w:rPr>
                <w:rFonts w:ascii="Arial"/>
                <w:sz w:val="21"/>
              </w:rPr>
            </w:pPr>
          </w:p>
        </w:tc>
      </w:tr>
      <w:tr w14:paraId="7FCAC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5D92102E">
            <w:pPr>
              <w:rPr>
                <w:rFonts w:ascii="Arial"/>
                <w:sz w:val="21"/>
              </w:rPr>
            </w:pPr>
          </w:p>
        </w:tc>
        <w:tc>
          <w:tcPr>
            <w:tcW w:w="1972" w:type="dxa"/>
            <w:vAlign w:val="top"/>
          </w:tcPr>
          <w:p w14:paraId="45DF8280">
            <w:pPr>
              <w:pStyle w:val="6"/>
              <w:spacing w:before="83" w:line="217" w:lineRule="auto"/>
              <w:ind w:left="873"/>
              <w:rPr>
                <w:sz w:val="18"/>
                <w:szCs w:val="18"/>
              </w:rPr>
            </w:pPr>
            <w:r>
              <w:rPr>
                <w:spacing w:val="-4"/>
                <w:sz w:val="18"/>
                <w:szCs w:val="18"/>
              </w:rPr>
              <w:t>石灰</w:t>
            </w:r>
          </w:p>
        </w:tc>
        <w:tc>
          <w:tcPr>
            <w:tcW w:w="1715" w:type="dxa"/>
            <w:vAlign w:val="top"/>
          </w:tcPr>
          <w:p w14:paraId="680FAFB1">
            <w:pPr>
              <w:spacing w:before="115" w:line="188" w:lineRule="auto"/>
              <w:ind w:left="521"/>
              <w:rPr>
                <w:rFonts w:ascii="Times New Roman" w:hAnsi="Times New Roman" w:eastAsia="Times New Roman" w:cs="Times New Roman"/>
                <w:sz w:val="18"/>
                <w:szCs w:val="18"/>
              </w:rPr>
            </w:pPr>
            <w:r>
              <w:rPr>
                <w:rFonts w:ascii="Times New Roman" w:hAnsi="Times New Roman" w:eastAsia="Times New Roman" w:cs="Times New Roman"/>
                <w:sz w:val="18"/>
                <w:szCs w:val="18"/>
              </w:rPr>
              <w:t>41509.65</w:t>
            </w:r>
          </w:p>
        </w:tc>
        <w:tc>
          <w:tcPr>
            <w:tcW w:w="2181" w:type="dxa"/>
            <w:vAlign w:val="top"/>
          </w:tcPr>
          <w:p w14:paraId="07C584D4">
            <w:pPr>
              <w:pStyle w:val="6"/>
              <w:spacing w:before="64" w:line="219" w:lineRule="auto"/>
              <w:ind w:left="286"/>
              <w:rPr>
                <w:sz w:val="18"/>
                <w:szCs w:val="18"/>
              </w:rPr>
            </w:pPr>
            <w:r>
              <w:rPr>
                <w:spacing w:val="-2"/>
                <w:sz w:val="18"/>
                <w:szCs w:val="18"/>
              </w:rPr>
              <w:t>蒸压加气混凝土板材</w:t>
            </w:r>
          </w:p>
        </w:tc>
        <w:tc>
          <w:tcPr>
            <w:tcW w:w="1992" w:type="dxa"/>
            <w:vAlign w:val="top"/>
          </w:tcPr>
          <w:p w14:paraId="0EBB1830">
            <w:pPr>
              <w:spacing w:before="95" w:line="188" w:lineRule="auto"/>
              <w:ind w:left="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130405.127</w:t>
            </w:r>
          </w:p>
        </w:tc>
        <w:tc>
          <w:tcPr>
            <w:tcW w:w="132" w:type="dxa"/>
            <w:vMerge w:val="continue"/>
            <w:tcBorders>
              <w:top w:val="nil"/>
              <w:bottom w:val="nil"/>
              <w:right w:val="single" w:color="000000" w:sz="6" w:space="0"/>
            </w:tcBorders>
            <w:vAlign w:val="top"/>
          </w:tcPr>
          <w:p w14:paraId="31D8BADF">
            <w:pPr>
              <w:rPr>
                <w:rFonts w:ascii="Arial"/>
                <w:sz w:val="21"/>
              </w:rPr>
            </w:pPr>
          </w:p>
        </w:tc>
      </w:tr>
      <w:tr w14:paraId="55DE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7C4FA0C5">
            <w:pPr>
              <w:rPr>
                <w:rFonts w:ascii="Arial"/>
                <w:sz w:val="21"/>
              </w:rPr>
            </w:pPr>
          </w:p>
        </w:tc>
        <w:tc>
          <w:tcPr>
            <w:tcW w:w="1972" w:type="dxa"/>
            <w:vAlign w:val="top"/>
          </w:tcPr>
          <w:p w14:paraId="5C4F11B4">
            <w:pPr>
              <w:pStyle w:val="6"/>
              <w:spacing w:before="83" w:line="217" w:lineRule="auto"/>
              <w:ind w:left="783"/>
              <w:rPr>
                <w:sz w:val="18"/>
                <w:szCs w:val="18"/>
              </w:rPr>
            </w:pPr>
            <w:r>
              <w:rPr>
                <w:spacing w:val="-3"/>
                <w:sz w:val="18"/>
                <w:szCs w:val="18"/>
              </w:rPr>
              <w:t>粉煤灰</w:t>
            </w:r>
          </w:p>
        </w:tc>
        <w:tc>
          <w:tcPr>
            <w:tcW w:w="1715" w:type="dxa"/>
            <w:vAlign w:val="top"/>
          </w:tcPr>
          <w:p w14:paraId="22D6998E">
            <w:pPr>
              <w:spacing w:before="114" w:line="188" w:lineRule="auto"/>
              <w:ind w:left="4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48457.927</w:t>
            </w:r>
          </w:p>
        </w:tc>
        <w:tc>
          <w:tcPr>
            <w:tcW w:w="2181" w:type="dxa"/>
            <w:vAlign w:val="top"/>
          </w:tcPr>
          <w:p w14:paraId="28A30B4D">
            <w:pPr>
              <w:pStyle w:val="6"/>
              <w:spacing w:before="64" w:line="219" w:lineRule="auto"/>
              <w:ind w:left="732"/>
              <w:rPr>
                <w:sz w:val="18"/>
                <w:szCs w:val="18"/>
              </w:rPr>
            </w:pPr>
            <w:r>
              <w:rPr>
                <w:spacing w:val="-2"/>
                <w:sz w:val="18"/>
                <w:szCs w:val="18"/>
              </w:rPr>
              <w:t>废钢筋节</w:t>
            </w:r>
          </w:p>
        </w:tc>
        <w:tc>
          <w:tcPr>
            <w:tcW w:w="1992" w:type="dxa"/>
            <w:vAlign w:val="top"/>
          </w:tcPr>
          <w:p w14:paraId="26B20851">
            <w:pPr>
              <w:spacing w:before="95" w:line="188" w:lineRule="auto"/>
              <w:ind w:left="7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105.37</w:t>
            </w:r>
          </w:p>
        </w:tc>
        <w:tc>
          <w:tcPr>
            <w:tcW w:w="132" w:type="dxa"/>
            <w:vMerge w:val="continue"/>
            <w:tcBorders>
              <w:top w:val="nil"/>
              <w:bottom w:val="nil"/>
              <w:right w:val="single" w:color="000000" w:sz="6" w:space="0"/>
            </w:tcBorders>
            <w:vAlign w:val="top"/>
          </w:tcPr>
          <w:p w14:paraId="556C1F54">
            <w:pPr>
              <w:rPr>
                <w:rFonts w:ascii="Arial"/>
                <w:sz w:val="21"/>
              </w:rPr>
            </w:pPr>
          </w:p>
        </w:tc>
      </w:tr>
      <w:tr w14:paraId="713F2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655C2F7D">
            <w:pPr>
              <w:rPr>
                <w:rFonts w:ascii="Arial"/>
                <w:sz w:val="21"/>
              </w:rPr>
            </w:pPr>
          </w:p>
        </w:tc>
        <w:tc>
          <w:tcPr>
            <w:tcW w:w="1972" w:type="dxa"/>
            <w:vAlign w:val="top"/>
          </w:tcPr>
          <w:p w14:paraId="2BDE88F4">
            <w:pPr>
              <w:pStyle w:val="6"/>
              <w:spacing w:before="85" w:line="215" w:lineRule="auto"/>
              <w:ind w:left="694"/>
              <w:rPr>
                <w:sz w:val="18"/>
                <w:szCs w:val="18"/>
              </w:rPr>
            </w:pPr>
            <w:r>
              <w:rPr>
                <w:spacing w:val="-3"/>
                <w:sz w:val="18"/>
                <w:szCs w:val="18"/>
              </w:rPr>
              <w:t>建筑垃圾</w:t>
            </w:r>
          </w:p>
        </w:tc>
        <w:tc>
          <w:tcPr>
            <w:tcW w:w="1715" w:type="dxa"/>
            <w:vAlign w:val="top"/>
          </w:tcPr>
          <w:p w14:paraId="038D7B95">
            <w:pPr>
              <w:spacing w:before="114" w:line="188" w:lineRule="auto"/>
              <w:ind w:left="4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219608.731</w:t>
            </w:r>
          </w:p>
        </w:tc>
        <w:tc>
          <w:tcPr>
            <w:tcW w:w="2181" w:type="dxa"/>
            <w:vAlign w:val="top"/>
          </w:tcPr>
          <w:p w14:paraId="5FC8B1C9">
            <w:pPr>
              <w:spacing w:before="94" w:line="194" w:lineRule="auto"/>
              <w:ind w:left="866"/>
              <w:rPr>
                <w:rFonts w:ascii="Times New Roman" w:hAnsi="Times New Roman" w:eastAsia="Times New Roman" w:cs="Times New Roman"/>
                <w:sz w:val="11"/>
                <w:szCs w:val="11"/>
              </w:rPr>
            </w:pPr>
            <w:r>
              <w:rPr>
                <w:rFonts w:ascii="Times New Roman" w:hAnsi="Times New Roman" w:eastAsia="Times New Roman" w:cs="Times New Roman"/>
                <w:sz w:val="18"/>
                <w:szCs w:val="18"/>
              </w:rPr>
              <w:t>VOC</w:t>
            </w:r>
            <w:r>
              <w:rPr>
                <w:rFonts w:ascii="Times New Roman" w:hAnsi="Times New Roman" w:eastAsia="Times New Roman" w:cs="Times New Roman"/>
                <w:position w:val="-1"/>
                <w:sz w:val="11"/>
                <w:szCs w:val="11"/>
              </w:rPr>
              <w:t>S</w:t>
            </w:r>
          </w:p>
        </w:tc>
        <w:tc>
          <w:tcPr>
            <w:tcW w:w="1992" w:type="dxa"/>
            <w:vAlign w:val="top"/>
          </w:tcPr>
          <w:p w14:paraId="3AF788F5">
            <w:pPr>
              <w:spacing w:before="95" w:line="188" w:lineRule="auto"/>
              <w:ind w:left="8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132" w:type="dxa"/>
            <w:vMerge w:val="continue"/>
            <w:tcBorders>
              <w:top w:val="nil"/>
              <w:bottom w:val="nil"/>
              <w:right w:val="single" w:color="000000" w:sz="6" w:space="0"/>
            </w:tcBorders>
            <w:vAlign w:val="top"/>
          </w:tcPr>
          <w:p w14:paraId="4A66BE09">
            <w:pPr>
              <w:rPr>
                <w:rFonts w:ascii="Arial"/>
                <w:sz w:val="21"/>
              </w:rPr>
            </w:pPr>
          </w:p>
        </w:tc>
      </w:tr>
      <w:tr w14:paraId="0BF45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754FDB42">
            <w:pPr>
              <w:rPr>
                <w:rFonts w:ascii="Arial"/>
                <w:sz w:val="21"/>
              </w:rPr>
            </w:pPr>
          </w:p>
        </w:tc>
        <w:tc>
          <w:tcPr>
            <w:tcW w:w="1972" w:type="dxa"/>
            <w:vAlign w:val="top"/>
          </w:tcPr>
          <w:p w14:paraId="5DF50929">
            <w:pPr>
              <w:pStyle w:val="6"/>
              <w:spacing w:before="85" w:line="215" w:lineRule="auto"/>
              <w:ind w:left="695"/>
              <w:rPr>
                <w:sz w:val="18"/>
                <w:szCs w:val="18"/>
              </w:rPr>
            </w:pPr>
            <w:r>
              <w:rPr>
                <w:spacing w:val="-3"/>
                <w:sz w:val="18"/>
                <w:szCs w:val="18"/>
              </w:rPr>
              <w:t>发泡铝粉</w:t>
            </w:r>
          </w:p>
        </w:tc>
        <w:tc>
          <w:tcPr>
            <w:tcW w:w="1715" w:type="dxa"/>
            <w:vAlign w:val="top"/>
          </w:tcPr>
          <w:p w14:paraId="5A53A81B">
            <w:pPr>
              <w:spacing w:before="113" w:line="188" w:lineRule="auto"/>
              <w:ind w:left="6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35.998</w:t>
            </w:r>
          </w:p>
        </w:tc>
        <w:tc>
          <w:tcPr>
            <w:tcW w:w="2181" w:type="dxa"/>
            <w:vAlign w:val="top"/>
          </w:tcPr>
          <w:p w14:paraId="01C27617">
            <w:pPr>
              <w:pStyle w:val="6"/>
              <w:spacing w:before="66" w:line="219" w:lineRule="auto"/>
              <w:ind w:left="650"/>
              <w:rPr>
                <w:sz w:val="18"/>
                <w:szCs w:val="18"/>
              </w:rPr>
            </w:pPr>
            <w:r>
              <w:rPr>
                <w:spacing w:val="-3"/>
                <w:sz w:val="18"/>
                <w:szCs w:val="18"/>
              </w:rPr>
              <w:t>收集的漆渣</w:t>
            </w:r>
          </w:p>
        </w:tc>
        <w:tc>
          <w:tcPr>
            <w:tcW w:w="1992" w:type="dxa"/>
            <w:vAlign w:val="top"/>
          </w:tcPr>
          <w:p w14:paraId="1B67197D">
            <w:pPr>
              <w:spacing w:before="94" w:line="188" w:lineRule="auto"/>
              <w:ind w:left="7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0.741</w:t>
            </w:r>
          </w:p>
        </w:tc>
        <w:tc>
          <w:tcPr>
            <w:tcW w:w="132" w:type="dxa"/>
            <w:vMerge w:val="continue"/>
            <w:tcBorders>
              <w:top w:val="nil"/>
              <w:bottom w:val="nil"/>
              <w:right w:val="single" w:color="000000" w:sz="6" w:space="0"/>
            </w:tcBorders>
            <w:vAlign w:val="top"/>
          </w:tcPr>
          <w:p w14:paraId="00566B78">
            <w:pPr>
              <w:rPr>
                <w:rFonts w:ascii="Arial"/>
                <w:sz w:val="21"/>
              </w:rPr>
            </w:pPr>
          </w:p>
        </w:tc>
      </w:tr>
      <w:tr w14:paraId="3339C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690DD35E">
            <w:pPr>
              <w:rPr>
                <w:rFonts w:ascii="Arial"/>
                <w:sz w:val="21"/>
              </w:rPr>
            </w:pPr>
          </w:p>
        </w:tc>
        <w:tc>
          <w:tcPr>
            <w:tcW w:w="1972" w:type="dxa"/>
            <w:vAlign w:val="top"/>
          </w:tcPr>
          <w:p w14:paraId="79858CCF">
            <w:pPr>
              <w:pStyle w:val="6"/>
              <w:spacing w:before="84" w:line="216" w:lineRule="auto"/>
              <w:ind w:left="697"/>
              <w:rPr>
                <w:sz w:val="18"/>
                <w:szCs w:val="18"/>
              </w:rPr>
            </w:pPr>
            <w:r>
              <w:rPr>
                <w:spacing w:val="-3"/>
                <w:sz w:val="18"/>
                <w:szCs w:val="18"/>
              </w:rPr>
              <w:t>带肋钢筋</w:t>
            </w:r>
          </w:p>
        </w:tc>
        <w:tc>
          <w:tcPr>
            <w:tcW w:w="1715" w:type="dxa"/>
            <w:vAlign w:val="top"/>
          </w:tcPr>
          <w:p w14:paraId="0CBC9894">
            <w:pPr>
              <w:spacing w:before="113" w:line="188" w:lineRule="auto"/>
              <w:ind w:left="5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10536.53</w:t>
            </w:r>
          </w:p>
        </w:tc>
        <w:tc>
          <w:tcPr>
            <w:tcW w:w="2181" w:type="dxa"/>
            <w:vAlign w:val="top"/>
          </w:tcPr>
          <w:p w14:paraId="4398AB0E">
            <w:pPr>
              <w:pStyle w:val="6"/>
              <w:spacing w:before="65" w:line="219" w:lineRule="auto"/>
              <w:ind w:left="464"/>
              <w:rPr>
                <w:sz w:val="18"/>
                <w:szCs w:val="18"/>
              </w:rPr>
            </w:pPr>
            <w:r>
              <w:rPr>
                <w:spacing w:val="-2"/>
                <w:sz w:val="18"/>
                <w:szCs w:val="18"/>
              </w:rPr>
              <w:t>产生的切割粉尘</w:t>
            </w:r>
          </w:p>
        </w:tc>
        <w:tc>
          <w:tcPr>
            <w:tcW w:w="1992" w:type="dxa"/>
            <w:vAlign w:val="top"/>
          </w:tcPr>
          <w:p w14:paraId="709FD4A3">
            <w:pPr>
              <w:spacing w:before="96" w:line="188" w:lineRule="auto"/>
              <w:ind w:left="7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55.84</w:t>
            </w:r>
          </w:p>
        </w:tc>
        <w:tc>
          <w:tcPr>
            <w:tcW w:w="132" w:type="dxa"/>
            <w:vMerge w:val="continue"/>
            <w:tcBorders>
              <w:top w:val="nil"/>
              <w:bottom w:val="nil"/>
              <w:right w:val="single" w:color="000000" w:sz="6" w:space="0"/>
            </w:tcBorders>
            <w:vAlign w:val="top"/>
          </w:tcPr>
          <w:p w14:paraId="5EE2473D">
            <w:pPr>
              <w:rPr>
                <w:rFonts w:ascii="Arial"/>
                <w:sz w:val="21"/>
              </w:rPr>
            </w:pPr>
          </w:p>
        </w:tc>
      </w:tr>
      <w:tr w14:paraId="47120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831" w:type="dxa"/>
            <w:vMerge w:val="continue"/>
            <w:tcBorders>
              <w:top w:val="nil"/>
              <w:left w:val="single" w:color="000000" w:sz="6" w:space="0"/>
              <w:bottom w:val="nil"/>
            </w:tcBorders>
            <w:vAlign w:val="top"/>
          </w:tcPr>
          <w:p w14:paraId="0722A9F9">
            <w:pPr>
              <w:rPr>
                <w:rFonts w:ascii="Arial"/>
                <w:sz w:val="21"/>
              </w:rPr>
            </w:pPr>
          </w:p>
        </w:tc>
        <w:tc>
          <w:tcPr>
            <w:tcW w:w="1972" w:type="dxa"/>
            <w:vAlign w:val="top"/>
          </w:tcPr>
          <w:p w14:paraId="0103B4C5">
            <w:pPr>
              <w:pStyle w:val="6"/>
              <w:spacing w:before="84" w:line="216" w:lineRule="auto"/>
              <w:ind w:left="785"/>
              <w:rPr>
                <w:sz w:val="18"/>
                <w:szCs w:val="18"/>
              </w:rPr>
            </w:pPr>
            <w:r>
              <w:rPr>
                <w:spacing w:val="-4"/>
                <w:sz w:val="18"/>
                <w:szCs w:val="18"/>
              </w:rPr>
              <w:t>水性漆</w:t>
            </w:r>
          </w:p>
        </w:tc>
        <w:tc>
          <w:tcPr>
            <w:tcW w:w="1715" w:type="dxa"/>
            <w:vAlign w:val="top"/>
          </w:tcPr>
          <w:p w14:paraId="428857FD">
            <w:pPr>
              <w:spacing w:before="115" w:line="188" w:lineRule="auto"/>
              <w:ind w:left="6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37.048</w:t>
            </w:r>
          </w:p>
        </w:tc>
        <w:tc>
          <w:tcPr>
            <w:tcW w:w="2181" w:type="dxa"/>
            <w:vAlign w:val="top"/>
          </w:tcPr>
          <w:p w14:paraId="1A2BC41C">
            <w:pPr>
              <w:pStyle w:val="6"/>
              <w:spacing w:before="65" w:line="219" w:lineRule="auto"/>
              <w:ind w:left="647"/>
              <w:rPr>
                <w:sz w:val="18"/>
                <w:szCs w:val="18"/>
              </w:rPr>
            </w:pPr>
            <w:r>
              <w:rPr>
                <w:spacing w:val="-3"/>
                <w:sz w:val="18"/>
                <w:szCs w:val="18"/>
              </w:rPr>
              <w:t>外排的粉尘</w:t>
            </w:r>
          </w:p>
        </w:tc>
        <w:tc>
          <w:tcPr>
            <w:tcW w:w="1992" w:type="dxa"/>
            <w:vAlign w:val="top"/>
          </w:tcPr>
          <w:p w14:paraId="7D7CE23B">
            <w:pPr>
              <w:spacing w:before="96" w:line="188" w:lineRule="auto"/>
              <w:ind w:left="8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14.31</w:t>
            </w:r>
          </w:p>
        </w:tc>
        <w:tc>
          <w:tcPr>
            <w:tcW w:w="132" w:type="dxa"/>
            <w:vMerge w:val="continue"/>
            <w:tcBorders>
              <w:top w:val="nil"/>
              <w:bottom w:val="nil"/>
              <w:right w:val="single" w:color="000000" w:sz="6" w:space="0"/>
            </w:tcBorders>
            <w:vAlign w:val="top"/>
          </w:tcPr>
          <w:p w14:paraId="0C85F77A">
            <w:pPr>
              <w:rPr>
                <w:rFonts w:ascii="Arial"/>
                <w:sz w:val="21"/>
              </w:rPr>
            </w:pPr>
          </w:p>
        </w:tc>
      </w:tr>
      <w:tr w14:paraId="57D86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0D8BC9CE">
            <w:pPr>
              <w:rPr>
                <w:rFonts w:ascii="Arial"/>
                <w:sz w:val="21"/>
              </w:rPr>
            </w:pPr>
          </w:p>
        </w:tc>
        <w:tc>
          <w:tcPr>
            <w:tcW w:w="1972" w:type="dxa"/>
            <w:vAlign w:val="top"/>
          </w:tcPr>
          <w:p w14:paraId="1C6956B5">
            <w:pPr>
              <w:pStyle w:val="6"/>
              <w:spacing w:before="64" w:line="221" w:lineRule="auto"/>
              <w:ind w:left="873"/>
              <w:rPr>
                <w:sz w:val="18"/>
                <w:szCs w:val="18"/>
              </w:rPr>
            </w:pPr>
            <w:r>
              <w:rPr>
                <w:spacing w:val="-4"/>
                <w:sz w:val="18"/>
                <w:szCs w:val="18"/>
              </w:rPr>
              <w:t>合计</w:t>
            </w:r>
          </w:p>
        </w:tc>
        <w:tc>
          <w:tcPr>
            <w:tcW w:w="1715" w:type="dxa"/>
            <w:vAlign w:val="top"/>
          </w:tcPr>
          <w:p w14:paraId="0F005FBD">
            <w:pPr>
              <w:spacing w:before="115"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370587.888</w:t>
            </w:r>
          </w:p>
        </w:tc>
        <w:tc>
          <w:tcPr>
            <w:tcW w:w="2181" w:type="dxa"/>
            <w:vAlign w:val="top"/>
          </w:tcPr>
          <w:p w14:paraId="4C294FF0">
            <w:pPr>
              <w:pStyle w:val="6"/>
              <w:spacing w:before="91" w:line="209" w:lineRule="auto"/>
              <w:ind w:left="913"/>
              <w:rPr>
                <w:sz w:val="18"/>
                <w:szCs w:val="18"/>
              </w:rPr>
            </w:pPr>
            <w:r>
              <w:rPr>
                <w:spacing w:val="-4"/>
                <w:sz w:val="18"/>
                <w:szCs w:val="18"/>
              </w:rPr>
              <w:t>合计</w:t>
            </w:r>
          </w:p>
        </w:tc>
        <w:tc>
          <w:tcPr>
            <w:tcW w:w="1992" w:type="dxa"/>
            <w:vAlign w:val="top"/>
          </w:tcPr>
          <w:p w14:paraId="69F2D164">
            <w:pPr>
              <w:spacing w:before="95" w:line="188" w:lineRule="auto"/>
              <w:ind w:left="5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370587.888</w:t>
            </w:r>
          </w:p>
        </w:tc>
        <w:tc>
          <w:tcPr>
            <w:tcW w:w="132" w:type="dxa"/>
            <w:vMerge w:val="continue"/>
            <w:tcBorders>
              <w:top w:val="nil"/>
              <w:bottom w:val="nil"/>
              <w:right w:val="single" w:color="000000" w:sz="6" w:space="0"/>
            </w:tcBorders>
            <w:vAlign w:val="top"/>
          </w:tcPr>
          <w:p w14:paraId="6E784EC8">
            <w:pPr>
              <w:rPr>
                <w:rFonts w:ascii="Arial"/>
                <w:sz w:val="21"/>
              </w:rPr>
            </w:pPr>
          </w:p>
        </w:tc>
      </w:tr>
      <w:tr w14:paraId="5594E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31" w:type="dxa"/>
            <w:vMerge w:val="continue"/>
            <w:tcBorders>
              <w:top w:val="nil"/>
              <w:left w:val="single" w:color="000000" w:sz="6" w:space="0"/>
              <w:bottom w:val="nil"/>
            </w:tcBorders>
            <w:vAlign w:val="top"/>
          </w:tcPr>
          <w:p w14:paraId="15478846">
            <w:pPr>
              <w:rPr>
                <w:rFonts w:ascii="Arial"/>
                <w:sz w:val="21"/>
              </w:rPr>
            </w:pPr>
          </w:p>
        </w:tc>
        <w:tc>
          <w:tcPr>
            <w:tcW w:w="7992" w:type="dxa"/>
            <w:gridSpan w:val="5"/>
            <w:tcBorders>
              <w:right w:val="single" w:color="000000" w:sz="6" w:space="0"/>
            </w:tcBorders>
            <w:vAlign w:val="top"/>
          </w:tcPr>
          <w:p w14:paraId="3B527B1A">
            <w:pPr>
              <w:spacing w:before="170" w:line="219" w:lineRule="auto"/>
              <w:ind w:left="205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9"/>
                <w:sz w:val="18"/>
                <w:szCs w:val="18"/>
              </w:rPr>
              <w:t xml:space="preserve"> </w:t>
            </w:r>
            <w:r>
              <w:rPr>
                <w:rFonts w:ascii="Times New Roman" w:hAnsi="Times New Roman" w:eastAsia="Times New Roman" w:cs="Times New Roman"/>
                <w:spacing w:val="-1"/>
                <w:sz w:val="18"/>
                <w:szCs w:val="18"/>
              </w:rPr>
              <w:t xml:space="preserve">2-6        </w:t>
            </w:r>
            <w:r>
              <w:rPr>
                <w:rFonts w:ascii="黑体" w:hAnsi="黑体" w:eastAsia="黑体" w:cs="黑体"/>
                <w:spacing w:val="-1"/>
                <w:sz w:val="18"/>
                <w:szCs w:val="18"/>
              </w:rPr>
              <w:t>营运期普通干混砂浆生产线物料平衡表</w:t>
            </w:r>
          </w:p>
        </w:tc>
      </w:tr>
      <w:tr w14:paraId="20F43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5034F81D">
            <w:pPr>
              <w:rPr>
                <w:rFonts w:ascii="Arial"/>
                <w:sz w:val="21"/>
              </w:rPr>
            </w:pPr>
          </w:p>
        </w:tc>
        <w:tc>
          <w:tcPr>
            <w:tcW w:w="3687" w:type="dxa"/>
            <w:gridSpan w:val="2"/>
            <w:vAlign w:val="top"/>
          </w:tcPr>
          <w:p w14:paraId="59220C30">
            <w:pPr>
              <w:pStyle w:val="6"/>
              <w:spacing w:before="92" w:line="208" w:lineRule="auto"/>
              <w:ind w:left="1714"/>
              <w:rPr>
                <w:sz w:val="18"/>
                <w:szCs w:val="18"/>
              </w:rPr>
            </w:pPr>
            <w:r>
              <w:rPr>
                <w:b/>
                <w:bCs/>
                <w:spacing w:val="-7"/>
                <w:sz w:val="18"/>
                <w:szCs w:val="18"/>
              </w:rPr>
              <w:t>投入</w:t>
            </w:r>
          </w:p>
        </w:tc>
        <w:tc>
          <w:tcPr>
            <w:tcW w:w="4305" w:type="dxa"/>
            <w:gridSpan w:val="3"/>
            <w:tcBorders>
              <w:right w:val="single" w:color="000000" w:sz="6" w:space="0"/>
            </w:tcBorders>
            <w:vAlign w:val="top"/>
          </w:tcPr>
          <w:p w14:paraId="20844CB6">
            <w:pPr>
              <w:pStyle w:val="6"/>
              <w:spacing w:before="92" w:line="208" w:lineRule="auto"/>
              <w:ind w:left="1925"/>
              <w:rPr>
                <w:sz w:val="18"/>
                <w:szCs w:val="18"/>
              </w:rPr>
            </w:pPr>
            <w:r>
              <w:rPr>
                <w:b/>
                <w:bCs/>
                <w:spacing w:val="-6"/>
                <w:sz w:val="18"/>
                <w:szCs w:val="18"/>
              </w:rPr>
              <w:t>产出</w:t>
            </w:r>
          </w:p>
        </w:tc>
      </w:tr>
      <w:tr w14:paraId="2C4D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7796A009">
            <w:pPr>
              <w:rPr>
                <w:rFonts w:ascii="Arial"/>
                <w:sz w:val="21"/>
              </w:rPr>
            </w:pPr>
          </w:p>
        </w:tc>
        <w:tc>
          <w:tcPr>
            <w:tcW w:w="1972" w:type="dxa"/>
            <w:vAlign w:val="top"/>
          </w:tcPr>
          <w:p w14:paraId="349077C8">
            <w:pPr>
              <w:pStyle w:val="6"/>
              <w:spacing w:before="91" w:line="209" w:lineRule="auto"/>
              <w:ind w:left="852"/>
              <w:rPr>
                <w:sz w:val="18"/>
                <w:szCs w:val="18"/>
              </w:rPr>
            </w:pPr>
            <w:r>
              <w:rPr>
                <w:b/>
                <w:bCs/>
                <w:spacing w:val="-8"/>
                <w:sz w:val="18"/>
                <w:szCs w:val="18"/>
              </w:rPr>
              <w:t>原料</w:t>
            </w:r>
          </w:p>
        </w:tc>
        <w:tc>
          <w:tcPr>
            <w:tcW w:w="1715" w:type="dxa"/>
            <w:vAlign w:val="top"/>
          </w:tcPr>
          <w:p w14:paraId="0436F51D">
            <w:pPr>
              <w:pStyle w:val="6"/>
              <w:spacing w:before="91" w:line="209" w:lineRule="auto"/>
              <w:ind w:left="306"/>
              <w:rPr>
                <w:sz w:val="18"/>
                <w:szCs w:val="18"/>
              </w:rPr>
            </w:pPr>
            <w:r>
              <w:rPr>
                <w:b/>
                <w:bCs/>
                <w:spacing w:val="-3"/>
                <w:sz w:val="18"/>
                <w:szCs w:val="18"/>
              </w:rPr>
              <w:t>投入量（</w:t>
            </w:r>
            <w:r>
              <w:rPr>
                <w:rFonts w:ascii="Times New Roman" w:hAnsi="Times New Roman" w:eastAsia="Times New Roman" w:cs="Times New Roman"/>
                <w:b/>
                <w:bCs/>
                <w:spacing w:val="-3"/>
                <w:sz w:val="18"/>
                <w:szCs w:val="18"/>
              </w:rPr>
              <w:t>t/a</w:t>
            </w:r>
            <w:r>
              <w:rPr>
                <w:b/>
                <w:bCs/>
                <w:spacing w:val="-3"/>
                <w:sz w:val="18"/>
                <w:szCs w:val="18"/>
              </w:rPr>
              <w:t>）</w:t>
            </w:r>
          </w:p>
        </w:tc>
        <w:tc>
          <w:tcPr>
            <w:tcW w:w="2181" w:type="dxa"/>
            <w:vAlign w:val="top"/>
          </w:tcPr>
          <w:p w14:paraId="6F284341">
            <w:pPr>
              <w:pStyle w:val="6"/>
              <w:spacing w:before="91" w:line="209" w:lineRule="auto"/>
              <w:ind w:left="920"/>
              <w:rPr>
                <w:sz w:val="18"/>
                <w:szCs w:val="18"/>
              </w:rPr>
            </w:pPr>
            <w:r>
              <w:rPr>
                <w:b/>
                <w:bCs/>
                <w:spacing w:val="-6"/>
                <w:sz w:val="18"/>
                <w:szCs w:val="18"/>
              </w:rPr>
              <w:t>产品</w:t>
            </w:r>
          </w:p>
        </w:tc>
        <w:tc>
          <w:tcPr>
            <w:tcW w:w="2124" w:type="dxa"/>
            <w:gridSpan w:val="2"/>
            <w:tcBorders>
              <w:right w:val="single" w:color="000000" w:sz="6" w:space="0"/>
            </w:tcBorders>
            <w:vAlign w:val="top"/>
          </w:tcPr>
          <w:p w14:paraId="5AEA1568">
            <w:pPr>
              <w:pStyle w:val="6"/>
              <w:spacing w:before="91" w:line="209" w:lineRule="auto"/>
              <w:ind w:left="469"/>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r>
      <w:tr w14:paraId="36CD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5027B1B2">
            <w:pPr>
              <w:rPr>
                <w:rFonts w:ascii="Arial"/>
                <w:sz w:val="21"/>
              </w:rPr>
            </w:pPr>
          </w:p>
        </w:tc>
        <w:tc>
          <w:tcPr>
            <w:tcW w:w="1972" w:type="dxa"/>
            <w:vAlign w:val="top"/>
          </w:tcPr>
          <w:p w14:paraId="5DD2FD0C">
            <w:pPr>
              <w:pStyle w:val="6"/>
              <w:spacing w:before="86" w:line="214" w:lineRule="auto"/>
              <w:ind w:left="853"/>
              <w:rPr>
                <w:sz w:val="18"/>
                <w:szCs w:val="18"/>
              </w:rPr>
            </w:pPr>
            <w:r>
              <w:rPr>
                <w:spacing w:val="-5"/>
                <w:sz w:val="18"/>
                <w:szCs w:val="18"/>
              </w:rPr>
              <w:t>水泥</w:t>
            </w:r>
          </w:p>
        </w:tc>
        <w:tc>
          <w:tcPr>
            <w:tcW w:w="1715" w:type="dxa"/>
            <w:vAlign w:val="top"/>
          </w:tcPr>
          <w:p w14:paraId="56A8E93E">
            <w:pPr>
              <w:spacing w:before="96" w:line="188" w:lineRule="auto"/>
              <w:ind w:left="4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40002.006</w:t>
            </w:r>
          </w:p>
        </w:tc>
        <w:tc>
          <w:tcPr>
            <w:tcW w:w="2181" w:type="dxa"/>
            <w:vAlign w:val="top"/>
          </w:tcPr>
          <w:p w14:paraId="1F557284">
            <w:pPr>
              <w:pStyle w:val="6"/>
              <w:spacing w:before="66" w:line="219" w:lineRule="auto"/>
              <w:ind w:left="559"/>
              <w:rPr>
                <w:sz w:val="18"/>
                <w:szCs w:val="18"/>
              </w:rPr>
            </w:pPr>
            <w:r>
              <w:rPr>
                <w:spacing w:val="-2"/>
                <w:sz w:val="18"/>
                <w:szCs w:val="18"/>
              </w:rPr>
              <w:t>普通干混砂浆</w:t>
            </w:r>
          </w:p>
        </w:tc>
        <w:tc>
          <w:tcPr>
            <w:tcW w:w="2124" w:type="dxa"/>
            <w:gridSpan w:val="2"/>
            <w:tcBorders>
              <w:right w:val="single" w:color="000000" w:sz="6" w:space="0"/>
            </w:tcBorders>
            <w:vAlign w:val="top"/>
          </w:tcPr>
          <w:p w14:paraId="1BB2BDDE">
            <w:pPr>
              <w:spacing w:before="96" w:line="188" w:lineRule="auto"/>
              <w:ind w:left="7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200000</w:t>
            </w:r>
          </w:p>
        </w:tc>
      </w:tr>
      <w:tr w14:paraId="272F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3321C35A">
            <w:pPr>
              <w:rPr>
                <w:rFonts w:ascii="Arial"/>
                <w:sz w:val="21"/>
              </w:rPr>
            </w:pPr>
          </w:p>
        </w:tc>
        <w:tc>
          <w:tcPr>
            <w:tcW w:w="1972" w:type="dxa"/>
            <w:vAlign w:val="top"/>
          </w:tcPr>
          <w:p w14:paraId="4145CCAD">
            <w:pPr>
              <w:pStyle w:val="6"/>
              <w:spacing w:before="86" w:line="214" w:lineRule="auto"/>
              <w:ind w:left="490"/>
              <w:rPr>
                <w:sz w:val="18"/>
                <w:szCs w:val="18"/>
              </w:rPr>
            </w:pPr>
            <w:r>
              <w:rPr>
                <w:spacing w:val="-2"/>
                <w:sz w:val="18"/>
                <w:szCs w:val="18"/>
              </w:rPr>
              <w:t>黄沙（绝干）</w:t>
            </w:r>
          </w:p>
        </w:tc>
        <w:tc>
          <w:tcPr>
            <w:tcW w:w="1715" w:type="dxa"/>
            <w:vAlign w:val="top"/>
          </w:tcPr>
          <w:p w14:paraId="3F2B5761">
            <w:pPr>
              <w:spacing w:before="95" w:line="188" w:lineRule="auto"/>
              <w:ind w:left="4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80004.039</w:t>
            </w:r>
          </w:p>
        </w:tc>
        <w:tc>
          <w:tcPr>
            <w:tcW w:w="2181" w:type="dxa"/>
            <w:vAlign w:val="top"/>
          </w:tcPr>
          <w:p w14:paraId="1FB5027F">
            <w:pPr>
              <w:pStyle w:val="6"/>
              <w:spacing w:before="67" w:line="219" w:lineRule="auto"/>
              <w:ind w:left="654"/>
              <w:rPr>
                <w:sz w:val="18"/>
                <w:szCs w:val="18"/>
              </w:rPr>
            </w:pPr>
            <w:r>
              <w:rPr>
                <w:spacing w:val="-3"/>
                <w:sz w:val="18"/>
                <w:szCs w:val="18"/>
              </w:rPr>
              <w:t>外排的粉尘</w:t>
            </w:r>
          </w:p>
        </w:tc>
        <w:tc>
          <w:tcPr>
            <w:tcW w:w="2124" w:type="dxa"/>
            <w:gridSpan w:val="2"/>
            <w:tcBorders>
              <w:right w:val="single" w:color="000000" w:sz="6" w:space="0"/>
            </w:tcBorders>
            <w:vAlign w:val="top"/>
          </w:tcPr>
          <w:p w14:paraId="7980A120">
            <w:pPr>
              <w:spacing w:before="95" w:line="188" w:lineRule="auto"/>
              <w:ind w:left="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10.058</w:t>
            </w:r>
          </w:p>
        </w:tc>
      </w:tr>
      <w:tr w14:paraId="4BF72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2A481E46">
            <w:pPr>
              <w:rPr>
                <w:rFonts w:ascii="Arial"/>
                <w:sz w:val="21"/>
              </w:rPr>
            </w:pPr>
          </w:p>
        </w:tc>
        <w:tc>
          <w:tcPr>
            <w:tcW w:w="1972" w:type="dxa"/>
            <w:vAlign w:val="top"/>
          </w:tcPr>
          <w:p w14:paraId="0AC39440">
            <w:pPr>
              <w:pStyle w:val="6"/>
              <w:spacing w:before="85" w:line="215" w:lineRule="auto"/>
              <w:ind w:left="759"/>
              <w:rPr>
                <w:sz w:val="18"/>
                <w:szCs w:val="18"/>
              </w:rPr>
            </w:pPr>
            <w:r>
              <w:rPr>
                <w:spacing w:val="-3"/>
                <w:sz w:val="18"/>
                <w:szCs w:val="18"/>
              </w:rPr>
              <w:t>粉煤灰</w:t>
            </w:r>
          </w:p>
        </w:tc>
        <w:tc>
          <w:tcPr>
            <w:tcW w:w="1715" w:type="dxa"/>
            <w:vAlign w:val="top"/>
          </w:tcPr>
          <w:p w14:paraId="47B8BC6D">
            <w:pPr>
              <w:spacing w:before="97" w:line="188" w:lineRule="auto"/>
              <w:ind w:left="5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8000.401</w:t>
            </w:r>
          </w:p>
        </w:tc>
        <w:tc>
          <w:tcPr>
            <w:tcW w:w="2181" w:type="dxa"/>
            <w:vAlign w:val="top"/>
          </w:tcPr>
          <w:p w14:paraId="16F6C923">
            <w:pPr>
              <w:rPr>
                <w:rFonts w:ascii="Arial"/>
                <w:sz w:val="21"/>
              </w:rPr>
            </w:pPr>
          </w:p>
        </w:tc>
        <w:tc>
          <w:tcPr>
            <w:tcW w:w="2124" w:type="dxa"/>
            <w:gridSpan w:val="2"/>
            <w:tcBorders>
              <w:right w:val="single" w:color="000000" w:sz="6" w:space="0"/>
            </w:tcBorders>
            <w:vAlign w:val="top"/>
          </w:tcPr>
          <w:p w14:paraId="08D0B076">
            <w:pPr>
              <w:rPr>
                <w:rFonts w:ascii="Arial"/>
                <w:sz w:val="21"/>
              </w:rPr>
            </w:pPr>
          </w:p>
        </w:tc>
      </w:tr>
      <w:tr w14:paraId="53F2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2C49BA3D">
            <w:pPr>
              <w:rPr>
                <w:rFonts w:ascii="Arial"/>
                <w:sz w:val="21"/>
              </w:rPr>
            </w:pPr>
          </w:p>
        </w:tc>
        <w:tc>
          <w:tcPr>
            <w:tcW w:w="1972" w:type="dxa"/>
            <w:vAlign w:val="top"/>
          </w:tcPr>
          <w:p w14:paraId="224A2CCF">
            <w:pPr>
              <w:pStyle w:val="6"/>
              <w:spacing w:before="85" w:line="215" w:lineRule="auto"/>
              <w:ind w:left="580"/>
              <w:rPr>
                <w:sz w:val="18"/>
                <w:szCs w:val="18"/>
              </w:rPr>
            </w:pPr>
            <w:r>
              <w:rPr>
                <w:spacing w:val="-2"/>
                <w:sz w:val="18"/>
                <w:szCs w:val="18"/>
              </w:rPr>
              <w:t>石灰或石膏</w:t>
            </w:r>
          </w:p>
        </w:tc>
        <w:tc>
          <w:tcPr>
            <w:tcW w:w="1715" w:type="dxa"/>
            <w:vAlign w:val="top"/>
          </w:tcPr>
          <w:p w14:paraId="6AB7C6DD">
            <w:pPr>
              <w:spacing w:before="97" w:line="188"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10000.502</w:t>
            </w:r>
          </w:p>
        </w:tc>
        <w:tc>
          <w:tcPr>
            <w:tcW w:w="2181" w:type="dxa"/>
            <w:vAlign w:val="top"/>
          </w:tcPr>
          <w:p w14:paraId="51BDD7A0">
            <w:pPr>
              <w:rPr>
                <w:rFonts w:ascii="Arial"/>
                <w:sz w:val="21"/>
              </w:rPr>
            </w:pPr>
          </w:p>
        </w:tc>
        <w:tc>
          <w:tcPr>
            <w:tcW w:w="2124" w:type="dxa"/>
            <w:gridSpan w:val="2"/>
            <w:tcBorders>
              <w:right w:val="single" w:color="000000" w:sz="6" w:space="0"/>
            </w:tcBorders>
            <w:vAlign w:val="top"/>
          </w:tcPr>
          <w:p w14:paraId="6CF79242">
            <w:pPr>
              <w:rPr>
                <w:rFonts w:ascii="Arial"/>
                <w:sz w:val="21"/>
              </w:rPr>
            </w:pPr>
          </w:p>
        </w:tc>
      </w:tr>
      <w:tr w14:paraId="0A196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14:paraId="4F3A1306">
            <w:pPr>
              <w:rPr>
                <w:rFonts w:ascii="Arial"/>
                <w:sz w:val="21"/>
              </w:rPr>
            </w:pPr>
          </w:p>
        </w:tc>
        <w:tc>
          <w:tcPr>
            <w:tcW w:w="1972" w:type="dxa"/>
            <w:vAlign w:val="top"/>
          </w:tcPr>
          <w:p w14:paraId="514EE97F">
            <w:pPr>
              <w:pStyle w:val="6"/>
              <w:spacing w:before="84" w:line="216" w:lineRule="auto"/>
              <w:ind w:left="401"/>
              <w:rPr>
                <w:sz w:val="18"/>
                <w:szCs w:val="18"/>
              </w:rPr>
            </w:pPr>
            <w:r>
              <w:rPr>
                <w:spacing w:val="-2"/>
                <w:sz w:val="18"/>
                <w:szCs w:val="18"/>
              </w:rPr>
              <w:t>可再分散乳胶粉</w:t>
            </w:r>
          </w:p>
        </w:tc>
        <w:tc>
          <w:tcPr>
            <w:tcW w:w="1715" w:type="dxa"/>
            <w:vAlign w:val="top"/>
          </w:tcPr>
          <w:p w14:paraId="78B7D8B7">
            <w:pPr>
              <w:spacing w:before="96" w:line="188" w:lineRule="auto"/>
              <w:ind w:left="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1600.08</w:t>
            </w:r>
          </w:p>
        </w:tc>
        <w:tc>
          <w:tcPr>
            <w:tcW w:w="2181" w:type="dxa"/>
            <w:vAlign w:val="top"/>
          </w:tcPr>
          <w:p w14:paraId="64C8C770">
            <w:pPr>
              <w:rPr>
                <w:rFonts w:ascii="Arial"/>
                <w:sz w:val="21"/>
              </w:rPr>
            </w:pPr>
          </w:p>
        </w:tc>
        <w:tc>
          <w:tcPr>
            <w:tcW w:w="2124" w:type="dxa"/>
            <w:gridSpan w:val="2"/>
            <w:tcBorders>
              <w:right w:val="single" w:color="000000" w:sz="6" w:space="0"/>
            </w:tcBorders>
            <w:vAlign w:val="top"/>
          </w:tcPr>
          <w:p w14:paraId="73DA4AF2">
            <w:pPr>
              <w:rPr>
                <w:rFonts w:ascii="Arial"/>
                <w:sz w:val="21"/>
              </w:rPr>
            </w:pPr>
          </w:p>
        </w:tc>
      </w:tr>
      <w:tr w14:paraId="7CEE6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31" w:type="dxa"/>
            <w:vMerge w:val="continue"/>
            <w:tcBorders>
              <w:top w:val="nil"/>
              <w:left w:val="single" w:color="000000" w:sz="6" w:space="0"/>
            </w:tcBorders>
            <w:vAlign w:val="top"/>
          </w:tcPr>
          <w:p w14:paraId="20BAE4BA">
            <w:pPr>
              <w:rPr>
                <w:rFonts w:ascii="Arial"/>
                <w:sz w:val="21"/>
              </w:rPr>
            </w:pPr>
          </w:p>
        </w:tc>
        <w:tc>
          <w:tcPr>
            <w:tcW w:w="1972" w:type="dxa"/>
            <w:vAlign w:val="top"/>
          </w:tcPr>
          <w:p w14:paraId="02307050">
            <w:pPr>
              <w:pStyle w:val="6"/>
              <w:spacing w:before="84" w:line="218" w:lineRule="auto"/>
              <w:ind w:left="673"/>
              <w:rPr>
                <w:sz w:val="18"/>
                <w:szCs w:val="18"/>
              </w:rPr>
            </w:pPr>
            <w:r>
              <w:rPr>
                <w:spacing w:val="-3"/>
                <w:sz w:val="18"/>
                <w:szCs w:val="18"/>
              </w:rPr>
              <w:t>玻璃纤维</w:t>
            </w:r>
          </w:p>
        </w:tc>
        <w:tc>
          <w:tcPr>
            <w:tcW w:w="1715" w:type="dxa"/>
            <w:vAlign w:val="top"/>
          </w:tcPr>
          <w:p w14:paraId="5B438BC4">
            <w:pPr>
              <w:spacing w:before="96" w:line="188" w:lineRule="auto"/>
              <w:ind w:left="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400.02</w:t>
            </w:r>
          </w:p>
        </w:tc>
        <w:tc>
          <w:tcPr>
            <w:tcW w:w="2181" w:type="dxa"/>
            <w:vAlign w:val="top"/>
          </w:tcPr>
          <w:p w14:paraId="12898A68">
            <w:pPr>
              <w:rPr>
                <w:rFonts w:ascii="Arial"/>
                <w:sz w:val="21"/>
              </w:rPr>
            </w:pPr>
          </w:p>
        </w:tc>
        <w:tc>
          <w:tcPr>
            <w:tcW w:w="2124" w:type="dxa"/>
            <w:gridSpan w:val="2"/>
            <w:tcBorders>
              <w:right w:val="single" w:color="000000" w:sz="6" w:space="0"/>
            </w:tcBorders>
            <w:vAlign w:val="top"/>
          </w:tcPr>
          <w:p w14:paraId="2B7C0D80">
            <w:pPr>
              <w:rPr>
                <w:rFonts w:ascii="Arial"/>
                <w:sz w:val="21"/>
              </w:rPr>
            </w:pPr>
          </w:p>
        </w:tc>
      </w:tr>
    </w:tbl>
    <w:p w14:paraId="09BB2EDF">
      <w:pPr>
        <w:pStyle w:val="2"/>
      </w:pPr>
    </w:p>
    <w:p w14:paraId="5EFDB5E7">
      <w:pPr>
        <w:sectPr>
          <w:footerReference r:id="rId40" w:type="default"/>
          <w:pgSz w:w="11906" w:h="16839"/>
          <w:pgMar w:top="1431" w:right="1534" w:bottom="1260" w:left="1533" w:header="0" w:footer="1080" w:gutter="0"/>
          <w:cols w:space="720" w:num="1"/>
        </w:sectPr>
      </w:pPr>
    </w:p>
    <w:p w14:paraId="0B7D360C">
      <w:pPr>
        <w:spacing w:before="28"/>
      </w:pPr>
    </w:p>
    <w:tbl>
      <w:tblPr>
        <w:tblStyle w:val="5"/>
        <w:tblW w:w="8823" w:type="dxa"/>
        <w:tblInd w:w="7" w:type="dxa"/>
        <w:tblBorders>
          <w:top w:val="single" w:color="000000" w:sz="4"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23"/>
      </w:tblGrid>
      <w:tr w14:paraId="465E34B6">
        <w:tblPrEx>
          <w:tblBorders>
            <w:top w:val="single" w:color="000000" w:sz="4"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042" w:hRule="atLeast"/>
        </w:trPr>
        <w:tc>
          <w:tcPr>
            <w:tcW w:w="8823" w:type="dxa"/>
            <w:vAlign w:val="top"/>
          </w:tcPr>
          <w:p w14:paraId="5E791381">
            <w:pPr>
              <w:spacing w:line="96" w:lineRule="auto"/>
              <w:rPr>
                <w:rFonts w:ascii="Arial"/>
                <w:sz w:val="2"/>
              </w:rPr>
            </w:pPr>
            <w:r>
              <w:pict>
                <v:shape id="_x0000_s1038" o:spid="_x0000_s1038" style="position:absolute;left:0pt;margin-left:46.45pt;margin-top:52.5pt;height:140pt;width:0.5pt;mso-position-horizontal-relative:page;mso-position-vertical-relative:page;z-index:251687936;mso-width-relative:page;mso-height-relative:page;" filled="f" stroked="t" coordsize="10,2800" path="m4,0l4,2799e">
                  <v:fill on="f" focussize="0,0"/>
                  <v:stroke weight="0.48pt" color="#000000" miterlimit="2" joinstyle="bevel"/>
                  <v:imagedata o:title=""/>
                  <o:lock v:ext="edit"/>
                </v:shape>
              </w:pict>
            </w:r>
          </w:p>
          <w:tbl>
            <w:tblPr>
              <w:tblStyle w:val="5"/>
              <w:tblW w:w="7903" w:type="dxa"/>
              <w:tblInd w:w="8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544"/>
              <w:gridCol w:w="1181"/>
              <w:gridCol w:w="523"/>
              <w:gridCol w:w="1666"/>
              <w:gridCol w:w="2020"/>
            </w:tblGrid>
            <w:tr w14:paraId="7EC5D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969" w:type="dxa"/>
                  <w:tcBorders>
                    <w:top w:val="nil"/>
                  </w:tcBorders>
                  <w:vAlign w:val="top"/>
                </w:tcPr>
                <w:p w14:paraId="4200AC4D">
                  <w:pPr>
                    <w:pStyle w:val="6"/>
                    <w:spacing w:before="91" w:line="219" w:lineRule="auto"/>
                    <w:ind w:left="681"/>
                    <w:rPr>
                      <w:sz w:val="18"/>
                      <w:szCs w:val="18"/>
                    </w:rPr>
                  </w:pPr>
                  <w:r>
                    <w:rPr>
                      <w:spacing w:val="-3"/>
                      <w:sz w:val="18"/>
                      <w:szCs w:val="18"/>
                    </w:rPr>
                    <w:t>建筑垃圾</w:t>
                  </w:r>
                </w:p>
              </w:tc>
              <w:tc>
                <w:tcPr>
                  <w:tcW w:w="1725" w:type="dxa"/>
                  <w:gridSpan w:val="2"/>
                  <w:tcBorders>
                    <w:top w:val="nil"/>
                  </w:tcBorders>
                  <w:vAlign w:val="top"/>
                </w:tcPr>
                <w:p w14:paraId="46419980">
                  <w:pPr>
                    <w:spacing w:before="101" w:line="188" w:lineRule="auto"/>
                    <w:ind w:left="5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60003.01</w:t>
                  </w:r>
                </w:p>
              </w:tc>
              <w:tc>
                <w:tcPr>
                  <w:tcW w:w="2189" w:type="dxa"/>
                  <w:gridSpan w:val="2"/>
                  <w:tcBorders>
                    <w:top w:val="nil"/>
                  </w:tcBorders>
                  <w:vAlign w:val="top"/>
                </w:tcPr>
                <w:p w14:paraId="7496A029">
                  <w:pPr>
                    <w:rPr>
                      <w:rFonts w:ascii="Arial"/>
                      <w:sz w:val="21"/>
                    </w:rPr>
                  </w:pPr>
                </w:p>
              </w:tc>
              <w:tc>
                <w:tcPr>
                  <w:tcW w:w="2020" w:type="dxa"/>
                  <w:tcBorders>
                    <w:top w:val="nil"/>
                  </w:tcBorders>
                  <w:vAlign w:val="top"/>
                </w:tcPr>
                <w:p w14:paraId="4CAF8789">
                  <w:pPr>
                    <w:rPr>
                      <w:rFonts w:ascii="Arial"/>
                      <w:sz w:val="21"/>
                    </w:rPr>
                  </w:pPr>
                </w:p>
              </w:tc>
            </w:tr>
            <w:tr w14:paraId="33A3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69" w:type="dxa"/>
                  <w:vAlign w:val="top"/>
                </w:tcPr>
                <w:p w14:paraId="31A873E9">
                  <w:pPr>
                    <w:pStyle w:val="6"/>
                    <w:spacing w:before="61" w:line="221" w:lineRule="auto"/>
                    <w:ind w:left="859"/>
                    <w:rPr>
                      <w:sz w:val="18"/>
                      <w:szCs w:val="18"/>
                    </w:rPr>
                  </w:pPr>
                  <w:r>
                    <w:rPr>
                      <w:spacing w:val="-4"/>
                      <w:sz w:val="18"/>
                      <w:szCs w:val="18"/>
                    </w:rPr>
                    <w:t>合计</w:t>
                  </w:r>
                </w:p>
              </w:tc>
              <w:tc>
                <w:tcPr>
                  <w:tcW w:w="1725" w:type="dxa"/>
                  <w:gridSpan w:val="2"/>
                  <w:vAlign w:val="top"/>
                </w:tcPr>
                <w:p w14:paraId="0E25D780">
                  <w:pPr>
                    <w:spacing w:before="93" w:line="188" w:lineRule="auto"/>
                    <w:ind w:left="4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200010.058</w:t>
                  </w:r>
                </w:p>
              </w:tc>
              <w:tc>
                <w:tcPr>
                  <w:tcW w:w="2189" w:type="dxa"/>
                  <w:gridSpan w:val="2"/>
                  <w:vAlign w:val="top"/>
                </w:tcPr>
                <w:p w14:paraId="7DD2FD3E">
                  <w:pPr>
                    <w:pStyle w:val="6"/>
                    <w:spacing w:before="86" w:line="213" w:lineRule="auto"/>
                    <w:ind w:left="921"/>
                    <w:rPr>
                      <w:sz w:val="18"/>
                      <w:szCs w:val="18"/>
                    </w:rPr>
                  </w:pPr>
                  <w:r>
                    <w:rPr>
                      <w:spacing w:val="-4"/>
                      <w:sz w:val="18"/>
                      <w:szCs w:val="18"/>
                    </w:rPr>
                    <w:t>合计</w:t>
                  </w:r>
                </w:p>
              </w:tc>
              <w:tc>
                <w:tcPr>
                  <w:tcW w:w="2020" w:type="dxa"/>
                  <w:vAlign w:val="top"/>
                </w:tcPr>
                <w:p w14:paraId="51AC1992">
                  <w:pPr>
                    <w:spacing w:before="93" w:line="188" w:lineRule="auto"/>
                    <w:ind w:left="5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200010.058</w:t>
                  </w:r>
                </w:p>
              </w:tc>
            </w:tr>
            <w:tr w14:paraId="1DAEE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903" w:type="dxa"/>
                  <w:gridSpan w:val="6"/>
                  <w:tcBorders>
                    <w:right w:val="nil"/>
                  </w:tcBorders>
                  <w:vAlign w:val="top"/>
                </w:tcPr>
                <w:p w14:paraId="1EE07602">
                  <w:pPr>
                    <w:spacing w:before="168" w:line="219" w:lineRule="auto"/>
                    <w:ind w:left="2064"/>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9"/>
                      <w:sz w:val="18"/>
                      <w:szCs w:val="18"/>
                    </w:rPr>
                    <w:t xml:space="preserve"> </w:t>
                  </w:r>
                  <w:r>
                    <w:rPr>
                      <w:rFonts w:ascii="Times New Roman" w:hAnsi="Times New Roman" w:eastAsia="Times New Roman" w:cs="Times New Roman"/>
                      <w:spacing w:val="-1"/>
                      <w:sz w:val="18"/>
                      <w:szCs w:val="18"/>
                    </w:rPr>
                    <w:t xml:space="preserve">2-7        </w:t>
                  </w:r>
                  <w:r>
                    <w:rPr>
                      <w:rFonts w:ascii="黑体" w:hAnsi="黑体" w:eastAsia="黑体" w:cs="黑体"/>
                      <w:spacing w:val="-1"/>
                      <w:sz w:val="18"/>
                      <w:szCs w:val="18"/>
                    </w:rPr>
                    <w:t>营运期特种干混砂浆生产线物料平衡表</w:t>
                  </w:r>
                </w:p>
              </w:tc>
            </w:tr>
            <w:tr w14:paraId="53A4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217" w:type="dxa"/>
                  <w:gridSpan w:val="4"/>
                  <w:vAlign w:val="top"/>
                </w:tcPr>
                <w:p w14:paraId="27A39594">
                  <w:pPr>
                    <w:pStyle w:val="6"/>
                    <w:spacing w:before="87" w:line="213" w:lineRule="auto"/>
                    <w:ind w:left="1989"/>
                    <w:rPr>
                      <w:sz w:val="18"/>
                      <w:szCs w:val="18"/>
                    </w:rPr>
                  </w:pPr>
                  <w:r>
                    <w:rPr>
                      <w:b/>
                      <w:bCs/>
                      <w:spacing w:val="-7"/>
                      <w:sz w:val="18"/>
                      <w:szCs w:val="18"/>
                    </w:rPr>
                    <w:t>投入</w:t>
                  </w:r>
                </w:p>
              </w:tc>
              <w:tc>
                <w:tcPr>
                  <w:tcW w:w="3686" w:type="dxa"/>
                  <w:gridSpan w:val="2"/>
                  <w:vAlign w:val="top"/>
                </w:tcPr>
                <w:p w14:paraId="703FECDF">
                  <w:pPr>
                    <w:pStyle w:val="6"/>
                    <w:spacing w:before="87" w:line="213" w:lineRule="auto"/>
                    <w:ind w:left="1660"/>
                    <w:rPr>
                      <w:sz w:val="18"/>
                      <w:szCs w:val="18"/>
                    </w:rPr>
                  </w:pPr>
                  <w:r>
                    <w:rPr>
                      <w:b/>
                      <w:bCs/>
                      <w:spacing w:val="-6"/>
                      <w:sz w:val="18"/>
                      <w:szCs w:val="18"/>
                    </w:rPr>
                    <w:t>产出</w:t>
                  </w:r>
                </w:p>
              </w:tc>
            </w:tr>
            <w:tr w14:paraId="2E9C5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7FF46153">
                  <w:pPr>
                    <w:pStyle w:val="6"/>
                    <w:spacing w:before="89" w:line="211" w:lineRule="auto"/>
                    <w:ind w:left="1139"/>
                    <w:rPr>
                      <w:sz w:val="18"/>
                      <w:szCs w:val="18"/>
                    </w:rPr>
                  </w:pPr>
                  <w:r>
                    <w:rPr>
                      <w:b/>
                      <w:bCs/>
                      <w:spacing w:val="-8"/>
                      <w:sz w:val="18"/>
                      <w:szCs w:val="18"/>
                    </w:rPr>
                    <w:t>原料</w:t>
                  </w:r>
                </w:p>
              </w:tc>
              <w:tc>
                <w:tcPr>
                  <w:tcW w:w="1704" w:type="dxa"/>
                  <w:gridSpan w:val="2"/>
                  <w:vAlign w:val="top"/>
                </w:tcPr>
                <w:p w14:paraId="6598CB4F">
                  <w:pPr>
                    <w:pStyle w:val="6"/>
                    <w:spacing w:before="89" w:line="211" w:lineRule="auto"/>
                    <w:ind w:left="306"/>
                    <w:rPr>
                      <w:sz w:val="18"/>
                      <w:szCs w:val="18"/>
                    </w:rPr>
                  </w:pPr>
                  <w:r>
                    <w:rPr>
                      <w:b/>
                      <w:bCs/>
                      <w:spacing w:val="-2"/>
                      <w:sz w:val="18"/>
                      <w:szCs w:val="18"/>
                    </w:rPr>
                    <w:t>投入量（</w:t>
                  </w:r>
                  <w:r>
                    <w:rPr>
                      <w:rFonts w:ascii="Times New Roman" w:hAnsi="Times New Roman" w:eastAsia="Times New Roman" w:cs="Times New Roman"/>
                      <w:b/>
                      <w:bCs/>
                      <w:spacing w:val="-2"/>
                      <w:sz w:val="18"/>
                      <w:szCs w:val="18"/>
                    </w:rPr>
                    <w:t>t/a</w:t>
                  </w:r>
                  <w:r>
                    <w:rPr>
                      <w:b/>
                      <w:bCs/>
                      <w:spacing w:val="-2"/>
                      <w:sz w:val="18"/>
                      <w:szCs w:val="18"/>
                    </w:rPr>
                    <w:t>）</w:t>
                  </w:r>
                </w:p>
              </w:tc>
              <w:tc>
                <w:tcPr>
                  <w:tcW w:w="1666" w:type="dxa"/>
                  <w:vAlign w:val="top"/>
                </w:tcPr>
                <w:p w14:paraId="67351468">
                  <w:pPr>
                    <w:pStyle w:val="6"/>
                    <w:spacing w:before="89" w:line="211" w:lineRule="auto"/>
                    <w:ind w:left="657"/>
                    <w:rPr>
                      <w:sz w:val="18"/>
                      <w:szCs w:val="18"/>
                    </w:rPr>
                  </w:pPr>
                  <w:r>
                    <w:rPr>
                      <w:b/>
                      <w:bCs/>
                      <w:spacing w:val="-6"/>
                      <w:sz w:val="18"/>
                      <w:szCs w:val="18"/>
                    </w:rPr>
                    <w:t>产品</w:t>
                  </w:r>
                </w:p>
              </w:tc>
              <w:tc>
                <w:tcPr>
                  <w:tcW w:w="2020" w:type="dxa"/>
                  <w:vAlign w:val="top"/>
                </w:tcPr>
                <w:p w14:paraId="38A45F82">
                  <w:pPr>
                    <w:pStyle w:val="6"/>
                    <w:spacing w:before="89" w:line="211" w:lineRule="auto"/>
                    <w:ind w:left="455"/>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r>
            <w:tr w14:paraId="63A8C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2682BC64">
                  <w:pPr>
                    <w:pStyle w:val="6"/>
                    <w:spacing w:before="81" w:line="219" w:lineRule="auto"/>
                    <w:ind w:left="1137"/>
                    <w:rPr>
                      <w:sz w:val="18"/>
                      <w:szCs w:val="18"/>
                    </w:rPr>
                  </w:pPr>
                  <w:r>
                    <w:rPr>
                      <w:spacing w:val="-5"/>
                      <w:sz w:val="18"/>
                      <w:szCs w:val="18"/>
                    </w:rPr>
                    <w:t>水泥</w:t>
                  </w:r>
                </w:p>
              </w:tc>
              <w:tc>
                <w:tcPr>
                  <w:tcW w:w="1704" w:type="dxa"/>
                  <w:gridSpan w:val="2"/>
                  <w:vAlign w:val="top"/>
                </w:tcPr>
                <w:p w14:paraId="1A4AF565">
                  <w:pPr>
                    <w:spacing w:before="93" w:line="188" w:lineRule="auto"/>
                    <w:ind w:left="5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8000.333</w:t>
                  </w:r>
                </w:p>
              </w:tc>
              <w:tc>
                <w:tcPr>
                  <w:tcW w:w="1666" w:type="dxa"/>
                  <w:vAlign w:val="top"/>
                </w:tcPr>
                <w:p w14:paraId="06312830">
                  <w:pPr>
                    <w:pStyle w:val="6"/>
                    <w:spacing w:before="61" w:line="219" w:lineRule="auto"/>
                    <w:ind w:left="117"/>
                    <w:rPr>
                      <w:sz w:val="18"/>
                      <w:szCs w:val="18"/>
                    </w:rPr>
                  </w:pPr>
                  <w:r>
                    <w:rPr>
                      <w:spacing w:val="-1"/>
                      <w:sz w:val="18"/>
                      <w:szCs w:val="18"/>
                    </w:rPr>
                    <w:t>特种保温干混砂浆</w:t>
                  </w:r>
                </w:p>
              </w:tc>
              <w:tc>
                <w:tcPr>
                  <w:tcW w:w="2020" w:type="dxa"/>
                  <w:vAlign w:val="top"/>
                </w:tcPr>
                <w:p w14:paraId="1BD0E879">
                  <w:pPr>
                    <w:spacing w:before="93" w:line="188" w:lineRule="auto"/>
                    <w:ind w:left="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100000</w:t>
                  </w:r>
                </w:p>
              </w:tc>
            </w:tr>
            <w:tr w14:paraId="0A06F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3B3385B1">
                  <w:pPr>
                    <w:pStyle w:val="6"/>
                    <w:spacing w:before="80" w:line="219" w:lineRule="auto"/>
                    <w:ind w:left="774"/>
                    <w:rPr>
                      <w:sz w:val="18"/>
                      <w:szCs w:val="18"/>
                    </w:rPr>
                  </w:pPr>
                  <w:r>
                    <w:rPr>
                      <w:spacing w:val="-2"/>
                      <w:sz w:val="18"/>
                      <w:szCs w:val="18"/>
                    </w:rPr>
                    <w:t>黄沙（绝干）</w:t>
                  </w:r>
                </w:p>
              </w:tc>
              <w:tc>
                <w:tcPr>
                  <w:tcW w:w="1704" w:type="dxa"/>
                  <w:gridSpan w:val="2"/>
                  <w:vAlign w:val="top"/>
                </w:tcPr>
                <w:p w14:paraId="6727912C">
                  <w:pPr>
                    <w:spacing w:before="93" w:line="188" w:lineRule="auto"/>
                    <w:ind w:left="4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25001.049</w:t>
                  </w:r>
                </w:p>
              </w:tc>
              <w:tc>
                <w:tcPr>
                  <w:tcW w:w="1666" w:type="dxa"/>
                  <w:vAlign w:val="top"/>
                </w:tcPr>
                <w:p w14:paraId="46DC2F07">
                  <w:pPr>
                    <w:pStyle w:val="6"/>
                    <w:spacing w:before="62" w:line="219" w:lineRule="auto"/>
                    <w:ind w:left="392"/>
                    <w:rPr>
                      <w:sz w:val="18"/>
                      <w:szCs w:val="18"/>
                    </w:rPr>
                  </w:pPr>
                  <w:r>
                    <w:rPr>
                      <w:spacing w:val="-3"/>
                      <w:sz w:val="18"/>
                      <w:szCs w:val="18"/>
                    </w:rPr>
                    <w:t>外排的粉尘</w:t>
                  </w:r>
                </w:p>
              </w:tc>
              <w:tc>
                <w:tcPr>
                  <w:tcW w:w="2020" w:type="dxa"/>
                  <w:vAlign w:val="top"/>
                </w:tcPr>
                <w:p w14:paraId="5741B13A">
                  <w:pPr>
                    <w:spacing w:before="93" w:line="188" w:lineRule="auto"/>
                    <w:ind w:left="8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4.172</w:t>
                  </w:r>
                </w:p>
              </w:tc>
            </w:tr>
            <w:tr w14:paraId="24AD7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49B8E998">
                  <w:pPr>
                    <w:pStyle w:val="6"/>
                    <w:spacing w:before="82" w:line="218" w:lineRule="auto"/>
                    <w:ind w:left="957"/>
                    <w:rPr>
                      <w:sz w:val="18"/>
                      <w:szCs w:val="18"/>
                    </w:rPr>
                  </w:pPr>
                  <w:r>
                    <w:rPr>
                      <w:spacing w:val="-3"/>
                      <w:sz w:val="18"/>
                      <w:szCs w:val="18"/>
                    </w:rPr>
                    <w:t>建筑垃圾</w:t>
                  </w:r>
                </w:p>
              </w:tc>
              <w:tc>
                <w:tcPr>
                  <w:tcW w:w="1704" w:type="dxa"/>
                  <w:gridSpan w:val="2"/>
                  <w:vAlign w:val="top"/>
                </w:tcPr>
                <w:p w14:paraId="4F2C13E9">
                  <w:pPr>
                    <w:spacing w:before="92" w:line="188" w:lineRule="auto"/>
                    <w:ind w:left="4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24501.021</w:t>
                  </w:r>
                </w:p>
              </w:tc>
              <w:tc>
                <w:tcPr>
                  <w:tcW w:w="1666" w:type="dxa"/>
                  <w:vAlign w:val="top"/>
                </w:tcPr>
                <w:p w14:paraId="6E8926EE">
                  <w:pPr>
                    <w:rPr>
                      <w:rFonts w:ascii="Arial"/>
                      <w:sz w:val="21"/>
                    </w:rPr>
                  </w:pPr>
                </w:p>
              </w:tc>
              <w:tc>
                <w:tcPr>
                  <w:tcW w:w="2020" w:type="dxa"/>
                  <w:vAlign w:val="top"/>
                </w:tcPr>
                <w:p w14:paraId="765061D2">
                  <w:pPr>
                    <w:rPr>
                      <w:rFonts w:ascii="Arial"/>
                      <w:sz w:val="21"/>
                    </w:rPr>
                  </w:pPr>
                </w:p>
              </w:tc>
            </w:tr>
            <w:tr w14:paraId="40C44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4453153B">
                  <w:pPr>
                    <w:pStyle w:val="6"/>
                    <w:spacing w:before="82" w:line="218" w:lineRule="auto"/>
                    <w:ind w:left="1135"/>
                    <w:rPr>
                      <w:sz w:val="18"/>
                      <w:szCs w:val="18"/>
                    </w:rPr>
                  </w:pPr>
                  <w:r>
                    <w:rPr>
                      <w:spacing w:val="-4"/>
                      <w:sz w:val="18"/>
                      <w:szCs w:val="18"/>
                    </w:rPr>
                    <w:t>石膏</w:t>
                  </w:r>
                </w:p>
              </w:tc>
              <w:tc>
                <w:tcPr>
                  <w:tcW w:w="1704" w:type="dxa"/>
                  <w:gridSpan w:val="2"/>
                  <w:vAlign w:val="top"/>
                </w:tcPr>
                <w:p w14:paraId="05221789">
                  <w:pPr>
                    <w:spacing w:before="91" w:line="188" w:lineRule="auto"/>
                    <w:ind w:left="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500.021</w:t>
                  </w:r>
                </w:p>
              </w:tc>
              <w:tc>
                <w:tcPr>
                  <w:tcW w:w="1666" w:type="dxa"/>
                  <w:vAlign w:val="top"/>
                </w:tcPr>
                <w:p w14:paraId="6AEEA3A7">
                  <w:pPr>
                    <w:rPr>
                      <w:rFonts w:ascii="Arial"/>
                      <w:sz w:val="21"/>
                    </w:rPr>
                  </w:pPr>
                </w:p>
              </w:tc>
              <w:tc>
                <w:tcPr>
                  <w:tcW w:w="2020" w:type="dxa"/>
                  <w:vAlign w:val="top"/>
                </w:tcPr>
                <w:p w14:paraId="47029932">
                  <w:pPr>
                    <w:rPr>
                      <w:rFonts w:ascii="Arial"/>
                      <w:sz w:val="21"/>
                    </w:rPr>
                  </w:pPr>
                </w:p>
              </w:tc>
            </w:tr>
            <w:tr w14:paraId="04CB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1B00291F">
                  <w:pPr>
                    <w:pStyle w:val="6"/>
                    <w:spacing w:before="81" w:line="219" w:lineRule="auto"/>
                    <w:ind w:left="958"/>
                    <w:rPr>
                      <w:sz w:val="18"/>
                      <w:szCs w:val="18"/>
                    </w:rPr>
                  </w:pPr>
                  <w:r>
                    <w:rPr>
                      <w:spacing w:val="-3"/>
                      <w:sz w:val="18"/>
                      <w:szCs w:val="18"/>
                    </w:rPr>
                    <w:t>玻化微珠</w:t>
                  </w:r>
                </w:p>
              </w:tc>
              <w:tc>
                <w:tcPr>
                  <w:tcW w:w="1704" w:type="dxa"/>
                  <w:gridSpan w:val="2"/>
                  <w:vAlign w:val="top"/>
                </w:tcPr>
                <w:p w14:paraId="543818EB">
                  <w:pPr>
                    <w:spacing w:before="93" w:line="188" w:lineRule="auto"/>
                    <w:ind w:left="468"/>
                    <w:rPr>
                      <w:rFonts w:ascii="Times New Roman" w:hAnsi="Times New Roman" w:eastAsia="Times New Roman" w:cs="Times New Roman"/>
                      <w:sz w:val="18"/>
                      <w:szCs w:val="18"/>
                    </w:rPr>
                  </w:pPr>
                  <w:r>
                    <w:rPr>
                      <w:rFonts w:ascii="Times New Roman" w:hAnsi="Times New Roman" w:eastAsia="Times New Roman" w:cs="Times New Roman"/>
                      <w:sz w:val="18"/>
                      <w:szCs w:val="18"/>
                    </w:rPr>
                    <w:t>40501.686</w:t>
                  </w:r>
                </w:p>
              </w:tc>
              <w:tc>
                <w:tcPr>
                  <w:tcW w:w="1666" w:type="dxa"/>
                  <w:vAlign w:val="top"/>
                </w:tcPr>
                <w:p w14:paraId="241230FE">
                  <w:pPr>
                    <w:rPr>
                      <w:rFonts w:ascii="Arial"/>
                      <w:sz w:val="21"/>
                    </w:rPr>
                  </w:pPr>
                </w:p>
              </w:tc>
              <w:tc>
                <w:tcPr>
                  <w:tcW w:w="2020" w:type="dxa"/>
                  <w:vAlign w:val="top"/>
                </w:tcPr>
                <w:p w14:paraId="7A4B992B">
                  <w:pPr>
                    <w:rPr>
                      <w:rFonts w:ascii="Arial"/>
                      <w:sz w:val="21"/>
                    </w:rPr>
                  </w:pPr>
                </w:p>
              </w:tc>
            </w:tr>
            <w:tr w14:paraId="4218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5A27A49E">
                  <w:pPr>
                    <w:pStyle w:val="6"/>
                    <w:spacing w:before="81" w:line="219" w:lineRule="auto"/>
                    <w:ind w:left="238"/>
                    <w:rPr>
                      <w:sz w:val="18"/>
                      <w:szCs w:val="18"/>
                    </w:rPr>
                  </w:pPr>
                  <w:r>
                    <w:rPr>
                      <w:spacing w:val="-1"/>
                      <w:sz w:val="18"/>
                      <w:szCs w:val="18"/>
                    </w:rPr>
                    <w:t>玻璃纤维或可再分散乳胶粉</w:t>
                  </w:r>
                </w:p>
              </w:tc>
              <w:tc>
                <w:tcPr>
                  <w:tcW w:w="1704" w:type="dxa"/>
                  <w:gridSpan w:val="2"/>
                  <w:vAlign w:val="top"/>
                </w:tcPr>
                <w:p w14:paraId="21A44EEB">
                  <w:pPr>
                    <w:spacing w:before="93" w:line="188" w:lineRule="auto"/>
                    <w:ind w:left="5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1500.062</w:t>
                  </w:r>
                </w:p>
              </w:tc>
              <w:tc>
                <w:tcPr>
                  <w:tcW w:w="1666" w:type="dxa"/>
                  <w:vAlign w:val="top"/>
                </w:tcPr>
                <w:p w14:paraId="0188AFA8">
                  <w:pPr>
                    <w:rPr>
                      <w:rFonts w:ascii="Arial"/>
                      <w:sz w:val="21"/>
                    </w:rPr>
                  </w:pPr>
                </w:p>
              </w:tc>
              <w:tc>
                <w:tcPr>
                  <w:tcW w:w="2020" w:type="dxa"/>
                  <w:vAlign w:val="top"/>
                </w:tcPr>
                <w:p w14:paraId="3A002909">
                  <w:pPr>
                    <w:rPr>
                      <w:rFonts w:ascii="Arial"/>
                      <w:sz w:val="21"/>
                    </w:rPr>
                  </w:pPr>
                </w:p>
              </w:tc>
            </w:tr>
            <w:tr w14:paraId="063C9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513" w:type="dxa"/>
                  <w:gridSpan w:val="2"/>
                  <w:vAlign w:val="top"/>
                </w:tcPr>
                <w:p w14:paraId="491AF336">
                  <w:pPr>
                    <w:pStyle w:val="6"/>
                    <w:spacing w:before="61" w:line="221" w:lineRule="auto"/>
                    <w:ind w:left="1135"/>
                    <w:rPr>
                      <w:sz w:val="18"/>
                      <w:szCs w:val="18"/>
                    </w:rPr>
                  </w:pPr>
                  <w:r>
                    <w:rPr>
                      <w:spacing w:val="-4"/>
                      <w:sz w:val="18"/>
                      <w:szCs w:val="18"/>
                    </w:rPr>
                    <w:t>合计</w:t>
                  </w:r>
                </w:p>
              </w:tc>
              <w:tc>
                <w:tcPr>
                  <w:tcW w:w="1704" w:type="dxa"/>
                  <w:gridSpan w:val="2"/>
                  <w:vAlign w:val="top"/>
                </w:tcPr>
                <w:p w14:paraId="7E5DD7CB">
                  <w:pPr>
                    <w:spacing w:before="92" w:line="188" w:lineRule="auto"/>
                    <w:ind w:left="4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100004.172</w:t>
                  </w:r>
                </w:p>
              </w:tc>
              <w:tc>
                <w:tcPr>
                  <w:tcW w:w="1666" w:type="dxa"/>
                  <w:vAlign w:val="top"/>
                </w:tcPr>
                <w:p w14:paraId="0DDBDFAB">
                  <w:pPr>
                    <w:pStyle w:val="6"/>
                    <w:spacing w:before="87" w:line="213" w:lineRule="auto"/>
                    <w:ind w:left="658"/>
                    <w:rPr>
                      <w:sz w:val="18"/>
                      <w:szCs w:val="18"/>
                    </w:rPr>
                  </w:pPr>
                  <w:r>
                    <w:rPr>
                      <w:spacing w:val="-4"/>
                      <w:sz w:val="18"/>
                      <w:szCs w:val="18"/>
                    </w:rPr>
                    <w:t>合计</w:t>
                  </w:r>
                </w:p>
              </w:tc>
              <w:tc>
                <w:tcPr>
                  <w:tcW w:w="2020" w:type="dxa"/>
                  <w:vAlign w:val="top"/>
                </w:tcPr>
                <w:p w14:paraId="6375BD0E">
                  <w:pPr>
                    <w:spacing w:before="92" w:line="188" w:lineRule="auto"/>
                    <w:ind w:left="5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100004.172</w:t>
                  </w:r>
                </w:p>
              </w:tc>
            </w:tr>
            <w:tr w14:paraId="7EFAA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3" w:hRule="atLeast"/>
              </w:trPr>
              <w:tc>
                <w:tcPr>
                  <w:tcW w:w="7903" w:type="dxa"/>
                  <w:gridSpan w:val="6"/>
                  <w:tcBorders>
                    <w:bottom w:val="nil"/>
                    <w:right w:val="nil"/>
                  </w:tcBorders>
                  <w:vAlign w:val="top"/>
                </w:tcPr>
                <w:p w14:paraId="192C837A">
                  <w:pPr>
                    <w:spacing w:before="141" w:line="230" w:lineRule="auto"/>
                    <w:ind w:left="100"/>
                    <w:rPr>
                      <w:rFonts w:ascii="黑体" w:hAnsi="黑体" w:eastAsia="黑体" w:cs="黑体"/>
                      <w:sz w:val="20"/>
                      <w:szCs w:val="20"/>
                    </w:rPr>
                  </w:pPr>
                  <w:r>
                    <w:rPr>
                      <w:rFonts w:ascii="黑体" w:hAnsi="黑体" w:eastAsia="黑体" w:cs="黑体"/>
                      <w:spacing w:val="7"/>
                      <w:sz w:val="20"/>
                      <w:szCs w:val="20"/>
                    </w:rPr>
                    <w:t>7、水平衡分析</w:t>
                  </w:r>
                </w:p>
                <w:p w14:paraId="63A8760D">
                  <w:pPr>
                    <w:pStyle w:val="6"/>
                    <w:spacing w:before="149" w:line="360" w:lineRule="auto"/>
                    <w:ind w:left="98" w:right="40" w:firstLine="420"/>
                    <w:rPr>
                      <w:sz w:val="20"/>
                      <w:szCs w:val="20"/>
                    </w:rPr>
                  </w:pPr>
                  <w:r>
                    <w:rPr>
                      <w:spacing w:val="10"/>
                      <w:sz w:val="20"/>
                      <w:szCs w:val="20"/>
                    </w:rPr>
                    <w:t>根据工程分析，项目营运期用水环节主要有厂区防尘喷</w:t>
                  </w:r>
                  <w:r>
                    <w:rPr>
                      <w:spacing w:val="9"/>
                      <w:sz w:val="20"/>
                      <w:szCs w:val="20"/>
                    </w:rPr>
                    <w:t>雾用水、原浆制浆用水、</w:t>
                  </w:r>
                  <w:r>
                    <w:rPr>
                      <w:sz w:val="20"/>
                      <w:szCs w:val="20"/>
                    </w:rPr>
                    <w:t xml:space="preserve"> </w:t>
                  </w:r>
                  <w:r>
                    <w:rPr>
                      <w:spacing w:val="10"/>
                      <w:sz w:val="20"/>
                      <w:szCs w:val="20"/>
                    </w:rPr>
                    <w:t>初养后切割废料冲洗用水、车间地面冲洗用水、车辆冲洗废水</w:t>
                  </w:r>
                  <w:r>
                    <w:rPr>
                      <w:spacing w:val="9"/>
                      <w:sz w:val="20"/>
                      <w:szCs w:val="20"/>
                    </w:rPr>
                    <w:t>、备用燃气锅炉用水以</w:t>
                  </w:r>
                  <w:r>
                    <w:rPr>
                      <w:sz w:val="20"/>
                      <w:szCs w:val="20"/>
                    </w:rPr>
                    <w:t xml:space="preserve"> </w:t>
                  </w:r>
                  <w:r>
                    <w:rPr>
                      <w:spacing w:val="8"/>
                      <w:sz w:val="20"/>
                      <w:szCs w:val="20"/>
                    </w:rPr>
                    <w:t>及员工办公生活用水。</w:t>
                  </w:r>
                </w:p>
                <w:p w14:paraId="3FBAF29B">
                  <w:pPr>
                    <w:pStyle w:val="6"/>
                    <w:spacing w:before="28" w:line="228" w:lineRule="auto"/>
                    <w:ind w:left="529"/>
                    <w:rPr>
                      <w:sz w:val="20"/>
                      <w:szCs w:val="20"/>
                    </w:rPr>
                  </w:pPr>
                  <w:r>
                    <w:rPr>
                      <w:b/>
                      <w:bCs/>
                      <w:spacing w:val="5"/>
                      <w:sz w:val="20"/>
                      <w:szCs w:val="20"/>
                    </w:rPr>
                    <w:t>（</w:t>
                  </w:r>
                  <w:r>
                    <w:rPr>
                      <w:rFonts w:ascii="Times New Roman" w:hAnsi="Times New Roman" w:eastAsia="Times New Roman" w:cs="Times New Roman"/>
                      <w:b/>
                      <w:bCs/>
                      <w:spacing w:val="5"/>
                      <w:sz w:val="20"/>
                      <w:szCs w:val="20"/>
                    </w:rPr>
                    <w:t>1</w:t>
                  </w:r>
                  <w:r>
                    <w:rPr>
                      <w:b/>
                      <w:bCs/>
                      <w:spacing w:val="5"/>
                      <w:sz w:val="20"/>
                      <w:szCs w:val="20"/>
                    </w:rPr>
                    <w:t>）防尘喷雾用水</w:t>
                  </w:r>
                </w:p>
                <w:p w14:paraId="7BEB2EC5">
                  <w:pPr>
                    <w:pStyle w:val="6"/>
                    <w:spacing w:before="154" w:line="349" w:lineRule="auto"/>
                    <w:ind w:left="98" w:right="40" w:firstLine="424"/>
                    <w:jc w:val="both"/>
                  </w:pPr>
                  <w:r>
                    <w:rPr>
                      <w:spacing w:val="10"/>
                      <w:sz w:val="20"/>
                      <w:szCs w:val="20"/>
                    </w:rPr>
                    <w:t>项目营运期生产过程的废气污染物以粉尘为主，</w:t>
                  </w:r>
                  <w:r>
                    <w:rPr>
                      <w:spacing w:val="9"/>
                      <w:sz w:val="20"/>
                      <w:szCs w:val="20"/>
                    </w:rPr>
                    <w:t>特别是在建筑垃圾原料卸料口以</w:t>
                  </w:r>
                  <w:r>
                    <w:rPr>
                      <w:sz w:val="20"/>
                      <w:szCs w:val="20"/>
                    </w:rPr>
                    <w:t xml:space="preserve"> </w:t>
                  </w:r>
                  <w:r>
                    <w:rPr>
                      <w:spacing w:val="10"/>
                      <w:sz w:val="20"/>
                      <w:szCs w:val="20"/>
                    </w:rPr>
                    <w:t>及地下原料堆场内。根据设计，项目拟在建筑垃圾原料卸料口</w:t>
                  </w:r>
                  <w:r>
                    <w:rPr>
                      <w:spacing w:val="9"/>
                      <w:sz w:val="20"/>
                      <w:szCs w:val="20"/>
                    </w:rPr>
                    <w:t>、地下原料堆场安装喷</w:t>
                  </w:r>
                  <w:r>
                    <w:rPr>
                      <w:sz w:val="20"/>
                      <w:szCs w:val="20"/>
                    </w:rPr>
                    <w:t xml:space="preserve"> </w:t>
                  </w:r>
                  <w:r>
                    <w:rPr>
                      <w:spacing w:val="8"/>
                      <w:sz w:val="20"/>
                      <w:szCs w:val="20"/>
                    </w:rPr>
                    <w:t>雾装置，喷雾降尘降低粉尘污染影响</w:t>
                  </w:r>
                  <w:r>
                    <w:rPr>
                      <w:spacing w:val="8"/>
                    </w:rPr>
                    <w:t>。</w:t>
                  </w:r>
                </w:p>
                <w:p w14:paraId="7DADA54E">
                  <w:pPr>
                    <w:pStyle w:val="6"/>
                    <w:spacing w:before="27" w:line="355" w:lineRule="auto"/>
                    <w:ind w:left="101" w:right="40" w:firstLine="421"/>
                    <w:rPr>
                      <w:sz w:val="20"/>
                      <w:szCs w:val="20"/>
                    </w:rPr>
                  </w:pPr>
                  <w:r>
                    <w:rPr>
                      <w:spacing w:val="10"/>
                      <w:sz w:val="20"/>
                      <w:szCs w:val="20"/>
                    </w:rPr>
                    <w:t>项目建筑垃圾原料卸料口设有三面封闭式围挡和</w:t>
                  </w:r>
                  <w:r>
                    <w:rPr>
                      <w:spacing w:val="9"/>
                      <w:sz w:val="20"/>
                      <w:szCs w:val="20"/>
                    </w:rPr>
                    <w:t>顶部围挡，安装有喷雾装置形成</w:t>
                  </w:r>
                  <w:r>
                    <w:rPr>
                      <w:sz w:val="20"/>
                      <w:szCs w:val="20"/>
                    </w:rPr>
                    <w:t xml:space="preserve"> </w:t>
                  </w:r>
                  <w:r>
                    <w:rPr>
                      <w:spacing w:val="9"/>
                      <w:sz w:val="20"/>
                      <w:szCs w:val="20"/>
                    </w:rPr>
                    <w:t>雾帘，降低卸料粉尘影响。根据设计，卸料口喷雾装置喷头约10颗。通过查询资料，</w:t>
                  </w:r>
                </w:p>
                <w:p w14:paraId="4461AF8A">
                  <w:pPr>
                    <w:pStyle w:val="6"/>
                    <w:spacing w:before="30" w:line="352" w:lineRule="auto"/>
                    <w:ind w:left="95" w:firstLine="3"/>
                    <w:rPr>
                      <w:sz w:val="20"/>
                      <w:szCs w:val="20"/>
                    </w:rPr>
                  </w:pPr>
                  <w:r>
                    <w:rPr>
                      <w:spacing w:val="8"/>
                      <w:sz w:val="20"/>
                      <w:szCs w:val="20"/>
                    </w:rPr>
                    <w:t>通常情况下防尘雾化喷头的流量为</w:t>
                  </w:r>
                  <w:r>
                    <w:rPr>
                      <w:rFonts w:ascii="Times New Roman" w:hAnsi="Times New Roman" w:eastAsia="Times New Roman" w:cs="Times New Roman"/>
                      <w:spacing w:val="8"/>
                      <w:sz w:val="20"/>
                      <w:szCs w:val="20"/>
                    </w:rPr>
                    <w:t>5L/h</w:t>
                  </w:r>
                  <w:r>
                    <w:rPr>
                      <w:spacing w:val="8"/>
                      <w:sz w:val="20"/>
                      <w:szCs w:val="20"/>
                    </w:rPr>
                    <w:t>至</w:t>
                  </w:r>
                  <w:r>
                    <w:rPr>
                      <w:rFonts w:ascii="Times New Roman" w:hAnsi="Times New Roman" w:eastAsia="Times New Roman" w:cs="Times New Roman"/>
                      <w:spacing w:val="8"/>
                      <w:sz w:val="20"/>
                      <w:szCs w:val="20"/>
                    </w:rPr>
                    <w:t>50L/h</w:t>
                  </w:r>
                  <w:r>
                    <w:rPr>
                      <w:spacing w:val="8"/>
                      <w:sz w:val="20"/>
                      <w:szCs w:val="20"/>
                    </w:rPr>
                    <w:t xml:space="preserve">不等。根据建设单位介绍，本项目喷雾 </w:t>
                  </w:r>
                  <w:r>
                    <w:rPr>
                      <w:spacing w:val="7"/>
                      <w:sz w:val="20"/>
                      <w:szCs w:val="20"/>
                    </w:rPr>
                    <w:t>喷头用水量约</w:t>
                  </w:r>
                  <w:r>
                    <w:rPr>
                      <w:rFonts w:ascii="Times New Roman" w:hAnsi="Times New Roman" w:eastAsia="Times New Roman" w:cs="Times New Roman"/>
                      <w:spacing w:val="7"/>
                      <w:sz w:val="20"/>
                      <w:szCs w:val="20"/>
                    </w:rPr>
                    <w:t>20L/h</w:t>
                  </w:r>
                  <w:r>
                    <w:rPr>
                      <w:spacing w:val="7"/>
                      <w:sz w:val="20"/>
                      <w:szCs w:val="20"/>
                    </w:rPr>
                    <w:t>•个，日运行时间为</w:t>
                  </w:r>
                  <w:r>
                    <w:rPr>
                      <w:rFonts w:ascii="Times New Roman" w:hAnsi="Times New Roman" w:eastAsia="Times New Roman" w:cs="Times New Roman"/>
                      <w:spacing w:val="7"/>
                      <w:sz w:val="20"/>
                      <w:szCs w:val="20"/>
                    </w:rPr>
                    <w:t>10h</w:t>
                  </w:r>
                  <w:r>
                    <w:rPr>
                      <w:rFonts w:ascii="Times New Roman" w:hAnsi="Times New Roman" w:eastAsia="Times New Roman" w:cs="Times New Roman"/>
                      <w:spacing w:val="-19"/>
                      <w:sz w:val="20"/>
                      <w:szCs w:val="20"/>
                    </w:rPr>
                    <w:t xml:space="preserve"> </w:t>
                  </w:r>
                  <w:r>
                    <w:rPr>
                      <w:spacing w:val="7"/>
                      <w:sz w:val="20"/>
                      <w:szCs w:val="20"/>
                    </w:rPr>
                    <w:t>，经计算项目生产车间内防尘喷雾用水量为</w:t>
                  </w:r>
                  <w:r>
                    <w:rPr>
                      <w:sz w:val="20"/>
                      <w:szCs w:val="20"/>
                    </w:rPr>
                    <w:t xml:space="preserve"> </w:t>
                  </w:r>
                  <w:r>
                    <w:rPr>
                      <w:rFonts w:ascii="Times New Roman" w:hAnsi="Times New Roman" w:eastAsia="Times New Roman" w:cs="Times New Roman"/>
                      <w:spacing w:val="2"/>
                      <w:sz w:val="20"/>
                      <w:szCs w:val="20"/>
                    </w:rPr>
                    <w:t>2.0m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sz w:val="20"/>
                      <w:szCs w:val="20"/>
                    </w:rPr>
                    <w:t>/d</w:t>
                  </w:r>
                  <w:r>
                    <w:rPr>
                      <w:spacing w:val="2"/>
                      <w:sz w:val="20"/>
                      <w:szCs w:val="20"/>
                    </w:rPr>
                    <w:t>。</w:t>
                  </w:r>
                </w:p>
                <w:p w14:paraId="5AEDB873">
                  <w:pPr>
                    <w:pStyle w:val="6"/>
                    <w:spacing w:before="54" w:line="360" w:lineRule="auto"/>
                    <w:ind w:left="95" w:right="40" w:firstLine="423"/>
                    <w:rPr>
                      <w:sz w:val="20"/>
                      <w:szCs w:val="20"/>
                    </w:rPr>
                  </w:pPr>
                  <w:r>
                    <w:rPr>
                      <w:spacing w:val="9"/>
                      <w:sz w:val="20"/>
                      <w:szCs w:val="20"/>
                    </w:rPr>
                    <w:t>根据建设单位介绍，项目地下原料堆场内共设置</w:t>
                  </w:r>
                  <w:r>
                    <w:rPr>
                      <w:rFonts w:ascii="Times New Roman" w:hAnsi="Times New Roman" w:eastAsia="Times New Roman" w:cs="Times New Roman"/>
                      <w:spacing w:val="9"/>
                      <w:sz w:val="20"/>
                      <w:szCs w:val="20"/>
                    </w:rPr>
                    <w:t>50</w:t>
                  </w:r>
                  <w:r>
                    <w:rPr>
                      <w:spacing w:val="9"/>
                      <w:sz w:val="20"/>
                      <w:szCs w:val="20"/>
                    </w:rPr>
                    <w:t>个防尘喷雾喷头。通过查询资</w:t>
                  </w:r>
                  <w:r>
                    <w:rPr>
                      <w:spacing w:val="15"/>
                      <w:sz w:val="20"/>
                      <w:szCs w:val="20"/>
                    </w:rPr>
                    <w:t xml:space="preserve"> </w:t>
                  </w:r>
                  <w:r>
                    <w:rPr>
                      <w:spacing w:val="9"/>
                      <w:sz w:val="20"/>
                      <w:szCs w:val="20"/>
                    </w:rPr>
                    <w:t>料，通常情况下防尘雾化喷头的流量为</w:t>
                  </w:r>
                  <w:r>
                    <w:rPr>
                      <w:rFonts w:ascii="Times New Roman" w:hAnsi="Times New Roman" w:eastAsia="Times New Roman" w:cs="Times New Roman"/>
                      <w:spacing w:val="9"/>
                      <w:sz w:val="20"/>
                      <w:szCs w:val="20"/>
                    </w:rPr>
                    <w:t>5L/h</w:t>
                  </w:r>
                  <w:r>
                    <w:rPr>
                      <w:spacing w:val="9"/>
                      <w:sz w:val="20"/>
                      <w:szCs w:val="20"/>
                    </w:rPr>
                    <w:t>至</w:t>
                  </w:r>
                  <w:r>
                    <w:rPr>
                      <w:rFonts w:ascii="Times New Roman" w:hAnsi="Times New Roman" w:eastAsia="Times New Roman" w:cs="Times New Roman"/>
                      <w:spacing w:val="9"/>
                      <w:sz w:val="20"/>
                      <w:szCs w:val="20"/>
                    </w:rPr>
                    <w:t>50L/</w:t>
                  </w:r>
                  <w:r>
                    <w:rPr>
                      <w:rFonts w:ascii="Times New Roman" w:hAnsi="Times New Roman" w:eastAsia="Times New Roman" w:cs="Times New Roman"/>
                      <w:spacing w:val="8"/>
                      <w:sz w:val="20"/>
                      <w:szCs w:val="20"/>
                    </w:rPr>
                    <w:t>h</w:t>
                  </w:r>
                  <w:r>
                    <w:rPr>
                      <w:spacing w:val="8"/>
                      <w:sz w:val="20"/>
                      <w:szCs w:val="20"/>
                    </w:rPr>
                    <w:t>不等。本项目喷雾喷头用水量约</w:t>
                  </w:r>
                  <w:r>
                    <w:rPr>
                      <w:sz w:val="20"/>
                      <w:szCs w:val="20"/>
                    </w:rPr>
                    <w:t xml:space="preserve">  </w:t>
                  </w:r>
                  <w:r>
                    <w:rPr>
                      <w:rFonts w:ascii="Times New Roman" w:hAnsi="Times New Roman" w:eastAsia="Times New Roman" w:cs="Times New Roman"/>
                      <w:spacing w:val="6"/>
                      <w:sz w:val="20"/>
                      <w:szCs w:val="20"/>
                    </w:rPr>
                    <w:t>20L/h</w:t>
                  </w:r>
                  <w:r>
                    <w:rPr>
                      <w:spacing w:val="6"/>
                      <w:sz w:val="20"/>
                      <w:szCs w:val="20"/>
                    </w:rPr>
                    <w:t>•个，</w:t>
                  </w:r>
                  <w:r>
                    <w:rPr>
                      <w:spacing w:val="-47"/>
                      <w:sz w:val="20"/>
                      <w:szCs w:val="20"/>
                    </w:rPr>
                    <w:t xml:space="preserve"> </w:t>
                  </w:r>
                  <w:r>
                    <w:rPr>
                      <w:spacing w:val="6"/>
                      <w:sz w:val="20"/>
                      <w:szCs w:val="20"/>
                    </w:rPr>
                    <w:t>日运行时间为</w:t>
                  </w:r>
                  <w:r>
                    <w:rPr>
                      <w:rFonts w:ascii="Times New Roman" w:hAnsi="Times New Roman" w:eastAsia="Times New Roman" w:cs="Times New Roman"/>
                      <w:spacing w:val="6"/>
                      <w:sz w:val="20"/>
                      <w:szCs w:val="20"/>
                    </w:rPr>
                    <w:t>10h</w:t>
                  </w:r>
                  <w:r>
                    <w:rPr>
                      <w:rFonts w:ascii="Times New Roman" w:hAnsi="Times New Roman" w:eastAsia="Times New Roman" w:cs="Times New Roman"/>
                      <w:spacing w:val="-26"/>
                      <w:sz w:val="20"/>
                      <w:szCs w:val="20"/>
                    </w:rPr>
                    <w:t xml:space="preserve"> </w:t>
                  </w:r>
                  <w:r>
                    <w:rPr>
                      <w:spacing w:val="6"/>
                      <w:sz w:val="20"/>
                      <w:szCs w:val="20"/>
                    </w:rPr>
                    <w:t>，经计算项目生产车间内防尘喷雾用水量为10</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p>
                <w:p w14:paraId="677945B7">
                  <w:pPr>
                    <w:pStyle w:val="6"/>
                    <w:spacing w:before="29" w:line="227" w:lineRule="auto"/>
                    <w:ind w:left="527"/>
                    <w:rPr>
                      <w:sz w:val="20"/>
                      <w:szCs w:val="20"/>
                    </w:rPr>
                  </w:pPr>
                  <w:r>
                    <w:rPr>
                      <w:spacing w:val="8"/>
                      <w:sz w:val="20"/>
                      <w:szCs w:val="20"/>
                    </w:rPr>
                    <w:t>喷雾降尘水全部蒸发损耗，不会形成径流废水。</w:t>
                  </w:r>
                </w:p>
                <w:p w14:paraId="18B66510">
                  <w:pPr>
                    <w:pStyle w:val="6"/>
                    <w:spacing w:before="154" w:line="228" w:lineRule="auto"/>
                    <w:ind w:left="529"/>
                    <w:rPr>
                      <w:sz w:val="20"/>
                      <w:szCs w:val="20"/>
                    </w:rPr>
                  </w:pPr>
                  <w:r>
                    <w:rPr>
                      <w:b/>
                      <w:bCs/>
                      <w:spacing w:val="5"/>
                      <w:sz w:val="20"/>
                      <w:szCs w:val="20"/>
                    </w:rPr>
                    <w:t>（</w:t>
                  </w:r>
                  <w:r>
                    <w:rPr>
                      <w:rFonts w:ascii="Times New Roman" w:hAnsi="Times New Roman" w:eastAsia="Times New Roman" w:cs="Times New Roman"/>
                      <w:b/>
                      <w:bCs/>
                      <w:spacing w:val="5"/>
                      <w:sz w:val="20"/>
                      <w:szCs w:val="20"/>
                    </w:rPr>
                    <w:t>2</w:t>
                  </w:r>
                  <w:r>
                    <w:rPr>
                      <w:b/>
                      <w:bCs/>
                      <w:spacing w:val="5"/>
                      <w:sz w:val="20"/>
                      <w:szCs w:val="20"/>
                    </w:rPr>
                    <w:t>）原浆制浆用水</w:t>
                  </w:r>
                </w:p>
                <w:p w14:paraId="28F2569C">
                  <w:pPr>
                    <w:pStyle w:val="6"/>
                    <w:spacing w:before="153" w:line="362" w:lineRule="auto"/>
                    <w:ind w:left="98" w:firstLine="424"/>
                    <w:jc w:val="both"/>
                    <w:rPr>
                      <w:sz w:val="20"/>
                      <w:szCs w:val="20"/>
                    </w:rPr>
                  </w:pPr>
                  <w:r>
                    <w:rPr>
                      <w:spacing w:val="9"/>
                      <w:sz w:val="20"/>
                      <w:szCs w:val="20"/>
                    </w:rPr>
                    <w:t>项目砌块和板材生产线采用湿法球磨工艺，原料磨好之后即成为原浆。根据建设</w:t>
                  </w:r>
                  <w:r>
                    <w:rPr>
                      <w:spacing w:val="18"/>
                      <w:sz w:val="20"/>
                      <w:szCs w:val="20"/>
                    </w:rPr>
                    <w:t xml:space="preserve"> </w:t>
                  </w:r>
                  <w:r>
                    <w:rPr>
                      <w:spacing w:val="9"/>
                      <w:sz w:val="20"/>
                      <w:szCs w:val="20"/>
                    </w:rPr>
                    <w:t>单位介绍，项目生产</w:t>
                  </w:r>
                  <w:r>
                    <w:rPr>
                      <w:rFonts w:ascii="Times New Roman" w:hAnsi="Times New Roman" w:eastAsia="Times New Roman" w:cs="Times New Roman"/>
                      <w:spacing w:val="9"/>
                      <w:sz w:val="20"/>
                      <w:szCs w:val="20"/>
                    </w:rPr>
                    <w:t>1m</w:t>
                  </w:r>
                  <w:r>
                    <w:rPr>
                      <w:rFonts w:ascii="Times New Roman" w:hAnsi="Times New Roman" w:eastAsia="Times New Roman" w:cs="Times New Roman"/>
                      <w:spacing w:val="9"/>
                      <w:position w:val="6"/>
                      <w:sz w:val="13"/>
                      <w:szCs w:val="13"/>
                    </w:rPr>
                    <w:t>3</w:t>
                  </w:r>
                  <w:r>
                    <w:rPr>
                      <w:spacing w:val="9"/>
                      <w:sz w:val="20"/>
                      <w:szCs w:val="20"/>
                    </w:rPr>
                    <w:t>砌块和板材产品约需要消耗</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3m</w:t>
                  </w:r>
                  <w:r>
                    <w:rPr>
                      <w:rFonts w:ascii="Times New Roman" w:hAnsi="Times New Roman" w:eastAsia="Times New Roman" w:cs="Times New Roman"/>
                      <w:spacing w:val="8"/>
                      <w:position w:val="6"/>
                      <w:sz w:val="13"/>
                      <w:szCs w:val="13"/>
                    </w:rPr>
                    <w:t>3</w:t>
                  </w:r>
                  <w:r>
                    <w:rPr>
                      <w:spacing w:val="8"/>
                      <w:sz w:val="20"/>
                      <w:szCs w:val="20"/>
                    </w:rPr>
                    <w:t>水。本项目年产砌块和板材</w:t>
                  </w:r>
                  <w:r>
                    <w:rPr>
                      <w:sz w:val="20"/>
                      <w:szCs w:val="20"/>
                    </w:rPr>
                    <w:t xml:space="preserve"> </w:t>
                  </w:r>
                  <w:r>
                    <w:rPr>
                      <w:spacing w:val="6"/>
                      <w:sz w:val="20"/>
                      <w:szCs w:val="20"/>
                    </w:rPr>
                    <w:t>总量约</w:t>
                  </w:r>
                  <w:r>
                    <w:rPr>
                      <w:rFonts w:ascii="Times New Roman" w:hAnsi="Times New Roman" w:eastAsia="Times New Roman" w:cs="Times New Roman"/>
                      <w:spacing w:val="6"/>
                      <w:sz w:val="20"/>
                      <w:szCs w:val="20"/>
                    </w:rPr>
                    <w:t>60</w:t>
                  </w:r>
                  <w:r>
                    <w:rPr>
                      <w:spacing w:val="6"/>
                      <w:sz w:val="20"/>
                      <w:szCs w:val="20"/>
                    </w:rPr>
                    <w:t>万</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8"/>
                      <w:position w:val="6"/>
                      <w:sz w:val="13"/>
                      <w:szCs w:val="13"/>
                    </w:rPr>
                    <w:t xml:space="preserve"> </w:t>
                  </w:r>
                  <w:r>
                    <w:rPr>
                      <w:spacing w:val="6"/>
                      <w:sz w:val="20"/>
                      <w:szCs w:val="20"/>
                    </w:rPr>
                    <w:t>，经计算原浆制浆过程约需要用水</w:t>
                  </w:r>
                  <w:r>
                    <w:rPr>
                      <w:rFonts w:ascii="Times New Roman" w:hAnsi="Times New Roman" w:eastAsia="Times New Roman" w:cs="Times New Roman"/>
                      <w:spacing w:val="6"/>
                      <w:sz w:val="20"/>
                      <w:szCs w:val="20"/>
                    </w:rPr>
                    <w:t>600m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1"/>
                      <w:sz w:val="20"/>
                      <w:szCs w:val="20"/>
                    </w:rPr>
                    <w:t xml:space="preserve"> </w:t>
                  </w:r>
                  <w:r>
                    <w:rPr>
                      <w:spacing w:val="6"/>
                      <w:sz w:val="20"/>
                      <w:szCs w:val="20"/>
                    </w:rPr>
                    <w:t>。原浆制浆</w:t>
                  </w:r>
                  <w:r>
                    <w:rPr>
                      <w:spacing w:val="5"/>
                      <w:sz w:val="20"/>
                      <w:szCs w:val="20"/>
                    </w:rPr>
                    <w:t>用水，最终在产品</w:t>
                  </w:r>
                  <w:r>
                    <w:rPr>
                      <w:sz w:val="20"/>
                      <w:szCs w:val="20"/>
                    </w:rPr>
                    <w:t xml:space="preserve"> </w:t>
                  </w:r>
                  <w:r>
                    <w:rPr>
                      <w:spacing w:val="9"/>
                      <w:sz w:val="20"/>
                      <w:szCs w:val="20"/>
                    </w:rPr>
                    <w:t>初养和蒸养过程转化为水蒸气排放，不产生废水。</w:t>
                  </w:r>
                </w:p>
                <w:p w14:paraId="5F0137E6">
                  <w:pPr>
                    <w:pStyle w:val="6"/>
                    <w:spacing w:before="30" w:line="228" w:lineRule="auto"/>
                    <w:ind w:left="529"/>
                    <w:rPr>
                      <w:sz w:val="20"/>
                      <w:szCs w:val="20"/>
                    </w:rPr>
                  </w:pPr>
                  <w:r>
                    <w:rPr>
                      <w:b/>
                      <w:bCs/>
                      <w:spacing w:val="6"/>
                      <w:sz w:val="20"/>
                      <w:szCs w:val="20"/>
                    </w:rPr>
                    <w:t>（</w:t>
                  </w:r>
                  <w:r>
                    <w:rPr>
                      <w:rFonts w:ascii="Times New Roman" w:hAnsi="Times New Roman" w:eastAsia="Times New Roman" w:cs="Times New Roman"/>
                      <w:b/>
                      <w:bCs/>
                      <w:spacing w:val="6"/>
                      <w:sz w:val="20"/>
                      <w:szCs w:val="20"/>
                    </w:rPr>
                    <w:t>3</w:t>
                  </w:r>
                  <w:r>
                    <w:rPr>
                      <w:b/>
                      <w:bCs/>
                      <w:spacing w:val="6"/>
                      <w:sz w:val="20"/>
                      <w:szCs w:val="20"/>
                    </w:rPr>
                    <w:t>）切割废料冲洗用水</w:t>
                  </w:r>
                </w:p>
              </w:tc>
            </w:tr>
          </w:tbl>
          <w:p w14:paraId="22349F65">
            <w:pPr>
              <w:spacing w:line="14" w:lineRule="auto"/>
              <w:rPr>
                <w:rFonts w:ascii="Arial"/>
                <w:sz w:val="2"/>
              </w:rPr>
            </w:pPr>
          </w:p>
        </w:tc>
      </w:tr>
    </w:tbl>
    <w:p w14:paraId="3609C931">
      <w:pPr>
        <w:pStyle w:val="2"/>
      </w:pPr>
    </w:p>
    <w:p w14:paraId="303D77B5">
      <w:pPr>
        <w:sectPr>
          <w:footerReference r:id="rId41" w:type="default"/>
          <w:pgSz w:w="11906" w:h="16839"/>
          <w:pgMar w:top="1431" w:right="1532" w:bottom="1260" w:left="1533" w:header="0" w:footer="1080" w:gutter="0"/>
          <w:cols w:space="720" w:num="1"/>
        </w:sectPr>
      </w:pPr>
    </w:p>
    <w:p w14:paraId="3489CD46">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361A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7B1737C5">
            <w:pPr>
              <w:rPr>
                <w:rFonts w:ascii="Arial"/>
                <w:sz w:val="21"/>
              </w:rPr>
            </w:pPr>
          </w:p>
        </w:tc>
        <w:tc>
          <w:tcPr>
            <w:tcW w:w="7992" w:type="dxa"/>
            <w:tcBorders>
              <w:left w:val="single" w:color="000000" w:sz="2" w:space="0"/>
              <w:bottom w:val="single" w:color="000000" w:sz="2" w:space="0"/>
            </w:tcBorders>
            <w:vAlign w:val="top"/>
          </w:tcPr>
          <w:p w14:paraId="10109F6E">
            <w:pPr>
              <w:pStyle w:val="6"/>
              <w:spacing w:before="144" w:line="359" w:lineRule="auto"/>
              <w:ind w:left="91" w:right="86" w:firstLine="419"/>
              <w:jc w:val="both"/>
              <w:rPr>
                <w:sz w:val="20"/>
                <w:szCs w:val="20"/>
              </w:rPr>
            </w:pPr>
            <w:r>
              <w:rPr>
                <w:spacing w:val="10"/>
                <w:sz w:val="20"/>
                <w:szCs w:val="20"/>
              </w:rPr>
              <w:t>根据工程分析，项目砌块和板材完成初养后需进行边角</w:t>
            </w:r>
            <w:r>
              <w:rPr>
                <w:spacing w:val="9"/>
                <w:sz w:val="20"/>
                <w:szCs w:val="20"/>
              </w:rPr>
              <w:t>切割，切割废料产生量约</w:t>
            </w:r>
            <w:r>
              <w:rPr>
                <w:sz w:val="20"/>
                <w:szCs w:val="20"/>
              </w:rPr>
              <w:t xml:space="preserve"> </w:t>
            </w:r>
            <w:r>
              <w:rPr>
                <w:rFonts w:ascii="Times New Roman" w:hAnsi="Times New Roman" w:eastAsia="Times New Roman" w:cs="Times New Roman"/>
                <w:spacing w:val="8"/>
                <w:sz w:val="20"/>
                <w:szCs w:val="20"/>
              </w:rPr>
              <w:t>3.6t/d</w:t>
            </w:r>
            <w:r>
              <w:rPr>
                <w:rFonts w:ascii="Times New Roman" w:hAnsi="Times New Roman" w:eastAsia="Times New Roman" w:cs="Times New Roman"/>
                <w:spacing w:val="-23"/>
                <w:sz w:val="20"/>
                <w:szCs w:val="20"/>
              </w:rPr>
              <w:t xml:space="preserve"> </w:t>
            </w:r>
            <w:r>
              <w:rPr>
                <w:spacing w:val="8"/>
                <w:sz w:val="20"/>
                <w:szCs w:val="20"/>
              </w:rPr>
              <w:t>。切割废料落入废料收集沟后需用水冲走，最终</w:t>
            </w:r>
            <w:r>
              <w:rPr>
                <w:spacing w:val="7"/>
                <w:sz w:val="20"/>
                <w:szCs w:val="20"/>
              </w:rPr>
              <w:t>进入废浆池循环回用。根据建设</w:t>
            </w:r>
            <w:r>
              <w:rPr>
                <w:sz w:val="20"/>
                <w:szCs w:val="20"/>
              </w:rPr>
              <w:t xml:space="preserve"> </w:t>
            </w:r>
            <w:r>
              <w:rPr>
                <w:spacing w:val="8"/>
                <w:sz w:val="20"/>
                <w:szCs w:val="20"/>
              </w:rPr>
              <w:t>单位介绍，切割废水冲洗用水量约</w:t>
            </w:r>
            <w:r>
              <w:rPr>
                <w:rFonts w:ascii="Times New Roman" w:hAnsi="Times New Roman" w:eastAsia="Times New Roman" w:cs="Times New Roman"/>
                <w:spacing w:val="8"/>
                <w:sz w:val="20"/>
                <w:szCs w:val="20"/>
              </w:rPr>
              <w:t>10m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/d</w:t>
            </w:r>
            <w:r>
              <w:rPr>
                <w:rFonts w:ascii="Times New Roman" w:hAnsi="Times New Roman" w:eastAsia="Times New Roman" w:cs="Times New Roman"/>
                <w:spacing w:val="-21"/>
                <w:sz w:val="20"/>
                <w:szCs w:val="20"/>
              </w:rPr>
              <w:t xml:space="preserve"> </w:t>
            </w:r>
            <w:r>
              <w:rPr>
                <w:spacing w:val="8"/>
                <w:sz w:val="20"/>
                <w:szCs w:val="20"/>
              </w:rPr>
              <w:t>。冲洗废水进入废浆池循环回用，</w:t>
            </w:r>
            <w:r>
              <w:rPr>
                <w:spacing w:val="7"/>
                <w:sz w:val="20"/>
                <w:szCs w:val="20"/>
              </w:rPr>
              <w:t>不外排。</w:t>
            </w:r>
          </w:p>
          <w:p w14:paraId="5084E6D3">
            <w:pPr>
              <w:pStyle w:val="6"/>
              <w:spacing w:before="33" w:line="228" w:lineRule="auto"/>
              <w:ind w:left="521"/>
              <w:rPr>
                <w:sz w:val="20"/>
                <w:szCs w:val="20"/>
              </w:rPr>
            </w:pPr>
            <w:r>
              <w:rPr>
                <w:b/>
                <w:bCs/>
                <w:spacing w:val="5"/>
                <w:sz w:val="20"/>
                <w:szCs w:val="20"/>
              </w:rPr>
              <w:t>（</w:t>
            </w:r>
            <w:r>
              <w:rPr>
                <w:rFonts w:ascii="Times New Roman" w:hAnsi="Times New Roman" w:eastAsia="Times New Roman" w:cs="Times New Roman"/>
                <w:b/>
                <w:bCs/>
                <w:spacing w:val="5"/>
                <w:sz w:val="20"/>
                <w:szCs w:val="20"/>
              </w:rPr>
              <w:t>4</w:t>
            </w:r>
            <w:r>
              <w:rPr>
                <w:b/>
                <w:bCs/>
                <w:spacing w:val="5"/>
                <w:sz w:val="20"/>
                <w:szCs w:val="20"/>
              </w:rPr>
              <w:t>）车间地面冲洗</w:t>
            </w:r>
          </w:p>
          <w:p w14:paraId="16457460">
            <w:pPr>
              <w:pStyle w:val="6"/>
              <w:spacing w:before="152" w:line="367" w:lineRule="auto"/>
              <w:ind w:left="90" w:right="15" w:firstLine="421"/>
              <w:jc w:val="both"/>
              <w:rPr>
                <w:sz w:val="20"/>
                <w:szCs w:val="20"/>
              </w:rPr>
            </w:pPr>
            <w:r>
              <w:rPr>
                <w:spacing w:val="7"/>
                <w:sz w:val="20"/>
                <w:szCs w:val="20"/>
              </w:rPr>
              <w:t>本项目设置封闭式生产车间，大部分在车间内排放的无组织粉尘会在车间内沉降，</w:t>
            </w:r>
            <w:r>
              <w:rPr>
                <w:sz w:val="20"/>
                <w:szCs w:val="20"/>
              </w:rPr>
              <w:t xml:space="preserve"> </w:t>
            </w:r>
            <w:r>
              <w:rPr>
                <w:spacing w:val="10"/>
                <w:sz w:val="20"/>
                <w:szCs w:val="20"/>
              </w:rPr>
              <w:t>长此下去车间地面会形成一层积灰。营运期除了采取清扫的方</w:t>
            </w:r>
            <w:r>
              <w:rPr>
                <w:spacing w:val="9"/>
                <w:sz w:val="20"/>
                <w:szCs w:val="20"/>
              </w:rPr>
              <w:t>式保持清洁卫生外，另</w:t>
            </w:r>
            <w:r>
              <w:rPr>
                <w:sz w:val="20"/>
                <w:szCs w:val="20"/>
              </w:rPr>
              <w:t xml:space="preserve">  </w:t>
            </w:r>
            <w:r>
              <w:rPr>
                <w:spacing w:val="7"/>
                <w:sz w:val="20"/>
                <w:szCs w:val="20"/>
              </w:rPr>
              <w:t>拟采取适时对车间地面冲洗。根据建设单位介绍，结合生产周期拟定于每月冲洗一次。</w:t>
            </w:r>
            <w:r>
              <w:rPr>
                <w:spacing w:val="8"/>
                <w:sz w:val="20"/>
                <w:szCs w:val="20"/>
              </w:rPr>
              <w:t xml:space="preserve"> 根据设计，项目仅对干混砂浆车间地面需冲洗，面积约</w:t>
            </w:r>
            <w:r>
              <w:rPr>
                <w:rFonts w:ascii="Times New Roman" w:hAnsi="Times New Roman" w:eastAsia="Times New Roman" w:cs="Times New Roman"/>
                <w:spacing w:val="8"/>
                <w:sz w:val="20"/>
                <w:szCs w:val="20"/>
              </w:rPr>
              <w:t>4000m</w:t>
            </w:r>
            <w:r>
              <w:rPr>
                <w:rFonts w:ascii="Times New Roman" w:hAnsi="Times New Roman" w:eastAsia="Times New Roman" w:cs="Times New Roman"/>
                <w:spacing w:val="8"/>
                <w:position w:val="6"/>
                <w:sz w:val="13"/>
                <w:szCs w:val="13"/>
              </w:rPr>
              <w:t>2</w:t>
            </w:r>
            <w:r>
              <w:rPr>
                <w:rFonts w:ascii="Times New Roman" w:hAnsi="Times New Roman" w:eastAsia="Times New Roman" w:cs="Times New Roman"/>
                <w:spacing w:val="6"/>
                <w:position w:val="6"/>
                <w:sz w:val="13"/>
                <w:szCs w:val="13"/>
              </w:rPr>
              <w:t xml:space="preserve"> </w:t>
            </w:r>
            <w:r>
              <w:rPr>
                <w:spacing w:val="8"/>
                <w:sz w:val="20"/>
                <w:szCs w:val="20"/>
              </w:rPr>
              <w:t>，砌块和板材车间产生</w:t>
            </w:r>
            <w:r>
              <w:rPr>
                <w:sz w:val="20"/>
                <w:szCs w:val="20"/>
              </w:rPr>
              <w:t xml:space="preserve">  </w:t>
            </w:r>
            <w:r>
              <w:rPr>
                <w:spacing w:val="6"/>
                <w:sz w:val="20"/>
                <w:szCs w:val="20"/>
              </w:rPr>
              <w:t>较少不进行冲洗。经计算，单次地面冲洗用水按</w:t>
            </w:r>
            <w:r>
              <w:rPr>
                <w:rFonts w:ascii="Times New Roman" w:hAnsi="Times New Roman" w:eastAsia="Times New Roman" w:cs="Times New Roman"/>
                <w:spacing w:val="5"/>
                <w:sz w:val="20"/>
                <w:szCs w:val="20"/>
              </w:rPr>
              <w:t>2L/m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8"/>
                <w:position w:val="6"/>
                <w:sz w:val="13"/>
                <w:szCs w:val="13"/>
              </w:rPr>
              <w:t xml:space="preserve"> </w:t>
            </w:r>
            <w:r>
              <w:rPr>
                <w:spacing w:val="5"/>
                <w:sz w:val="20"/>
                <w:szCs w:val="20"/>
              </w:rPr>
              <w:t>，冲洗面积约</w:t>
            </w:r>
            <w:r>
              <w:rPr>
                <w:rFonts w:ascii="Times New Roman" w:hAnsi="Times New Roman" w:eastAsia="Times New Roman" w:cs="Times New Roman"/>
                <w:spacing w:val="5"/>
                <w:sz w:val="20"/>
                <w:szCs w:val="20"/>
              </w:rPr>
              <w:t>4000m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9"/>
                <w:position w:val="6"/>
                <w:sz w:val="13"/>
                <w:szCs w:val="13"/>
              </w:rPr>
              <w:t xml:space="preserve"> </w:t>
            </w:r>
            <w:r>
              <w:rPr>
                <w:spacing w:val="5"/>
                <w:sz w:val="20"/>
                <w:szCs w:val="20"/>
              </w:rPr>
              <w:t>，则一共需</w:t>
            </w:r>
            <w:r>
              <w:rPr>
                <w:sz w:val="20"/>
                <w:szCs w:val="20"/>
              </w:rPr>
              <w:t xml:space="preserve"> </w:t>
            </w:r>
            <w:r>
              <w:rPr>
                <w:spacing w:val="8"/>
                <w:sz w:val="20"/>
                <w:szCs w:val="20"/>
              </w:rPr>
              <w:t>冲洗车间地面</w:t>
            </w:r>
            <w:r>
              <w:rPr>
                <w:rFonts w:ascii="Times New Roman" w:hAnsi="Times New Roman" w:eastAsia="Times New Roman" w:cs="Times New Roman"/>
                <w:spacing w:val="8"/>
                <w:sz w:val="20"/>
                <w:szCs w:val="20"/>
              </w:rPr>
              <w:t>12</w:t>
            </w:r>
            <w:r>
              <w:rPr>
                <w:spacing w:val="8"/>
                <w:sz w:val="20"/>
                <w:szCs w:val="20"/>
              </w:rPr>
              <w:t>次</w:t>
            </w:r>
            <w:r>
              <w:rPr>
                <w:rFonts w:ascii="Times New Roman" w:hAnsi="Times New Roman" w:eastAsia="Times New Roman" w:cs="Times New Roman"/>
                <w:spacing w:val="8"/>
                <w:sz w:val="20"/>
                <w:szCs w:val="20"/>
              </w:rPr>
              <w:t>/</w:t>
            </w:r>
            <w:r>
              <w:rPr>
                <w:spacing w:val="8"/>
                <w:sz w:val="20"/>
                <w:szCs w:val="20"/>
              </w:rPr>
              <w:t>年，每次车间地面冲洗用水量约</w:t>
            </w:r>
            <w:r>
              <w:rPr>
                <w:rFonts w:ascii="Times New Roman" w:hAnsi="Times New Roman" w:eastAsia="Times New Roman" w:cs="Times New Roman"/>
                <w:spacing w:val="8"/>
                <w:sz w:val="20"/>
                <w:szCs w:val="20"/>
              </w:rPr>
              <w:t>8m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w:t>
            </w:r>
            <w:r>
              <w:rPr>
                <w:spacing w:val="8"/>
                <w:sz w:val="20"/>
                <w:szCs w:val="20"/>
              </w:rPr>
              <w:t>次，年需用水</w:t>
            </w:r>
            <w:r>
              <w:rPr>
                <w:rFonts w:ascii="Times New Roman" w:hAnsi="Times New Roman" w:eastAsia="Times New Roman" w:cs="Times New Roman"/>
                <w:spacing w:val="8"/>
                <w:sz w:val="20"/>
                <w:szCs w:val="20"/>
              </w:rPr>
              <w:t>96m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/a</w:t>
            </w:r>
            <w:r>
              <w:rPr>
                <w:spacing w:val="8"/>
                <w:sz w:val="20"/>
                <w:szCs w:val="20"/>
              </w:rPr>
              <w:t>（折算约</w:t>
            </w:r>
            <w:r>
              <w:rPr>
                <w:spacing w:val="2"/>
                <w:sz w:val="20"/>
                <w:szCs w:val="20"/>
              </w:rPr>
              <w:t xml:space="preserve">  </w:t>
            </w:r>
            <w:r>
              <w:rPr>
                <w:rFonts w:ascii="Times New Roman" w:hAnsi="Times New Roman" w:eastAsia="Times New Roman" w:cs="Times New Roman"/>
                <w:spacing w:val="-4"/>
                <w:sz w:val="20"/>
                <w:szCs w:val="20"/>
              </w:rPr>
              <w:t>0.32m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spacing w:val="-4"/>
                <w:sz w:val="20"/>
                <w:szCs w:val="20"/>
              </w:rPr>
              <w:t>）。</w:t>
            </w:r>
          </w:p>
          <w:p w14:paraId="4BD4F48C">
            <w:pPr>
              <w:pStyle w:val="6"/>
              <w:spacing w:before="17" w:line="360" w:lineRule="auto"/>
              <w:ind w:left="91" w:right="108" w:firstLine="420"/>
              <w:jc w:val="both"/>
              <w:rPr>
                <w:sz w:val="20"/>
                <w:szCs w:val="20"/>
              </w:rPr>
            </w:pPr>
            <w:r>
              <w:rPr>
                <w:spacing w:val="7"/>
                <w:sz w:val="20"/>
                <w:szCs w:val="20"/>
              </w:rPr>
              <w:t>地面冲洗水产污系数取</w:t>
            </w:r>
            <w:r>
              <w:rPr>
                <w:rFonts w:ascii="Times New Roman" w:hAnsi="Times New Roman" w:eastAsia="Times New Roman" w:cs="Times New Roman"/>
                <w:spacing w:val="7"/>
                <w:sz w:val="20"/>
                <w:szCs w:val="20"/>
              </w:rPr>
              <w:t>80%</w:t>
            </w:r>
            <w:r>
              <w:rPr>
                <w:rFonts w:ascii="Times New Roman" w:hAnsi="Times New Roman" w:eastAsia="Times New Roman" w:cs="Times New Roman"/>
                <w:spacing w:val="-25"/>
                <w:sz w:val="20"/>
                <w:szCs w:val="20"/>
              </w:rPr>
              <w:t xml:space="preserve"> </w:t>
            </w:r>
            <w:r>
              <w:rPr>
                <w:spacing w:val="7"/>
                <w:sz w:val="20"/>
                <w:szCs w:val="20"/>
              </w:rPr>
              <w:t>，则废水产生量约</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6"/>
                <w:sz w:val="20"/>
                <w:szCs w:val="20"/>
              </w:rPr>
              <w:t>256m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r>
              <w:rPr>
                <w:rFonts w:ascii="Times New Roman" w:hAnsi="Times New Roman" w:eastAsia="Times New Roman" w:cs="Times New Roman"/>
                <w:spacing w:val="6"/>
                <w:sz w:val="20"/>
                <w:szCs w:val="20"/>
              </w:rPr>
              <w:t>76.8m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spacing w:val="-38"/>
                <w:sz w:val="20"/>
                <w:szCs w:val="20"/>
              </w:rPr>
              <w:t>），</w:t>
            </w:r>
            <w:r>
              <w:rPr>
                <w:spacing w:val="6"/>
                <w:sz w:val="20"/>
                <w:szCs w:val="20"/>
              </w:rPr>
              <w:t>主要污染物</w:t>
            </w:r>
            <w:r>
              <w:rPr>
                <w:sz w:val="20"/>
                <w:szCs w:val="20"/>
              </w:rPr>
              <w:t xml:space="preserve"> </w:t>
            </w:r>
            <w:r>
              <w:rPr>
                <w:spacing w:val="9"/>
                <w:sz w:val="20"/>
                <w:szCs w:val="20"/>
              </w:rPr>
              <w:t>为</w:t>
            </w:r>
            <w:r>
              <w:rPr>
                <w:rFonts w:ascii="Times New Roman" w:hAnsi="Times New Roman" w:eastAsia="Times New Roman" w:cs="Times New Roman"/>
                <w:sz w:val="20"/>
                <w:szCs w:val="20"/>
              </w:rPr>
              <w:t>SS</w:t>
            </w:r>
            <w:r>
              <w:rPr>
                <w:rFonts w:ascii="Times New Roman" w:hAnsi="Times New Roman" w:eastAsia="Times New Roman" w:cs="Times New Roman"/>
                <w:spacing w:val="-16"/>
                <w:sz w:val="20"/>
                <w:szCs w:val="20"/>
              </w:rPr>
              <w:t xml:space="preserve"> </w:t>
            </w:r>
            <w:r>
              <w:rPr>
                <w:spacing w:val="9"/>
                <w:sz w:val="20"/>
                <w:szCs w:val="20"/>
              </w:rPr>
              <w:t>，地面冲洗废水通过车间的收集沟最终进入砌块和板材车间的废浆池，回用于生</w:t>
            </w:r>
            <w:r>
              <w:rPr>
                <w:sz w:val="20"/>
                <w:szCs w:val="20"/>
              </w:rPr>
              <w:t xml:space="preserve"> 产。</w:t>
            </w:r>
          </w:p>
          <w:p w14:paraId="452BC3DA">
            <w:pPr>
              <w:pStyle w:val="6"/>
              <w:spacing w:before="29" w:line="228" w:lineRule="auto"/>
              <w:ind w:left="521"/>
              <w:rPr>
                <w:sz w:val="20"/>
                <w:szCs w:val="20"/>
              </w:rPr>
            </w:pPr>
            <w:r>
              <w:rPr>
                <w:b/>
                <w:bCs/>
                <w:spacing w:val="5"/>
                <w:sz w:val="20"/>
                <w:szCs w:val="20"/>
              </w:rPr>
              <w:t>（</w:t>
            </w:r>
            <w:r>
              <w:rPr>
                <w:rFonts w:ascii="Times New Roman" w:hAnsi="Times New Roman" w:eastAsia="Times New Roman" w:cs="Times New Roman"/>
                <w:b/>
                <w:bCs/>
                <w:spacing w:val="5"/>
                <w:sz w:val="20"/>
                <w:szCs w:val="20"/>
              </w:rPr>
              <w:t>5</w:t>
            </w:r>
            <w:r>
              <w:rPr>
                <w:b/>
                <w:bCs/>
                <w:spacing w:val="5"/>
                <w:sz w:val="20"/>
                <w:szCs w:val="20"/>
              </w:rPr>
              <w:t>）车辆冲洗用水</w:t>
            </w:r>
          </w:p>
          <w:p w14:paraId="7D0BEFD6">
            <w:pPr>
              <w:pStyle w:val="6"/>
              <w:spacing w:before="154" w:line="359" w:lineRule="auto"/>
              <w:ind w:left="90" w:right="86" w:firstLine="421"/>
              <w:jc w:val="both"/>
              <w:rPr>
                <w:sz w:val="20"/>
                <w:szCs w:val="20"/>
              </w:rPr>
            </w:pPr>
            <w:r>
              <w:rPr>
                <w:spacing w:val="10"/>
                <w:sz w:val="20"/>
                <w:szCs w:val="20"/>
              </w:rPr>
              <w:t>本项目的原料和产品进出口分离，原料进出口设有车</w:t>
            </w:r>
            <w:r>
              <w:rPr>
                <w:spacing w:val="9"/>
                <w:sz w:val="20"/>
                <w:szCs w:val="20"/>
              </w:rPr>
              <w:t>辆冲洗设施。根据建设单位</w:t>
            </w:r>
            <w:r>
              <w:rPr>
                <w:sz w:val="20"/>
                <w:szCs w:val="20"/>
              </w:rPr>
              <w:t xml:space="preserve"> </w:t>
            </w:r>
            <w:r>
              <w:rPr>
                <w:spacing w:val="5"/>
                <w:sz w:val="20"/>
                <w:szCs w:val="20"/>
              </w:rPr>
              <w:t>介绍，项目建成后原料运输量约</w:t>
            </w:r>
            <w:r>
              <w:rPr>
                <w:rFonts w:ascii="Times New Roman" w:hAnsi="Times New Roman" w:eastAsia="Times New Roman" w:cs="Times New Roman"/>
                <w:spacing w:val="5"/>
                <w:sz w:val="20"/>
                <w:szCs w:val="20"/>
              </w:rPr>
              <w:t>120</w:t>
            </w:r>
            <w:r>
              <w:rPr>
                <w:spacing w:val="5"/>
                <w:sz w:val="20"/>
                <w:szCs w:val="20"/>
              </w:rPr>
              <w:t>车次</w:t>
            </w:r>
            <w:r>
              <w:rPr>
                <w:rFonts w:ascii="Times New Roman" w:hAnsi="Times New Roman" w:eastAsia="Times New Roman" w:cs="Times New Roman"/>
                <w:spacing w:val="5"/>
                <w:sz w:val="20"/>
                <w:szCs w:val="20"/>
              </w:rPr>
              <w:t>/</w:t>
            </w:r>
            <w:r>
              <w:rPr>
                <w:spacing w:val="5"/>
                <w:sz w:val="20"/>
                <w:szCs w:val="20"/>
              </w:rPr>
              <w:t>天，</w:t>
            </w:r>
            <w:r>
              <w:rPr>
                <w:spacing w:val="4"/>
                <w:sz w:val="20"/>
                <w:szCs w:val="20"/>
              </w:rPr>
              <w:t>单车冲洗用水约</w:t>
            </w:r>
            <w:r>
              <w:rPr>
                <w:rFonts w:ascii="Times New Roman" w:hAnsi="Times New Roman" w:eastAsia="Times New Roman" w:cs="Times New Roman"/>
                <w:spacing w:val="4"/>
                <w:sz w:val="20"/>
                <w:szCs w:val="20"/>
              </w:rPr>
              <w:t>60L/</w:t>
            </w:r>
            <w:r>
              <w:rPr>
                <w:spacing w:val="4"/>
                <w:sz w:val="20"/>
                <w:szCs w:val="20"/>
              </w:rPr>
              <w:t>次</w:t>
            </w:r>
            <w:r>
              <w:rPr>
                <w:spacing w:val="-20"/>
                <w:sz w:val="20"/>
                <w:szCs w:val="20"/>
              </w:rPr>
              <w:t xml:space="preserve"> </w:t>
            </w:r>
            <w:r>
              <w:rPr>
                <w:spacing w:val="4"/>
                <w:sz w:val="20"/>
                <w:szCs w:val="20"/>
              </w:rPr>
              <w:t>·车。经计算，车</w:t>
            </w:r>
            <w:r>
              <w:rPr>
                <w:sz w:val="20"/>
                <w:szCs w:val="20"/>
              </w:rPr>
              <w:t xml:space="preserve"> </w:t>
            </w:r>
            <w:r>
              <w:rPr>
                <w:spacing w:val="6"/>
                <w:sz w:val="20"/>
                <w:szCs w:val="20"/>
              </w:rPr>
              <w:t>辆冲洗用水约</w:t>
            </w:r>
            <w:r>
              <w:rPr>
                <w:rFonts w:ascii="Times New Roman" w:hAnsi="Times New Roman" w:eastAsia="Times New Roman" w:cs="Times New Roman"/>
                <w:spacing w:val="6"/>
                <w:sz w:val="20"/>
                <w:szCs w:val="20"/>
              </w:rPr>
              <w:t>7.2m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1"/>
                <w:sz w:val="20"/>
                <w:szCs w:val="20"/>
              </w:rPr>
              <w:t xml:space="preserve"> </w:t>
            </w:r>
            <w:r>
              <w:rPr>
                <w:spacing w:val="6"/>
                <w:sz w:val="20"/>
                <w:szCs w:val="20"/>
              </w:rPr>
              <w:t>。冲洗废水产生系数取</w:t>
            </w:r>
            <w:r>
              <w:rPr>
                <w:rFonts w:ascii="Times New Roman" w:hAnsi="Times New Roman" w:eastAsia="Times New Roman" w:cs="Times New Roman"/>
                <w:spacing w:val="6"/>
                <w:sz w:val="20"/>
                <w:szCs w:val="20"/>
              </w:rPr>
              <w:t>0.8</w:t>
            </w:r>
            <w:r>
              <w:rPr>
                <w:rFonts w:ascii="Times New Roman" w:hAnsi="Times New Roman" w:eastAsia="Times New Roman" w:cs="Times New Roman"/>
                <w:spacing w:val="5"/>
                <w:sz w:val="20"/>
                <w:szCs w:val="20"/>
              </w:rPr>
              <w:t>5</w:t>
            </w:r>
            <w:r>
              <w:rPr>
                <w:rFonts w:ascii="Times New Roman" w:hAnsi="Times New Roman" w:eastAsia="Times New Roman" w:cs="Times New Roman"/>
                <w:spacing w:val="-26"/>
                <w:sz w:val="20"/>
                <w:szCs w:val="20"/>
              </w:rPr>
              <w:t xml:space="preserve"> </w:t>
            </w:r>
            <w:r>
              <w:rPr>
                <w:spacing w:val="5"/>
                <w:sz w:val="20"/>
                <w:szCs w:val="20"/>
              </w:rPr>
              <w:t>，则冲洗废水产生量约</w:t>
            </w:r>
            <w:r>
              <w:rPr>
                <w:rFonts w:ascii="Times New Roman" w:hAnsi="Times New Roman" w:eastAsia="Times New Roman" w:cs="Times New Roman"/>
                <w:spacing w:val="5"/>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12m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spacing w:val="5"/>
                <w:sz w:val="20"/>
                <w:szCs w:val="20"/>
              </w:rPr>
              <w:t>。</w:t>
            </w:r>
          </w:p>
          <w:p w14:paraId="60193F03">
            <w:pPr>
              <w:pStyle w:val="6"/>
              <w:spacing w:before="33" w:line="228" w:lineRule="auto"/>
              <w:ind w:left="521"/>
              <w:rPr>
                <w:sz w:val="20"/>
                <w:szCs w:val="20"/>
              </w:rPr>
            </w:pPr>
            <w:r>
              <w:rPr>
                <w:b/>
                <w:bCs/>
                <w:spacing w:val="6"/>
                <w:sz w:val="20"/>
                <w:szCs w:val="20"/>
              </w:rPr>
              <w:t>（</w:t>
            </w:r>
            <w:r>
              <w:rPr>
                <w:rFonts w:ascii="Times New Roman" w:hAnsi="Times New Roman" w:eastAsia="Times New Roman" w:cs="Times New Roman"/>
                <w:b/>
                <w:bCs/>
                <w:spacing w:val="6"/>
                <w:sz w:val="20"/>
                <w:szCs w:val="20"/>
              </w:rPr>
              <w:t>6</w:t>
            </w:r>
            <w:r>
              <w:rPr>
                <w:b/>
                <w:bCs/>
                <w:spacing w:val="6"/>
                <w:sz w:val="20"/>
                <w:szCs w:val="20"/>
              </w:rPr>
              <w:t>）备用燃气锅炉用水</w:t>
            </w:r>
          </w:p>
          <w:p w14:paraId="73E09AAA">
            <w:pPr>
              <w:pStyle w:val="6"/>
              <w:spacing w:before="154" w:line="353" w:lineRule="auto"/>
              <w:ind w:left="108" w:right="87" w:firstLine="402"/>
              <w:rPr>
                <w:sz w:val="20"/>
                <w:szCs w:val="20"/>
              </w:rPr>
            </w:pPr>
            <w:r>
              <w:rPr>
                <w:spacing w:val="5"/>
                <w:sz w:val="20"/>
                <w:szCs w:val="20"/>
              </w:rPr>
              <w:t>根据设计资料，项目备用锅炉额定蒸发量为</w:t>
            </w:r>
            <w:r>
              <w:rPr>
                <w:rFonts w:ascii="Times New Roman" w:hAnsi="Times New Roman" w:eastAsia="Times New Roman" w:cs="Times New Roman"/>
                <w:spacing w:val="5"/>
                <w:sz w:val="20"/>
                <w:szCs w:val="20"/>
              </w:rPr>
              <w:t>8t/h</w:t>
            </w:r>
            <w:r>
              <w:rPr>
                <w:spacing w:val="5"/>
                <w:sz w:val="20"/>
                <w:szCs w:val="20"/>
              </w:rPr>
              <w:t>，年预计运行时间按</w:t>
            </w:r>
            <w:r>
              <w:rPr>
                <w:rFonts w:ascii="Times New Roman" w:hAnsi="Times New Roman" w:eastAsia="Times New Roman" w:cs="Times New Roman"/>
                <w:spacing w:val="5"/>
                <w:sz w:val="20"/>
                <w:szCs w:val="20"/>
              </w:rPr>
              <w:t>300h/a</w:t>
            </w:r>
            <w:r>
              <w:rPr>
                <w:spacing w:val="5"/>
                <w:sz w:val="20"/>
                <w:szCs w:val="20"/>
              </w:rPr>
              <w:t>，</w:t>
            </w:r>
            <w:r>
              <w:rPr>
                <w:spacing w:val="4"/>
                <w:sz w:val="20"/>
                <w:szCs w:val="20"/>
              </w:rPr>
              <w:t>则</w:t>
            </w:r>
            <w:r>
              <w:rPr>
                <w:rFonts w:ascii="Times New Roman" w:hAnsi="Times New Roman" w:eastAsia="Times New Roman" w:cs="Times New Roman"/>
                <w:spacing w:val="4"/>
                <w:sz w:val="20"/>
                <w:szCs w:val="20"/>
              </w:rPr>
              <w:t>8t/h</w:t>
            </w:r>
            <w:r>
              <w:rPr>
                <w:rFonts w:ascii="Times New Roman" w:hAnsi="Times New Roman" w:eastAsia="Times New Roman" w:cs="Times New Roman"/>
                <w:sz w:val="20"/>
                <w:szCs w:val="20"/>
              </w:rPr>
              <w:t xml:space="preserve"> </w:t>
            </w:r>
            <w:r>
              <w:rPr>
                <w:sz w:val="20"/>
                <w:szCs w:val="20"/>
              </w:rPr>
              <w:t>的锅炉年蒸发量</w:t>
            </w:r>
            <w:r>
              <w:rPr>
                <w:rFonts w:ascii="Times New Roman" w:hAnsi="Times New Roman" w:eastAsia="Times New Roman" w:cs="Times New Roman"/>
                <w:sz w:val="20"/>
                <w:szCs w:val="20"/>
              </w:rPr>
              <w:t>2400t/a</w:t>
            </w:r>
            <w:r>
              <w:rPr>
                <w:sz w:val="20"/>
                <w:szCs w:val="20"/>
              </w:rPr>
              <w:t>（</w:t>
            </w:r>
            <w:r>
              <w:rPr>
                <w:spacing w:val="-14"/>
                <w:sz w:val="20"/>
                <w:szCs w:val="20"/>
              </w:rPr>
              <w:t xml:space="preserve"> </w:t>
            </w:r>
            <w:r>
              <w:rPr>
                <w:sz w:val="20"/>
                <w:szCs w:val="20"/>
              </w:rPr>
              <w:t>日蒸发量为</w:t>
            </w:r>
            <w:r>
              <w:rPr>
                <w:rFonts w:ascii="Times New Roman" w:hAnsi="Times New Roman" w:eastAsia="Times New Roman" w:cs="Times New Roman"/>
                <w:sz w:val="20"/>
                <w:szCs w:val="20"/>
              </w:rPr>
              <w:t>80t/d</w:t>
            </w:r>
            <w:r>
              <w:rPr>
                <w:sz w:val="20"/>
                <w:szCs w:val="20"/>
              </w:rPr>
              <w:t>）。</w:t>
            </w:r>
          </w:p>
          <w:p w14:paraId="3304BFF7">
            <w:pPr>
              <w:pStyle w:val="6"/>
              <w:spacing w:before="36" w:line="364" w:lineRule="auto"/>
              <w:ind w:left="90" w:right="15" w:firstLine="420"/>
              <w:rPr>
                <w:sz w:val="20"/>
                <w:szCs w:val="20"/>
              </w:rPr>
            </w:pPr>
            <w:r>
              <w:rPr>
                <w:spacing w:val="10"/>
                <w:sz w:val="20"/>
                <w:szCs w:val="20"/>
              </w:rPr>
              <w:t>锅炉排污是通过连续排放一定量的水来清洗锅炉中的污</w:t>
            </w:r>
            <w:r>
              <w:rPr>
                <w:spacing w:val="9"/>
                <w:sz w:val="20"/>
                <w:szCs w:val="20"/>
              </w:rPr>
              <w:t>垢和杂质。通过这种方式</w:t>
            </w:r>
            <w:r>
              <w:rPr>
                <w:sz w:val="20"/>
                <w:szCs w:val="20"/>
              </w:rPr>
              <w:t xml:space="preserve">  </w:t>
            </w:r>
            <w:r>
              <w:rPr>
                <w:spacing w:val="10"/>
                <w:sz w:val="20"/>
                <w:szCs w:val="20"/>
              </w:rPr>
              <w:t>可以保持锅炉清洁，防止结垢、腐蚀和气泡的产生。根据不同</w:t>
            </w:r>
            <w:r>
              <w:rPr>
                <w:spacing w:val="9"/>
                <w:sz w:val="20"/>
                <w:szCs w:val="20"/>
              </w:rPr>
              <w:t>厂家的标准，一般每天</w:t>
            </w:r>
            <w:r>
              <w:rPr>
                <w:sz w:val="20"/>
                <w:szCs w:val="20"/>
              </w:rPr>
              <w:t xml:space="preserve">  </w:t>
            </w:r>
            <w:r>
              <w:rPr>
                <w:spacing w:val="9"/>
                <w:sz w:val="20"/>
                <w:szCs w:val="20"/>
              </w:rPr>
              <w:t>排水量控制在锅炉总水量的</w:t>
            </w:r>
            <w:r>
              <w:rPr>
                <w:rFonts w:ascii="Times New Roman" w:hAnsi="Times New Roman" w:eastAsia="Times New Roman" w:cs="Times New Roman"/>
                <w:spacing w:val="9"/>
                <w:sz w:val="20"/>
                <w:szCs w:val="20"/>
              </w:rPr>
              <w:t>3%-5%</w:t>
            </w:r>
            <w:r>
              <w:rPr>
                <w:spacing w:val="9"/>
                <w:sz w:val="20"/>
                <w:szCs w:val="20"/>
              </w:rPr>
              <w:t>之间。本项目</w:t>
            </w:r>
            <w:r>
              <w:rPr>
                <w:rFonts w:ascii="Times New Roman" w:hAnsi="Times New Roman" w:eastAsia="Times New Roman" w:cs="Times New Roman"/>
                <w:spacing w:val="9"/>
                <w:sz w:val="20"/>
                <w:szCs w:val="20"/>
              </w:rPr>
              <w:t>8t</w:t>
            </w:r>
            <w:r>
              <w:rPr>
                <w:rFonts w:ascii="Times New Roman" w:hAnsi="Times New Roman" w:eastAsia="Times New Roman" w:cs="Times New Roman"/>
                <w:spacing w:val="8"/>
                <w:sz w:val="20"/>
                <w:szCs w:val="20"/>
              </w:rPr>
              <w:t>/h</w:t>
            </w:r>
            <w:r>
              <w:rPr>
                <w:spacing w:val="8"/>
                <w:sz w:val="20"/>
                <w:szCs w:val="20"/>
              </w:rPr>
              <w:t>的备用燃气锅炉属于中小型锅炉</w:t>
            </w:r>
            <w:r>
              <w:rPr>
                <w:sz w:val="20"/>
                <w:szCs w:val="20"/>
              </w:rPr>
              <w:t xml:space="preserve">   </w:t>
            </w:r>
            <w:r>
              <w:rPr>
                <w:spacing w:val="7"/>
                <w:sz w:val="20"/>
                <w:szCs w:val="20"/>
              </w:rPr>
              <w:t>（</w:t>
            </w:r>
            <w:r>
              <w:rPr>
                <w:rFonts w:ascii="Times New Roman" w:hAnsi="Times New Roman" w:eastAsia="Times New Roman" w:cs="Times New Roman"/>
                <w:spacing w:val="7"/>
                <w:sz w:val="20"/>
                <w:szCs w:val="20"/>
              </w:rPr>
              <w:t>2~75t/h</w:t>
            </w:r>
            <w:r>
              <w:rPr>
                <w:spacing w:val="-49"/>
                <w:sz w:val="20"/>
                <w:szCs w:val="20"/>
              </w:rPr>
              <w:t>），</w:t>
            </w:r>
            <w:r>
              <w:rPr>
                <w:spacing w:val="7"/>
                <w:sz w:val="20"/>
                <w:szCs w:val="20"/>
              </w:rPr>
              <w:t>根据行业经验中小型锅炉每周排污一次，排水量控制在锅炉总水量的</w:t>
            </w:r>
            <w:r>
              <w:rPr>
                <w:rFonts w:ascii="Times New Roman" w:hAnsi="Times New Roman" w:eastAsia="Times New Roman" w:cs="Times New Roman"/>
                <w:spacing w:val="7"/>
                <w:sz w:val="20"/>
                <w:szCs w:val="20"/>
              </w:rPr>
              <w:t>5%</w:t>
            </w:r>
            <w:r>
              <w:rPr>
                <w:spacing w:val="7"/>
                <w:sz w:val="20"/>
                <w:szCs w:val="20"/>
              </w:rPr>
              <w:t>。</w:t>
            </w:r>
            <w:r>
              <w:rPr>
                <w:sz w:val="20"/>
                <w:szCs w:val="20"/>
              </w:rPr>
              <w:t xml:space="preserve"> </w:t>
            </w:r>
            <w:r>
              <w:rPr>
                <w:spacing w:val="8"/>
                <w:sz w:val="20"/>
                <w:szCs w:val="20"/>
              </w:rPr>
              <w:t>因此，本项目备用锅炉年使用约</w:t>
            </w:r>
            <w:r>
              <w:rPr>
                <w:rFonts w:ascii="Times New Roman" w:hAnsi="Times New Roman" w:eastAsia="Times New Roman" w:cs="Times New Roman"/>
                <w:spacing w:val="8"/>
                <w:sz w:val="20"/>
                <w:szCs w:val="20"/>
              </w:rPr>
              <w:t>30</w:t>
            </w:r>
            <w:r>
              <w:rPr>
                <w:spacing w:val="8"/>
                <w:sz w:val="20"/>
                <w:szCs w:val="20"/>
              </w:rPr>
              <w:t>天，本次评价锅炉使用时间按</w:t>
            </w:r>
            <w:r>
              <w:rPr>
                <w:rFonts w:ascii="Times New Roman" w:hAnsi="Times New Roman" w:eastAsia="Times New Roman" w:cs="Times New Roman"/>
                <w:spacing w:val="8"/>
                <w:sz w:val="20"/>
                <w:szCs w:val="20"/>
              </w:rPr>
              <w:t>5</w:t>
            </w:r>
            <w:r>
              <w:rPr>
                <w:spacing w:val="7"/>
                <w:sz w:val="20"/>
                <w:szCs w:val="20"/>
              </w:rPr>
              <w:t>周计算，则使用期间</w:t>
            </w:r>
            <w:r>
              <w:rPr>
                <w:sz w:val="20"/>
                <w:szCs w:val="20"/>
              </w:rPr>
              <w:t xml:space="preserve"> </w:t>
            </w:r>
            <w:r>
              <w:rPr>
                <w:spacing w:val="8"/>
                <w:sz w:val="20"/>
                <w:szCs w:val="20"/>
              </w:rPr>
              <w:t>共需排污</w:t>
            </w:r>
            <w:r>
              <w:rPr>
                <w:rFonts w:ascii="Times New Roman" w:hAnsi="Times New Roman" w:eastAsia="Times New Roman" w:cs="Times New Roman"/>
                <w:spacing w:val="8"/>
                <w:sz w:val="20"/>
                <w:szCs w:val="20"/>
              </w:rPr>
              <w:t>5</w:t>
            </w:r>
            <w:r>
              <w:rPr>
                <w:spacing w:val="8"/>
                <w:sz w:val="20"/>
                <w:szCs w:val="20"/>
              </w:rPr>
              <w:t>次，单次排水量约</w:t>
            </w:r>
            <w:r>
              <w:rPr>
                <w:rFonts w:ascii="Times New Roman" w:hAnsi="Times New Roman" w:eastAsia="Times New Roman" w:cs="Times New Roman"/>
                <w:spacing w:val="8"/>
                <w:sz w:val="20"/>
                <w:szCs w:val="20"/>
              </w:rPr>
              <w:t>4m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w:t>
            </w:r>
            <w:r>
              <w:rPr>
                <w:spacing w:val="8"/>
                <w:sz w:val="20"/>
                <w:szCs w:val="20"/>
              </w:rPr>
              <w:t>次，则使用期间总排水量约</w:t>
            </w:r>
            <w:r>
              <w:rPr>
                <w:rFonts w:ascii="Times New Roman" w:hAnsi="Times New Roman" w:eastAsia="Times New Roman" w:cs="Times New Roman"/>
                <w:spacing w:val="8"/>
                <w:sz w:val="20"/>
                <w:szCs w:val="20"/>
              </w:rPr>
              <w:t>20m</w:t>
            </w:r>
            <w:r>
              <w:rPr>
                <w:rFonts w:ascii="Times New Roman" w:hAnsi="Times New Roman" w:eastAsia="Times New Roman" w:cs="Times New Roman"/>
                <w:spacing w:val="8"/>
                <w:position w:val="6"/>
                <w:sz w:val="13"/>
                <w:szCs w:val="13"/>
              </w:rPr>
              <w:t>3</w:t>
            </w:r>
            <w:r>
              <w:rPr>
                <w:spacing w:val="8"/>
                <w:sz w:val="20"/>
                <w:szCs w:val="20"/>
              </w:rPr>
              <w:t>。</w:t>
            </w:r>
          </w:p>
          <w:p w14:paraId="3A73969A">
            <w:pPr>
              <w:pStyle w:val="6"/>
              <w:spacing w:before="35" w:line="346" w:lineRule="auto"/>
              <w:ind w:left="93" w:right="34" w:firstLine="421"/>
              <w:rPr>
                <w:sz w:val="20"/>
                <w:szCs w:val="20"/>
              </w:rPr>
            </w:pPr>
            <w:r>
              <w:rPr>
                <w:spacing w:val="9"/>
                <w:sz w:val="20"/>
                <w:szCs w:val="20"/>
              </w:rPr>
              <w:t xml:space="preserve">项目锅炉用水均来自阳离子树脂软水设备。燃气锅炉配备有一套阳离子交换树脂  </w:t>
            </w:r>
            <w:r>
              <w:rPr>
                <w:spacing w:val="6"/>
                <w:sz w:val="20"/>
                <w:szCs w:val="20"/>
              </w:rPr>
              <w:t>纯水设备。锅炉运行期用水量约</w:t>
            </w:r>
            <w:r>
              <w:rPr>
                <w:rFonts w:ascii="Times New Roman" w:hAnsi="Times New Roman" w:eastAsia="Times New Roman" w:cs="Times New Roman"/>
                <w:spacing w:val="6"/>
                <w:sz w:val="20"/>
                <w:szCs w:val="20"/>
              </w:rPr>
              <w:t>2420m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spacing w:val="6"/>
                <w:sz w:val="20"/>
                <w:szCs w:val="20"/>
              </w:rPr>
              <w:t>，则软水制备总用水量为</w:t>
            </w:r>
            <w:r>
              <w:rPr>
                <w:rFonts w:ascii="Times New Roman" w:hAnsi="Times New Roman" w:eastAsia="Times New Roman" w:cs="Times New Roman"/>
                <w:spacing w:val="6"/>
                <w:sz w:val="20"/>
                <w:szCs w:val="20"/>
              </w:rPr>
              <w:t>2420m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spacing w:val="5"/>
                <w:sz w:val="20"/>
                <w:szCs w:val="20"/>
              </w:rPr>
              <w:t>。制备过程</w:t>
            </w:r>
            <w:r>
              <w:rPr>
                <w:sz w:val="20"/>
                <w:szCs w:val="20"/>
              </w:rPr>
              <w:t xml:space="preserve"> </w:t>
            </w:r>
            <w:r>
              <w:rPr>
                <w:spacing w:val="10"/>
                <w:sz w:val="20"/>
                <w:szCs w:val="20"/>
              </w:rPr>
              <w:t>不排放废水。软水设备的离子交换树脂需要定期加盐再</w:t>
            </w:r>
            <w:r>
              <w:rPr>
                <w:spacing w:val="9"/>
                <w:sz w:val="20"/>
                <w:szCs w:val="20"/>
              </w:rPr>
              <w:t>生，再生频次与进水水质、树</w:t>
            </w:r>
            <w:r>
              <w:rPr>
                <w:sz w:val="20"/>
                <w:szCs w:val="20"/>
              </w:rPr>
              <w:t xml:space="preserve">  </w:t>
            </w:r>
            <w:r>
              <w:rPr>
                <w:spacing w:val="10"/>
                <w:sz w:val="20"/>
                <w:szCs w:val="20"/>
              </w:rPr>
              <w:t>脂品质及饱和程度有关。根据建设单位介绍，本项</w:t>
            </w:r>
            <w:r>
              <w:rPr>
                <w:spacing w:val="9"/>
                <w:sz w:val="20"/>
                <w:szCs w:val="20"/>
              </w:rPr>
              <w:t>目所采用的软水设备树脂一般在使</w:t>
            </w:r>
            <w:r>
              <w:rPr>
                <w:sz w:val="20"/>
                <w:szCs w:val="20"/>
              </w:rPr>
              <w:t xml:space="preserve">  </w:t>
            </w:r>
            <w:r>
              <w:rPr>
                <w:spacing w:val="6"/>
                <w:sz w:val="20"/>
                <w:szCs w:val="20"/>
              </w:rPr>
              <w:t>用期一个月需再生一次。按照每年使用</w:t>
            </w:r>
            <w:r>
              <w:rPr>
                <w:rFonts w:ascii="Times New Roman" w:hAnsi="Times New Roman" w:eastAsia="Times New Roman" w:cs="Times New Roman"/>
                <w:spacing w:val="6"/>
                <w:sz w:val="20"/>
                <w:szCs w:val="20"/>
              </w:rPr>
              <w:t>1</w:t>
            </w:r>
            <w:r>
              <w:rPr>
                <w:spacing w:val="6"/>
                <w:sz w:val="20"/>
                <w:szCs w:val="20"/>
              </w:rPr>
              <w:t>个月，</w:t>
            </w:r>
            <w:r>
              <w:rPr>
                <w:spacing w:val="5"/>
                <w:sz w:val="20"/>
                <w:szCs w:val="20"/>
              </w:rPr>
              <w:t>每年再生</w:t>
            </w:r>
            <w:r>
              <w:rPr>
                <w:rFonts w:ascii="Times New Roman" w:hAnsi="Times New Roman" w:eastAsia="Times New Roman" w:cs="Times New Roman"/>
                <w:spacing w:val="5"/>
                <w:sz w:val="20"/>
                <w:szCs w:val="20"/>
              </w:rPr>
              <w:t>1</w:t>
            </w:r>
            <w:r>
              <w:rPr>
                <w:spacing w:val="5"/>
                <w:sz w:val="20"/>
                <w:szCs w:val="20"/>
              </w:rPr>
              <w:t>次，再生</w:t>
            </w:r>
            <w:r>
              <w:rPr>
                <w:rFonts w:ascii="Times New Roman" w:hAnsi="Times New Roman" w:eastAsia="Times New Roman" w:cs="Times New Roman"/>
                <w:spacing w:val="5"/>
                <w:sz w:val="20"/>
                <w:szCs w:val="20"/>
              </w:rPr>
              <w:t>1</w:t>
            </w:r>
            <w:r>
              <w:rPr>
                <w:spacing w:val="5"/>
                <w:sz w:val="20"/>
                <w:szCs w:val="20"/>
              </w:rPr>
              <w:t>次排水量约</w:t>
            </w:r>
            <w:r>
              <w:rPr>
                <w:rFonts w:ascii="Times New Roman" w:hAnsi="Times New Roman" w:eastAsia="Times New Roman" w:cs="Times New Roman"/>
                <w:spacing w:val="5"/>
                <w:sz w:val="20"/>
                <w:szCs w:val="20"/>
              </w:rPr>
              <w:t>1320L</w:t>
            </w:r>
            <w:r>
              <w:rPr>
                <w:spacing w:val="5"/>
                <w:sz w:val="20"/>
                <w:szCs w:val="20"/>
              </w:rPr>
              <w:t>，</w:t>
            </w:r>
            <w:r>
              <w:rPr>
                <w:sz w:val="20"/>
                <w:szCs w:val="20"/>
              </w:rPr>
              <w:t xml:space="preserve"> </w:t>
            </w:r>
            <w:r>
              <w:rPr>
                <w:spacing w:val="6"/>
                <w:sz w:val="20"/>
                <w:szCs w:val="20"/>
              </w:rPr>
              <w:t>则再生阶段用水量</w:t>
            </w:r>
            <w:r>
              <w:rPr>
                <w:rFonts w:ascii="Times New Roman" w:hAnsi="Times New Roman" w:eastAsia="Times New Roman" w:cs="Times New Roman"/>
                <w:spacing w:val="6"/>
                <w:sz w:val="20"/>
                <w:szCs w:val="20"/>
              </w:rPr>
              <w:t>1.32m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14"/>
                <w:sz w:val="20"/>
                <w:szCs w:val="20"/>
              </w:rPr>
              <w:t xml:space="preserve"> </w:t>
            </w:r>
            <w:r>
              <w:rPr>
                <w:spacing w:val="6"/>
                <w:sz w:val="20"/>
                <w:szCs w:val="20"/>
              </w:rPr>
              <w:t>。再生废水全部排放。</w:t>
            </w:r>
          </w:p>
        </w:tc>
      </w:tr>
    </w:tbl>
    <w:p w14:paraId="15BAF437">
      <w:pPr>
        <w:pStyle w:val="2"/>
      </w:pPr>
    </w:p>
    <w:p w14:paraId="44D0E533">
      <w:pPr>
        <w:sectPr>
          <w:footerReference r:id="rId42" w:type="default"/>
          <w:pgSz w:w="11906" w:h="16839"/>
          <w:pgMar w:top="1431" w:right="1534" w:bottom="1260" w:left="1533" w:header="0" w:footer="1080" w:gutter="0"/>
          <w:cols w:space="720" w:num="1"/>
        </w:sectPr>
      </w:pPr>
    </w:p>
    <w:p w14:paraId="2E2AF09C">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6E91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27F02336">
            <w:pPr>
              <w:rPr>
                <w:rFonts w:ascii="Arial"/>
                <w:sz w:val="21"/>
              </w:rPr>
            </w:pPr>
          </w:p>
        </w:tc>
        <w:tc>
          <w:tcPr>
            <w:tcW w:w="7992" w:type="dxa"/>
            <w:tcBorders>
              <w:left w:val="single" w:color="000000" w:sz="2" w:space="0"/>
              <w:bottom w:val="single" w:color="000000" w:sz="2" w:space="0"/>
            </w:tcBorders>
            <w:vAlign w:val="top"/>
          </w:tcPr>
          <w:p w14:paraId="567D8F1B">
            <w:pPr>
              <w:pStyle w:val="6"/>
              <w:spacing w:before="146" w:line="355" w:lineRule="auto"/>
              <w:ind w:left="91" w:right="86" w:firstLine="436"/>
              <w:rPr>
                <w:sz w:val="20"/>
                <w:szCs w:val="20"/>
              </w:rPr>
            </w:pPr>
            <w:r>
              <w:rPr>
                <w:spacing w:val="5"/>
                <w:sz w:val="20"/>
                <w:szCs w:val="20"/>
              </w:rPr>
              <w:t>因此，本项目备用锅炉总用水量约</w:t>
            </w:r>
            <w:r>
              <w:rPr>
                <w:rFonts w:ascii="Times New Roman" w:hAnsi="Times New Roman" w:eastAsia="Times New Roman" w:cs="Times New Roman"/>
                <w:spacing w:val="5"/>
                <w:sz w:val="20"/>
                <w:szCs w:val="20"/>
              </w:rPr>
              <w:t>2421.32m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/a</w:t>
            </w:r>
            <w:r>
              <w:rPr>
                <w:spacing w:val="5"/>
                <w:sz w:val="20"/>
                <w:szCs w:val="20"/>
              </w:rPr>
              <w:t>（折算每天约</w:t>
            </w:r>
            <w:r>
              <w:rPr>
                <w:rFonts w:ascii="Times New Roman" w:hAnsi="Times New Roman" w:eastAsia="Times New Roman" w:cs="Times New Roman"/>
                <w:spacing w:val="5"/>
                <w:sz w:val="20"/>
                <w:szCs w:val="20"/>
              </w:rPr>
              <w:t>8.071m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spacing w:val="-50"/>
                <w:sz w:val="20"/>
                <w:szCs w:val="20"/>
              </w:rPr>
              <w:t>），</w:t>
            </w:r>
            <w:r>
              <w:rPr>
                <w:spacing w:val="5"/>
                <w:sz w:val="20"/>
                <w:szCs w:val="20"/>
              </w:rPr>
              <w:t>废水产生</w:t>
            </w:r>
            <w:r>
              <w:rPr>
                <w:sz w:val="20"/>
                <w:szCs w:val="20"/>
              </w:rPr>
              <w:t xml:space="preserve"> </w:t>
            </w:r>
            <w:r>
              <w:rPr>
                <w:spacing w:val="3"/>
                <w:sz w:val="20"/>
                <w:szCs w:val="20"/>
              </w:rPr>
              <w:t>量约</w:t>
            </w:r>
            <w:r>
              <w:rPr>
                <w:rFonts w:ascii="Times New Roman" w:hAnsi="Times New Roman" w:eastAsia="Times New Roman" w:cs="Times New Roman"/>
                <w:spacing w:val="3"/>
                <w:sz w:val="20"/>
                <w:szCs w:val="20"/>
              </w:rPr>
              <w:t>21.32m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/a</w:t>
            </w:r>
            <w:r>
              <w:rPr>
                <w:spacing w:val="3"/>
                <w:sz w:val="20"/>
                <w:szCs w:val="20"/>
              </w:rPr>
              <w:t>（折算每天约</w:t>
            </w:r>
            <w:r>
              <w:rPr>
                <w:rFonts w:ascii="Times New Roman" w:hAnsi="Times New Roman" w:eastAsia="Times New Roman" w:cs="Times New Roman"/>
                <w:spacing w:val="3"/>
                <w:sz w:val="20"/>
                <w:szCs w:val="20"/>
              </w:rPr>
              <w:t>0.071m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w:t>
            </w:r>
          </w:p>
          <w:p w14:paraId="677D611F">
            <w:pPr>
              <w:pStyle w:val="6"/>
              <w:spacing w:before="28" w:line="228" w:lineRule="auto"/>
              <w:ind w:left="521"/>
              <w:rPr>
                <w:sz w:val="20"/>
                <w:szCs w:val="20"/>
              </w:rPr>
            </w:pPr>
            <w:r>
              <w:rPr>
                <w:b/>
                <w:bCs/>
                <w:spacing w:val="4"/>
                <w:sz w:val="20"/>
                <w:szCs w:val="20"/>
              </w:rPr>
              <w:t>（</w:t>
            </w:r>
            <w:r>
              <w:rPr>
                <w:rFonts w:ascii="Times New Roman" w:hAnsi="Times New Roman" w:eastAsia="Times New Roman" w:cs="Times New Roman"/>
                <w:b/>
                <w:bCs/>
                <w:spacing w:val="4"/>
                <w:sz w:val="20"/>
                <w:szCs w:val="20"/>
              </w:rPr>
              <w:t>7</w:t>
            </w:r>
            <w:r>
              <w:rPr>
                <w:b/>
                <w:bCs/>
                <w:spacing w:val="4"/>
                <w:sz w:val="20"/>
                <w:szCs w:val="20"/>
              </w:rPr>
              <w:t>）生活用水</w:t>
            </w:r>
          </w:p>
          <w:p w14:paraId="0F12E4A1">
            <w:pPr>
              <w:pStyle w:val="6"/>
              <w:spacing w:before="153" w:line="362" w:lineRule="auto"/>
              <w:ind w:left="93" w:right="86" w:firstLine="418"/>
              <w:jc w:val="both"/>
              <w:rPr>
                <w:sz w:val="20"/>
                <w:szCs w:val="20"/>
              </w:rPr>
            </w:pPr>
            <w:r>
              <w:rPr>
                <w:spacing w:val="7"/>
                <w:sz w:val="20"/>
                <w:szCs w:val="20"/>
              </w:rPr>
              <w:t>本项目建成后增加工作人员约</w:t>
            </w:r>
            <w:r>
              <w:rPr>
                <w:rFonts w:ascii="Times New Roman" w:hAnsi="Times New Roman" w:eastAsia="Times New Roman" w:cs="Times New Roman"/>
                <w:spacing w:val="7"/>
                <w:sz w:val="20"/>
                <w:szCs w:val="20"/>
              </w:rPr>
              <w:t>20</w:t>
            </w:r>
            <w:r>
              <w:rPr>
                <w:spacing w:val="7"/>
                <w:sz w:val="20"/>
                <w:szCs w:val="20"/>
              </w:rPr>
              <w:t>人，年工作</w:t>
            </w:r>
            <w:r>
              <w:rPr>
                <w:rFonts w:ascii="Times New Roman" w:hAnsi="Times New Roman" w:eastAsia="Times New Roman" w:cs="Times New Roman"/>
                <w:spacing w:val="7"/>
                <w:sz w:val="20"/>
                <w:szCs w:val="20"/>
              </w:rPr>
              <w:t>300</w:t>
            </w:r>
            <w:r>
              <w:rPr>
                <w:spacing w:val="7"/>
                <w:sz w:val="20"/>
                <w:szCs w:val="20"/>
              </w:rPr>
              <w:t>天，设员工住宿及食堂。营运期生</w:t>
            </w:r>
            <w:r>
              <w:rPr>
                <w:spacing w:val="16"/>
                <w:sz w:val="20"/>
                <w:szCs w:val="20"/>
              </w:rPr>
              <w:t xml:space="preserve"> </w:t>
            </w:r>
            <w:r>
              <w:rPr>
                <w:spacing w:val="10"/>
                <w:sz w:val="20"/>
                <w:szCs w:val="20"/>
              </w:rPr>
              <w:t>活用水主要为办公用水、冲厕用水。参考四川省人民政</w:t>
            </w:r>
            <w:r>
              <w:rPr>
                <w:spacing w:val="9"/>
                <w:sz w:val="20"/>
                <w:szCs w:val="20"/>
              </w:rPr>
              <w:t>府《四川省用水定额》（川府</w:t>
            </w:r>
            <w:r>
              <w:rPr>
                <w:sz w:val="20"/>
                <w:szCs w:val="20"/>
              </w:rPr>
              <w:t xml:space="preserve"> </w:t>
            </w:r>
            <w:r>
              <w:rPr>
                <w:spacing w:val="5"/>
                <w:sz w:val="20"/>
                <w:szCs w:val="20"/>
              </w:rPr>
              <w:t>函〔</w:t>
            </w:r>
            <w:r>
              <w:rPr>
                <w:rFonts w:ascii="Times New Roman" w:hAnsi="Times New Roman" w:eastAsia="Times New Roman" w:cs="Times New Roman"/>
                <w:spacing w:val="5"/>
                <w:sz w:val="20"/>
                <w:szCs w:val="20"/>
              </w:rPr>
              <w:t>2021</w:t>
            </w:r>
            <w:r>
              <w:rPr>
                <w:spacing w:val="5"/>
                <w:sz w:val="20"/>
                <w:szCs w:val="20"/>
              </w:rPr>
              <w:t>〕</w:t>
            </w:r>
            <w:r>
              <w:rPr>
                <w:rFonts w:ascii="Times New Roman" w:hAnsi="Times New Roman" w:eastAsia="Times New Roman" w:cs="Times New Roman"/>
                <w:spacing w:val="5"/>
                <w:sz w:val="20"/>
                <w:szCs w:val="20"/>
              </w:rPr>
              <w:t>8</w:t>
            </w:r>
            <w:r>
              <w:rPr>
                <w:spacing w:val="5"/>
                <w:sz w:val="20"/>
                <w:szCs w:val="20"/>
              </w:rPr>
              <w:t>号</w:t>
            </w:r>
            <w:r>
              <w:rPr>
                <w:spacing w:val="11"/>
                <w:sz w:val="20"/>
                <w:szCs w:val="20"/>
              </w:rPr>
              <w:t>），</w:t>
            </w:r>
            <w:r>
              <w:rPr>
                <w:spacing w:val="5"/>
                <w:sz w:val="20"/>
                <w:szCs w:val="20"/>
              </w:rPr>
              <w:t>项目所有员工的办公、冲厕用水取</w:t>
            </w:r>
            <w:r>
              <w:rPr>
                <w:rFonts w:ascii="Times New Roman" w:hAnsi="Times New Roman" w:eastAsia="Times New Roman" w:cs="Times New Roman"/>
                <w:spacing w:val="5"/>
                <w:sz w:val="20"/>
                <w:szCs w:val="20"/>
              </w:rPr>
              <w:t>130L</w:t>
            </w:r>
            <w:r>
              <w:rPr>
                <w:rFonts w:ascii="Times New Roman" w:hAnsi="Times New Roman" w:eastAsia="Times New Roman" w:cs="Times New Roman"/>
                <w:spacing w:val="4"/>
                <w:sz w:val="20"/>
                <w:szCs w:val="20"/>
              </w:rPr>
              <w:t>/</w:t>
            </w:r>
            <w:r>
              <w:rPr>
                <w:spacing w:val="4"/>
                <w:sz w:val="20"/>
                <w:szCs w:val="20"/>
              </w:rPr>
              <w:t>人</w:t>
            </w:r>
            <w:r>
              <w:rPr>
                <w:spacing w:val="-18"/>
                <w:sz w:val="20"/>
                <w:szCs w:val="20"/>
              </w:rPr>
              <w:t xml:space="preserve"> </w:t>
            </w:r>
            <w:r>
              <w:rPr>
                <w:spacing w:val="4"/>
                <w:sz w:val="20"/>
                <w:szCs w:val="20"/>
              </w:rPr>
              <w:t>·</w:t>
            </w:r>
            <w:r>
              <w:rPr>
                <w:rFonts w:ascii="Times New Roman" w:hAnsi="Times New Roman" w:eastAsia="Times New Roman" w:cs="Times New Roman"/>
                <w:spacing w:val="4"/>
                <w:sz w:val="20"/>
                <w:szCs w:val="20"/>
              </w:rPr>
              <w:t>d</w:t>
            </w:r>
            <w:r>
              <w:rPr>
                <w:rFonts w:ascii="Times New Roman" w:hAnsi="Times New Roman" w:eastAsia="Times New Roman" w:cs="Times New Roman"/>
                <w:spacing w:val="-24"/>
                <w:sz w:val="20"/>
                <w:szCs w:val="20"/>
              </w:rPr>
              <w:t xml:space="preserve"> </w:t>
            </w:r>
            <w:r>
              <w:rPr>
                <w:spacing w:val="4"/>
                <w:sz w:val="20"/>
                <w:szCs w:val="20"/>
              </w:rPr>
              <w:t>，则用水量为用水量</w:t>
            </w:r>
            <w:r>
              <w:rPr>
                <w:sz w:val="20"/>
                <w:szCs w:val="20"/>
              </w:rPr>
              <w:t xml:space="preserve"> </w:t>
            </w:r>
            <w:r>
              <w:rPr>
                <w:spacing w:val="6"/>
                <w:sz w:val="20"/>
                <w:szCs w:val="20"/>
              </w:rPr>
              <w:t>为</w:t>
            </w:r>
            <w:r>
              <w:rPr>
                <w:rFonts w:ascii="Times New Roman" w:hAnsi="Times New Roman" w:eastAsia="Times New Roman" w:cs="Times New Roman"/>
                <w:spacing w:val="6"/>
                <w:sz w:val="20"/>
                <w:szCs w:val="20"/>
              </w:rPr>
              <w:t>2.6m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4"/>
                <w:sz w:val="20"/>
                <w:szCs w:val="20"/>
              </w:rPr>
              <w:t xml:space="preserve"> </w:t>
            </w:r>
            <w:r>
              <w:rPr>
                <w:spacing w:val="6"/>
                <w:sz w:val="20"/>
                <w:szCs w:val="20"/>
              </w:rPr>
              <w:t>，产污系数按</w:t>
            </w:r>
            <w:r>
              <w:rPr>
                <w:rFonts w:ascii="Times New Roman" w:hAnsi="Times New Roman" w:eastAsia="Times New Roman" w:cs="Times New Roman"/>
                <w:spacing w:val="6"/>
                <w:sz w:val="20"/>
                <w:szCs w:val="20"/>
              </w:rPr>
              <w:t>0.9</w:t>
            </w:r>
            <w:r>
              <w:rPr>
                <w:spacing w:val="6"/>
                <w:sz w:val="20"/>
                <w:szCs w:val="20"/>
              </w:rPr>
              <w:t>计，则生活污水产生量约</w:t>
            </w:r>
            <w:r>
              <w:rPr>
                <w:rFonts w:ascii="Times New Roman" w:hAnsi="Times New Roman" w:eastAsia="Times New Roman" w:cs="Times New Roman"/>
                <w:spacing w:val="6"/>
                <w:sz w:val="20"/>
                <w:szCs w:val="20"/>
              </w:rPr>
              <w:t>2.34m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5"/>
                <w:sz w:val="20"/>
                <w:szCs w:val="20"/>
              </w:rPr>
              <w:t>/d</w:t>
            </w:r>
            <w:r>
              <w:rPr>
                <w:spacing w:val="5"/>
                <w:sz w:val="20"/>
                <w:szCs w:val="20"/>
              </w:rPr>
              <w:t>。</w:t>
            </w:r>
          </w:p>
          <w:p w14:paraId="5F1ECDF3">
            <w:pPr>
              <w:pStyle w:val="6"/>
              <w:spacing w:before="22" w:line="220" w:lineRule="auto"/>
              <w:ind w:left="537"/>
            </w:pPr>
            <w:r>
              <w:rPr>
                <w:b/>
                <w:bCs/>
                <w:spacing w:val="-4"/>
              </w:rPr>
              <w:t>（</w:t>
            </w:r>
            <w:r>
              <w:rPr>
                <w:rFonts w:ascii="Times New Roman" w:hAnsi="Times New Roman" w:eastAsia="Times New Roman" w:cs="Times New Roman"/>
                <w:b/>
                <w:bCs/>
                <w:spacing w:val="-4"/>
              </w:rPr>
              <w:t>7</w:t>
            </w:r>
            <w:r>
              <w:rPr>
                <w:b/>
                <w:bCs/>
                <w:spacing w:val="-4"/>
              </w:rPr>
              <w:t>）蒸汽冷凝水</w:t>
            </w:r>
          </w:p>
          <w:p w14:paraId="2E57CA25">
            <w:pPr>
              <w:pStyle w:val="6"/>
              <w:spacing w:before="137" w:line="341" w:lineRule="auto"/>
              <w:ind w:left="91" w:right="105" w:firstLine="439"/>
              <w:jc w:val="both"/>
              <w:rPr>
                <w:sz w:val="20"/>
                <w:szCs w:val="20"/>
              </w:rPr>
            </w:pPr>
            <w:r>
              <w:rPr>
                <w:spacing w:val="-1"/>
              </w:rPr>
              <w:t>根据建设单位介绍，项目</w:t>
            </w:r>
            <w:r>
              <w:rPr>
                <w:rFonts w:ascii="Times New Roman" w:hAnsi="Times New Roman" w:eastAsia="Times New Roman" w:cs="Times New Roman"/>
                <w:spacing w:val="-1"/>
              </w:rPr>
              <w:t>1</w:t>
            </w:r>
            <w:r>
              <w:rPr>
                <w:spacing w:val="-1"/>
              </w:rPr>
              <w:t>条蒸压釜运行</w:t>
            </w:r>
            <w:r>
              <w:rPr>
                <w:rFonts w:ascii="Times New Roman" w:hAnsi="Times New Roman" w:eastAsia="Times New Roman" w:cs="Times New Roman"/>
                <w:spacing w:val="-1"/>
              </w:rPr>
              <w:t>10</w:t>
            </w:r>
            <w:r>
              <w:rPr>
                <w:spacing w:val="-1"/>
              </w:rPr>
              <w:t>小时的蒸汽消耗约</w:t>
            </w:r>
            <w:r>
              <w:rPr>
                <w:rFonts w:ascii="Times New Roman" w:hAnsi="Times New Roman" w:eastAsia="Times New Roman" w:cs="Times New Roman"/>
                <w:spacing w:val="-1"/>
              </w:rPr>
              <w:t>10m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5"/>
                <w:position w:val="7"/>
                <w:sz w:val="14"/>
                <w:szCs w:val="14"/>
              </w:rPr>
              <w:t xml:space="preserve"> </w:t>
            </w:r>
            <w:r>
              <w:rPr>
                <w:spacing w:val="-1"/>
              </w:rPr>
              <w:t>，则</w:t>
            </w:r>
            <w:r>
              <w:rPr>
                <w:rFonts w:ascii="Times New Roman" w:hAnsi="Times New Roman" w:eastAsia="Times New Roman" w:cs="Times New Roman"/>
                <w:spacing w:val="-1"/>
              </w:rPr>
              <w:t>6</w:t>
            </w:r>
            <w:r>
              <w:rPr>
                <w:spacing w:val="-1"/>
              </w:rPr>
              <w:t>条蒸</w:t>
            </w:r>
            <w:r>
              <w:t xml:space="preserve"> </w:t>
            </w:r>
            <w:r>
              <w:rPr>
                <w:spacing w:val="4"/>
              </w:rPr>
              <w:t>压釜一天的蒸汽消耗约</w:t>
            </w:r>
            <w:r>
              <w:rPr>
                <w:rFonts w:ascii="Times New Roman" w:hAnsi="Times New Roman" w:eastAsia="Times New Roman" w:cs="Times New Roman"/>
                <w:spacing w:val="4"/>
              </w:rPr>
              <w:t>60</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spacing w:val="4"/>
                <w:sz w:val="20"/>
                <w:szCs w:val="20"/>
              </w:rPr>
              <w:t>；蒸汽损耗约</w:t>
            </w:r>
            <w:r>
              <w:rPr>
                <w:rFonts w:ascii="Times New Roman" w:hAnsi="Times New Roman" w:eastAsia="Times New Roman" w:cs="Times New Roman"/>
                <w:spacing w:val="4"/>
                <w:sz w:val="20"/>
                <w:szCs w:val="20"/>
              </w:rPr>
              <w:t>5%</w:t>
            </w:r>
            <w:r>
              <w:rPr>
                <w:rFonts w:ascii="Times New Roman" w:hAnsi="Times New Roman" w:eastAsia="Times New Roman" w:cs="Times New Roman"/>
                <w:spacing w:val="-13"/>
                <w:sz w:val="20"/>
                <w:szCs w:val="20"/>
              </w:rPr>
              <w:t xml:space="preserve"> </w:t>
            </w:r>
            <w:r>
              <w:rPr>
                <w:spacing w:val="4"/>
                <w:sz w:val="20"/>
                <w:szCs w:val="20"/>
              </w:rPr>
              <w:t>，则形成冷凝水约</w:t>
            </w:r>
            <w:r>
              <w:rPr>
                <w:rFonts w:ascii="Times New Roman" w:hAnsi="Times New Roman" w:eastAsia="Times New Roman" w:cs="Times New Roman"/>
                <w:spacing w:val="4"/>
                <w:sz w:val="20"/>
                <w:szCs w:val="20"/>
              </w:rPr>
              <w:t>57m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rFonts w:ascii="Times New Roman" w:hAnsi="Times New Roman" w:eastAsia="Times New Roman" w:cs="Times New Roman"/>
                <w:spacing w:val="-21"/>
                <w:sz w:val="20"/>
                <w:szCs w:val="20"/>
              </w:rPr>
              <w:t xml:space="preserve"> </w:t>
            </w:r>
            <w:r>
              <w:rPr>
                <w:spacing w:val="4"/>
                <w:sz w:val="20"/>
                <w:szCs w:val="20"/>
              </w:rPr>
              <w:t>。</w:t>
            </w:r>
            <w:r>
              <w:rPr>
                <w:rFonts w:ascii="Times New Roman" w:hAnsi="Times New Roman" w:eastAsia="Times New Roman" w:cs="Times New Roman"/>
                <w:spacing w:val="4"/>
                <w:sz w:val="20"/>
                <w:szCs w:val="20"/>
              </w:rPr>
              <w:t>1</w:t>
            </w:r>
            <w:r>
              <w:rPr>
                <w:spacing w:val="4"/>
                <w:sz w:val="20"/>
                <w:szCs w:val="20"/>
              </w:rPr>
              <w:t>条初养道</w:t>
            </w:r>
            <w:r>
              <w:rPr>
                <w:sz w:val="20"/>
                <w:szCs w:val="20"/>
              </w:rPr>
              <w:t xml:space="preserve"> </w:t>
            </w:r>
            <w:r>
              <w:rPr>
                <w:spacing w:val="-1"/>
              </w:rPr>
              <w:t>运行</w:t>
            </w:r>
            <w:r>
              <w:rPr>
                <w:rFonts w:ascii="Times New Roman" w:hAnsi="Times New Roman" w:eastAsia="Times New Roman" w:cs="Times New Roman"/>
                <w:spacing w:val="-1"/>
              </w:rPr>
              <w:t>10</w:t>
            </w:r>
            <w:r>
              <w:rPr>
                <w:spacing w:val="-1"/>
              </w:rPr>
              <w:t>小时的蒸汽消耗约</w:t>
            </w:r>
            <w:r>
              <w:rPr>
                <w:rFonts w:ascii="Times New Roman" w:hAnsi="Times New Roman" w:eastAsia="Times New Roman" w:cs="Times New Roman"/>
                <w:spacing w:val="-1"/>
              </w:rPr>
              <w:t>4m</w:t>
            </w:r>
            <w:r>
              <w:rPr>
                <w:rFonts w:ascii="Times New Roman" w:hAnsi="Times New Roman" w:eastAsia="Times New Roman" w:cs="Times New Roman"/>
                <w:spacing w:val="-1"/>
                <w:position w:val="7"/>
                <w:sz w:val="14"/>
                <w:szCs w:val="14"/>
              </w:rPr>
              <w:t>3</w:t>
            </w:r>
            <w:r>
              <w:rPr>
                <w:spacing w:val="-1"/>
              </w:rPr>
              <w:t>（部分时候利用蒸压釜余热</w:t>
            </w:r>
            <w:r>
              <w:rPr>
                <w:spacing w:val="14"/>
              </w:rPr>
              <w:t>），</w:t>
            </w:r>
            <w:r>
              <w:rPr>
                <w:spacing w:val="-1"/>
              </w:rPr>
              <w:t>则</w:t>
            </w:r>
            <w:r>
              <w:rPr>
                <w:rFonts w:ascii="Times New Roman" w:hAnsi="Times New Roman" w:eastAsia="Times New Roman" w:cs="Times New Roman"/>
                <w:spacing w:val="-1"/>
              </w:rPr>
              <w:t>4</w:t>
            </w:r>
            <w:r>
              <w:rPr>
                <w:spacing w:val="-1"/>
              </w:rPr>
              <w:t>条蒸压釜一天的</w:t>
            </w:r>
            <w:r>
              <w:rPr>
                <w:spacing w:val="1"/>
              </w:rPr>
              <w:t xml:space="preserve"> </w:t>
            </w:r>
            <w:r>
              <w:rPr>
                <w:spacing w:val="5"/>
              </w:rPr>
              <w:t>蒸汽消耗约</w:t>
            </w:r>
            <w:r>
              <w:rPr>
                <w:rFonts w:ascii="Times New Roman" w:hAnsi="Times New Roman" w:eastAsia="Times New Roman" w:cs="Times New Roman"/>
                <w:spacing w:val="5"/>
              </w:rPr>
              <w:t>16</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spacing w:val="5"/>
                <w:sz w:val="20"/>
                <w:szCs w:val="20"/>
              </w:rPr>
              <w:t>；蒸汽损耗约</w:t>
            </w:r>
            <w:r>
              <w:rPr>
                <w:rFonts w:ascii="Times New Roman" w:hAnsi="Times New Roman" w:eastAsia="Times New Roman" w:cs="Times New Roman"/>
                <w:spacing w:val="5"/>
                <w:sz w:val="20"/>
                <w:szCs w:val="20"/>
              </w:rPr>
              <w:t>40%</w:t>
            </w:r>
            <w:r>
              <w:rPr>
                <w:rFonts w:ascii="Times New Roman" w:hAnsi="Times New Roman" w:eastAsia="Times New Roman" w:cs="Times New Roman"/>
                <w:spacing w:val="-10"/>
                <w:sz w:val="20"/>
                <w:szCs w:val="20"/>
              </w:rPr>
              <w:t xml:space="preserve"> </w:t>
            </w:r>
            <w:r>
              <w:rPr>
                <w:spacing w:val="5"/>
                <w:sz w:val="20"/>
                <w:szCs w:val="20"/>
              </w:rPr>
              <w:t>，则形成冷凝水约</w:t>
            </w:r>
            <w:r>
              <w:rPr>
                <w:rFonts w:ascii="Times New Roman" w:hAnsi="Times New Roman" w:eastAsia="Times New Roman" w:cs="Times New Roman"/>
                <w:spacing w:val="5"/>
                <w:sz w:val="20"/>
                <w:szCs w:val="20"/>
              </w:rPr>
              <w:t>9.6m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21"/>
                <w:sz w:val="20"/>
                <w:szCs w:val="20"/>
              </w:rPr>
              <w:t xml:space="preserve"> </w:t>
            </w:r>
            <w:r>
              <w:rPr>
                <w:spacing w:val="5"/>
                <w:sz w:val="20"/>
                <w:szCs w:val="20"/>
              </w:rPr>
              <w:t>。冷凝水收集进入废浆</w:t>
            </w:r>
            <w:r>
              <w:rPr>
                <w:sz w:val="20"/>
                <w:szCs w:val="20"/>
              </w:rPr>
              <w:t xml:space="preserve"> </w:t>
            </w:r>
            <w:r>
              <w:rPr>
                <w:spacing w:val="10"/>
                <w:sz w:val="20"/>
                <w:szCs w:val="20"/>
              </w:rPr>
              <w:t>池及时回用于生产环节。黄沙烘干设备的蒸汽使用量相</w:t>
            </w:r>
            <w:r>
              <w:rPr>
                <w:spacing w:val="9"/>
                <w:sz w:val="20"/>
                <w:szCs w:val="20"/>
              </w:rPr>
              <w:t>对较少，其蒸汽冷凝水直接随</w:t>
            </w:r>
            <w:r>
              <w:rPr>
                <w:sz w:val="20"/>
                <w:szCs w:val="20"/>
              </w:rPr>
              <w:t xml:space="preserve"> </w:t>
            </w:r>
            <w:r>
              <w:rPr>
                <w:spacing w:val="6"/>
                <w:sz w:val="20"/>
                <w:szCs w:val="20"/>
              </w:rPr>
              <w:t>雨水沟排放。</w:t>
            </w:r>
          </w:p>
          <w:p w14:paraId="3555684E">
            <w:pPr>
              <w:pStyle w:val="6"/>
              <w:spacing w:before="37" w:line="220" w:lineRule="auto"/>
              <w:ind w:left="533"/>
            </w:pPr>
            <w:r>
              <w:rPr>
                <w:spacing w:val="-2"/>
              </w:rPr>
              <w:t>水平衡图如下：</w:t>
            </w:r>
          </w:p>
        </w:tc>
      </w:tr>
    </w:tbl>
    <w:p w14:paraId="055D2EB2">
      <w:pPr>
        <w:pStyle w:val="2"/>
      </w:pPr>
    </w:p>
    <w:p w14:paraId="65F72C4E">
      <w:pPr>
        <w:sectPr>
          <w:footerReference r:id="rId43" w:type="default"/>
          <w:pgSz w:w="11906" w:h="16839"/>
          <w:pgMar w:top="1431" w:right="1532" w:bottom="1260" w:left="1533" w:header="0" w:footer="1080" w:gutter="0"/>
          <w:cols w:space="720" w:num="1"/>
        </w:sectPr>
      </w:pPr>
    </w:p>
    <w:p w14:paraId="264F0982">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1C2F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2E7732FA">
            <w:pPr>
              <w:rPr>
                <w:rFonts w:ascii="Arial"/>
                <w:sz w:val="21"/>
              </w:rPr>
            </w:pPr>
          </w:p>
        </w:tc>
        <w:tc>
          <w:tcPr>
            <w:tcW w:w="7992" w:type="dxa"/>
            <w:tcBorders>
              <w:left w:val="single" w:color="000000" w:sz="2" w:space="0"/>
              <w:bottom w:val="single" w:color="000000" w:sz="2" w:space="0"/>
            </w:tcBorders>
            <w:vAlign w:val="top"/>
          </w:tcPr>
          <w:p w14:paraId="509C5DB1">
            <w:pPr>
              <w:spacing w:line="292" w:lineRule="auto"/>
              <w:rPr>
                <w:rFonts w:ascii="Arial"/>
                <w:sz w:val="21"/>
              </w:rPr>
            </w:pPr>
            <w:r>
              <w:pict>
                <v:shape id="_x0000_s1039" o:spid="_x0000_s1039" o:spt="202" type="#_x0000_t202" style="position:absolute;left:0pt;margin-left:76.05pt;margin-top:46.75pt;height:10.15pt;width:10.05pt;mso-position-horizontal-relative:page;mso-position-vertical-relative:page;z-index:251717632;mso-width-relative:page;mso-height-relative:page;" filled="f" stroked="f" coordsize="21600,21600">
                  <v:path/>
                  <v:fill on="f" focussize="0,0"/>
                  <v:stroke on="f"/>
                  <v:imagedata o:title=""/>
                  <o:lock v:ext="edit" aspectratio="f"/>
                  <v:textbox inset="0mm,0mm,0mm,0mm">
                    <w:txbxContent>
                      <w:p w14:paraId="7747C838">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xbxContent>
                  </v:textbox>
                </v:shape>
              </w:pict>
            </w:r>
            <w:r>
              <w:drawing>
                <wp:anchor distT="0" distB="0" distL="0" distR="0" simplePos="0" relativeHeight="251707392" behindDoc="0" locked="0" layoutInCell="1" allowOverlap="1">
                  <wp:simplePos x="0" y="0"/>
                  <wp:positionH relativeFrom="rightMargin">
                    <wp:posOffset>-4264025</wp:posOffset>
                  </wp:positionH>
                  <wp:positionV relativeFrom="topMargin">
                    <wp:posOffset>655955</wp:posOffset>
                  </wp:positionV>
                  <wp:extent cx="516890"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5"/>
                          <a:stretch>
                            <a:fillRect/>
                          </a:stretch>
                        </pic:blipFill>
                        <pic:spPr>
                          <a:xfrm>
                            <a:off x="0" y="0"/>
                            <a:ext cx="516902" cy="76200"/>
                          </a:xfrm>
                          <a:prstGeom prst="rect">
                            <a:avLst/>
                          </a:prstGeom>
                        </pic:spPr>
                      </pic:pic>
                    </a:graphicData>
                  </a:graphic>
                </wp:anchor>
              </w:drawing>
            </w:r>
            <w:r>
              <w:drawing>
                <wp:anchor distT="0" distB="0" distL="0" distR="0" simplePos="0" relativeHeight="251708416" behindDoc="0" locked="0" layoutInCell="1" allowOverlap="1">
                  <wp:simplePos x="0" y="0"/>
                  <wp:positionH relativeFrom="rightMargin">
                    <wp:posOffset>-3454400</wp:posOffset>
                  </wp:positionH>
                  <wp:positionV relativeFrom="topMargin">
                    <wp:posOffset>1420495</wp:posOffset>
                  </wp:positionV>
                  <wp:extent cx="76200" cy="36004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6"/>
                          <a:stretch>
                            <a:fillRect/>
                          </a:stretch>
                        </pic:blipFill>
                        <pic:spPr>
                          <a:xfrm>
                            <a:off x="0" y="0"/>
                            <a:ext cx="76200" cy="360057"/>
                          </a:xfrm>
                          <a:prstGeom prst="rect">
                            <a:avLst/>
                          </a:prstGeom>
                        </pic:spPr>
                      </pic:pic>
                    </a:graphicData>
                  </a:graphic>
                </wp:anchor>
              </w:drawing>
            </w:r>
            <w:r>
              <w:drawing>
                <wp:anchor distT="0" distB="0" distL="0" distR="0" simplePos="0" relativeHeight="251706368" behindDoc="0" locked="0" layoutInCell="1" allowOverlap="1">
                  <wp:simplePos x="0" y="0"/>
                  <wp:positionH relativeFrom="rightMargin">
                    <wp:posOffset>-1760855</wp:posOffset>
                  </wp:positionH>
                  <wp:positionV relativeFrom="topMargin">
                    <wp:posOffset>1768475</wp:posOffset>
                  </wp:positionV>
                  <wp:extent cx="76200" cy="2159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7"/>
                          <a:stretch>
                            <a:fillRect/>
                          </a:stretch>
                        </pic:blipFill>
                        <pic:spPr>
                          <a:xfrm>
                            <a:off x="0" y="0"/>
                            <a:ext cx="76200" cy="215913"/>
                          </a:xfrm>
                          <a:prstGeom prst="rect">
                            <a:avLst/>
                          </a:prstGeom>
                        </pic:spPr>
                      </pic:pic>
                    </a:graphicData>
                  </a:graphic>
                </wp:anchor>
              </w:drawing>
            </w:r>
            <w:r>
              <w:pict>
                <v:shape id="_x0000_s1040" o:spid="_x0000_s1040" o:spt="202" type="#_x0000_t202" style="position:absolute;left:0pt;margin-left:76.5pt;margin-top:154.15pt;height:11.05pt;width:250.05pt;mso-position-horizontal-relative:page;mso-position-vertical-relative:page;z-index:251720704;mso-width-relative:page;mso-height-relative:page;" filled="f" stroked="f" coordsize="21600,21600">
                  <v:path/>
                  <v:fill on="f" focussize="0,0"/>
                  <v:stroke on="f"/>
                  <v:imagedata o:title=""/>
                  <o:lock v:ext="edit" aspectratio="f"/>
                  <v:textbox inset="0mm,0mm,0mm,0mm">
                    <w:txbxContent>
                      <w:p w14:paraId="7AEC22C5">
                        <w:pPr>
                          <w:spacing w:before="20" w:line="163"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position w:val="3"/>
                            <w:sz w:val="18"/>
                            <w:szCs w:val="18"/>
                          </w:rPr>
                          <w:t xml:space="preserve">10                             </w:t>
                        </w:r>
                        <w:r>
                          <w:rPr>
                            <w:rFonts w:ascii="Times New Roman" w:hAnsi="Times New Roman" w:eastAsia="Times New Roman" w:cs="Times New Roman"/>
                            <w:spacing w:val="-3"/>
                            <w:position w:val="3"/>
                            <w:sz w:val="18"/>
                            <w:szCs w:val="18"/>
                          </w:rPr>
                          <w:t xml:space="preserve">                            </w:t>
                        </w:r>
                        <w:r>
                          <w:rPr>
                            <w:rFonts w:ascii="Times New Roman" w:hAnsi="Times New Roman" w:eastAsia="Times New Roman" w:cs="Times New Roman"/>
                            <w:spacing w:val="-3"/>
                            <w:position w:val="-1"/>
                            <w:sz w:val="18"/>
                            <w:szCs w:val="18"/>
                          </w:rPr>
                          <w:t>10</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3"/>
                            <w:sz w:val="18"/>
                            <w:szCs w:val="18"/>
                          </w:rPr>
                          <w:t>0.256</w:t>
                        </w:r>
                      </w:p>
                    </w:txbxContent>
                  </v:textbox>
                </v:shape>
              </w:pict>
            </w:r>
            <w:r>
              <w:drawing>
                <wp:anchor distT="0" distB="0" distL="0" distR="0" simplePos="0" relativeHeight="251701248" behindDoc="0" locked="0" layoutInCell="1" allowOverlap="1">
                  <wp:simplePos x="0" y="0"/>
                  <wp:positionH relativeFrom="rightMargin">
                    <wp:posOffset>-4264025</wp:posOffset>
                  </wp:positionH>
                  <wp:positionV relativeFrom="topMargin">
                    <wp:posOffset>3277870</wp:posOffset>
                  </wp:positionV>
                  <wp:extent cx="51689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8"/>
                          <a:stretch>
                            <a:fillRect/>
                          </a:stretch>
                        </pic:blipFill>
                        <pic:spPr>
                          <a:xfrm>
                            <a:off x="0" y="0"/>
                            <a:ext cx="516902" cy="76200"/>
                          </a:xfrm>
                          <a:prstGeom prst="rect">
                            <a:avLst/>
                          </a:prstGeom>
                        </pic:spPr>
                      </pic:pic>
                    </a:graphicData>
                  </a:graphic>
                </wp:anchor>
              </w:drawing>
            </w:r>
            <w:r>
              <w:drawing>
                <wp:anchor distT="0" distB="0" distL="0" distR="0" simplePos="0" relativeHeight="251705344" behindDoc="0" locked="0" layoutInCell="1" allowOverlap="1">
                  <wp:simplePos x="0" y="0"/>
                  <wp:positionH relativeFrom="rightMargin">
                    <wp:posOffset>-3192145</wp:posOffset>
                  </wp:positionH>
                  <wp:positionV relativeFrom="topMargin">
                    <wp:posOffset>3692525</wp:posOffset>
                  </wp:positionV>
                  <wp:extent cx="81915" cy="8699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9"/>
                          <a:stretch>
                            <a:fillRect/>
                          </a:stretch>
                        </pic:blipFill>
                        <pic:spPr>
                          <a:xfrm>
                            <a:off x="0" y="0"/>
                            <a:ext cx="81863" cy="86969"/>
                          </a:xfrm>
                          <a:prstGeom prst="rect">
                            <a:avLst/>
                          </a:prstGeom>
                        </pic:spPr>
                      </pic:pic>
                    </a:graphicData>
                  </a:graphic>
                </wp:anchor>
              </w:drawing>
            </w:r>
            <w:r>
              <w:drawing>
                <wp:anchor distT="0" distB="0" distL="0" distR="0" simplePos="0" relativeHeight="251696128" behindDoc="1" locked="0" layoutInCell="1" allowOverlap="1">
                  <wp:simplePos x="0" y="0"/>
                  <wp:positionH relativeFrom="rightMargin">
                    <wp:posOffset>-3207385</wp:posOffset>
                  </wp:positionH>
                  <wp:positionV relativeFrom="topMargin">
                    <wp:posOffset>3796030</wp:posOffset>
                  </wp:positionV>
                  <wp:extent cx="59690" cy="4127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20"/>
                          <a:stretch>
                            <a:fillRect/>
                          </a:stretch>
                        </pic:blipFill>
                        <pic:spPr>
                          <a:xfrm>
                            <a:off x="0" y="0"/>
                            <a:ext cx="59689" cy="41528"/>
                          </a:xfrm>
                          <a:prstGeom prst="rect">
                            <a:avLst/>
                          </a:prstGeom>
                        </pic:spPr>
                      </pic:pic>
                    </a:graphicData>
                  </a:graphic>
                </wp:anchor>
              </w:drawing>
            </w:r>
            <w:r>
              <w:drawing>
                <wp:anchor distT="0" distB="0" distL="0" distR="0" simplePos="0" relativeHeight="251695104" behindDoc="1" locked="0" layoutInCell="1" allowOverlap="1">
                  <wp:simplePos x="0" y="0"/>
                  <wp:positionH relativeFrom="rightMargin">
                    <wp:posOffset>-3289935</wp:posOffset>
                  </wp:positionH>
                  <wp:positionV relativeFrom="topMargin">
                    <wp:posOffset>3776345</wp:posOffset>
                  </wp:positionV>
                  <wp:extent cx="62230" cy="5143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21"/>
                          <a:stretch>
                            <a:fillRect/>
                          </a:stretch>
                        </pic:blipFill>
                        <pic:spPr>
                          <a:xfrm>
                            <a:off x="0" y="0"/>
                            <a:ext cx="62039" cy="51346"/>
                          </a:xfrm>
                          <a:prstGeom prst="rect">
                            <a:avLst/>
                          </a:prstGeom>
                        </pic:spPr>
                      </pic:pic>
                    </a:graphicData>
                  </a:graphic>
                </wp:anchor>
              </w:drawing>
            </w:r>
            <w:r>
              <w:drawing>
                <wp:anchor distT="0" distB="0" distL="0" distR="0" simplePos="0" relativeHeight="251704320" behindDoc="0" locked="0" layoutInCell="1" allowOverlap="1">
                  <wp:simplePos x="0" y="0"/>
                  <wp:positionH relativeFrom="rightMargin">
                    <wp:posOffset>-3090545</wp:posOffset>
                  </wp:positionH>
                  <wp:positionV relativeFrom="topMargin">
                    <wp:posOffset>4380230</wp:posOffset>
                  </wp:positionV>
                  <wp:extent cx="81915" cy="8699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2"/>
                          <a:stretch>
                            <a:fillRect/>
                          </a:stretch>
                        </pic:blipFill>
                        <pic:spPr>
                          <a:xfrm>
                            <a:off x="0" y="0"/>
                            <a:ext cx="81863" cy="86969"/>
                          </a:xfrm>
                          <a:prstGeom prst="rect">
                            <a:avLst/>
                          </a:prstGeom>
                        </pic:spPr>
                      </pic:pic>
                    </a:graphicData>
                  </a:graphic>
                </wp:anchor>
              </w:drawing>
            </w:r>
            <w:r>
              <w:drawing>
                <wp:anchor distT="0" distB="0" distL="0" distR="0" simplePos="0" relativeHeight="251702272" behindDoc="0" locked="0" layoutInCell="1" allowOverlap="1">
                  <wp:simplePos x="0" y="0"/>
                  <wp:positionH relativeFrom="rightMargin">
                    <wp:posOffset>-3264535</wp:posOffset>
                  </wp:positionH>
                  <wp:positionV relativeFrom="topMargin">
                    <wp:posOffset>4447540</wp:posOffset>
                  </wp:positionV>
                  <wp:extent cx="218440" cy="7747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23"/>
                          <a:stretch>
                            <a:fillRect/>
                          </a:stretch>
                        </pic:blipFill>
                        <pic:spPr>
                          <a:xfrm>
                            <a:off x="0" y="0"/>
                            <a:ext cx="218515" cy="77520"/>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-2404745</wp:posOffset>
                  </wp:positionH>
                  <wp:positionV relativeFrom="topMargin">
                    <wp:posOffset>4651375</wp:posOffset>
                  </wp:positionV>
                  <wp:extent cx="50419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24"/>
                          <a:stretch>
                            <a:fillRect/>
                          </a:stretch>
                        </pic:blipFill>
                        <pic:spPr>
                          <a:xfrm>
                            <a:off x="0" y="0"/>
                            <a:ext cx="504202" cy="76200"/>
                          </a:xfrm>
                          <a:prstGeom prst="rect">
                            <a:avLst/>
                          </a:prstGeom>
                        </pic:spPr>
                      </pic:pic>
                    </a:graphicData>
                  </a:graphic>
                </wp:anchor>
              </w:drawing>
            </w:r>
            <w:r>
              <w:drawing>
                <wp:anchor distT="0" distB="0" distL="0" distR="0" simplePos="0" relativeHeight="251700224" behindDoc="0" locked="0" layoutInCell="1" allowOverlap="1">
                  <wp:simplePos x="0" y="0"/>
                  <wp:positionH relativeFrom="rightMargin">
                    <wp:posOffset>-1948180</wp:posOffset>
                  </wp:positionH>
                  <wp:positionV relativeFrom="topMargin">
                    <wp:posOffset>4708525</wp:posOffset>
                  </wp:positionV>
                  <wp:extent cx="76200" cy="57594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5"/>
                          <a:stretch>
                            <a:fillRect/>
                          </a:stretch>
                        </pic:blipFill>
                        <pic:spPr>
                          <a:xfrm>
                            <a:off x="0" y="0"/>
                            <a:ext cx="76200" cy="575957"/>
                          </a:xfrm>
                          <a:prstGeom prst="rect">
                            <a:avLst/>
                          </a:prstGeom>
                        </pic:spPr>
                      </pic:pic>
                    </a:graphicData>
                  </a:graphic>
                </wp:anchor>
              </w:drawing>
            </w:r>
            <w:r>
              <w:drawing>
                <wp:anchor distT="0" distB="0" distL="0" distR="0" simplePos="0" relativeHeight="251698176" behindDoc="0" locked="0" layoutInCell="1" allowOverlap="1">
                  <wp:simplePos x="0" y="0"/>
                  <wp:positionH relativeFrom="rightMargin">
                    <wp:posOffset>-1021080</wp:posOffset>
                  </wp:positionH>
                  <wp:positionV relativeFrom="topMargin">
                    <wp:posOffset>4857750</wp:posOffset>
                  </wp:positionV>
                  <wp:extent cx="851535" cy="77660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6"/>
                          <a:stretch>
                            <a:fillRect/>
                          </a:stretch>
                        </pic:blipFill>
                        <pic:spPr>
                          <a:xfrm>
                            <a:off x="0" y="0"/>
                            <a:ext cx="851534" cy="776605"/>
                          </a:xfrm>
                          <a:prstGeom prst="rect">
                            <a:avLst/>
                          </a:prstGeom>
                        </pic:spPr>
                      </pic:pic>
                    </a:graphicData>
                  </a:graphic>
                </wp:anchor>
              </w:drawing>
            </w:r>
            <w:r>
              <w:drawing>
                <wp:anchor distT="0" distB="0" distL="0" distR="0" simplePos="0" relativeHeight="251697152" behindDoc="1" locked="0" layoutInCell="1" allowOverlap="1">
                  <wp:simplePos x="0" y="0"/>
                  <wp:positionH relativeFrom="rightMargin">
                    <wp:posOffset>-3293110</wp:posOffset>
                  </wp:positionH>
                  <wp:positionV relativeFrom="topMargin">
                    <wp:posOffset>5243830</wp:posOffset>
                  </wp:positionV>
                  <wp:extent cx="26035" cy="5842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7"/>
                          <a:stretch>
                            <a:fillRect/>
                          </a:stretch>
                        </pic:blipFill>
                        <pic:spPr>
                          <a:xfrm>
                            <a:off x="0" y="0"/>
                            <a:ext cx="25908" cy="58635"/>
                          </a:xfrm>
                          <a:prstGeom prst="rect">
                            <a:avLst/>
                          </a:prstGeom>
                        </pic:spPr>
                      </pic:pic>
                    </a:graphicData>
                  </a:graphic>
                </wp:anchor>
              </w:drawing>
            </w:r>
            <w:r>
              <w:drawing>
                <wp:anchor distT="0" distB="0" distL="0" distR="0" simplePos="0" relativeHeight="251703296" behindDoc="0" locked="0" layoutInCell="1" allowOverlap="1">
                  <wp:simplePos x="0" y="0"/>
                  <wp:positionH relativeFrom="rightMargin">
                    <wp:posOffset>-3169920</wp:posOffset>
                  </wp:positionH>
                  <wp:positionV relativeFrom="topMargin">
                    <wp:posOffset>381000</wp:posOffset>
                  </wp:positionV>
                  <wp:extent cx="81915" cy="8699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8"/>
                          <a:stretch>
                            <a:fillRect/>
                          </a:stretch>
                        </pic:blipFill>
                        <pic:spPr>
                          <a:xfrm>
                            <a:off x="0" y="0"/>
                            <a:ext cx="81863" cy="86969"/>
                          </a:xfrm>
                          <a:prstGeom prst="rect">
                            <a:avLst/>
                          </a:prstGeom>
                        </pic:spPr>
                      </pic:pic>
                    </a:graphicData>
                  </a:graphic>
                </wp:anchor>
              </w:drawing>
            </w:r>
            <w:r>
              <w:pict>
                <v:shape id="_x0000_s1041" o:spid="_x0000_s1041" o:spt="202" type="#_x0000_t202" style="position:absolute;left:0pt;margin-left:62.95pt;margin-top:159.35pt;height:30.05pt;width:272.45pt;mso-position-horizontal-relative:page;mso-position-vertical-relative:page;z-index:251719680;mso-width-relative:page;mso-height-relative:page;" filled="f" stroked="f" coordsize="21600,21600">
                  <v:path/>
                  <v:fill on="f" focussize="0,0"/>
                  <v:stroke on="f"/>
                  <v:imagedata o:title=""/>
                  <o:lock v:ext="edit" aspectratio="f"/>
                  <v:textbox inset="0mm,0mm,0mm,0mm">
                    <w:txbxContent>
                      <w:p w14:paraId="7FF5D1A6">
                        <w:pPr>
                          <w:pStyle w:val="6"/>
                          <w:spacing w:before="20" w:line="241" w:lineRule="auto"/>
                          <w:ind w:left="20"/>
                          <w:rPr>
                            <w:sz w:val="20"/>
                            <w:szCs w:val="20"/>
                          </w:rPr>
                        </w:pPr>
                        <w:r>
                          <w:rPr>
                            <w:position w:val="3"/>
                            <w:sz w:val="19"/>
                            <w:szCs w:val="19"/>
                          </w:rPr>
                          <w:drawing>
                            <wp:inline distT="0" distB="0" distL="0" distR="0">
                              <wp:extent cx="575945" cy="762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9"/>
                                      <a:stretch>
                                        <a:fillRect/>
                                      </a:stretch>
                                    </pic:blipFill>
                                    <pic:spPr>
                                      <a:xfrm>
                                        <a:off x="0" y="0"/>
                                        <a:ext cx="575957" cy="76200"/>
                                      </a:xfrm>
                                      <a:prstGeom prst="rect">
                                        <a:avLst/>
                                      </a:prstGeom>
                                    </pic:spPr>
                                  </pic:pic>
                                </a:graphicData>
                              </a:graphic>
                            </wp:inline>
                          </w:drawing>
                        </w:r>
                        <w:r>
                          <w:rPr>
                            <w:spacing w:val="5"/>
                            <w:position w:val="1"/>
                            <w:sz w:val="19"/>
                            <w:szCs w:val="19"/>
                          </w:rPr>
                          <w:t xml:space="preserve">  </w:t>
                        </w:r>
                        <w:r>
                          <w:rPr>
                            <w:b/>
                            <w:bCs/>
                            <w:spacing w:val="7"/>
                            <w:position w:val="1"/>
                            <w:sz w:val="19"/>
                            <w:szCs w:val="19"/>
                          </w:rPr>
                          <w:t>切割废料冲水</w:t>
                        </w:r>
                        <w:r>
                          <w:rPr>
                            <w:spacing w:val="7"/>
                            <w:position w:val="1"/>
                            <w:sz w:val="19"/>
                            <w:szCs w:val="19"/>
                          </w:rPr>
                          <w:t xml:space="preserve">  </w:t>
                        </w:r>
                        <w:r>
                          <w:rPr>
                            <w:position w:val="2"/>
                            <w:sz w:val="19"/>
                            <w:szCs w:val="19"/>
                          </w:rPr>
                          <w:drawing>
                            <wp:inline distT="0" distB="0" distL="0" distR="0">
                              <wp:extent cx="565785" cy="762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0"/>
                                      <a:stretch>
                                        <a:fillRect/>
                                      </a:stretch>
                                    </pic:blipFill>
                                    <pic:spPr>
                                      <a:xfrm>
                                        <a:off x="0" y="0"/>
                                        <a:ext cx="565797" cy="76200"/>
                                      </a:xfrm>
                                      <a:prstGeom prst="rect">
                                        <a:avLst/>
                                      </a:prstGeom>
                                    </pic:spPr>
                                  </pic:pic>
                                </a:graphicData>
                              </a:graphic>
                            </wp:inline>
                          </w:drawing>
                        </w:r>
                        <w:r>
                          <w:rPr>
                            <w:spacing w:val="3"/>
                            <w:position w:val="1"/>
                            <w:sz w:val="19"/>
                            <w:szCs w:val="19"/>
                          </w:rPr>
                          <w:t xml:space="preserve">   </w:t>
                        </w:r>
                        <w:r>
                          <w:rPr>
                            <w:b/>
                            <w:bCs/>
                            <w:spacing w:val="7"/>
                            <w:position w:val="-2"/>
                            <w:sz w:val="20"/>
                            <w:szCs w:val="20"/>
                          </w:rPr>
                          <w:t>废浆池</w:t>
                        </w:r>
                        <w:r>
                          <w:rPr>
                            <w:spacing w:val="47"/>
                            <w:position w:val="-2"/>
                            <w:sz w:val="20"/>
                            <w:szCs w:val="20"/>
                          </w:rPr>
                          <w:t xml:space="preserve">  </w:t>
                        </w:r>
                        <w:r>
                          <w:rPr>
                            <w:sz w:val="20"/>
                            <w:szCs w:val="20"/>
                          </w:rPr>
                          <w:drawing>
                            <wp:inline distT="0" distB="0" distL="0" distR="0">
                              <wp:extent cx="504190" cy="762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31"/>
                                      <a:stretch>
                                        <a:fillRect/>
                                      </a:stretch>
                                    </pic:blipFill>
                                    <pic:spPr>
                                      <a:xfrm>
                                        <a:off x="0" y="0"/>
                                        <a:ext cx="504202" cy="76200"/>
                                      </a:xfrm>
                                      <a:prstGeom prst="rect">
                                        <a:avLst/>
                                      </a:prstGeom>
                                    </pic:spPr>
                                  </pic:pic>
                                </a:graphicData>
                              </a:graphic>
                            </wp:inline>
                          </w:drawing>
                        </w:r>
                      </w:p>
                      <w:p w14:paraId="3EA7C6B0">
                        <w:pPr>
                          <w:pStyle w:val="6"/>
                          <w:spacing w:before="100" w:line="184" w:lineRule="auto"/>
                          <w:ind w:left="4347"/>
                          <w:rPr>
                            <w:rFonts w:ascii="Times New Roman" w:hAnsi="Times New Roman" w:eastAsia="Times New Roman" w:cs="Times New Roman"/>
                            <w:sz w:val="18"/>
                            <w:szCs w:val="18"/>
                          </w:rPr>
                        </w:pPr>
                        <w:r>
                          <w:rPr>
                            <w:spacing w:val="-3"/>
                            <w:sz w:val="18"/>
                            <w:szCs w:val="18"/>
                          </w:rPr>
                          <w:t>损耗</w:t>
                        </w:r>
                        <w:r>
                          <w:rPr>
                            <w:spacing w:val="-36"/>
                            <w:sz w:val="18"/>
                            <w:szCs w:val="18"/>
                          </w:rPr>
                          <w:t xml:space="preserve"> </w:t>
                        </w:r>
                        <w:r>
                          <w:rPr>
                            <w:rFonts w:ascii="Times New Roman" w:hAnsi="Times New Roman" w:eastAsia="Times New Roman" w:cs="Times New Roman"/>
                            <w:spacing w:val="-3"/>
                            <w:sz w:val="18"/>
                            <w:szCs w:val="18"/>
                          </w:rPr>
                          <w:t>9.4</w:t>
                        </w:r>
                      </w:p>
                    </w:txbxContent>
                  </v:textbox>
                </v:shape>
              </w:pict>
            </w:r>
          </w:p>
          <w:p w14:paraId="26F9206D">
            <w:pPr>
              <w:pStyle w:val="6"/>
              <w:spacing w:before="59" w:line="219" w:lineRule="auto"/>
              <w:ind w:left="2597"/>
              <w:rPr>
                <w:rFonts w:ascii="Times New Roman" w:hAnsi="Times New Roman" w:eastAsia="Times New Roman" w:cs="Times New Roman"/>
                <w:sz w:val="18"/>
                <w:szCs w:val="18"/>
              </w:rPr>
            </w:pPr>
            <w:r>
              <w:rPr>
                <w:spacing w:val="-5"/>
                <w:sz w:val="18"/>
                <w:szCs w:val="18"/>
              </w:rPr>
              <w:t>蒸发、损耗</w:t>
            </w:r>
            <w:r>
              <w:rPr>
                <w:spacing w:val="-19"/>
                <w:sz w:val="18"/>
                <w:szCs w:val="18"/>
              </w:rPr>
              <w:t xml:space="preserve"> </w:t>
            </w:r>
            <w:r>
              <w:rPr>
                <w:rFonts w:ascii="Times New Roman" w:hAnsi="Times New Roman" w:eastAsia="Times New Roman" w:cs="Times New Roman"/>
                <w:spacing w:val="-5"/>
                <w:sz w:val="18"/>
                <w:szCs w:val="18"/>
              </w:rPr>
              <w:t>12</w:t>
            </w:r>
          </w:p>
          <w:p w14:paraId="7B166F1E">
            <w:pPr>
              <w:spacing w:before="139" w:line="191" w:lineRule="exact"/>
              <w:ind w:firstLine="2696"/>
            </w:pPr>
            <w:r>
              <w:rPr>
                <w:position w:val="-3"/>
              </w:rPr>
              <w:drawing>
                <wp:inline distT="0" distB="0" distL="0" distR="0">
                  <wp:extent cx="230505" cy="12065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32"/>
                          <a:stretch>
                            <a:fillRect/>
                          </a:stretch>
                        </pic:blipFill>
                        <pic:spPr>
                          <a:xfrm>
                            <a:off x="0" y="0"/>
                            <a:ext cx="230822" cy="121221"/>
                          </a:xfrm>
                          <a:prstGeom prst="rect">
                            <a:avLst/>
                          </a:prstGeom>
                        </pic:spPr>
                      </pic:pic>
                    </a:graphicData>
                  </a:graphic>
                </wp:inline>
              </w:drawing>
            </w:r>
          </w:p>
          <w:tbl>
            <w:tblPr>
              <w:tblStyle w:val="5"/>
              <w:tblW w:w="1229" w:type="dxa"/>
              <w:tblInd w:w="207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29"/>
            </w:tblGrid>
            <w:tr w14:paraId="4310B1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8" w:hRule="atLeast"/>
              </w:trPr>
              <w:tc>
                <w:tcPr>
                  <w:tcW w:w="1229" w:type="dxa"/>
                  <w:vAlign w:val="top"/>
                </w:tcPr>
                <w:p w14:paraId="521C3D0D">
                  <w:pPr>
                    <w:pStyle w:val="6"/>
                    <w:spacing w:before="83" w:line="229" w:lineRule="auto"/>
                    <w:ind w:left="217"/>
                    <w:rPr>
                      <w:sz w:val="19"/>
                      <w:szCs w:val="19"/>
                    </w:rPr>
                  </w:pPr>
                  <w:r>
                    <w:rPr>
                      <w:b/>
                      <w:bCs/>
                      <w:spacing w:val="4"/>
                      <w:sz w:val="19"/>
                      <w:szCs w:val="19"/>
                    </w:rPr>
                    <w:t>喷雾装置</w:t>
                  </w:r>
                </w:p>
              </w:tc>
            </w:tr>
          </w:tbl>
          <w:p w14:paraId="72A65CDF">
            <w:pPr>
              <w:spacing w:line="260" w:lineRule="auto"/>
              <w:rPr>
                <w:rFonts w:ascii="Arial"/>
                <w:sz w:val="21"/>
              </w:rPr>
            </w:pPr>
          </w:p>
          <w:p w14:paraId="5C8C2F4F">
            <w:pPr>
              <w:spacing w:line="261" w:lineRule="auto"/>
              <w:rPr>
                <w:rFonts w:ascii="Arial"/>
                <w:sz w:val="21"/>
              </w:rPr>
            </w:pPr>
          </w:p>
          <w:p w14:paraId="53C6F272">
            <w:pPr>
              <w:pStyle w:val="6"/>
              <w:spacing w:before="62" w:line="228" w:lineRule="auto"/>
              <w:ind w:left="1266"/>
              <w:rPr>
                <w:sz w:val="19"/>
                <w:szCs w:val="19"/>
              </w:rPr>
            </w:pPr>
            <w:r>
              <w:drawing>
                <wp:anchor distT="0" distB="0" distL="0" distR="0" simplePos="0" relativeHeight="251692032" behindDoc="1" locked="0" layoutInCell="1" allowOverlap="1">
                  <wp:simplePos x="0" y="0"/>
                  <wp:positionH relativeFrom="column">
                    <wp:posOffset>796925</wp:posOffset>
                  </wp:positionH>
                  <wp:positionV relativeFrom="paragraph">
                    <wp:posOffset>-491490</wp:posOffset>
                  </wp:positionV>
                  <wp:extent cx="13335" cy="475170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3"/>
                          <a:stretch>
                            <a:fillRect/>
                          </a:stretch>
                        </pic:blipFill>
                        <pic:spPr>
                          <a:xfrm>
                            <a:off x="0" y="0"/>
                            <a:ext cx="13335" cy="4751705"/>
                          </a:xfrm>
                          <a:prstGeom prst="rect">
                            <a:avLst/>
                          </a:prstGeom>
                        </pic:spPr>
                      </pic:pic>
                    </a:graphicData>
                  </a:graphic>
                </wp:anchor>
              </w:drawing>
            </w:r>
            <w:r>
              <w:pict>
                <v:shape id="_x0000_s1042" o:spid="_x0000_s1042" o:spt="202" type="#_x0000_t202" style="position:absolute;left:0pt;margin-left:215.15pt;margin-top:1.75pt;height:12.7pt;width:100.55pt;z-index:251716608;mso-width-relative:page;mso-height-relative:page;" filled="f" stroked="f" coordsize="21600,21600">
                  <v:path/>
                  <v:fill on="f" focussize="0,0"/>
                  <v:stroke on="f"/>
                  <v:imagedata o:title=""/>
                  <o:lock v:ext="edit" aspectratio="f"/>
                  <v:textbox inset="0mm,0mm,0mm,0mm">
                    <w:txbxContent>
                      <w:p w14:paraId="3EA3E7D9">
                        <w:pPr>
                          <w:pStyle w:val="6"/>
                          <w:spacing w:before="20" w:line="219" w:lineRule="auto"/>
                          <w:ind w:left="20"/>
                          <w:rPr>
                            <w:sz w:val="18"/>
                            <w:szCs w:val="18"/>
                          </w:rPr>
                        </w:pPr>
                        <w:r>
                          <w:rPr>
                            <w:spacing w:val="-1"/>
                            <w:sz w:val="18"/>
                            <w:szCs w:val="18"/>
                          </w:rPr>
                          <w:t>蒸养时以水蒸气形式消耗</w:t>
                        </w:r>
                      </w:p>
                    </w:txbxContent>
                  </v:textbox>
                </v:shape>
              </w:pict>
            </w:r>
            <w:r>
              <w:pict>
                <v:shape id="_x0000_s1043" o:spid="_x0000_s1043" o:spt="202" type="#_x0000_t202" style="position:absolute;left:0pt;margin-left:67.15pt;margin-top:-2.3pt;height:9.75pt;width:126.7pt;z-index:251712512;mso-width-relative:page;mso-height-relative:page;" filled="f" stroked="f" coordsize="21600,21600">
                  <v:path/>
                  <v:fill on="f" focussize="0,0"/>
                  <v:stroke on="f"/>
                  <v:imagedata o:title=""/>
                  <o:lock v:ext="edit" aspectratio="f"/>
                  <v:textbox inset="0mm,0mm,0mm,0mm">
                    <w:txbxContent>
                      <w:p w14:paraId="4DEC2038">
                        <w:pPr>
                          <w:spacing w:before="19" w:line="16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523.</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2"/>
                            <w:sz w:val="18"/>
                            <w:szCs w:val="18"/>
                          </w:rPr>
                          <w:t xml:space="preserve">144                                      </w:t>
                        </w:r>
                        <w:r>
                          <w:rPr>
                            <w:rFonts w:ascii="Times New Roman" w:hAnsi="Times New Roman" w:eastAsia="Times New Roman" w:cs="Times New Roman"/>
                            <w:spacing w:val="-2"/>
                            <w:position w:val="1"/>
                            <w:sz w:val="18"/>
                            <w:szCs w:val="18"/>
                          </w:rPr>
                          <w:t>600</w:t>
                        </w:r>
                      </w:p>
                    </w:txbxContent>
                  </v:textbox>
                </v:shape>
              </w:pict>
            </w:r>
            <w:r>
              <w:rPr>
                <w:sz w:val="19"/>
                <w:szCs w:val="19"/>
              </w:rPr>
              <w:drawing>
                <wp:inline distT="0" distB="0" distL="0" distR="0">
                  <wp:extent cx="516890" cy="762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34"/>
                          <a:stretch>
                            <a:fillRect/>
                          </a:stretch>
                        </pic:blipFill>
                        <pic:spPr>
                          <a:xfrm>
                            <a:off x="0" y="0"/>
                            <a:ext cx="516902" cy="76200"/>
                          </a:xfrm>
                          <a:prstGeom prst="rect">
                            <a:avLst/>
                          </a:prstGeom>
                        </pic:spPr>
                      </pic:pic>
                    </a:graphicData>
                  </a:graphic>
                </wp:inline>
              </w:drawing>
            </w:r>
            <w:r>
              <w:rPr>
                <w:spacing w:val="10"/>
                <w:sz w:val="19"/>
                <w:szCs w:val="19"/>
              </w:rPr>
              <w:t xml:space="preserve">   </w:t>
            </w:r>
            <w:r>
              <w:rPr>
                <w:b/>
                <w:bCs/>
                <w:spacing w:val="5"/>
                <w:sz w:val="19"/>
                <w:szCs w:val="19"/>
              </w:rPr>
              <w:t>制原浆</w:t>
            </w:r>
            <w:r>
              <w:rPr>
                <w:spacing w:val="13"/>
                <w:sz w:val="19"/>
                <w:szCs w:val="19"/>
              </w:rPr>
              <w:t xml:space="preserve">   </w:t>
            </w:r>
            <w:r>
              <w:rPr>
                <w:sz w:val="19"/>
                <w:szCs w:val="19"/>
              </w:rPr>
              <w:drawing>
                <wp:inline distT="0" distB="0" distL="0" distR="0">
                  <wp:extent cx="565785" cy="762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35"/>
                          <a:stretch>
                            <a:fillRect/>
                          </a:stretch>
                        </pic:blipFill>
                        <pic:spPr>
                          <a:xfrm>
                            <a:off x="0" y="0"/>
                            <a:ext cx="565797" cy="76200"/>
                          </a:xfrm>
                          <a:prstGeom prst="rect">
                            <a:avLst/>
                          </a:prstGeom>
                        </pic:spPr>
                      </pic:pic>
                    </a:graphicData>
                  </a:graphic>
                </wp:inline>
              </w:drawing>
            </w:r>
          </w:p>
          <w:p w14:paraId="4A11BA1A">
            <w:pPr>
              <w:spacing w:line="338" w:lineRule="auto"/>
              <w:rPr>
                <w:rFonts w:ascii="Arial"/>
                <w:sz w:val="21"/>
              </w:rPr>
            </w:pPr>
          </w:p>
          <w:p w14:paraId="27FA829B">
            <w:pPr>
              <w:pStyle w:val="6"/>
              <w:spacing w:before="58" w:line="219" w:lineRule="auto"/>
              <w:ind w:left="2881"/>
              <w:rPr>
                <w:rFonts w:ascii="Times New Roman" w:hAnsi="Times New Roman" w:eastAsia="Times New Roman" w:cs="Times New Roman"/>
                <w:sz w:val="18"/>
                <w:szCs w:val="18"/>
              </w:rPr>
            </w:pPr>
            <w:r>
              <w:rPr>
                <w:spacing w:val="-2"/>
                <w:sz w:val="18"/>
                <w:szCs w:val="18"/>
              </w:rPr>
              <w:t>循环回用</w:t>
            </w:r>
            <w:r>
              <w:rPr>
                <w:spacing w:val="-38"/>
                <w:sz w:val="18"/>
                <w:szCs w:val="18"/>
              </w:rPr>
              <w:t xml:space="preserve"> </w:t>
            </w:r>
            <w:r>
              <w:rPr>
                <w:rFonts w:ascii="Times New Roman" w:hAnsi="Times New Roman" w:eastAsia="Times New Roman" w:cs="Times New Roman"/>
                <w:spacing w:val="-2"/>
                <w:sz w:val="18"/>
                <w:szCs w:val="18"/>
              </w:rPr>
              <w:t>76.856</w:t>
            </w:r>
          </w:p>
          <w:p w14:paraId="221D753F">
            <w:pPr>
              <w:spacing w:before="11" w:line="21" w:lineRule="exact"/>
              <w:ind w:firstLine="2605"/>
            </w:pPr>
            <w:r>
              <w:drawing>
                <wp:inline distT="0" distB="0" distL="0" distR="0">
                  <wp:extent cx="1692275" cy="1333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36"/>
                          <a:stretch>
                            <a:fillRect/>
                          </a:stretch>
                        </pic:blipFill>
                        <pic:spPr>
                          <a:xfrm>
                            <a:off x="0" y="0"/>
                            <a:ext cx="1692275" cy="13335"/>
                          </a:xfrm>
                          <a:prstGeom prst="rect">
                            <a:avLst/>
                          </a:prstGeom>
                        </pic:spPr>
                      </pic:pic>
                    </a:graphicData>
                  </a:graphic>
                </wp:inline>
              </w:drawing>
            </w:r>
          </w:p>
          <w:p w14:paraId="360BD03A">
            <w:pPr>
              <w:spacing w:before="25" w:line="127" w:lineRule="exact"/>
              <w:ind w:left="543"/>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557.215</w:t>
            </w:r>
          </w:p>
          <w:p w14:paraId="5A7C98E1">
            <w:pPr>
              <w:spacing w:line="120" w:lineRule="exact"/>
              <w:ind w:left="459"/>
            </w:pPr>
            <w:r>
              <w:rPr>
                <w:position w:val="-2"/>
              </w:rPr>
              <w:drawing>
                <wp:inline distT="0" distB="0" distL="0" distR="0">
                  <wp:extent cx="504190" cy="762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37"/>
                          <a:stretch>
                            <a:fillRect/>
                          </a:stretch>
                        </pic:blipFill>
                        <pic:spPr>
                          <a:xfrm>
                            <a:off x="0" y="0"/>
                            <a:ext cx="504202" cy="76200"/>
                          </a:xfrm>
                          <a:prstGeom prst="rect">
                            <a:avLst/>
                          </a:prstGeom>
                        </pic:spPr>
                      </pic:pic>
                    </a:graphicData>
                  </a:graphic>
                </wp:inline>
              </w:drawing>
            </w:r>
          </w:p>
          <w:p w14:paraId="1C208BD2">
            <w:pPr>
              <w:spacing w:line="347" w:lineRule="auto"/>
              <w:rPr>
                <w:rFonts w:ascii="Arial"/>
                <w:sz w:val="21"/>
              </w:rPr>
            </w:pPr>
          </w:p>
          <w:p w14:paraId="5F75CE1D">
            <w:pPr>
              <w:spacing w:before="52"/>
              <w:ind w:left="4907"/>
              <w:rPr>
                <w:sz w:val="18"/>
                <w:szCs w:val="18"/>
              </w:rPr>
            </w:pPr>
            <w:r>
              <w:drawing>
                <wp:anchor distT="0" distB="0" distL="0" distR="0" simplePos="0" relativeHeight="251715584" behindDoc="0" locked="0" layoutInCell="1" allowOverlap="1">
                  <wp:simplePos x="0" y="0"/>
                  <wp:positionH relativeFrom="column">
                    <wp:posOffset>2957830</wp:posOffset>
                  </wp:positionH>
                  <wp:positionV relativeFrom="paragraph">
                    <wp:posOffset>-196850</wp:posOffset>
                  </wp:positionV>
                  <wp:extent cx="789940" cy="25146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38"/>
                          <a:stretch>
                            <a:fillRect/>
                          </a:stretch>
                        </pic:blipFill>
                        <pic:spPr>
                          <a:xfrm>
                            <a:off x="0" y="0"/>
                            <a:ext cx="789939" cy="251459"/>
                          </a:xfrm>
                          <a:prstGeom prst="rect">
                            <a:avLst/>
                          </a:prstGeom>
                        </pic:spPr>
                      </pic:pic>
                    </a:graphicData>
                  </a:graphic>
                </wp:anchor>
              </w:drawing>
            </w:r>
            <w:r>
              <w:rPr>
                <w:rFonts w:ascii="Times New Roman" w:hAnsi="Times New Roman" w:eastAsia="Times New Roman" w:cs="Times New Roman"/>
                <w:spacing w:val="-2"/>
                <w:sz w:val="18"/>
                <w:szCs w:val="18"/>
              </w:rPr>
              <w:t>66.6</w:t>
            </w:r>
            <w:r>
              <w:rPr>
                <w:position w:val="-13"/>
                <w:sz w:val="18"/>
                <w:szCs w:val="18"/>
              </w:rPr>
              <w:drawing>
                <wp:inline distT="0" distB="0" distL="0" distR="0">
                  <wp:extent cx="75565" cy="32385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39"/>
                          <a:stretch>
                            <a:fillRect/>
                          </a:stretch>
                        </pic:blipFill>
                        <pic:spPr>
                          <a:xfrm>
                            <a:off x="0" y="0"/>
                            <a:ext cx="75971" cy="323863"/>
                          </a:xfrm>
                          <a:prstGeom prst="rect">
                            <a:avLst/>
                          </a:prstGeom>
                        </pic:spPr>
                      </pic:pic>
                    </a:graphicData>
                  </a:graphic>
                </wp:inline>
              </w:drawing>
            </w:r>
            <w:r>
              <w:rPr>
                <w:rFonts w:ascii="Times New Roman" w:hAnsi="Times New Roman" w:eastAsia="Times New Roman" w:cs="Times New Roman"/>
                <w:spacing w:val="3"/>
                <w:sz w:val="18"/>
                <w:szCs w:val="18"/>
              </w:rPr>
              <w:t xml:space="preserve">     </w:t>
            </w:r>
            <w:r>
              <w:rPr>
                <w:position w:val="-11"/>
                <w:sz w:val="18"/>
                <w:szCs w:val="18"/>
              </w:rPr>
              <w:drawing>
                <wp:inline distT="0" distB="0" distL="0" distR="0">
                  <wp:extent cx="181610" cy="13906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40"/>
                          <a:stretch>
                            <a:fillRect/>
                          </a:stretch>
                        </pic:blipFill>
                        <pic:spPr>
                          <a:xfrm>
                            <a:off x="0" y="0"/>
                            <a:ext cx="181838" cy="139179"/>
                          </a:xfrm>
                          <a:prstGeom prst="rect">
                            <a:avLst/>
                          </a:prstGeom>
                        </pic:spPr>
                      </pic:pic>
                    </a:graphicData>
                  </a:graphic>
                </wp:inline>
              </w:drawing>
            </w:r>
          </w:p>
          <w:p w14:paraId="12595791">
            <w:pPr>
              <w:pStyle w:val="6"/>
              <w:spacing w:before="105" w:line="193" w:lineRule="auto"/>
              <w:ind w:left="2641"/>
              <w:rPr>
                <w:sz w:val="19"/>
                <w:szCs w:val="19"/>
              </w:rPr>
            </w:pPr>
            <w:r>
              <w:pict>
                <v:shape id="_x0000_s1044" o:spid="_x0000_s1044" o:spt="202" type="#_x0000_t202" style="position:absolute;left:0pt;margin-left:133.7pt;margin-top:-1.15pt;height:12.7pt;width:93.85pt;z-index:251714560;mso-width-relative:page;mso-height-relative:page;" filled="f" stroked="f" coordsize="21600,21600">
                  <v:path/>
                  <v:fill on="f" focussize="0,0"/>
                  <v:stroke on="f"/>
                  <v:imagedata o:title=""/>
                  <o:lock v:ext="edit" aspectratio="f"/>
                  <v:textbox inset="0mm,0mm,0mm,0mm">
                    <w:txbxContent>
                      <w:p w14:paraId="1DD212AE">
                        <w:pPr>
                          <w:pStyle w:val="6"/>
                          <w:spacing w:before="20" w:line="219" w:lineRule="auto"/>
                          <w:ind w:left="20"/>
                          <w:rPr>
                            <w:rFonts w:ascii="Times New Roman" w:hAnsi="Times New Roman" w:eastAsia="Times New Roman" w:cs="Times New Roman"/>
                            <w:sz w:val="18"/>
                            <w:szCs w:val="18"/>
                          </w:rPr>
                        </w:pPr>
                        <w:r>
                          <w:rPr>
                            <w:spacing w:val="-2"/>
                            <w:sz w:val="18"/>
                            <w:szCs w:val="18"/>
                          </w:rPr>
                          <w:t>来自东岳电厂的蒸汽</w:t>
                        </w:r>
                        <w:r>
                          <w:rPr>
                            <w:spacing w:val="-32"/>
                            <w:sz w:val="18"/>
                            <w:szCs w:val="18"/>
                          </w:rPr>
                          <w:t xml:space="preserve"> </w:t>
                        </w:r>
                        <w:r>
                          <w:rPr>
                            <w:rFonts w:ascii="Times New Roman" w:hAnsi="Times New Roman" w:eastAsia="Times New Roman" w:cs="Times New Roman"/>
                            <w:spacing w:val="-2"/>
                            <w:sz w:val="18"/>
                            <w:szCs w:val="18"/>
                          </w:rPr>
                          <w:t>76</w:t>
                        </w:r>
                      </w:p>
                    </w:txbxContent>
                  </v:textbox>
                </v:shape>
              </w:pict>
            </w:r>
            <w:r>
              <w:rPr>
                <w:position w:val="-1"/>
                <w:sz w:val="19"/>
                <w:szCs w:val="19"/>
              </w:rPr>
              <w:drawing>
                <wp:inline distT="0" distB="0" distL="0" distR="0">
                  <wp:extent cx="1296035" cy="762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41"/>
                          <a:stretch>
                            <a:fillRect/>
                          </a:stretch>
                        </pic:blipFill>
                        <pic:spPr>
                          <a:xfrm>
                            <a:off x="0" y="0"/>
                            <a:ext cx="1296047" cy="76200"/>
                          </a:xfrm>
                          <a:prstGeom prst="rect">
                            <a:avLst/>
                          </a:prstGeom>
                        </pic:spPr>
                      </pic:pic>
                    </a:graphicData>
                  </a:graphic>
                </wp:inline>
              </w:drawing>
            </w:r>
            <w:r>
              <w:rPr>
                <w:spacing w:val="17"/>
                <w:sz w:val="19"/>
                <w:szCs w:val="19"/>
              </w:rPr>
              <w:t xml:space="preserve">  </w:t>
            </w:r>
            <w:r>
              <w:rPr>
                <w:b/>
                <w:bCs/>
                <w:spacing w:val="6"/>
                <w:sz w:val="19"/>
                <w:szCs w:val="19"/>
              </w:rPr>
              <w:t>冷凝废水</w:t>
            </w:r>
            <w:r>
              <w:rPr>
                <w:sz w:val="19"/>
                <w:szCs w:val="19"/>
              </w:rPr>
              <w:t xml:space="preserve">   </w:t>
            </w:r>
          </w:p>
          <w:p w14:paraId="6A940334">
            <w:pPr>
              <w:pStyle w:val="6"/>
              <w:spacing w:before="245" w:line="194" w:lineRule="auto"/>
              <w:ind w:left="2521"/>
              <w:rPr>
                <w:rFonts w:ascii="Times New Roman" w:hAnsi="Times New Roman" w:eastAsia="Times New Roman" w:cs="Times New Roman"/>
                <w:sz w:val="18"/>
                <w:szCs w:val="18"/>
              </w:rPr>
            </w:pPr>
            <w:r>
              <w:rPr>
                <w:spacing w:val="-2"/>
                <w:sz w:val="18"/>
                <w:szCs w:val="18"/>
              </w:rPr>
              <w:t>蒸发、损耗</w:t>
            </w:r>
            <w:r>
              <w:rPr>
                <w:spacing w:val="-35"/>
                <w:sz w:val="18"/>
                <w:szCs w:val="18"/>
              </w:rPr>
              <w:t xml:space="preserve"> </w:t>
            </w:r>
            <w:r>
              <w:rPr>
                <w:rFonts w:ascii="Times New Roman" w:hAnsi="Times New Roman" w:eastAsia="Times New Roman" w:cs="Times New Roman"/>
                <w:spacing w:val="-2"/>
                <w:sz w:val="18"/>
                <w:szCs w:val="18"/>
              </w:rPr>
              <w:t>0.064</w:t>
            </w:r>
          </w:p>
          <w:p w14:paraId="50FB267F">
            <w:pPr>
              <w:spacing w:line="121" w:lineRule="exact"/>
              <w:ind w:left="2954"/>
            </w:pPr>
            <w:r>
              <w:rPr>
                <w:position w:val="-2"/>
              </w:rPr>
              <w:drawing>
                <wp:inline distT="0" distB="0" distL="0" distR="0">
                  <wp:extent cx="81280" cy="7683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42"/>
                          <a:stretch>
                            <a:fillRect/>
                          </a:stretch>
                        </pic:blipFill>
                        <pic:spPr>
                          <a:xfrm>
                            <a:off x="0" y="0"/>
                            <a:ext cx="81863" cy="77114"/>
                          </a:xfrm>
                          <a:prstGeom prst="rect">
                            <a:avLst/>
                          </a:prstGeom>
                        </pic:spPr>
                      </pic:pic>
                    </a:graphicData>
                  </a:graphic>
                </wp:inline>
              </w:drawing>
            </w:r>
          </w:p>
          <w:p w14:paraId="7AC6B599">
            <w:pPr>
              <w:spacing w:line="185" w:lineRule="exact"/>
              <w:ind w:left="2661"/>
            </w:pPr>
            <w:r>
              <w:pict>
                <v:shape id="_x0000_s1045" o:spid="_x0000_s1045" style="position:absolute;left:0pt;margin-left:104.1pt;margin-top:8.35pt;height:22.45pt;width:79pt;z-index:-251623424;mso-width-relative:page;mso-height-relative:page;" filled="f" stroked="t" coordsize="1580,449" path="m0,0l0,448,1579,448,1579,0,0,0e">
                  <v:fill on="f" focussize="0,0"/>
                  <v:stroke weight="1pt" color="#000000" miterlimit="0" joinstyle="miter"/>
                  <v:imagedata o:title=""/>
                  <o:lock v:ext="edit"/>
                </v:shape>
              </w:pict>
            </w:r>
            <w:r>
              <w:rPr>
                <w:position w:val="-4"/>
              </w:rPr>
              <w:drawing>
                <wp:inline distT="0" distB="0" distL="0" distR="0">
                  <wp:extent cx="230505" cy="11684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43"/>
                          <a:stretch>
                            <a:fillRect/>
                          </a:stretch>
                        </pic:blipFill>
                        <pic:spPr>
                          <a:xfrm>
                            <a:off x="0" y="0"/>
                            <a:ext cx="230822" cy="117296"/>
                          </a:xfrm>
                          <a:prstGeom prst="rect">
                            <a:avLst/>
                          </a:prstGeom>
                        </pic:spPr>
                      </pic:pic>
                    </a:graphicData>
                  </a:graphic>
                </wp:inline>
              </w:drawing>
            </w:r>
          </w:p>
          <w:p w14:paraId="0F1CF1FF">
            <w:pPr>
              <w:pStyle w:val="6"/>
              <w:spacing w:before="14" w:line="216" w:lineRule="auto"/>
              <w:ind w:left="2278"/>
              <w:rPr>
                <w:rFonts w:ascii="Times New Roman" w:hAnsi="Times New Roman" w:eastAsia="Times New Roman" w:cs="Times New Roman"/>
                <w:sz w:val="18"/>
                <w:szCs w:val="18"/>
              </w:rPr>
            </w:pPr>
            <w:r>
              <w:drawing>
                <wp:anchor distT="0" distB="0" distL="0" distR="0" simplePos="0" relativeHeight="251718656" behindDoc="0" locked="0" layoutInCell="1" allowOverlap="1">
                  <wp:simplePos x="0" y="0"/>
                  <wp:positionH relativeFrom="column">
                    <wp:posOffset>4229100</wp:posOffset>
                  </wp:positionH>
                  <wp:positionV relativeFrom="paragraph">
                    <wp:posOffset>-1087755</wp:posOffset>
                  </wp:positionV>
                  <wp:extent cx="13335" cy="122428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44"/>
                          <a:stretch>
                            <a:fillRect/>
                          </a:stretch>
                        </pic:blipFill>
                        <pic:spPr>
                          <a:xfrm>
                            <a:off x="0" y="0"/>
                            <a:ext cx="13334" cy="1224279"/>
                          </a:xfrm>
                          <a:prstGeom prst="rect">
                            <a:avLst/>
                          </a:prstGeom>
                        </pic:spPr>
                      </pic:pic>
                    </a:graphicData>
                  </a:graphic>
                </wp:anchor>
              </w:drawing>
            </w:r>
            <w:r>
              <w:pict>
                <v:shape id="_x0000_s1046" o:spid="_x0000_s1046" o:spt="202" type="#_x0000_t202" style="position:absolute;left:0pt;margin-left:72.35pt;margin-top:-0.75pt;height:8.5pt;width:17.5pt;z-index:251713536;mso-width-relative:page;mso-height-relative:page;" filled="f" stroked="f" coordsize="21600,21600">
                  <v:path/>
                  <v:fill on="f" focussize="0,0"/>
                  <v:stroke on="f"/>
                  <v:imagedata o:title=""/>
                  <o:lock v:ext="edit" aspectratio="f"/>
                  <v:textbox inset="0mm,0mm,0mm,0mm">
                    <w:txbxContent>
                      <w:p w14:paraId="46D8C06A">
                        <w:pPr>
                          <w:spacing w:before="20" w:line="129"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0.32</w:t>
                        </w:r>
                      </w:p>
                    </w:txbxContent>
                  </v:textbox>
                </v:shape>
              </w:pict>
            </w:r>
            <w:r>
              <w:rPr>
                <w:b/>
                <w:bCs/>
                <w:spacing w:val="2"/>
                <w:position w:val="-2"/>
                <w:sz w:val="19"/>
                <w:szCs w:val="19"/>
              </w:rPr>
              <w:t>车间地面冲水</w:t>
            </w:r>
            <w:r>
              <w:rPr>
                <w:spacing w:val="94"/>
                <w:position w:val="-2"/>
                <w:sz w:val="19"/>
                <w:szCs w:val="19"/>
              </w:rPr>
              <w:t xml:space="preserve"> </w:t>
            </w:r>
            <w:r>
              <w:rPr>
                <w:rFonts w:ascii="Times New Roman" w:hAnsi="Times New Roman" w:eastAsia="Times New Roman" w:cs="Times New Roman"/>
                <w:spacing w:val="2"/>
                <w:position w:val="10"/>
                <w:sz w:val="18"/>
                <w:szCs w:val="18"/>
                <w:u w:val="single" w:color="auto"/>
              </w:rPr>
              <w:t xml:space="preserve">                            0.256                </w:t>
            </w:r>
            <w:r>
              <w:rPr>
                <w:rFonts w:ascii="Times New Roman" w:hAnsi="Times New Roman" w:eastAsia="Times New Roman" w:cs="Times New Roman"/>
                <w:spacing w:val="1"/>
                <w:position w:val="10"/>
                <w:sz w:val="18"/>
                <w:szCs w:val="18"/>
                <w:u w:val="single" w:color="auto"/>
              </w:rPr>
              <w:t xml:space="preserve">            </w:t>
            </w:r>
          </w:p>
          <w:p w14:paraId="3C2CF051">
            <w:pPr>
              <w:pStyle w:val="6"/>
              <w:spacing w:before="238" w:line="219" w:lineRule="auto"/>
              <w:ind w:left="2437"/>
              <w:rPr>
                <w:rFonts w:ascii="Times New Roman" w:hAnsi="Times New Roman" w:eastAsia="Times New Roman" w:cs="Times New Roman"/>
                <w:sz w:val="18"/>
                <w:szCs w:val="18"/>
              </w:rPr>
            </w:pPr>
            <w:r>
              <w:rPr>
                <w:spacing w:val="-4"/>
                <w:sz w:val="18"/>
                <w:szCs w:val="18"/>
              </w:rPr>
              <w:t>蒸发、损耗</w:t>
            </w:r>
            <w:r>
              <w:rPr>
                <w:spacing w:val="-19"/>
                <w:sz w:val="18"/>
                <w:szCs w:val="18"/>
              </w:rPr>
              <w:t xml:space="preserve"> </w:t>
            </w:r>
            <w:r>
              <w:rPr>
                <w:rFonts w:ascii="Times New Roman" w:hAnsi="Times New Roman" w:eastAsia="Times New Roman" w:cs="Times New Roman"/>
                <w:spacing w:val="-4"/>
                <w:sz w:val="18"/>
                <w:szCs w:val="18"/>
              </w:rPr>
              <w:t>1.08</w:t>
            </w:r>
          </w:p>
          <w:p w14:paraId="002DD74B">
            <w:pPr>
              <w:spacing w:before="111" w:line="77" w:lineRule="exact"/>
              <w:ind w:left="2680"/>
            </w:pPr>
            <w:r>
              <w:rPr>
                <w:position w:val="-2"/>
              </w:rPr>
              <w:drawing>
                <wp:inline distT="0" distB="0" distL="0" distR="0">
                  <wp:extent cx="59055" cy="4889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45"/>
                          <a:stretch>
                            <a:fillRect/>
                          </a:stretch>
                        </pic:blipFill>
                        <pic:spPr>
                          <a:xfrm>
                            <a:off x="0" y="0"/>
                            <a:ext cx="59257" cy="49200"/>
                          </a:xfrm>
                          <a:prstGeom prst="rect">
                            <a:avLst/>
                          </a:prstGeom>
                        </pic:spPr>
                      </pic:pic>
                    </a:graphicData>
                  </a:graphic>
                </wp:inline>
              </w:drawing>
            </w:r>
          </w:p>
          <w:p w14:paraId="6A817778">
            <w:pPr>
              <w:spacing w:before="8" w:line="126" w:lineRule="exact"/>
              <w:ind w:left="2661"/>
              <w:rPr>
                <w:rFonts w:ascii="Times New Roman" w:hAnsi="Times New Roman" w:eastAsia="Times New Roman" w:cs="Times New Roman"/>
                <w:sz w:val="18"/>
                <w:szCs w:val="18"/>
              </w:rPr>
            </w:pPr>
            <w:r>
              <w:rPr>
                <w:rFonts w:ascii="Arial" w:hAnsi="Arial" w:eastAsia="Arial" w:cs="Arial"/>
                <w:spacing w:val="-2"/>
                <w:sz w:val="18"/>
                <w:szCs w:val="18"/>
              </w:rPr>
              <w:t>i</w:t>
            </w:r>
            <w:r>
              <w:rPr>
                <w:rFonts w:ascii="Arial" w:hAnsi="Arial" w:eastAsia="Arial" w:cs="Arial"/>
                <w:spacing w:val="2"/>
                <w:sz w:val="18"/>
                <w:szCs w:val="18"/>
              </w:rPr>
              <w:t xml:space="preserve">                      </w:t>
            </w:r>
            <w:r>
              <w:rPr>
                <w:rFonts w:ascii="Arial" w:hAnsi="Arial" w:eastAsia="Arial" w:cs="Arial"/>
                <w:spacing w:val="1"/>
                <w:sz w:val="18"/>
                <w:szCs w:val="18"/>
              </w:rPr>
              <w:t xml:space="preserve">   </w:t>
            </w:r>
            <w:r>
              <w:rPr>
                <w:rFonts w:ascii="Times New Roman" w:hAnsi="Times New Roman" w:eastAsia="Times New Roman" w:cs="Times New Roman"/>
                <w:spacing w:val="-2"/>
                <w:position w:val="-2"/>
                <w:sz w:val="18"/>
                <w:szCs w:val="18"/>
              </w:rPr>
              <w:t>6.12</w:t>
            </w:r>
          </w:p>
          <w:p w14:paraId="5F1A7F11">
            <w:pPr>
              <w:pStyle w:val="6"/>
              <w:spacing w:before="47" w:line="207" w:lineRule="auto"/>
              <w:ind w:left="1565"/>
              <w:rPr>
                <w:sz w:val="19"/>
                <w:szCs w:val="19"/>
              </w:rPr>
            </w:pPr>
            <w:r>
              <w:drawing>
                <wp:anchor distT="0" distB="0" distL="0" distR="0" simplePos="0" relativeHeight="251689984" behindDoc="1" locked="0" layoutInCell="1" allowOverlap="1">
                  <wp:simplePos x="0" y="0"/>
                  <wp:positionH relativeFrom="column">
                    <wp:posOffset>816610</wp:posOffset>
                  </wp:positionH>
                  <wp:positionV relativeFrom="paragraph">
                    <wp:posOffset>-31750</wp:posOffset>
                  </wp:positionV>
                  <wp:extent cx="2746375" cy="28448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46"/>
                          <a:stretch>
                            <a:fillRect/>
                          </a:stretch>
                        </pic:blipFill>
                        <pic:spPr>
                          <a:xfrm>
                            <a:off x="0" y="0"/>
                            <a:ext cx="2746387" cy="284479"/>
                          </a:xfrm>
                          <a:prstGeom prst="rect">
                            <a:avLst/>
                          </a:prstGeom>
                        </pic:spPr>
                      </pic:pic>
                    </a:graphicData>
                  </a:graphic>
                </wp:anchor>
              </w:drawing>
            </w:r>
            <w:r>
              <w:drawing>
                <wp:anchor distT="0" distB="0" distL="0" distR="0" simplePos="0" relativeHeight="251691008" behindDoc="1" locked="0" layoutInCell="1" allowOverlap="1">
                  <wp:simplePos x="0" y="0"/>
                  <wp:positionH relativeFrom="column">
                    <wp:posOffset>2360295</wp:posOffset>
                  </wp:positionH>
                  <wp:positionV relativeFrom="paragraph">
                    <wp:posOffset>160655</wp:posOffset>
                  </wp:positionV>
                  <wp:extent cx="575945" cy="762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47"/>
                          <a:stretch>
                            <a:fillRect/>
                          </a:stretch>
                        </pic:blipFill>
                        <pic:spPr>
                          <a:xfrm>
                            <a:off x="0" y="0"/>
                            <a:ext cx="575957" cy="76200"/>
                          </a:xfrm>
                          <a:prstGeom prst="rect">
                            <a:avLst/>
                          </a:prstGeom>
                        </pic:spPr>
                      </pic:pic>
                    </a:graphicData>
                  </a:graphic>
                </wp:anchor>
              </w:drawing>
            </w:r>
            <w:r>
              <w:rPr>
                <w:rFonts w:ascii="Times New Roman" w:hAnsi="Times New Roman" w:eastAsia="Times New Roman" w:cs="Times New Roman"/>
                <w:position w:val="5"/>
                <w:sz w:val="18"/>
                <w:szCs w:val="18"/>
              </w:rPr>
              <w:t>1.08</w:t>
            </w:r>
            <w:r>
              <w:rPr>
                <w:rFonts w:ascii="Times New Roman" w:hAnsi="Times New Roman" w:eastAsia="Times New Roman" w:cs="Times New Roman"/>
                <w:spacing w:val="4"/>
                <w:position w:val="5"/>
                <w:sz w:val="18"/>
                <w:szCs w:val="18"/>
              </w:rPr>
              <w:t xml:space="preserve">          </w:t>
            </w:r>
            <w:r>
              <w:rPr>
                <w:b/>
                <w:bCs/>
                <w:sz w:val="19"/>
                <w:szCs w:val="19"/>
              </w:rPr>
              <w:t>车辆防尘冲水</w:t>
            </w:r>
            <w:r>
              <w:rPr>
                <w:spacing w:val="7"/>
                <w:sz w:val="19"/>
                <w:szCs w:val="19"/>
              </w:rPr>
              <w:t xml:space="preserve">     </w:t>
            </w:r>
            <w:r>
              <w:rPr>
                <w:rFonts w:ascii="Times New Roman" w:hAnsi="Times New Roman" w:eastAsia="Times New Roman" w:cs="Times New Roman"/>
                <w:position w:val="-4"/>
                <w:sz w:val="18"/>
                <w:szCs w:val="18"/>
              </w:rPr>
              <w:t>6.</w:t>
            </w:r>
            <w:r>
              <w:rPr>
                <w:rFonts w:ascii="Times New Roman" w:hAnsi="Times New Roman" w:eastAsia="Times New Roman" w:cs="Times New Roman"/>
                <w:spacing w:val="-19"/>
                <w:position w:val="-4"/>
                <w:sz w:val="18"/>
                <w:szCs w:val="18"/>
              </w:rPr>
              <w:t xml:space="preserve"> </w:t>
            </w:r>
            <w:r>
              <w:rPr>
                <w:rFonts w:ascii="Times New Roman" w:hAnsi="Times New Roman" w:eastAsia="Times New Roman" w:cs="Times New Roman"/>
                <w:position w:val="-4"/>
                <w:sz w:val="18"/>
                <w:szCs w:val="18"/>
              </w:rPr>
              <w:t>12</w:t>
            </w:r>
            <w:r>
              <w:rPr>
                <w:rFonts w:ascii="Times New Roman" w:hAnsi="Times New Roman" w:eastAsia="Times New Roman" w:cs="Times New Roman"/>
                <w:spacing w:val="4"/>
                <w:position w:val="-4"/>
                <w:sz w:val="18"/>
                <w:szCs w:val="18"/>
              </w:rPr>
              <w:t xml:space="preserve">         </w:t>
            </w:r>
            <w:r>
              <w:rPr>
                <w:b/>
                <w:bCs/>
                <w:sz w:val="19"/>
                <w:szCs w:val="19"/>
              </w:rPr>
              <w:t>沉淀池</w:t>
            </w:r>
          </w:p>
          <w:p w14:paraId="7AB6E026">
            <w:pPr>
              <w:pStyle w:val="6"/>
              <w:spacing w:before="256" w:line="205" w:lineRule="auto"/>
              <w:ind w:left="2708"/>
              <w:rPr>
                <w:rFonts w:ascii="Times New Roman" w:hAnsi="Times New Roman" w:eastAsia="Times New Roman" w:cs="Times New Roman"/>
                <w:sz w:val="18"/>
                <w:szCs w:val="18"/>
              </w:rPr>
            </w:pPr>
            <w:r>
              <w:rPr>
                <w:spacing w:val="-2"/>
                <w:sz w:val="18"/>
                <w:szCs w:val="18"/>
              </w:rPr>
              <w:t>蒸汽使用消耗</w:t>
            </w:r>
            <w:r>
              <w:rPr>
                <w:spacing w:val="-30"/>
                <w:sz w:val="18"/>
                <w:szCs w:val="18"/>
              </w:rPr>
              <w:t xml:space="preserve"> </w:t>
            </w:r>
            <w:r>
              <w:rPr>
                <w:rFonts w:ascii="Times New Roman" w:hAnsi="Times New Roman" w:eastAsia="Times New Roman" w:cs="Times New Roman"/>
                <w:spacing w:val="-2"/>
                <w:sz w:val="18"/>
                <w:szCs w:val="18"/>
              </w:rPr>
              <w:t>8</w:t>
            </w:r>
          </w:p>
          <w:p w14:paraId="2BAA7F41">
            <w:pPr>
              <w:pStyle w:val="6"/>
              <w:spacing w:before="47" w:line="178" w:lineRule="auto"/>
              <w:ind w:left="4455"/>
              <w:rPr>
                <w:sz w:val="18"/>
                <w:szCs w:val="18"/>
              </w:rPr>
            </w:pPr>
            <w:r>
              <w:rPr>
                <w:spacing w:val="-3"/>
                <w:sz w:val="18"/>
                <w:szCs w:val="18"/>
              </w:rPr>
              <w:t>定期排污、</w:t>
            </w:r>
          </w:p>
          <w:p w14:paraId="55255051">
            <w:pPr>
              <w:spacing w:line="82" w:lineRule="exact"/>
              <w:ind w:firstLine="2821"/>
            </w:pPr>
            <w:r>
              <w:rPr>
                <w:position w:val="-1"/>
              </w:rPr>
              <w:drawing>
                <wp:inline distT="0" distB="0" distL="0" distR="0">
                  <wp:extent cx="25400" cy="5207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48"/>
                          <a:stretch>
                            <a:fillRect/>
                          </a:stretch>
                        </pic:blipFill>
                        <pic:spPr>
                          <a:xfrm>
                            <a:off x="0" y="0"/>
                            <a:ext cx="25907" cy="52222"/>
                          </a:xfrm>
                          <a:prstGeom prst="rect">
                            <a:avLst/>
                          </a:prstGeom>
                        </pic:spPr>
                      </pic:pic>
                    </a:graphicData>
                  </a:graphic>
                </wp:inline>
              </w:drawing>
            </w:r>
          </w:p>
          <w:p w14:paraId="4B77761E">
            <w:pPr>
              <w:pStyle w:val="6"/>
              <w:tabs>
                <w:tab w:val="left" w:pos="1363"/>
              </w:tabs>
              <w:spacing w:line="210" w:lineRule="auto"/>
              <w:ind w:left="1248"/>
              <w:rPr>
                <w:sz w:val="19"/>
                <w:szCs w:val="19"/>
              </w:rPr>
            </w:pPr>
            <w:r>
              <w:drawing>
                <wp:anchor distT="0" distB="0" distL="0" distR="0" simplePos="0" relativeHeight="251688960" behindDoc="1" locked="0" layoutInCell="1" allowOverlap="1">
                  <wp:simplePos x="0" y="0"/>
                  <wp:positionH relativeFrom="column">
                    <wp:posOffset>1228725</wp:posOffset>
                  </wp:positionH>
                  <wp:positionV relativeFrom="paragraph">
                    <wp:posOffset>-10795</wp:posOffset>
                  </wp:positionV>
                  <wp:extent cx="1442085" cy="28448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49"/>
                          <a:stretch>
                            <a:fillRect/>
                          </a:stretch>
                        </pic:blipFill>
                        <pic:spPr>
                          <a:xfrm>
                            <a:off x="0" y="0"/>
                            <a:ext cx="1442084" cy="284479"/>
                          </a:xfrm>
                          <a:prstGeom prst="rect">
                            <a:avLst/>
                          </a:prstGeom>
                        </pic:spPr>
                      </pic:pic>
                    </a:graphicData>
                  </a:graphic>
                </wp:anchor>
              </w:drawing>
            </w:r>
            <w:r>
              <w:pict>
                <v:shape id="_x0000_s1047" o:spid="_x0000_s1047" o:spt="202" type="#_x0000_t202" style="position:absolute;left:0pt;margin-left:214.9pt;margin-top:-2.1pt;height:12.7pt;width:60.1pt;z-index:251710464;mso-width-relative:page;mso-height-relative:page;" filled="f" stroked="f" coordsize="21600,21600">
                  <v:path/>
                  <v:fill on="f" focussize="0,0"/>
                  <v:stroke on="f"/>
                  <v:imagedata o:title=""/>
                  <o:lock v:ext="edit" aspectratio="f"/>
                  <v:textbox inset="0mm,0mm,0mm,0mm">
                    <w:txbxContent>
                      <w:p w14:paraId="18FE7726">
                        <w:pPr>
                          <w:pStyle w:val="6"/>
                          <w:spacing w:before="20" w:line="219" w:lineRule="auto"/>
                          <w:ind w:left="20"/>
                          <w:rPr>
                            <w:rFonts w:ascii="Times New Roman" w:hAnsi="Times New Roman" w:eastAsia="Times New Roman" w:cs="Times New Roman"/>
                            <w:sz w:val="18"/>
                            <w:szCs w:val="18"/>
                          </w:rPr>
                        </w:pPr>
                        <w:r>
                          <w:rPr>
                            <w:spacing w:val="-2"/>
                            <w:sz w:val="18"/>
                            <w:szCs w:val="18"/>
                          </w:rPr>
                          <w:t>再生废水</w:t>
                        </w:r>
                        <w:r>
                          <w:rPr>
                            <w:spacing w:val="-37"/>
                            <w:sz w:val="18"/>
                            <w:szCs w:val="18"/>
                          </w:rPr>
                          <w:t xml:space="preserve"> </w:t>
                        </w:r>
                        <w:r>
                          <w:rPr>
                            <w:rFonts w:ascii="Times New Roman" w:hAnsi="Times New Roman" w:eastAsia="Times New Roman" w:cs="Times New Roman"/>
                            <w:spacing w:val="-2"/>
                            <w:sz w:val="18"/>
                            <w:szCs w:val="18"/>
                          </w:rPr>
                          <w:t>0.071</w:t>
                        </w:r>
                      </w:p>
                    </w:txbxContent>
                  </v:textbox>
                </v:shape>
              </w:pict>
            </w:r>
            <w:r>
              <w:pict>
                <v:shape id="_x0000_s1048" o:spid="_x0000_s1048" o:spt="202" type="#_x0000_t202" style="position:absolute;left:0pt;margin-left:333.65pt;margin-top:10.35pt;height:13.75pt;width:31.65pt;z-index:251709440;mso-width-relative:page;mso-height-relative:page;" filled="f" stroked="f" coordsize="21600,21600">
                  <v:path/>
                  <v:fill on="f" focussize="0,0"/>
                  <v:stroke on="f"/>
                  <v:imagedata o:title=""/>
                  <o:lock v:ext="edit" aspectratio="f"/>
                  <v:textbox inset="0mm,0mm,0mm,0mm">
                    <w:txbxContent>
                      <w:p w14:paraId="24C5A2C9">
                        <w:pPr>
                          <w:pStyle w:val="6"/>
                          <w:spacing w:before="20" w:line="228" w:lineRule="auto"/>
                          <w:ind w:left="20"/>
                          <w:rPr>
                            <w:sz w:val="19"/>
                            <w:szCs w:val="19"/>
                          </w:rPr>
                        </w:pPr>
                        <w:r>
                          <w:rPr>
                            <w:b/>
                            <w:bCs/>
                            <w:spacing w:val="5"/>
                            <w:sz w:val="19"/>
                            <w:szCs w:val="19"/>
                          </w:rPr>
                          <w:t>双龙河</w:t>
                        </w:r>
                      </w:p>
                    </w:txbxContent>
                  </v:textbox>
                </v:shape>
              </w:pict>
            </w:r>
            <w:r>
              <w:rPr>
                <w:rFonts w:ascii="Times New Roman" w:hAnsi="Times New Roman" w:eastAsia="Times New Roman" w:cs="Times New Roman"/>
                <w:position w:val="12"/>
                <w:sz w:val="18"/>
                <w:szCs w:val="18"/>
              </w:rPr>
              <w:tab/>
            </w:r>
            <w:r>
              <w:rPr>
                <w:rFonts w:ascii="Times New Roman" w:hAnsi="Times New Roman" w:eastAsia="Times New Roman" w:cs="Times New Roman"/>
                <w:spacing w:val="3"/>
                <w:position w:val="12"/>
                <w:sz w:val="18"/>
                <w:szCs w:val="18"/>
              </w:rPr>
              <w:t xml:space="preserve">8.071       </w:t>
            </w:r>
            <w:r>
              <w:rPr>
                <w:b/>
                <w:bCs/>
                <w:spacing w:val="3"/>
                <w:position w:val="-2"/>
                <w:sz w:val="19"/>
                <w:szCs w:val="19"/>
              </w:rPr>
              <w:t>备用锅炉（软水设备）</w:t>
            </w:r>
          </w:p>
          <w:p w14:paraId="5D8D2386">
            <w:pPr>
              <w:spacing w:line="256" w:lineRule="auto"/>
              <w:rPr>
                <w:rFonts w:ascii="Arial"/>
                <w:sz w:val="21"/>
              </w:rPr>
            </w:pPr>
          </w:p>
          <w:p w14:paraId="1A47409B">
            <w:pPr>
              <w:pStyle w:val="6"/>
              <w:spacing w:before="59" w:line="199" w:lineRule="auto"/>
              <w:ind w:left="2799"/>
              <w:rPr>
                <w:rFonts w:ascii="Times New Roman" w:hAnsi="Times New Roman" w:eastAsia="Times New Roman" w:cs="Times New Roman"/>
                <w:sz w:val="18"/>
                <w:szCs w:val="18"/>
              </w:rPr>
            </w:pPr>
            <w:r>
              <w:pict>
                <v:shape id="_x0000_s1049" o:spid="_x0000_s1049" o:spt="202" type="#_x0000_t202" style="position:absolute;left:0pt;margin-left:322.4pt;margin-top:4.8pt;height:48pt;width:55.25pt;z-index:251711488;mso-width-relative:page;mso-height-relative:page;" filled="f" stroked="f" coordsize="21600,21600">
                  <v:path/>
                  <v:fill on="f" focussize="0,0"/>
                  <v:stroke on="f"/>
                  <v:imagedata o:title=""/>
                  <o:lock v:ext="edit" aspectratio="f"/>
                  <v:textbox inset="0mm,0mm,0mm,0mm">
                    <w:txbxContent>
                      <w:p w14:paraId="0D560658">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2.411</w:t>
                        </w:r>
                      </w:p>
                      <w:p w14:paraId="5A330FED">
                        <w:pPr>
                          <w:pStyle w:val="6"/>
                          <w:spacing w:before="262"/>
                          <w:ind w:left="91" w:right="20" w:firstLine="4"/>
                          <w:rPr>
                            <w:sz w:val="19"/>
                            <w:szCs w:val="19"/>
                          </w:rPr>
                        </w:pPr>
                        <w:r>
                          <w:rPr>
                            <w:b/>
                            <w:bCs/>
                            <w:spacing w:val="5"/>
                            <w:sz w:val="19"/>
                            <w:szCs w:val="19"/>
                          </w:rPr>
                          <w:t>东岳场镇污</w:t>
                        </w:r>
                        <w:r>
                          <w:rPr>
                            <w:spacing w:val="2"/>
                            <w:sz w:val="19"/>
                            <w:szCs w:val="19"/>
                          </w:rPr>
                          <w:t xml:space="preserve"> </w:t>
                        </w:r>
                        <w:r>
                          <w:rPr>
                            <w:b/>
                            <w:bCs/>
                            <w:spacing w:val="5"/>
                            <w:sz w:val="19"/>
                            <w:szCs w:val="19"/>
                          </w:rPr>
                          <w:t>水处理厂</w:t>
                        </w:r>
                      </w:p>
                    </w:txbxContent>
                  </v:textbox>
                </v:shape>
              </w:pict>
            </w:r>
            <w:r>
              <w:rPr>
                <w:spacing w:val="-3"/>
                <w:sz w:val="18"/>
                <w:szCs w:val="18"/>
              </w:rPr>
              <w:t>损耗</w:t>
            </w:r>
            <w:r>
              <w:rPr>
                <w:spacing w:val="-34"/>
                <w:sz w:val="18"/>
                <w:szCs w:val="18"/>
              </w:rPr>
              <w:t xml:space="preserve"> </w:t>
            </w:r>
            <w:r>
              <w:rPr>
                <w:rFonts w:ascii="Times New Roman" w:hAnsi="Times New Roman" w:eastAsia="Times New Roman" w:cs="Times New Roman"/>
                <w:spacing w:val="-3"/>
                <w:sz w:val="18"/>
                <w:szCs w:val="18"/>
              </w:rPr>
              <w:t>0.26</w:t>
            </w:r>
          </w:p>
          <w:p w14:paraId="2F240658">
            <w:pPr>
              <w:spacing w:line="122" w:lineRule="exact"/>
              <w:ind w:left="3088"/>
            </w:pPr>
            <w:r>
              <w:rPr>
                <w:position w:val="-2"/>
              </w:rPr>
              <w:drawing>
                <wp:inline distT="0" distB="0" distL="0" distR="0">
                  <wp:extent cx="81280" cy="7683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50"/>
                          <a:stretch>
                            <a:fillRect/>
                          </a:stretch>
                        </pic:blipFill>
                        <pic:spPr>
                          <a:xfrm>
                            <a:off x="0" y="0"/>
                            <a:ext cx="81863" cy="77114"/>
                          </a:xfrm>
                          <a:prstGeom prst="rect">
                            <a:avLst/>
                          </a:prstGeom>
                        </pic:spPr>
                      </pic:pic>
                    </a:graphicData>
                  </a:graphic>
                </wp:inline>
              </w:drawing>
            </w:r>
          </w:p>
          <w:p w14:paraId="3221F111">
            <w:pPr>
              <w:spacing w:line="106" w:lineRule="exact"/>
              <w:ind w:left="2814"/>
            </w:pPr>
            <w:r>
              <w:rPr>
                <w:position w:val="-2"/>
              </w:rPr>
              <w:drawing>
                <wp:inline distT="0" distB="0" distL="0" distR="0">
                  <wp:extent cx="218440" cy="6731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51"/>
                          <a:stretch>
                            <a:fillRect/>
                          </a:stretch>
                        </pic:blipFill>
                        <pic:spPr>
                          <a:xfrm>
                            <a:off x="0" y="0"/>
                            <a:ext cx="218516" cy="67665"/>
                          </a:xfrm>
                          <a:prstGeom prst="rect">
                            <a:avLst/>
                          </a:prstGeom>
                        </pic:spPr>
                      </pic:pic>
                    </a:graphicData>
                  </a:graphic>
                </wp:inline>
              </w:drawing>
            </w:r>
          </w:p>
          <w:p w14:paraId="41862748">
            <w:pPr>
              <w:pStyle w:val="6"/>
              <w:spacing w:before="99" w:line="221" w:lineRule="auto"/>
              <w:ind w:left="1572"/>
              <w:rPr>
                <w:rFonts w:ascii="Times New Roman" w:hAnsi="Times New Roman" w:eastAsia="Times New Roman" w:cs="Times New Roman"/>
                <w:sz w:val="18"/>
                <w:szCs w:val="18"/>
              </w:rPr>
            </w:pPr>
            <w:r>
              <w:drawing>
                <wp:anchor distT="0" distB="0" distL="0" distR="0" simplePos="0" relativeHeight="251694080" behindDoc="1" locked="0" layoutInCell="1" allowOverlap="1">
                  <wp:simplePos x="0" y="0"/>
                  <wp:positionH relativeFrom="column">
                    <wp:posOffset>806450</wp:posOffset>
                  </wp:positionH>
                  <wp:positionV relativeFrom="paragraph">
                    <wp:posOffset>33020</wp:posOffset>
                  </wp:positionV>
                  <wp:extent cx="3244215" cy="28003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52"/>
                          <a:stretch>
                            <a:fillRect/>
                          </a:stretch>
                        </pic:blipFill>
                        <pic:spPr>
                          <a:xfrm>
                            <a:off x="0" y="0"/>
                            <a:ext cx="3244227" cy="280034"/>
                          </a:xfrm>
                          <a:prstGeom prst="rect">
                            <a:avLst/>
                          </a:prstGeom>
                        </pic:spPr>
                      </pic:pic>
                    </a:graphicData>
                  </a:graphic>
                </wp:anchor>
              </w:drawing>
            </w:r>
            <w:r>
              <w:rPr>
                <w:rFonts w:ascii="Times New Roman" w:hAnsi="Times New Roman" w:eastAsia="Times New Roman" w:cs="Times New Roman"/>
                <w:spacing w:val="2"/>
                <w:position w:val="7"/>
                <w:sz w:val="18"/>
                <w:szCs w:val="18"/>
              </w:rPr>
              <w:t xml:space="preserve">2.6            </w:t>
            </w:r>
            <w:r>
              <w:rPr>
                <w:b/>
                <w:bCs/>
                <w:spacing w:val="2"/>
                <w:position w:val="-4"/>
                <w:sz w:val="20"/>
                <w:szCs w:val="20"/>
              </w:rPr>
              <w:t>生活用水</w:t>
            </w:r>
            <w:r>
              <w:rPr>
                <w:spacing w:val="5"/>
                <w:position w:val="-4"/>
                <w:sz w:val="20"/>
                <w:szCs w:val="20"/>
              </w:rPr>
              <w:t xml:space="preserve">     </w:t>
            </w:r>
            <w:r>
              <w:rPr>
                <w:rFonts w:ascii="Times New Roman" w:hAnsi="Times New Roman" w:eastAsia="Times New Roman" w:cs="Times New Roman"/>
                <w:spacing w:val="2"/>
                <w:position w:val="6"/>
                <w:sz w:val="18"/>
                <w:szCs w:val="18"/>
              </w:rPr>
              <w:t>2.</w:t>
            </w:r>
            <w:r>
              <w:rPr>
                <w:rFonts w:ascii="Times New Roman" w:hAnsi="Times New Roman" w:eastAsia="Times New Roman" w:cs="Times New Roman"/>
                <w:spacing w:val="1"/>
                <w:position w:val="6"/>
                <w:sz w:val="18"/>
                <w:szCs w:val="18"/>
              </w:rPr>
              <w:t xml:space="preserve">34          </w:t>
            </w:r>
            <w:r>
              <w:rPr>
                <w:b/>
                <w:bCs/>
                <w:spacing w:val="1"/>
                <w:position w:val="-3"/>
                <w:sz w:val="20"/>
                <w:szCs w:val="20"/>
              </w:rPr>
              <w:t>化粪池</w:t>
            </w:r>
            <w:r>
              <w:rPr>
                <w:spacing w:val="21"/>
                <w:position w:val="-3"/>
                <w:sz w:val="20"/>
                <w:szCs w:val="20"/>
              </w:rPr>
              <w:t xml:space="preserve">  </w:t>
            </w:r>
            <w:r>
              <w:rPr>
                <w:spacing w:val="1"/>
                <w:position w:val="5"/>
                <w:sz w:val="18"/>
                <w:szCs w:val="18"/>
              </w:rPr>
              <w:t>拉运</w:t>
            </w:r>
            <w:r>
              <w:rPr>
                <w:spacing w:val="-40"/>
                <w:position w:val="5"/>
                <w:sz w:val="18"/>
                <w:szCs w:val="18"/>
              </w:rPr>
              <w:t xml:space="preserve"> </w:t>
            </w:r>
            <w:r>
              <w:rPr>
                <w:rFonts w:ascii="Times New Roman" w:hAnsi="Times New Roman" w:eastAsia="Times New Roman" w:cs="Times New Roman"/>
                <w:spacing w:val="1"/>
                <w:position w:val="5"/>
                <w:sz w:val="18"/>
                <w:szCs w:val="18"/>
              </w:rPr>
              <w:t>2.411</w:t>
            </w:r>
          </w:p>
          <w:p w14:paraId="6495A933">
            <w:pPr>
              <w:spacing w:before="283" w:line="230" w:lineRule="auto"/>
              <w:ind w:left="2118"/>
              <w:rPr>
                <w:rFonts w:ascii="黑体" w:hAnsi="黑体" w:eastAsia="黑体" w:cs="黑体"/>
                <w:sz w:val="19"/>
                <w:szCs w:val="19"/>
              </w:rPr>
            </w:pPr>
            <w:r>
              <w:rPr>
                <w:rFonts w:ascii="黑体" w:hAnsi="黑体" w:eastAsia="黑体" w:cs="黑体"/>
                <w:sz w:val="19"/>
                <w:szCs w:val="19"/>
              </w:rPr>
              <w:t>图</w:t>
            </w:r>
            <w:r>
              <w:rPr>
                <w:rFonts w:ascii="Times New Roman" w:hAnsi="Times New Roman" w:eastAsia="Times New Roman" w:cs="Times New Roman"/>
                <w:sz w:val="19"/>
                <w:szCs w:val="19"/>
              </w:rPr>
              <w:t>2-1</w:t>
            </w:r>
            <w:r>
              <w:rPr>
                <w:rFonts w:ascii="黑体" w:hAnsi="黑体" w:eastAsia="黑体" w:cs="黑体"/>
                <w:sz w:val="19"/>
                <w:szCs w:val="19"/>
              </w:rPr>
              <w:t>：项目营运期水平衡图（单位：</w:t>
            </w:r>
            <w:r>
              <w:rPr>
                <w:rFonts w:ascii="Times New Roman" w:hAnsi="Times New Roman" w:eastAsia="Times New Roman" w:cs="Times New Roman"/>
                <w:sz w:val="19"/>
                <w:szCs w:val="19"/>
              </w:rPr>
              <w:t>m</w:t>
            </w:r>
            <w:r>
              <w:rPr>
                <w:rFonts w:ascii="Times New Roman" w:hAnsi="Times New Roman" w:eastAsia="Times New Roman" w:cs="Times New Roman"/>
                <w:position w:val="6"/>
                <w:sz w:val="12"/>
                <w:szCs w:val="12"/>
              </w:rPr>
              <w:t>3</w:t>
            </w:r>
            <w:r>
              <w:rPr>
                <w:rFonts w:ascii="Times New Roman" w:hAnsi="Times New Roman" w:eastAsia="Times New Roman" w:cs="Times New Roman"/>
                <w:sz w:val="19"/>
                <w:szCs w:val="19"/>
              </w:rPr>
              <w:t>/d</w:t>
            </w:r>
            <w:r>
              <w:rPr>
                <w:rFonts w:ascii="黑体" w:hAnsi="黑体" w:eastAsia="黑体" w:cs="黑体"/>
                <w:sz w:val="19"/>
                <w:szCs w:val="19"/>
              </w:rPr>
              <w:t>）</w:t>
            </w:r>
          </w:p>
          <w:p w14:paraId="715F7B54">
            <w:pPr>
              <w:spacing w:before="130" w:line="222" w:lineRule="auto"/>
              <w:ind w:left="105"/>
              <w:rPr>
                <w:rFonts w:ascii="黑体" w:hAnsi="黑体" w:eastAsia="黑体" w:cs="黑体"/>
                <w:sz w:val="22"/>
                <w:szCs w:val="22"/>
              </w:rPr>
            </w:pPr>
            <w:r>
              <w:rPr>
                <w:rFonts w:ascii="黑体" w:hAnsi="黑体" w:eastAsia="黑体" w:cs="黑体"/>
                <w:spacing w:val="-1"/>
                <w:sz w:val="22"/>
                <w:szCs w:val="22"/>
              </w:rPr>
              <w:t>8、劳动定员及工作制度</w:t>
            </w:r>
          </w:p>
          <w:p w14:paraId="301528DD">
            <w:pPr>
              <w:pStyle w:val="6"/>
              <w:spacing w:before="134" w:line="220" w:lineRule="auto"/>
              <w:ind w:left="536"/>
            </w:pPr>
            <w:r>
              <w:rPr>
                <w:spacing w:val="-1"/>
              </w:rPr>
              <w:t>劳动定员：项目建成投产后劳动定员约</w:t>
            </w:r>
            <w:r>
              <w:rPr>
                <w:rFonts w:ascii="Times New Roman" w:hAnsi="Times New Roman" w:eastAsia="Times New Roman" w:cs="Times New Roman"/>
                <w:spacing w:val="-1"/>
              </w:rPr>
              <w:t>20</w:t>
            </w:r>
            <w:r>
              <w:rPr>
                <w:spacing w:val="-1"/>
              </w:rPr>
              <w:t>人。</w:t>
            </w:r>
          </w:p>
          <w:p w14:paraId="7471A6FD">
            <w:pPr>
              <w:pStyle w:val="6"/>
              <w:spacing w:before="139" w:line="324" w:lineRule="auto"/>
              <w:ind w:left="97" w:right="199" w:firstLine="435"/>
            </w:pPr>
            <w:r>
              <w:rPr>
                <w:spacing w:val="-2"/>
              </w:rPr>
              <w:t>工作制度：项目投产后年工作日约</w:t>
            </w:r>
            <w:r>
              <w:rPr>
                <w:rFonts w:ascii="Times New Roman" w:hAnsi="Times New Roman" w:eastAsia="Times New Roman" w:cs="Times New Roman"/>
                <w:spacing w:val="-2"/>
              </w:rPr>
              <w:t>300</w:t>
            </w:r>
            <w:r>
              <w:rPr>
                <w:spacing w:val="-2"/>
              </w:rPr>
              <w:t>天，</w:t>
            </w:r>
            <w:r>
              <w:rPr>
                <w:spacing w:val="-63"/>
              </w:rPr>
              <w:t xml:space="preserve"> </w:t>
            </w:r>
            <w:r>
              <w:rPr>
                <w:spacing w:val="-2"/>
              </w:rPr>
              <w:t>日工作时长约</w:t>
            </w:r>
            <w:r>
              <w:rPr>
                <w:rFonts w:ascii="Times New Roman" w:hAnsi="Times New Roman" w:eastAsia="Times New Roman" w:cs="Times New Roman"/>
                <w:spacing w:val="-2"/>
              </w:rPr>
              <w:t>10h</w:t>
            </w:r>
            <w:r>
              <w:rPr>
                <w:rFonts w:ascii="Times New Roman" w:hAnsi="Times New Roman" w:eastAsia="Times New Roman" w:cs="Times New Roman"/>
                <w:spacing w:val="-31"/>
              </w:rPr>
              <w:t xml:space="preserve"> </w:t>
            </w:r>
            <w:r>
              <w:rPr>
                <w:spacing w:val="-2"/>
              </w:rPr>
              <w:t>，</w:t>
            </w:r>
            <w:r>
              <w:rPr>
                <w:spacing w:val="-3"/>
              </w:rPr>
              <w:t>年工作约</w:t>
            </w:r>
            <w:r>
              <w:rPr>
                <w:rFonts w:ascii="Times New Roman" w:hAnsi="Times New Roman" w:eastAsia="Times New Roman" w:cs="Times New Roman"/>
                <w:spacing w:val="-3"/>
              </w:rPr>
              <w:t>3000</w:t>
            </w:r>
            <w:r>
              <w:rPr>
                <w:rFonts w:ascii="Times New Roman" w:hAnsi="Times New Roman" w:eastAsia="Times New Roman" w:cs="Times New Roman"/>
              </w:rPr>
              <w:t xml:space="preserve"> </w:t>
            </w:r>
            <w:r>
              <w:rPr>
                <w:spacing w:val="-5"/>
              </w:rPr>
              <w:t>小时。</w:t>
            </w:r>
          </w:p>
          <w:p w14:paraId="2A03BD43">
            <w:pPr>
              <w:spacing w:before="26" w:line="224" w:lineRule="auto"/>
              <w:ind w:left="85"/>
              <w:rPr>
                <w:rFonts w:ascii="黑体" w:hAnsi="黑体" w:eastAsia="黑体" w:cs="黑体"/>
                <w:sz w:val="22"/>
                <w:szCs w:val="22"/>
              </w:rPr>
            </w:pPr>
            <w:r>
              <w:rPr>
                <w:rFonts w:ascii="黑体" w:hAnsi="黑体" w:eastAsia="黑体" w:cs="黑体"/>
                <w:spacing w:val="-1"/>
                <w:sz w:val="22"/>
                <w:szCs w:val="22"/>
              </w:rPr>
              <w:t>9、平面布置情况</w:t>
            </w:r>
          </w:p>
          <w:p w14:paraId="5A92824E">
            <w:pPr>
              <w:pStyle w:val="6"/>
              <w:spacing w:before="134" w:line="323" w:lineRule="auto"/>
              <w:ind w:left="90" w:right="84" w:firstLine="440"/>
            </w:pPr>
            <w:r>
              <w:rPr>
                <w:spacing w:val="-3"/>
              </w:rPr>
              <w:t>本项目主要建设有两个生产车间和一个地下原</w:t>
            </w:r>
            <w:r>
              <w:rPr>
                <w:spacing w:val="-4"/>
              </w:rPr>
              <w:t>料堆场，从整体上看位于一期工</w:t>
            </w:r>
            <w:r>
              <w:t xml:space="preserve"> </w:t>
            </w:r>
            <w:r>
              <w:rPr>
                <w:spacing w:val="-2"/>
              </w:rPr>
              <w:t>程的东面。</w:t>
            </w:r>
          </w:p>
          <w:p w14:paraId="50184D0C">
            <w:pPr>
              <w:pStyle w:val="6"/>
              <w:spacing w:before="30" w:line="297" w:lineRule="auto"/>
              <w:ind w:left="91" w:right="84" w:firstLine="442"/>
            </w:pPr>
            <w:r>
              <w:rPr>
                <w:spacing w:val="-2"/>
              </w:rPr>
              <w:t>项目两个生产车间呈“</w:t>
            </w:r>
            <w:r>
              <w:rPr>
                <w:rFonts w:ascii="Times New Roman" w:hAnsi="Times New Roman" w:eastAsia="Times New Roman" w:cs="Times New Roman"/>
                <w:spacing w:val="-2"/>
              </w:rPr>
              <w:t>L</w:t>
            </w:r>
            <w:r>
              <w:rPr>
                <w:rFonts w:ascii="Times New Roman" w:hAnsi="Times New Roman" w:eastAsia="Times New Roman" w:cs="Times New Roman"/>
                <w:spacing w:val="-20"/>
              </w:rPr>
              <w:t xml:space="preserve"> </w:t>
            </w:r>
            <w:r>
              <w:rPr>
                <w:spacing w:val="-2"/>
              </w:rPr>
              <w:t>”型布置，其中干混砂浆车间为南北走向的长方形，</w:t>
            </w:r>
            <w:r>
              <w:t xml:space="preserve"> </w:t>
            </w:r>
            <w:r>
              <w:rPr>
                <w:spacing w:val="-3"/>
              </w:rPr>
              <w:t>砌块和板材车间为东西走向的长方形，地下原料堆场则位于砌块</w:t>
            </w:r>
            <w:r>
              <w:rPr>
                <w:spacing w:val="-4"/>
              </w:rPr>
              <w:t>和板材车间的西侧</w:t>
            </w:r>
            <w:r>
              <w:t xml:space="preserve"> </w:t>
            </w:r>
            <w:r>
              <w:rPr>
                <w:spacing w:val="-2"/>
              </w:rPr>
              <w:t>正对地面以下。</w:t>
            </w:r>
          </w:p>
        </w:tc>
      </w:tr>
    </w:tbl>
    <w:p w14:paraId="50101D56">
      <w:pPr>
        <w:pStyle w:val="2"/>
      </w:pPr>
    </w:p>
    <w:p w14:paraId="016AFD1A">
      <w:pPr>
        <w:sectPr>
          <w:footerReference r:id="rId44" w:type="default"/>
          <w:pgSz w:w="11906" w:h="16839"/>
          <w:pgMar w:top="1431" w:right="1534" w:bottom="1260" w:left="1533" w:header="0" w:footer="1080" w:gutter="0"/>
          <w:cols w:space="720" w:num="1"/>
        </w:sectPr>
      </w:pPr>
    </w:p>
    <w:p w14:paraId="6584D703">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43230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5" w:hRule="atLeast"/>
        </w:trPr>
        <w:tc>
          <w:tcPr>
            <w:tcW w:w="831" w:type="dxa"/>
            <w:tcBorders>
              <w:top w:val="single" w:color="000000" w:sz="6" w:space="0"/>
              <w:left w:val="single" w:color="000000" w:sz="6" w:space="0"/>
            </w:tcBorders>
            <w:vAlign w:val="top"/>
          </w:tcPr>
          <w:p w14:paraId="7F986690">
            <w:pPr>
              <w:rPr>
                <w:rFonts w:ascii="Arial"/>
                <w:sz w:val="21"/>
              </w:rPr>
            </w:pPr>
          </w:p>
        </w:tc>
        <w:tc>
          <w:tcPr>
            <w:tcW w:w="7992" w:type="dxa"/>
            <w:tcBorders>
              <w:top w:val="single" w:color="000000" w:sz="6" w:space="0"/>
              <w:right w:val="single" w:color="000000" w:sz="6" w:space="0"/>
            </w:tcBorders>
            <w:vAlign w:val="top"/>
          </w:tcPr>
          <w:p w14:paraId="1528CF69">
            <w:pPr>
              <w:pStyle w:val="6"/>
              <w:spacing w:before="142" w:line="333" w:lineRule="auto"/>
              <w:ind w:left="91" w:right="6" w:firstLine="439"/>
            </w:pPr>
            <w:r>
              <w:rPr>
                <w:b/>
                <w:bCs/>
                <w:spacing w:val="-1"/>
              </w:rPr>
              <w:t>砌块和板材车间</w:t>
            </w:r>
            <w:r>
              <w:rPr>
                <w:spacing w:val="-1"/>
              </w:rPr>
              <w:t>：车间呈东西走向的长方形布局，车间大门位于北侧，此处</w:t>
            </w:r>
            <w:r>
              <w:rPr>
                <w:spacing w:val="7"/>
              </w:rPr>
              <w:t xml:space="preserve">  </w:t>
            </w:r>
            <w:r>
              <w:rPr>
                <w:spacing w:val="-3"/>
              </w:rPr>
              <w:t>地势开阔有道路直通园区运灰大道。车间内地下原料堆场位于车</w:t>
            </w:r>
            <w:r>
              <w:rPr>
                <w:spacing w:val="-4"/>
              </w:rPr>
              <w:t>间西侧地面下，因</w:t>
            </w:r>
            <w:r>
              <w:t xml:space="preserve"> </w:t>
            </w:r>
            <w:r>
              <w:rPr>
                <w:spacing w:val="-3"/>
              </w:rPr>
              <w:t>此将地下堆场的卸料口布置在车间西侧。生产区布置在车间中部</w:t>
            </w:r>
            <w:r>
              <w:rPr>
                <w:spacing w:val="-4"/>
              </w:rPr>
              <w:t>偏南，按照生产工</w:t>
            </w:r>
            <w:r>
              <w:t xml:space="preserve"> </w:t>
            </w:r>
            <w:r>
              <w:rPr>
                <w:spacing w:val="-7"/>
              </w:rPr>
              <w:t>艺流程，将各生产设施从西向东布置，位于车间西侧布置有料斗、球磨机、原浆罐、</w:t>
            </w:r>
            <w:r>
              <w:rPr>
                <w:spacing w:val="1"/>
              </w:rPr>
              <w:t xml:space="preserve"> </w:t>
            </w:r>
            <w:r>
              <w:rPr>
                <w:spacing w:val="-3"/>
              </w:rPr>
              <w:t>过渡池及粉料筒仓等。此处属于砌块和板材生产的原料处理区，</w:t>
            </w:r>
            <w:r>
              <w:rPr>
                <w:spacing w:val="-4"/>
              </w:rPr>
              <w:t>也刚好位于地下原</w:t>
            </w:r>
            <w:r>
              <w:t xml:space="preserve"> </w:t>
            </w:r>
            <w:r>
              <w:rPr>
                <w:spacing w:val="-7"/>
              </w:rPr>
              <w:t>料堆场的正上方，避免原料输送路径过长。靠近原浆罐旁边为配料罐和模具浇注区，</w:t>
            </w:r>
            <w:r>
              <w:rPr>
                <w:spacing w:val="1"/>
              </w:rPr>
              <w:t xml:space="preserve"> </w:t>
            </w:r>
            <w:r>
              <w:t>再往东为初养和蒸压釜养护区。项目设置有</w:t>
            </w:r>
            <w:r>
              <w:rPr>
                <w:rFonts w:ascii="Times New Roman" w:hAnsi="Times New Roman" w:eastAsia="Times New Roman" w:cs="Times New Roman"/>
              </w:rPr>
              <w:t>4</w:t>
            </w:r>
            <w:r>
              <w:t>条初养道（</w:t>
            </w:r>
            <w:r>
              <w:rPr>
                <w:rFonts w:ascii="Times New Roman" w:hAnsi="Times New Roman" w:eastAsia="Times New Roman" w:cs="Times New Roman"/>
              </w:rPr>
              <w:t>3</w:t>
            </w:r>
            <w:r>
              <w:rPr>
                <w:rFonts w:ascii="Times New Roman" w:hAnsi="Times New Roman" w:eastAsia="Times New Roman" w:cs="Times New Roman"/>
                <w:spacing w:val="-1"/>
              </w:rPr>
              <w:t>0m*3.5m</w:t>
            </w:r>
            <w:r>
              <w:t>），</w:t>
            </w:r>
            <w:r>
              <w:rPr>
                <w:rFonts w:ascii="Times New Roman" w:hAnsi="Times New Roman" w:eastAsia="Times New Roman" w:cs="Times New Roman"/>
                <w:spacing w:val="-1"/>
              </w:rPr>
              <w:t>4</w:t>
            </w:r>
            <w:r>
              <w:rPr>
                <w:spacing w:val="-1"/>
              </w:rPr>
              <w:t>条初养道</w:t>
            </w:r>
            <w:r>
              <w:t xml:space="preserve">  </w:t>
            </w:r>
            <w:r>
              <w:rPr>
                <w:spacing w:val="-1"/>
              </w:rPr>
              <w:t>呈南北并列东西走向布置；初养道东侧为</w:t>
            </w:r>
            <w:r>
              <w:rPr>
                <w:rFonts w:ascii="Times New Roman" w:hAnsi="Times New Roman" w:eastAsia="Times New Roman" w:cs="Times New Roman"/>
                <w:spacing w:val="-1"/>
              </w:rPr>
              <w:t>6</w:t>
            </w:r>
            <w:r>
              <w:rPr>
                <w:spacing w:val="-1"/>
              </w:rPr>
              <w:t>条蒸</w:t>
            </w:r>
            <w:r>
              <w:rPr>
                <w:spacing w:val="-2"/>
              </w:rPr>
              <w:t>压釜（</w:t>
            </w:r>
            <w:r>
              <w:rPr>
                <w:rFonts w:ascii="Times New Roman" w:hAnsi="Times New Roman" w:eastAsia="Times New Roman" w:cs="Times New Roman"/>
                <w:spacing w:val="-2"/>
              </w:rPr>
              <w:t>31m*2.5m</w:t>
            </w:r>
            <w:r>
              <w:rPr>
                <w:spacing w:val="-9"/>
              </w:rPr>
              <w:t>），</w:t>
            </w:r>
            <w:r>
              <w:rPr>
                <w:spacing w:val="-2"/>
              </w:rPr>
              <w:t>也呈南北并列</w:t>
            </w:r>
            <w:r>
              <w:t xml:space="preserve"> </w:t>
            </w:r>
            <w:r>
              <w:rPr>
                <w:spacing w:val="-3"/>
              </w:rPr>
              <w:t>东西走向布置。初养道、蒸压釜之间留有过道，方便产品板车通</w:t>
            </w:r>
            <w:r>
              <w:rPr>
                <w:spacing w:val="-4"/>
              </w:rPr>
              <w:t>行。车间大门入口</w:t>
            </w:r>
            <w:r>
              <w:t xml:space="preserve"> </w:t>
            </w:r>
            <w:r>
              <w:rPr>
                <w:spacing w:val="-3"/>
              </w:rPr>
              <w:t>区域空间开阔，方便叉车转运货物。大门入口的东侧邻近蒸压釜</w:t>
            </w:r>
            <w:r>
              <w:rPr>
                <w:spacing w:val="-4"/>
              </w:rPr>
              <w:t>尾部，布置有产品</w:t>
            </w:r>
            <w:r>
              <w:t xml:space="preserve"> </w:t>
            </w:r>
            <w:r>
              <w:rPr>
                <w:spacing w:val="-3"/>
              </w:rPr>
              <w:t>抓取机械及打包操作区。大门入口西侧布置为带肋钢筋网加工区</w:t>
            </w:r>
            <w:r>
              <w:rPr>
                <w:spacing w:val="-4"/>
              </w:rPr>
              <w:t>，加工区设置为独</w:t>
            </w:r>
            <w:r>
              <w:t xml:space="preserve"> </w:t>
            </w:r>
            <w:r>
              <w:rPr>
                <w:spacing w:val="-1"/>
              </w:rPr>
              <w:t>立的板房，内部分为机械加工区、浸漆间以及烘干房。</w:t>
            </w:r>
          </w:p>
          <w:p w14:paraId="4B1507CF">
            <w:pPr>
              <w:pStyle w:val="6"/>
              <w:spacing w:before="29" w:line="333" w:lineRule="auto"/>
              <w:ind w:left="90" w:right="84" w:firstLine="440"/>
            </w:pPr>
            <w:r>
              <w:rPr>
                <w:b/>
                <w:bCs/>
                <w:spacing w:val="-1"/>
              </w:rPr>
              <w:t>干混砂浆车间</w:t>
            </w:r>
            <w:r>
              <w:rPr>
                <w:spacing w:val="-1"/>
              </w:rPr>
              <w:t>：车间呈南北走向的长方形布局，车间大门位于西侧，此处有</w:t>
            </w:r>
            <w:r>
              <w:rPr>
                <w:spacing w:val="7"/>
              </w:rPr>
              <w:t xml:space="preserve">  </w:t>
            </w:r>
            <w:r>
              <w:rPr>
                <w:spacing w:val="-3"/>
              </w:rPr>
              <w:t>厂区通道，方便运输。车间内主要布置两条干混砂浆生产线，干混砂</w:t>
            </w:r>
            <w:r>
              <w:rPr>
                <w:spacing w:val="-4"/>
              </w:rPr>
              <w:t>浆生产线设备</w:t>
            </w:r>
            <w:r>
              <w:t xml:space="preserve"> </w:t>
            </w:r>
            <w:r>
              <w:rPr>
                <w:spacing w:val="-3"/>
              </w:rPr>
              <w:t>比较集中，主要包括粉料筒仓、小料上料平台、搅拌装置以及包装区</w:t>
            </w:r>
            <w:r>
              <w:rPr>
                <w:spacing w:val="-4"/>
              </w:rPr>
              <w:t>等，相对车间</w:t>
            </w:r>
            <w:r>
              <w:t xml:space="preserve"> </w:t>
            </w:r>
            <w:r>
              <w:rPr>
                <w:spacing w:val="-3"/>
              </w:rPr>
              <w:t>其他生产设施占地面积较大，因此布置在车间中部偏东布置，车间中</w:t>
            </w:r>
            <w:r>
              <w:rPr>
                <w:spacing w:val="-4"/>
              </w:rPr>
              <w:t>部西侧为车间</w:t>
            </w:r>
            <w:r>
              <w:t xml:space="preserve"> </w:t>
            </w:r>
            <w:r>
              <w:rPr>
                <w:spacing w:val="-3"/>
              </w:rPr>
              <w:t>大门，留足空间方便叉车、装载机等机械行走。根据设计，项目干混</w:t>
            </w:r>
            <w:r>
              <w:rPr>
                <w:spacing w:val="-4"/>
              </w:rPr>
              <w:t>砂浆生产所需</w:t>
            </w:r>
            <w:r>
              <w:t xml:space="preserve"> </w:t>
            </w:r>
            <w:r>
              <w:rPr>
                <w:spacing w:val="-3"/>
              </w:rPr>
              <w:t>黄沙和建筑垃圾原料，也是从位于砌块和板材车间地下的原料堆场提</w:t>
            </w:r>
            <w:r>
              <w:rPr>
                <w:spacing w:val="-4"/>
              </w:rPr>
              <w:t>供，其原料输</w:t>
            </w:r>
            <w:r>
              <w:t xml:space="preserve"> </w:t>
            </w:r>
            <w:r>
              <w:rPr>
                <w:spacing w:val="-3"/>
              </w:rPr>
              <w:t>送设施从干混砂浆车间的南侧进入。因此，将建筑垃圾原料球磨和筛</w:t>
            </w:r>
            <w:r>
              <w:rPr>
                <w:spacing w:val="-4"/>
              </w:rPr>
              <w:t>分装置和黄沙</w:t>
            </w:r>
            <w:r>
              <w:t xml:space="preserve"> </w:t>
            </w:r>
            <w:r>
              <w:rPr>
                <w:spacing w:val="-3"/>
              </w:rPr>
              <w:t>烘干装置，布置在车间南侧，靠近原料进入口，避免原料输送路径过</w:t>
            </w:r>
            <w:r>
              <w:rPr>
                <w:spacing w:val="-4"/>
              </w:rPr>
              <w:t>长。车间北侧</w:t>
            </w:r>
            <w:r>
              <w:t xml:space="preserve"> </w:t>
            </w:r>
            <w:r>
              <w:rPr>
                <w:spacing w:val="-1"/>
              </w:rPr>
              <w:t>为产品堆放区和小料原料堆放区。</w:t>
            </w:r>
          </w:p>
          <w:p w14:paraId="6706F48C">
            <w:pPr>
              <w:pStyle w:val="6"/>
              <w:spacing w:before="32" w:line="330" w:lineRule="auto"/>
              <w:ind w:left="92" w:right="11" w:firstLine="438"/>
            </w:pPr>
            <w:r>
              <w:rPr>
                <w:b/>
                <w:bCs/>
                <w:spacing w:val="-1"/>
              </w:rPr>
              <w:t>地下原料堆场</w:t>
            </w:r>
            <w:r>
              <w:rPr>
                <w:spacing w:val="-1"/>
              </w:rPr>
              <w:t>：项目地下原料堆场位于砌块和板材车间西侧的地下，呈较规</w:t>
            </w:r>
            <w:r>
              <w:rPr>
                <w:spacing w:val="7"/>
              </w:rPr>
              <w:t xml:space="preserve">  </w:t>
            </w:r>
            <w:r>
              <w:rPr>
                <w:spacing w:val="-2"/>
              </w:rPr>
              <w:t>则的长方形，</w:t>
            </w:r>
            <w:r>
              <w:rPr>
                <w:spacing w:val="-64"/>
              </w:rPr>
              <w:t xml:space="preserve"> </w:t>
            </w:r>
            <w:r>
              <w:rPr>
                <w:spacing w:val="-2"/>
              </w:rPr>
              <w:t>占地面积约</w:t>
            </w:r>
            <w:r>
              <w:rPr>
                <w:rFonts w:ascii="Times New Roman" w:hAnsi="Times New Roman" w:eastAsia="Times New Roman" w:cs="Times New Roman"/>
                <w:spacing w:val="-2"/>
              </w:rPr>
              <w:t>3500m</w:t>
            </w:r>
            <w:r>
              <w:rPr>
                <w:rFonts w:ascii="Times New Roman" w:hAnsi="Times New Roman" w:eastAsia="Times New Roman" w:cs="Times New Roman"/>
                <w:spacing w:val="-2"/>
                <w:position w:val="7"/>
                <w:sz w:val="14"/>
                <w:szCs w:val="14"/>
              </w:rPr>
              <w:t xml:space="preserve">2 </w:t>
            </w:r>
            <w:r>
              <w:rPr>
                <w:spacing w:val="-2"/>
              </w:rPr>
              <w:t>。堆场的卸料口</w:t>
            </w:r>
            <w:r>
              <w:rPr>
                <w:spacing w:val="-3"/>
              </w:rPr>
              <w:t>设置在堆场占地区域西面的地面</w:t>
            </w:r>
            <w:r>
              <w:t xml:space="preserve">  </w:t>
            </w:r>
            <w:r>
              <w:rPr>
                <w:spacing w:val="-1"/>
              </w:rPr>
              <w:t>上，即砌块车间的西侧。建筑垃圾通过溜槽进入地下堆场后，堆放</w:t>
            </w:r>
            <w:r>
              <w:rPr>
                <w:spacing w:val="-2"/>
              </w:rPr>
              <w:t>区主要在南面。</w:t>
            </w:r>
            <w:r>
              <w:t xml:space="preserve"> </w:t>
            </w:r>
            <w:r>
              <w:rPr>
                <w:spacing w:val="-1"/>
              </w:rPr>
              <w:t>堆场中部布置有破碎机、筛分机等设备，北面为物料输送皮带，直</w:t>
            </w:r>
            <w:r>
              <w:rPr>
                <w:spacing w:val="-2"/>
              </w:rPr>
              <w:t>接输送至地面，</w:t>
            </w:r>
            <w:r>
              <w:t xml:space="preserve"> </w:t>
            </w:r>
            <w:r>
              <w:rPr>
                <w:spacing w:val="-1"/>
              </w:rPr>
              <w:t>一条通向砌块和板材车间，一条通向干混砂浆车间。</w:t>
            </w:r>
          </w:p>
          <w:p w14:paraId="0E8C29BE">
            <w:pPr>
              <w:pStyle w:val="6"/>
              <w:spacing w:before="32" w:line="321" w:lineRule="auto"/>
              <w:ind w:left="91" w:right="84" w:firstLine="442"/>
            </w:pPr>
            <w:r>
              <w:rPr>
                <w:spacing w:val="-4"/>
              </w:rPr>
              <w:t>项目配套的备用燃气锅炉，布置在一期工程生产车间的北侧。项目所需利用的</w:t>
            </w:r>
            <w:r>
              <w:rPr>
                <w:spacing w:val="18"/>
              </w:rPr>
              <w:t xml:space="preserve"> </w:t>
            </w:r>
            <w:r>
              <w:rPr>
                <w:spacing w:val="-1"/>
              </w:rPr>
              <w:t>供电设施位于一期工程生产车间的南侧。</w:t>
            </w:r>
          </w:p>
          <w:p w14:paraId="2D883616">
            <w:pPr>
              <w:pStyle w:val="6"/>
              <w:spacing w:before="35" w:line="306" w:lineRule="auto"/>
              <w:ind w:left="90" w:right="84" w:firstLine="441"/>
              <w:jc w:val="both"/>
            </w:pPr>
            <w:r>
              <w:rPr>
                <w:spacing w:val="-3"/>
              </w:rPr>
              <w:t>本项目生产车间的布置依据土地资源，实现最</w:t>
            </w:r>
            <w:r>
              <w:rPr>
                <w:spacing w:val="-4"/>
              </w:rPr>
              <w:t>大化利用。生产车间内的平面布</w:t>
            </w:r>
            <w:r>
              <w:t xml:space="preserve"> </w:t>
            </w:r>
            <w:r>
              <w:rPr>
                <w:spacing w:val="-3"/>
              </w:rPr>
              <w:t>置充分考虑生产工艺的便利性，按照工艺流程布置，避免物料长距离</w:t>
            </w:r>
            <w:r>
              <w:rPr>
                <w:spacing w:val="-4"/>
              </w:rPr>
              <w:t>输送和流程前</w:t>
            </w:r>
            <w:r>
              <w:t xml:space="preserve"> </w:t>
            </w:r>
            <w:r>
              <w:rPr>
                <w:spacing w:val="-3"/>
              </w:rPr>
              <w:t>后交叉影响，做到功能分区明确，便于生产、运输和管理。评价认为</w:t>
            </w:r>
            <w:r>
              <w:rPr>
                <w:spacing w:val="-4"/>
              </w:rPr>
              <w:t>，项目平面布</w:t>
            </w:r>
            <w:r>
              <w:t xml:space="preserve"> </w:t>
            </w:r>
            <w:r>
              <w:rPr>
                <w:spacing w:val="-1"/>
              </w:rPr>
              <w:t>置合理可行。</w:t>
            </w:r>
          </w:p>
        </w:tc>
      </w:tr>
      <w:tr w14:paraId="7C1FF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31" w:type="dxa"/>
            <w:tcBorders>
              <w:left w:val="single" w:color="000000" w:sz="6" w:space="0"/>
            </w:tcBorders>
            <w:vAlign w:val="top"/>
          </w:tcPr>
          <w:p w14:paraId="55E8CB72">
            <w:pPr>
              <w:rPr>
                <w:rFonts w:ascii="Arial"/>
                <w:sz w:val="21"/>
              </w:rPr>
            </w:pPr>
          </w:p>
        </w:tc>
        <w:tc>
          <w:tcPr>
            <w:tcW w:w="7992" w:type="dxa"/>
            <w:tcBorders>
              <w:right w:val="single" w:color="000000" w:sz="6" w:space="0"/>
            </w:tcBorders>
            <w:vAlign w:val="top"/>
          </w:tcPr>
          <w:p w14:paraId="01870DF9">
            <w:pPr>
              <w:spacing w:before="119" w:line="222" w:lineRule="auto"/>
              <w:ind w:left="103"/>
              <w:rPr>
                <w:rFonts w:ascii="黑体" w:hAnsi="黑体" w:eastAsia="黑体" w:cs="黑体"/>
                <w:sz w:val="22"/>
                <w:szCs w:val="22"/>
              </w:rPr>
            </w:pPr>
            <w:r>
              <w:rPr>
                <w:rFonts w:ascii="黑体" w:hAnsi="黑体" w:eastAsia="黑体" w:cs="黑体"/>
                <w:spacing w:val="-3"/>
                <w:sz w:val="22"/>
                <w:szCs w:val="22"/>
              </w:rPr>
              <w:t>1、施工期工艺流程</w:t>
            </w:r>
          </w:p>
        </w:tc>
      </w:tr>
    </w:tbl>
    <w:p w14:paraId="4CE603A7">
      <w:pPr>
        <w:pStyle w:val="2"/>
      </w:pPr>
    </w:p>
    <w:p w14:paraId="5979C129">
      <w:pPr>
        <w:sectPr>
          <w:footerReference r:id="rId45" w:type="default"/>
          <w:pgSz w:w="11906" w:h="16839"/>
          <w:pgMar w:top="1431" w:right="1532" w:bottom="1259" w:left="1533" w:header="0" w:footer="1080" w:gutter="0"/>
          <w:cols w:space="720" w:num="1"/>
        </w:sectPr>
      </w:pPr>
    </w:p>
    <w:p w14:paraId="75796DCC">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78140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7" w:hRule="atLeast"/>
        </w:trPr>
        <w:tc>
          <w:tcPr>
            <w:tcW w:w="831" w:type="dxa"/>
            <w:tcBorders>
              <w:left w:val="single" w:color="000000" w:sz="6" w:space="0"/>
            </w:tcBorders>
            <w:vAlign w:val="top"/>
          </w:tcPr>
          <w:p w14:paraId="7A723A7E">
            <w:pPr>
              <w:spacing w:line="271" w:lineRule="auto"/>
              <w:rPr>
                <w:rFonts w:ascii="Arial"/>
                <w:sz w:val="21"/>
              </w:rPr>
            </w:pPr>
          </w:p>
          <w:p w14:paraId="6C6D8D79">
            <w:pPr>
              <w:spacing w:line="271" w:lineRule="auto"/>
              <w:rPr>
                <w:rFonts w:ascii="Arial"/>
                <w:sz w:val="21"/>
              </w:rPr>
            </w:pPr>
          </w:p>
          <w:p w14:paraId="2F5741BD">
            <w:pPr>
              <w:spacing w:line="272" w:lineRule="auto"/>
              <w:rPr>
                <w:rFonts w:ascii="Arial"/>
                <w:sz w:val="21"/>
              </w:rPr>
            </w:pPr>
          </w:p>
          <w:p w14:paraId="4F4845C1">
            <w:pPr>
              <w:pStyle w:val="6"/>
              <w:spacing w:before="72" w:line="236" w:lineRule="auto"/>
              <w:ind w:left="193" w:right="194" w:firstLine="2"/>
              <w:jc w:val="both"/>
            </w:pPr>
            <w:r>
              <w:rPr>
                <w:spacing w:val="-5"/>
              </w:rPr>
              <w:t>工艺</w:t>
            </w:r>
            <w:r>
              <w:t xml:space="preserve"> </w:t>
            </w:r>
            <w:r>
              <w:rPr>
                <w:spacing w:val="-4"/>
              </w:rPr>
              <w:t>流程</w:t>
            </w:r>
            <w:r>
              <w:t xml:space="preserve"> </w:t>
            </w:r>
            <w:r>
              <w:rPr>
                <w:spacing w:val="-4"/>
              </w:rPr>
              <w:t>和产</w:t>
            </w:r>
            <w:r>
              <w:t xml:space="preserve"> </w:t>
            </w:r>
            <w:r>
              <w:rPr>
                <w:spacing w:val="-4"/>
              </w:rPr>
              <w:t>排污</w:t>
            </w:r>
            <w:r>
              <w:t xml:space="preserve"> </w:t>
            </w:r>
            <w:r>
              <w:rPr>
                <w:spacing w:val="-4"/>
              </w:rPr>
              <w:t>环节</w:t>
            </w:r>
          </w:p>
        </w:tc>
        <w:tc>
          <w:tcPr>
            <w:tcW w:w="7992" w:type="dxa"/>
            <w:tcBorders>
              <w:right w:val="single" w:color="000000" w:sz="6" w:space="0"/>
            </w:tcBorders>
            <w:vAlign w:val="top"/>
          </w:tcPr>
          <w:p w14:paraId="0D673199">
            <w:pPr>
              <w:pStyle w:val="6"/>
              <w:spacing w:before="121" w:line="221" w:lineRule="auto"/>
              <w:ind w:left="537"/>
            </w:pPr>
            <w:r>
              <w:drawing>
                <wp:anchor distT="0" distB="0" distL="0" distR="0" simplePos="0" relativeHeight="251722752" behindDoc="1" locked="0" layoutInCell="1" allowOverlap="1">
                  <wp:simplePos x="0" y="0"/>
                  <wp:positionH relativeFrom="rightMargin">
                    <wp:posOffset>-4436110</wp:posOffset>
                  </wp:positionH>
                  <wp:positionV relativeFrom="topMargin">
                    <wp:posOffset>1352550</wp:posOffset>
                  </wp:positionV>
                  <wp:extent cx="76200" cy="8255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53"/>
                          <a:stretch>
                            <a:fillRect/>
                          </a:stretch>
                        </pic:blipFill>
                        <pic:spPr>
                          <a:xfrm>
                            <a:off x="0" y="0"/>
                            <a:ext cx="76200" cy="82652"/>
                          </a:xfrm>
                          <a:prstGeom prst="rect">
                            <a:avLst/>
                          </a:prstGeom>
                        </pic:spPr>
                      </pic:pic>
                    </a:graphicData>
                  </a:graphic>
                </wp:anchor>
              </w:drawing>
            </w:r>
            <w:r>
              <w:drawing>
                <wp:anchor distT="0" distB="0" distL="0" distR="0" simplePos="0" relativeHeight="251728896" behindDoc="0" locked="0" layoutInCell="1" allowOverlap="1">
                  <wp:simplePos x="0" y="0"/>
                  <wp:positionH relativeFrom="rightMargin">
                    <wp:posOffset>-4411345</wp:posOffset>
                  </wp:positionH>
                  <wp:positionV relativeFrom="topMargin">
                    <wp:posOffset>1444625</wp:posOffset>
                  </wp:positionV>
                  <wp:extent cx="25400" cy="6350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54"/>
                          <a:stretch>
                            <a:fillRect/>
                          </a:stretch>
                        </pic:blipFill>
                        <pic:spPr>
                          <a:xfrm>
                            <a:off x="0" y="0"/>
                            <a:ext cx="25527" cy="63525"/>
                          </a:xfrm>
                          <a:prstGeom prst="rect">
                            <a:avLst/>
                          </a:prstGeom>
                        </pic:spPr>
                      </pic:pic>
                    </a:graphicData>
                  </a:graphic>
                </wp:anchor>
              </w:drawing>
            </w:r>
            <w:r>
              <w:drawing>
                <wp:anchor distT="0" distB="0" distL="0" distR="0" simplePos="0" relativeHeight="251726848" behindDoc="0" locked="0" layoutInCell="1" allowOverlap="1">
                  <wp:simplePos x="0" y="0"/>
                  <wp:positionH relativeFrom="rightMargin">
                    <wp:posOffset>-3211830</wp:posOffset>
                  </wp:positionH>
                  <wp:positionV relativeFrom="topMargin">
                    <wp:posOffset>1363980</wp:posOffset>
                  </wp:positionV>
                  <wp:extent cx="76200" cy="8255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55"/>
                          <a:stretch>
                            <a:fillRect/>
                          </a:stretch>
                        </pic:blipFill>
                        <pic:spPr>
                          <a:xfrm>
                            <a:off x="0" y="0"/>
                            <a:ext cx="76200" cy="82651"/>
                          </a:xfrm>
                          <a:prstGeom prst="rect">
                            <a:avLst/>
                          </a:prstGeom>
                        </pic:spPr>
                      </pic:pic>
                    </a:graphicData>
                  </a:graphic>
                </wp:anchor>
              </w:drawing>
            </w:r>
            <w:r>
              <w:drawing>
                <wp:anchor distT="0" distB="0" distL="0" distR="0" simplePos="0" relativeHeight="251729920" behindDoc="0" locked="0" layoutInCell="1" allowOverlap="1">
                  <wp:simplePos x="0" y="0"/>
                  <wp:positionH relativeFrom="rightMargin">
                    <wp:posOffset>-3187065</wp:posOffset>
                  </wp:positionH>
                  <wp:positionV relativeFrom="topMargin">
                    <wp:posOffset>1455420</wp:posOffset>
                  </wp:positionV>
                  <wp:extent cx="25400" cy="635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56"/>
                          <a:stretch>
                            <a:fillRect/>
                          </a:stretch>
                        </pic:blipFill>
                        <pic:spPr>
                          <a:xfrm>
                            <a:off x="0" y="0"/>
                            <a:ext cx="25527" cy="63525"/>
                          </a:xfrm>
                          <a:prstGeom prst="rect">
                            <a:avLst/>
                          </a:prstGeom>
                        </pic:spPr>
                      </pic:pic>
                    </a:graphicData>
                  </a:graphic>
                </wp:anchor>
              </w:drawing>
            </w:r>
            <w:r>
              <w:drawing>
                <wp:anchor distT="0" distB="0" distL="0" distR="0" simplePos="0" relativeHeight="251727872" behindDoc="0" locked="0" layoutInCell="1" allowOverlap="1">
                  <wp:simplePos x="0" y="0"/>
                  <wp:positionH relativeFrom="rightMargin">
                    <wp:posOffset>-2229485</wp:posOffset>
                  </wp:positionH>
                  <wp:positionV relativeFrom="topMargin">
                    <wp:posOffset>1351280</wp:posOffset>
                  </wp:positionV>
                  <wp:extent cx="76200" cy="8255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57"/>
                          <a:stretch>
                            <a:fillRect/>
                          </a:stretch>
                        </pic:blipFill>
                        <pic:spPr>
                          <a:xfrm>
                            <a:off x="0" y="0"/>
                            <a:ext cx="76200" cy="82651"/>
                          </a:xfrm>
                          <a:prstGeom prst="rect">
                            <a:avLst/>
                          </a:prstGeom>
                        </pic:spPr>
                      </pic:pic>
                    </a:graphicData>
                  </a:graphic>
                </wp:anchor>
              </w:drawing>
            </w:r>
            <w:r>
              <w:drawing>
                <wp:anchor distT="0" distB="0" distL="0" distR="0" simplePos="0" relativeHeight="251730944" behindDoc="0" locked="0" layoutInCell="1" allowOverlap="1">
                  <wp:simplePos x="0" y="0"/>
                  <wp:positionH relativeFrom="rightMargin">
                    <wp:posOffset>-2204720</wp:posOffset>
                  </wp:positionH>
                  <wp:positionV relativeFrom="topMargin">
                    <wp:posOffset>1442720</wp:posOffset>
                  </wp:positionV>
                  <wp:extent cx="25400" cy="6350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58"/>
                          <a:stretch>
                            <a:fillRect/>
                          </a:stretch>
                        </pic:blipFill>
                        <pic:spPr>
                          <a:xfrm>
                            <a:off x="0" y="0"/>
                            <a:ext cx="25526" cy="63525"/>
                          </a:xfrm>
                          <a:prstGeom prst="rect">
                            <a:avLst/>
                          </a:prstGeom>
                        </pic:spPr>
                      </pic:pic>
                    </a:graphicData>
                  </a:graphic>
                </wp:anchor>
              </w:drawing>
            </w:r>
            <w:r>
              <w:drawing>
                <wp:anchor distT="0" distB="0" distL="0" distR="0" simplePos="0" relativeHeight="251725824" behindDoc="0" locked="0" layoutInCell="1" allowOverlap="1">
                  <wp:simplePos x="0" y="0"/>
                  <wp:positionH relativeFrom="rightMargin">
                    <wp:posOffset>-934720</wp:posOffset>
                  </wp:positionH>
                  <wp:positionV relativeFrom="topMargin">
                    <wp:posOffset>1386840</wp:posOffset>
                  </wp:positionV>
                  <wp:extent cx="76200" cy="8255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59"/>
                          <a:stretch>
                            <a:fillRect/>
                          </a:stretch>
                        </pic:blipFill>
                        <pic:spPr>
                          <a:xfrm>
                            <a:off x="0" y="0"/>
                            <a:ext cx="76200" cy="82664"/>
                          </a:xfrm>
                          <a:prstGeom prst="rect">
                            <a:avLst/>
                          </a:prstGeom>
                        </pic:spPr>
                      </pic:pic>
                    </a:graphicData>
                  </a:graphic>
                </wp:anchor>
              </w:drawing>
            </w:r>
            <w:r>
              <w:drawing>
                <wp:anchor distT="0" distB="0" distL="0" distR="0" simplePos="0" relativeHeight="251721728" behindDoc="1" locked="0" layoutInCell="1" allowOverlap="1">
                  <wp:simplePos x="0" y="0"/>
                  <wp:positionH relativeFrom="rightMargin">
                    <wp:posOffset>-909955</wp:posOffset>
                  </wp:positionH>
                  <wp:positionV relativeFrom="topMargin">
                    <wp:posOffset>1456055</wp:posOffset>
                  </wp:positionV>
                  <wp:extent cx="26035" cy="1460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60"/>
                          <a:stretch>
                            <a:fillRect/>
                          </a:stretch>
                        </pic:blipFill>
                        <pic:spPr>
                          <a:xfrm>
                            <a:off x="0" y="0"/>
                            <a:ext cx="25806" cy="146074"/>
                          </a:xfrm>
                          <a:prstGeom prst="rect">
                            <a:avLst/>
                          </a:prstGeom>
                        </pic:spPr>
                      </pic:pic>
                    </a:graphicData>
                  </a:graphic>
                </wp:anchor>
              </w:drawing>
            </w:r>
            <w:r>
              <w:pict>
                <v:shape id="_x0000_s1050" o:spid="_x0000_s1050" o:spt="202" type="#_x0000_t202" style="position:absolute;left:0pt;margin-left:202.4pt;margin-top:119.85pt;height:29.5pt;width:58.85pt;mso-position-horizontal-relative:page;mso-position-vertical-relative:page;z-index:251736064;mso-width-relative:page;mso-height-relative:page;" filled="f" stroked="f" coordsize="21600,21600">
                  <v:path/>
                  <v:fill on="f" focussize="0,0"/>
                  <v:stroke on="f"/>
                  <v:imagedata o:title=""/>
                  <o:lock v:ext="edit" aspectratio="f"/>
                  <v:textbox inset="0mm,0mm,0mm,0mm">
                    <w:txbxContent>
                      <w:p w14:paraId="4C1C5A2A">
                        <w:pPr>
                          <w:spacing w:line="20" w:lineRule="exact"/>
                        </w:pPr>
                      </w:p>
                      <w:tbl>
                        <w:tblPr>
                          <w:tblStyle w:val="5"/>
                          <w:tblW w:w="1116" w:type="dxa"/>
                          <w:tblInd w:w="30" w:type="dxa"/>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16"/>
                        </w:tblGrid>
                        <w:tr w14:paraId="580A186B">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29" w:hRule="atLeast"/>
                          </w:trPr>
                          <w:tc>
                            <w:tcPr>
                              <w:tcW w:w="1116" w:type="dxa"/>
                              <w:vAlign w:val="top"/>
                            </w:tcPr>
                            <w:p w14:paraId="31CCBF99">
                              <w:pPr>
                                <w:pStyle w:val="6"/>
                                <w:spacing w:before="265" w:line="230" w:lineRule="auto"/>
                                <w:ind w:left="155"/>
                                <w:rPr>
                                  <w:sz w:val="19"/>
                                  <w:szCs w:val="19"/>
                                </w:rPr>
                              </w:pPr>
                              <w:r>
                                <w:rPr>
                                  <w:spacing w:val="7"/>
                                  <w:sz w:val="19"/>
                                  <w:szCs w:val="19"/>
                                </w:rPr>
                                <w:t>地面硬化</w:t>
                              </w:r>
                            </w:p>
                          </w:tc>
                        </w:tr>
                      </w:tbl>
                      <w:p w14:paraId="5C85849B">
                        <w:pPr>
                          <w:rPr>
                            <w:rFonts w:ascii="Arial"/>
                            <w:sz w:val="21"/>
                          </w:rPr>
                        </w:pPr>
                      </w:p>
                    </w:txbxContent>
                  </v:textbox>
                </v:shape>
              </w:pict>
            </w:r>
            <w:r>
              <w:pict>
                <v:shape id="_x0000_s1051" o:spid="_x0000_s1051" o:spt="202" type="#_x0000_t202" style="position:absolute;left:0pt;margin-left:117.25pt;margin-top:120.85pt;height:28.9pt;width:68.1pt;mso-position-horizontal-relative:page;mso-position-vertical-relative:page;z-index:251735040;mso-width-relative:page;mso-height-relative:page;" filled="f" stroked="f" coordsize="21600,21600">
                  <v:path/>
                  <v:fill on="f" focussize="0,0"/>
                  <v:stroke on="f"/>
                  <v:imagedata o:title=""/>
                  <o:lock v:ext="edit" aspectratio="f"/>
                  <v:textbox inset="0mm,0mm,0mm,0mm">
                    <w:txbxContent>
                      <w:p w14:paraId="7E017AA2">
                        <w:pPr>
                          <w:spacing w:line="20" w:lineRule="exact"/>
                        </w:pPr>
                      </w:p>
                      <w:tbl>
                        <w:tblPr>
                          <w:tblStyle w:val="5"/>
                          <w:tblW w:w="1301" w:type="dxa"/>
                          <w:tblInd w:w="30" w:type="dxa"/>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01"/>
                        </w:tblGrid>
                        <w:tr w14:paraId="3E566474">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7" w:hRule="atLeast"/>
                          </w:trPr>
                          <w:tc>
                            <w:tcPr>
                              <w:tcW w:w="1301" w:type="dxa"/>
                              <w:vAlign w:val="top"/>
                            </w:tcPr>
                            <w:p w14:paraId="49453D47">
                              <w:pPr>
                                <w:pStyle w:val="6"/>
                                <w:spacing w:before="253" w:line="229" w:lineRule="auto"/>
                                <w:ind w:left="150"/>
                                <w:rPr>
                                  <w:sz w:val="19"/>
                                  <w:szCs w:val="19"/>
                                </w:rPr>
                              </w:pPr>
                              <w:r>
                                <w:rPr>
                                  <w:spacing w:val="7"/>
                                  <w:sz w:val="19"/>
                                  <w:szCs w:val="19"/>
                                </w:rPr>
                                <w:t>构筑物建设</w:t>
                              </w:r>
                            </w:p>
                          </w:tc>
                        </w:tr>
                      </w:tbl>
                      <w:p w14:paraId="7A9BB66D">
                        <w:pPr>
                          <w:rPr>
                            <w:rFonts w:ascii="Arial"/>
                            <w:sz w:val="21"/>
                          </w:rPr>
                        </w:pPr>
                      </w:p>
                    </w:txbxContent>
                  </v:textbox>
                </v:shape>
              </w:pict>
            </w:r>
            <w:r>
              <w:pict>
                <v:shape id="_x0000_s1052" o:spid="_x0000_s1052" o:spt="202" type="#_x0000_t202" style="position:absolute;left:0pt;margin-left:25.75pt;margin-top:133.55pt;height:13.8pt;width:66.95pt;mso-position-horizontal-relative:page;mso-position-vertical-relative:page;z-index:251737088;mso-width-relative:page;mso-height-relative:page;" filled="f" stroked="f" coordsize="21600,21600">
                  <v:path/>
                  <v:fill on="f" focussize="0,0"/>
                  <v:stroke on="f"/>
                  <v:imagedata o:title=""/>
                  <o:lock v:ext="edit" aspectratio="f"/>
                  <v:textbox inset="0mm,0mm,0mm,0mm">
                    <w:txbxContent>
                      <w:p w14:paraId="475E65D0">
                        <w:pPr>
                          <w:pStyle w:val="6"/>
                          <w:spacing w:before="19" w:line="229" w:lineRule="auto"/>
                          <w:ind w:left="20"/>
                          <w:rPr>
                            <w:sz w:val="19"/>
                            <w:szCs w:val="19"/>
                          </w:rPr>
                        </w:pPr>
                        <w:r>
                          <w:rPr>
                            <w:spacing w:val="-5"/>
                            <w:sz w:val="19"/>
                            <w:szCs w:val="19"/>
                          </w:rPr>
                          <w:t>场地平整、开挖</w:t>
                        </w:r>
                      </w:p>
                    </w:txbxContent>
                  </v:textbox>
                </v:shape>
              </w:pict>
            </w:r>
            <w:r>
              <w:drawing>
                <wp:anchor distT="0" distB="0" distL="0" distR="0" simplePos="0" relativeHeight="251723776" behindDoc="0" locked="0" layoutInCell="1" allowOverlap="1">
                  <wp:simplePos x="0" y="0"/>
                  <wp:positionH relativeFrom="rightMargin">
                    <wp:posOffset>-3808730</wp:posOffset>
                  </wp:positionH>
                  <wp:positionV relativeFrom="topMargin">
                    <wp:posOffset>1701800</wp:posOffset>
                  </wp:positionV>
                  <wp:extent cx="252095" cy="7620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61"/>
                          <a:stretch>
                            <a:fillRect/>
                          </a:stretch>
                        </pic:blipFill>
                        <pic:spPr>
                          <a:xfrm>
                            <a:off x="0" y="0"/>
                            <a:ext cx="252107" cy="76200"/>
                          </a:xfrm>
                          <a:prstGeom prst="rect">
                            <a:avLst/>
                          </a:prstGeom>
                        </pic:spPr>
                      </pic:pic>
                    </a:graphicData>
                  </a:graphic>
                </wp:anchor>
              </w:drawing>
            </w:r>
            <w:r>
              <w:drawing>
                <wp:anchor distT="0" distB="0" distL="0" distR="0" simplePos="0" relativeHeight="251724800" behindDoc="0" locked="0" layoutInCell="1" allowOverlap="1">
                  <wp:simplePos x="0" y="0"/>
                  <wp:positionH relativeFrom="rightMargin">
                    <wp:posOffset>-2726690</wp:posOffset>
                  </wp:positionH>
                  <wp:positionV relativeFrom="topMargin">
                    <wp:posOffset>1706245</wp:posOffset>
                  </wp:positionV>
                  <wp:extent cx="252095" cy="7620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62"/>
                          <a:stretch>
                            <a:fillRect/>
                          </a:stretch>
                        </pic:blipFill>
                        <pic:spPr>
                          <a:xfrm>
                            <a:off x="0" y="0"/>
                            <a:ext cx="252107" cy="76200"/>
                          </a:xfrm>
                          <a:prstGeom prst="rect">
                            <a:avLst/>
                          </a:prstGeom>
                        </pic:spPr>
                      </pic:pic>
                    </a:graphicData>
                  </a:graphic>
                </wp:anchor>
              </w:drawing>
            </w:r>
            <w:r>
              <w:drawing>
                <wp:anchor distT="0" distB="0" distL="0" distR="0" simplePos="0" relativeHeight="251738112" behindDoc="0" locked="0" layoutInCell="1" allowOverlap="1">
                  <wp:simplePos x="0" y="0"/>
                  <wp:positionH relativeFrom="rightMargin">
                    <wp:posOffset>-1768475</wp:posOffset>
                  </wp:positionH>
                  <wp:positionV relativeFrom="topMargin">
                    <wp:posOffset>1711960</wp:posOffset>
                  </wp:positionV>
                  <wp:extent cx="252095" cy="7620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63"/>
                          <a:stretch>
                            <a:fillRect/>
                          </a:stretch>
                        </pic:blipFill>
                        <pic:spPr>
                          <a:xfrm>
                            <a:off x="0" y="0"/>
                            <a:ext cx="252107" cy="76200"/>
                          </a:xfrm>
                          <a:prstGeom prst="rect">
                            <a:avLst/>
                          </a:prstGeom>
                        </pic:spPr>
                      </pic:pic>
                    </a:graphicData>
                  </a:graphic>
                </wp:anchor>
              </w:drawing>
            </w:r>
            <w:r>
              <w:rPr>
                <w:spacing w:val="-2"/>
              </w:rPr>
              <w:t>（</w:t>
            </w:r>
            <w:r>
              <w:rPr>
                <w:rFonts w:ascii="Times New Roman" w:hAnsi="Times New Roman" w:eastAsia="Times New Roman" w:cs="Times New Roman"/>
                <w:spacing w:val="-2"/>
              </w:rPr>
              <w:t>1</w:t>
            </w:r>
            <w:r>
              <w:rPr>
                <w:spacing w:val="-2"/>
              </w:rPr>
              <w:t>）施工期工艺流程</w:t>
            </w:r>
          </w:p>
          <w:p w14:paraId="48222E71">
            <w:pPr>
              <w:pStyle w:val="6"/>
              <w:spacing w:before="125" w:line="341" w:lineRule="auto"/>
              <w:ind w:left="90" w:right="132" w:firstLine="424"/>
              <w:rPr>
                <w:sz w:val="20"/>
                <w:szCs w:val="20"/>
              </w:rPr>
            </w:pPr>
            <w:r>
              <w:rPr>
                <w:spacing w:val="10"/>
                <w:sz w:val="20"/>
                <w:szCs w:val="20"/>
              </w:rPr>
              <w:t>项目占地原为园区待开发空地。施工期主要</w:t>
            </w:r>
            <w:r>
              <w:rPr>
                <w:spacing w:val="9"/>
                <w:sz w:val="20"/>
                <w:szCs w:val="20"/>
              </w:rPr>
              <w:t>是进行场地平整、地下堆场的开挖、</w:t>
            </w:r>
            <w:r>
              <w:rPr>
                <w:sz w:val="20"/>
                <w:szCs w:val="20"/>
              </w:rPr>
              <w:t xml:space="preserve"> </w:t>
            </w:r>
            <w:r>
              <w:rPr>
                <w:spacing w:val="10"/>
                <w:sz w:val="20"/>
                <w:szCs w:val="20"/>
              </w:rPr>
              <w:t>场地的硬化，生产车间的搭建、设备的安装、蒸汽用水管</w:t>
            </w:r>
            <w:r>
              <w:rPr>
                <w:spacing w:val="9"/>
                <w:sz w:val="20"/>
                <w:szCs w:val="20"/>
              </w:rPr>
              <w:t>道的布设等。施工期的产污</w:t>
            </w:r>
            <w:r>
              <w:rPr>
                <w:sz w:val="20"/>
                <w:szCs w:val="20"/>
              </w:rPr>
              <w:t xml:space="preserve"> </w:t>
            </w:r>
            <w:r>
              <w:rPr>
                <w:spacing w:val="8"/>
                <w:sz w:val="20"/>
                <w:szCs w:val="20"/>
              </w:rPr>
              <w:t>工艺流程及产污位置如下图。</w:t>
            </w:r>
          </w:p>
          <w:p w14:paraId="13721E92">
            <w:pPr>
              <w:pStyle w:val="6"/>
              <w:spacing w:before="84" w:line="253" w:lineRule="auto"/>
              <w:ind w:left="580" w:right="6456" w:hanging="97"/>
              <w:rPr>
                <w:sz w:val="18"/>
                <w:szCs w:val="18"/>
              </w:rPr>
            </w:pPr>
            <w:r>
              <w:pict>
                <v:shape id="_x0000_s1053" o:spid="_x0000_s1053" o:spt="202" type="#_x0000_t202" style="position:absolute;left:0pt;margin-left:299.75pt;margin-top:0.9pt;height:12.75pt;width:54.15pt;z-index:251734016;mso-width-relative:page;mso-height-relative:page;" filled="f" stroked="f" coordsize="21600,21600">
                  <v:path/>
                  <v:fill on="f" focussize="0,0"/>
                  <v:stroke on="f"/>
                  <v:imagedata o:title=""/>
                  <o:lock v:ext="edit" aspectratio="f"/>
                  <v:textbox inset="0mm,0mm,0mm,0mm">
                    <w:txbxContent>
                      <w:p w14:paraId="7AE24A68">
                        <w:pPr>
                          <w:pStyle w:val="6"/>
                          <w:spacing w:before="20" w:line="220" w:lineRule="auto"/>
                          <w:jc w:val="right"/>
                          <w:rPr>
                            <w:sz w:val="18"/>
                            <w:szCs w:val="18"/>
                          </w:rPr>
                        </w:pPr>
                        <w:r>
                          <w:rPr>
                            <w:spacing w:val="-7"/>
                            <w:sz w:val="18"/>
                            <w:szCs w:val="18"/>
                          </w:rPr>
                          <w:t>废气、噪声、</w:t>
                        </w:r>
                      </w:p>
                    </w:txbxContent>
                  </v:textbox>
                </v:shape>
              </w:pict>
            </w:r>
            <w:r>
              <w:pict>
                <v:shape id="_x0000_s1054" o:spid="_x0000_s1054" o:spt="202" type="#_x0000_t202" style="position:absolute;left:0pt;margin-left:120.55pt;margin-top:3.65pt;height:25.7pt;width:54.15pt;z-index:251739136;mso-width-relative:page;mso-height-relative:page;" filled="f" stroked="f" coordsize="21600,21600">
                  <v:path/>
                  <v:fill on="f" focussize="0,0"/>
                  <v:stroke on="f"/>
                  <v:imagedata o:title=""/>
                  <o:lock v:ext="edit" aspectratio="f"/>
                  <v:textbox inset="0mm,0mm,0mm,0mm">
                    <w:txbxContent>
                      <w:p w14:paraId="3969539F">
                        <w:pPr>
                          <w:pStyle w:val="6"/>
                          <w:spacing w:before="19" w:line="253" w:lineRule="auto"/>
                          <w:ind w:left="120" w:right="20" w:hanging="100"/>
                          <w:rPr>
                            <w:sz w:val="18"/>
                            <w:szCs w:val="18"/>
                          </w:rPr>
                        </w:pPr>
                        <w:r>
                          <w:rPr>
                            <w:spacing w:val="-7"/>
                            <w:sz w:val="18"/>
                            <w:szCs w:val="18"/>
                          </w:rPr>
                          <w:t>废气、废水、</w:t>
                        </w:r>
                        <w:r>
                          <w:rPr>
                            <w:spacing w:val="3"/>
                            <w:sz w:val="18"/>
                            <w:szCs w:val="18"/>
                          </w:rPr>
                          <w:t xml:space="preserve"> </w:t>
                        </w:r>
                        <w:r>
                          <w:rPr>
                            <w:spacing w:val="-4"/>
                            <w:sz w:val="18"/>
                            <w:szCs w:val="18"/>
                          </w:rPr>
                          <w:t>噪声、固废</w:t>
                        </w:r>
                      </w:p>
                    </w:txbxContent>
                  </v:textbox>
                </v:shape>
              </w:pict>
            </w:r>
            <w:r>
              <w:pict>
                <v:shape id="_x0000_s1055" o:spid="_x0000_s1055" o:spt="202" type="#_x0000_t202" style="position:absolute;left:0pt;margin-left:198.7pt;margin-top:3.65pt;height:25.7pt;width:54.15pt;z-index:251732992;mso-width-relative:page;mso-height-relative:page;" filled="f" stroked="f" coordsize="21600,21600">
                  <v:path/>
                  <v:fill on="f" focussize="0,0"/>
                  <v:stroke on="f"/>
                  <v:imagedata o:title=""/>
                  <o:lock v:ext="edit" aspectratio="f"/>
                  <v:textbox inset="0mm,0mm,0mm,0mm">
                    <w:txbxContent>
                      <w:p w14:paraId="06C87BB4">
                        <w:pPr>
                          <w:pStyle w:val="6"/>
                          <w:spacing w:before="19" w:line="253" w:lineRule="auto"/>
                          <w:ind w:left="116" w:right="20" w:hanging="97"/>
                          <w:rPr>
                            <w:sz w:val="18"/>
                            <w:szCs w:val="18"/>
                          </w:rPr>
                        </w:pPr>
                        <w:r>
                          <w:rPr>
                            <w:spacing w:val="-7"/>
                            <w:sz w:val="18"/>
                            <w:szCs w:val="18"/>
                          </w:rPr>
                          <w:t>废气、废水、</w:t>
                        </w:r>
                        <w:r>
                          <w:rPr>
                            <w:spacing w:val="3"/>
                            <w:sz w:val="18"/>
                            <w:szCs w:val="18"/>
                          </w:rPr>
                          <w:t xml:space="preserve"> </w:t>
                        </w:r>
                        <w:r>
                          <w:rPr>
                            <w:spacing w:val="-4"/>
                            <w:sz w:val="18"/>
                            <w:szCs w:val="18"/>
                          </w:rPr>
                          <w:t>噪声、固废</w:t>
                        </w:r>
                      </w:p>
                    </w:txbxContent>
                  </v:textbox>
                </v:shape>
              </w:pict>
            </w:r>
            <w:r>
              <w:pict>
                <v:shape id="_x0000_s1056" o:spid="_x0000_s1056" o:spt="202" type="#_x0000_t202" style="position:absolute;left:0pt;margin-left:316.75pt;margin-top:16.85pt;height:12.45pt;width:18.9pt;z-index:251731968;mso-width-relative:page;mso-height-relative:page;" filled="f" stroked="f" coordsize="21600,21600">
                  <v:path/>
                  <v:fill on="f" focussize="0,0"/>
                  <v:stroke on="f"/>
                  <v:imagedata o:title=""/>
                  <o:lock v:ext="edit" aspectratio="f"/>
                  <v:textbox inset="0mm,0mm,0mm,0mm">
                    <w:txbxContent>
                      <w:p w14:paraId="3BE0F3C3">
                        <w:pPr>
                          <w:pStyle w:val="6"/>
                          <w:spacing w:before="19" w:line="214" w:lineRule="auto"/>
                          <w:ind w:left="20"/>
                          <w:rPr>
                            <w:sz w:val="18"/>
                            <w:szCs w:val="18"/>
                          </w:rPr>
                        </w:pPr>
                        <w:r>
                          <w:rPr>
                            <w:spacing w:val="-12"/>
                            <w:sz w:val="18"/>
                            <w:szCs w:val="18"/>
                          </w:rPr>
                          <w:t>固废</w:t>
                        </w:r>
                      </w:p>
                    </w:txbxContent>
                  </v:textbox>
                </v:shape>
              </w:pict>
            </w:r>
            <w:r>
              <w:rPr>
                <w:spacing w:val="-7"/>
                <w:sz w:val="18"/>
                <w:szCs w:val="18"/>
              </w:rPr>
              <w:t>废气、废水、</w:t>
            </w:r>
            <w:r>
              <w:rPr>
                <w:spacing w:val="3"/>
                <w:sz w:val="18"/>
                <w:szCs w:val="18"/>
              </w:rPr>
              <w:t xml:space="preserve"> </w:t>
            </w:r>
            <w:r>
              <w:rPr>
                <w:spacing w:val="-4"/>
                <w:sz w:val="18"/>
                <w:szCs w:val="18"/>
              </w:rPr>
              <w:t>噪声、固废</w:t>
            </w:r>
          </w:p>
          <w:p w14:paraId="05E0FBFF">
            <w:pPr>
              <w:spacing w:before="220" w:line="90" w:lineRule="exact"/>
              <w:ind w:firstLine="1034"/>
            </w:pPr>
            <w:r>
              <w:rPr>
                <w:position w:val="-1"/>
              </w:rPr>
              <w:drawing>
                <wp:inline distT="0" distB="0" distL="0" distR="0">
                  <wp:extent cx="25400" cy="5715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64"/>
                          <a:stretch>
                            <a:fillRect/>
                          </a:stretch>
                        </pic:blipFill>
                        <pic:spPr>
                          <a:xfrm>
                            <a:off x="0" y="0"/>
                            <a:ext cx="25539" cy="57175"/>
                          </a:xfrm>
                          <a:prstGeom prst="rect">
                            <a:avLst/>
                          </a:prstGeom>
                        </pic:spPr>
                      </pic:pic>
                    </a:graphicData>
                  </a:graphic>
                </wp:inline>
              </w:drawing>
            </w:r>
          </w:p>
          <w:p w14:paraId="204C6CA4">
            <w:pPr>
              <w:spacing w:line="125" w:lineRule="auto"/>
              <w:rPr>
                <w:rFonts w:ascii="Arial"/>
                <w:sz w:val="2"/>
              </w:rPr>
            </w:pPr>
          </w:p>
          <w:tbl>
            <w:tblPr>
              <w:tblStyle w:val="5"/>
              <w:tblW w:w="2023" w:type="dxa"/>
              <w:tblInd w:w="559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23"/>
            </w:tblGrid>
            <w:tr w14:paraId="2204B0D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1" w:hRule="atLeast"/>
              </w:trPr>
              <w:tc>
                <w:tcPr>
                  <w:tcW w:w="2023" w:type="dxa"/>
                  <w:vAlign w:val="top"/>
                </w:tcPr>
                <w:p w14:paraId="0B289E55">
                  <w:pPr>
                    <w:pStyle w:val="6"/>
                    <w:spacing w:before="148" w:line="227" w:lineRule="auto"/>
                    <w:ind w:left="145"/>
                    <w:rPr>
                      <w:sz w:val="19"/>
                      <w:szCs w:val="19"/>
                    </w:rPr>
                  </w:pPr>
                  <w:r>
                    <w:rPr>
                      <w:spacing w:val="1"/>
                      <w:sz w:val="19"/>
                      <w:szCs w:val="19"/>
                    </w:rPr>
                    <w:t>设备安装、管道布设</w:t>
                  </w:r>
                </w:p>
              </w:tc>
            </w:tr>
          </w:tbl>
          <w:p w14:paraId="2133F412">
            <w:pPr>
              <w:spacing w:before="174" w:line="221" w:lineRule="auto"/>
              <w:ind w:left="2594"/>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6"/>
                <w:sz w:val="18"/>
                <w:szCs w:val="18"/>
              </w:rPr>
              <w:t xml:space="preserve"> </w:t>
            </w:r>
            <w:r>
              <w:rPr>
                <w:rFonts w:ascii="黑体" w:hAnsi="黑体" w:eastAsia="黑体" w:cs="黑体"/>
                <w:spacing w:val="-2"/>
                <w:sz w:val="18"/>
                <w:szCs w:val="18"/>
              </w:rPr>
              <w:t>2-2：施工期工艺流程及产污环节图</w:t>
            </w:r>
          </w:p>
          <w:p w14:paraId="7097C902">
            <w:pPr>
              <w:pStyle w:val="6"/>
              <w:spacing w:before="90" w:line="228" w:lineRule="auto"/>
              <w:ind w:left="521"/>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）产污环节</w:t>
            </w:r>
          </w:p>
          <w:p w14:paraId="707DF4E4">
            <w:pPr>
              <w:pStyle w:val="6"/>
              <w:spacing w:before="154" w:line="322" w:lineRule="auto"/>
              <w:ind w:left="91" w:right="130" w:firstLine="419"/>
              <w:rPr>
                <w:sz w:val="20"/>
                <w:szCs w:val="20"/>
              </w:rPr>
            </w:pPr>
            <w:r>
              <w:rPr>
                <w:spacing w:val="10"/>
                <w:sz w:val="20"/>
                <w:szCs w:val="20"/>
              </w:rPr>
              <w:t>①施工扬尘与废气：主要来源于场地平整开挖、构筑</w:t>
            </w:r>
            <w:r>
              <w:rPr>
                <w:spacing w:val="9"/>
                <w:sz w:val="20"/>
                <w:szCs w:val="20"/>
              </w:rPr>
              <w:t>物建设时、车辆运输、建筑</w:t>
            </w:r>
            <w:r>
              <w:rPr>
                <w:sz w:val="20"/>
                <w:szCs w:val="20"/>
              </w:rPr>
              <w:t xml:space="preserve"> </w:t>
            </w:r>
            <w:r>
              <w:rPr>
                <w:spacing w:val="10"/>
                <w:sz w:val="20"/>
                <w:szCs w:val="20"/>
              </w:rPr>
              <w:t>材料堆放、装卸作业等过程；施工期使用机动车运输及施工</w:t>
            </w:r>
            <w:r>
              <w:rPr>
                <w:spacing w:val="9"/>
                <w:sz w:val="20"/>
                <w:szCs w:val="20"/>
              </w:rPr>
              <w:t>机械运行会产生废气，废</w:t>
            </w:r>
            <w:r>
              <w:rPr>
                <w:sz w:val="20"/>
                <w:szCs w:val="20"/>
              </w:rPr>
              <w:t xml:space="preserve"> </w:t>
            </w:r>
            <w:r>
              <w:rPr>
                <w:spacing w:val="8"/>
                <w:sz w:val="20"/>
                <w:szCs w:val="20"/>
              </w:rPr>
              <w:t>气中的主要污染物为</w:t>
            </w:r>
            <w:r>
              <w:rPr>
                <w:rFonts w:ascii="Times New Roman" w:hAnsi="Times New Roman" w:eastAsia="Times New Roman" w:cs="Times New Roman"/>
                <w:sz w:val="20"/>
                <w:szCs w:val="20"/>
              </w:rPr>
              <w:t>C</w:t>
            </w:r>
            <w:r>
              <w:rPr>
                <w:rFonts w:ascii="Times New Roman" w:hAnsi="Times New Roman" w:eastAsia="Times New Roman" w:cs="Times New Roman"/>
                <w:position w:val="-1"/>
                <w:sz w:val="13"/>
                <w:szCs w:val="13"/>
              </w:rPr>
              <w:t>x</w:t>
            </w:r>
            <w:r>
              <w:rPr>
                <w:rFonts w:ascii="Times New Roman" w:hAnsi="Times New Roman" w:eastAsia="Times New Roman" w:cs="Times New Roman"/>
                <w:sz w:val="20"/>
                <w:szCs w:val="20"/>
              </w:rPr>
              <w:t>H</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1"/>
                <w:position w:val="-1"/>
                <w:sz w:val="13"/>
                <w:szCs w:val="13"/>
              </w:rPr>
              <w:t xml:space="preserve"> </w:t>
            </w:r>
            <w:r>
              <w:rPr>
                <w:spacing w:val="8"/>
                <w:sz w:val="20"/>
                <w:szCs w:val="20"/>
              </w:rPr>
              <w:t>、</w:t>
            </w:r>
            <w:r>
              <w:rPr>
                <w:rFonts w:ascii="Times New Roman" w:hAnsi="Times New Roman" w:eastAsia="Times New Roman" w:cs="Times New Roman"/>
                <w:sz w:val="20"/>
                <w:szCs w:val="20"/>
              </w:rPr>
              <w:t>CO</w:t>
            </w:r>
            <w:r>
              <w:rPr>
                <w:rFonts w:ascii="Times New Roman" w:hAnsi="Times New Roman" w:eastAsia="Times New Roman" w:cs="Times New Roman"/>
                <w:spacing w:val="-27"/>
                <w:sz w:val="20"/>
                <w:szCs w:val="20"/>
              </w:rPr>
              <w:t xml:space="preserve"> </w:t>
            </w:r>
            <w:r>
              <w:rPr>
                <w:spacing w:val="8"/>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spacing w:val="8"/>
                <w:sz w:val="20"/>
                <w:szCs w:val="20"/>
              </w:rPr>
              <w:t>。</w:t>
            </w:r>
          </w:p>
          <w:p w14:paraId="3129075A">
            <w:pPr>
              <w:pStyle w:val="6"/>
              <w:spacing w:before="154" w:line="297" w:lineRule="auto"/>
              <w:ind w:left="108" w:right="132" w:firstLine="401"/>
              <w:rPr>
                <w:sz w:val="20"/>
                <w:szCs w:val="20"/>
              </w:rPr>
            </w:pPr>
            <w:r>
              <w:rPr>
                <w:spacing w:val="10"/>
                <w:sz w:val="20"/>
                <w:szCs w:val="20"/>
              </w:rPr>
              <w:t>②施工废水：主要来源于砼浇筑废水、施工机械的冲</w:t>
            </w:r>
            <w:r>
              <w:rPr>
                <w:spacing w:val="9"/>
                <w:sz w:val="20"/>
                <w:szCs w:val="20"/>
              </w:rPr>
              <w:t>洗废水，施工过程降雨导致</w:t>
            </w:r>
            <w:r>
              <w:rPr>
                <w:sz w:val="20"/>
                <w:szCs w:val="20"/>
              </w:rPr>
              <w:t xml:space="preserve"> </w:t>
            </w:r>
            <w:r>
              <w:rPr>
                <w:spacing w:val="8"/>
                <w:sz w:val="20"/>
                <w:szCs w:val="20"/>
              </w:rPr>
              <w:t>的场地径流等，主要污染物为</w:t>
            </w:r>
            <w:r>
              <w:rPr>
                <w:rFonts w:ascii="Times New Roman" w:hAnsi="Times New Roman" w:eastAsia="Times New Roman" w:cs="Times New Roman"/>
                <w:sz w:val="20"/>
                <w:szCs w:val="20"/>
              </w:rPr>
              <w:t>SS</w:t>
            </w:r>
            <w:r>
              <w:rPr>
                <w:rFonts w:ascii="Times New Roman" w:hAnsi="Times New Roman" w:eastAsia="Times New Roman" w:cs="Times New Roman"/>
                <w:spacing w:val="-17"/>
                <w:sz w:val="20"/>
                <w:szCs w:val="20"/>
              </w:rPr>
              <w:t xml:space="preserve"> </w:t>
            </w:r>
            <w:r>
              <w:rPr>
                <w:spacing w:val="8"/>
                <w:sz w:val="20"/>
                <w:szCs w:val="20"/>
              </w:rPr>
              <w:t>。另外，施工人员会产生少量生活污水。</w:t>
            </w:r>
          </w:p>
          <w:p w14:paraId="4BF0E2DC">
            <w:pPr>
              <w:pStyle w:val="6"/>
              <w:spacing w:before="154" w:line="299" w:lineRule="auto"/>
              <w:ind w:left="95" w:right="74" w:firstLine="414"/>
              <w:rPr>
                <w:sz w:val="20"/>
                <w:szCs w:val="20"/>
              </w:rPr>
            </w:pPr>
            <w:r>
              <w:rPr>
                <w:sz w:val="20"/>
                <w:szCs w:val="20"/>
              </w:rPr>
              <w:t>③施工噪声：主要来源于建筑施工阶段使用的各类机械设备的运行噪声，运</w:t>
            </w:r>
            <w:r>
              <w:rPr>
                <w:spacing w:val="-1"/>
                <w:sz w:val="20"/>
                <w:szCs w:val="20"/>
              </w:rPr>
              <w:t>输车辆的</w:t>
            </w:r>
            <w:r>
              <w:rPr>
                <w:sz w:val="20"/>
                <w:szCs w:val="20"/>
              </w:rPr>
              <w:t xml:space="preserve"> </w:t>
            </w:r>
            <w:r>
              <w:rPr>
                <w:spacing w:val="-2"/>
                <w:sz w:val="20"/>
                <w:szCs w:val="20"/>
              </w:rPr>
              <w:t>交通噪声等。</w:t>
            </w:r>
          </w:p>
          <w:p w14:paraId="1CA4ECD6">
            <w:pPr>
              <w:pStyle w:val="6"/>
              <w:spacing w:before="153" w:line="298" w:lineRule="auto"/>
              <w:ind w:left="94" w:right="132" w:firstLine="414"/>
              <w:rPr>
                <w:sz w:val="20"/>
                <w:szCs w:val="20"/>
              </w:rPr>
            </w:pPr>
            <w:r>
              <w:rPr>
                <w:spacing w:val="10"/>
                <w:sz w:val="20"/>
                <w:szCs w:val="20"/>
              </w:rPr>
              <w:t>④固体废物：主要来源于场地开挖产生的土石方、建</w:t>
            </w:r>
            <w:r>
              <w:rPr>
                <w:spacing w:val="9"/>
                <w:sz w:val="20"/>
                <w:szCs w:val="20"/>
              </w:rPr>
              <w:t>筑垃圾、设备安装产生的废</w:t>
            </w:r>
            <w:r>
              <w:rPr>
                <w:sz w:val="20"/>
                <w:szCs w:val="20"/>
              </w:rPr>
              <w:t xml:space="preserve"> </w:t>
            </w:r>
            <w:r>
              <w:rPr>
                <w:spacing w:val="8"/>
                <w:sz w:val="20"/>
                <w:szCs w:val="20"/>
              </w:rPr>
              <w:t>弃包装材料、施工人员的生活垃圾。</w:t>
            </w:r>
          </w:p>
          <w:p w14:paraId="05E2B25E">
            <w:pPr>
              <w:spacing w:before="144" w:line="222" w:lineRule="auto"/>
              <w:ind w:left="90"/>
              <w:rPr>
                <w:rFonts w:ascii="黑体" w:hAnsi="黑体" w:eastAsia="黑体" w:cs="黑体"/>
                <w:sz w:val="22"/>
                <w:szCs w:val="22"/>
              </w:rPr>
            </w:pPr>
            <w:r>
              <w:rPr>
                <w:rFonts w:ascii="黑体" w:hAnsi="黑体" w:eastAsia="黑体" w:cs="黑体"/>
                <w:spacing w:val="-1"/>
                <w:sz w:val="22"/>
                <w:szCs w:val="22"/>
              </w:rPr>
              <w:t>2、营运期工艺流程</w:t>
            </w:r>
          </w:p>
          <w:p w14:paraId="697A1734">
            <w:pPr>
              <w:pStyle w:val="6"/>
              <w:spacing w:before="138" w:line="219" w:lineRule="auto"/>
              <w:ind w:left="537"/>
            </w:pPr>
            <w:r>
              <w:rPr>
                <w:b/>
                <w:bCs/>
                <w:spacing w:val="-3"/>
              </w:rPr>
              <w:t>（</w:t>
            </w:r>
            <w:r>
              <w:rPr>
                <w:rFonts w:ascii="Times New Roman" w:hAnsi="Times New Roman" w:eastAsia="Times New Roman" w:cs="Times New Roman"/>
                <w:b/>
                <w:bCs/>
                <w:spacing w:val="-3"/>
              </w:rPr>
              <w:t>1</w:t>
            </w:r>
            <w:r>
              <w:rPr>
                <w:b/>
                <w:bCs/>
                <w:spacing w:val="-3"/>
              </w:rPr>
              <w:t>）蒸压加气混凝土砌块和板材工艺流程</w:t>
            </w:r>
          </w:p>
        </w:tc>
      </w:tr>
    </w:tbl>
    <w:p w14:paraId="7EFDBBFB">
      <w:pPr>
        <w:pStyle w:val="2"/>
      </w:pPr>
    </w:p>
    <w:p w14:paraId="29DCE75C">
      <w:pPr>
        <w:sectPr>
          <w:footerReference r:id="rId46" w:type="default"/>
          <w:pgSz w:w="11906" w:h="16839"/>
          <w:pgMar w:top="1431" w:right="1534" w:bottom="1260" w:left="1533" w:header="0" w:footer="1080" w:gutter="0"/>
          <w:cols w:space="720" w:num="1"/>
        </w:sectPr>
      </w:pPr>
    </w:p>
    <w:p w14:paraId="3439B04D">
      <w:pPr>
        <w:spacing w:before="28"/>
      </w:pPr>
      <w:r>
        <w:pict>
          <v:shape id="_x0000_s1057" o:spid="_x0000_s1057" o:spt="202" type="#_x0000_t202" style="position:absolute;left:0pt;margin-left:24.55pt;margin-top:263.8pt;height:12.75pt;width:19.65pt;mso-position-horizontal-relative:page;mso-position-vertical-relative:page;z-index:251751424;mso-width-relative:page;mso-height-relative:page;" filled="f" stroked="f" coordsize="21600,21600" o:allowincell="f">
            <v:path/>
            <v:fill on="f" focussize="0,0"/>
            <v:stroke on="f"/>
            <v:imagedata o:title=""/>
            <o:lock v:ext="edit" aspectratio="f"/>
            <v:textbox inset="0mm,0mm,0mm,0mm">
              <w:txbxContent>
                <w:p w14:paraId="4D46CE8E">
                  <w:pPr>
                    <w:spacing w:before="20" w:line="220" w:lineRule="auto"/>
                    <w:ind w:left="20"/>
                    <w:rPr>
                      <w:rFonts w:ascii="宋体" w:hAnsi="宋体" w:eastAsia="宋体" w:cs="宋体"/>
                      <w:sz w:val="18"/>
                      <w:szCs w:val="18"/>
                    </w:rPr>
                  </w:pPr>
                  <w:r>
                    <w:rPr>
                      <w:rFonts w:ascii="宋体" w:hAnsi="宋体" w:eastAsia="宋体" w:cs="宋体"/>
                      <w:spacing w:val="-4"/>
                      <w:sz w:val="18"/>
                      <w:szCs w:val="18"/>
                    </w:rPr>
                    <w:t>铲装</w:t>
                  </w:r>
                </w:p>
              </w:txbxContent>
            </v:textbox>
          </v:shape>
        </w:pict>
      </w:r>
    </w:p>
    <w:tbl>
      <w:tblPr>
        <w:tblStyle w:val="5"/>
        <w:tblW w:w="8823" w:type="dxa"/>
        <w:tblInd w:w="10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4C80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6" w:hRule="atLeast"/>
        </w:trPr>
        <w:tc>
          <w:tcPr>
            <w:tcW w:w="831" w:type="dxa"/>
            <w:tcBorders>
              <w:left w:val="single" w:color="000000" w:sz="6" w:space="0"/>
            </w:tcBorders>
            <w:vAlign w:val="top"/>
          </w:tcPr>
          <w:p w14:paraId="7AB92321">
            <w:pPr>
              <w:rPr>
                <w:rFonts w:ascii="Arial"/>
                <w:sz w:val="21"/>
              </w:rPr>
            </w:pPr>
          </w:p>
        </w:tc>
        <w:tc>
          <w:tcPr>
            <w:tcW w:w="7992" w:type="dxa"/>
            <w:tcBorders>
              <w:right w:val="single" w:color="000000" w:sz="6" w:space="0"/>
            </w:tcBorders>
            <w:vAlign w:val="top"/>
          </w:tcPr>
          <w:p w14:paraId="1940D716">
            <w:pPr>
              <w:spacing w:line="266" w:lineRule="auto"/>
              <w:rPr>
                <w:rFonts w:ascii="Arial"/>
                <w:sz w:val="21"/>
              </w:rPr>
            </w:pPr>
            <w:r>
              <w:drawing>
                <wp:anchor distT="0" distB="0" distL="0" distR="0" simplePos="0" relativeHeight="251747328" behindDoc="1" locked="0" layoutInCell="1" allowOverlap="1">
                  <wp:simplePos x="0" y="0"/>
                  <wp:positionH relativeFrom="rightMargin">
                    <wp:posOffset>-3604260</wp:posOffset>
                  </wp:positionH>
                  <wp:positionV relativeFrom="topMargin">
                    <wp:posOffset>554355</wp:posOffset>
                  </wp:positionV>
                  <wp:extent cx="1073150" cy="24257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65"/>
                          <a:stretch>
                            <a:fillRect/>
                          </a:stretch>
                        </pic:blipFill>
                        <pic:spPr>
                          <a:xfrm>
                            <a:off x="0" y="0"/>
                            <a:ext cx="1073150" cy="242569"/>
                          </a:xfrm>
                          <a:prstGeom prst="rect">
                            <a:avLst/>
                          </a:prstGeom>
                        </pic:spPr>
                      </pic:pic>
                    </a:graphicData>
                  </a:graphic>
                </wp:anchor>
              </w:drawing>
            </w:r>
            <w:r>
              <w:pict>
                <v:shape id="_x0000_s1058" o:spid="_x0000_s1058" o:spt="202" type="#_x0000_t202" style="position:absolute;left:0pt;margin-left:220.55pt;margin-top:54.3pt;height:11pt;width:55.75pt;mso-position-horizontal-relative:page;mso-position-vertical-relative:page;z-index:251754496;mso-width-relative:page;mso-height-relative:page;" filled="f" stroked="f" coordsize="21600,21600">
                  <v:path/>
                  <v:fill on="f" focussize="0,0"/>
                  <v:stroke on="f"/>
                  <v:imagedata o:title=""/>
                  <o:lock v:ext="edit" aspectratio="f"/>
                  <v:textbox inset="0mm,0mm,0mm,0mm">
                    <w:txbxContent>
                      <w:p w14:paraId="3C6D0000">
                        <w:pPr>
                          <w:pStyle w:val="6"/>
                          <w:spacing w:before="20" w:line="184" w:lineRule="auto"/>
                          <w:ind w:left="20"/>
                          <w:rPr>
                            <w:sz w:val="18"/>
                            <w:szCs w:val="18"/>
                          </w:rPr>
                        </w:pPr>
                        <w:r>
                          <w:rPr>
                            <w:b/>
                            <w:bCs/>
                            <w:spacing w:val="-3"/>
                            <w:sz w:val="18"/>
                            <w:szCs w:val="18"/>
                          </w:rPr>
                          <w:t>虚线框选设施</w:t>
                        </w:r>
                      </w:p>
                    </w:txbxContent>
                  </v:textbox>
                </v:shape>
              </w:pict>
            </w:r>
            <w:r>
              <w:drawing>
                <wp:anchor distT="0" distB="0" distL="0" distR="0" simplePos="0" relativeHeight="251749376" behindDoc="1" locked="0" layoutInCell="1" allowOverlap="1">
                  <wp:simplePos x="0" y="0"/>
                  <wp:positionH relativeFrom="rightMargin">
                    <wp:posOffset>-3596640</wp:posOffset>
                  </wp:positionH>
                  <wp:positionV relativeFrom="topMargin">
                    <wp:posOffset>1466850</wp:posOffset>
                  </wp:positionV>
                  <wp:extent cx="629920" cy="24257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66"/>
                          <a:stretch>
                            <a:fillRect/>
                          </a:stretch>
                        </pic:blipFill>
                        <pic:spPr>
                          <a:xfrm>
                            <a:off x="0" y="0"/>
                            <a:ext cx="629920" cy="242570"/>
                          </a:xfrm>
                          <a:prstGeom prst="rect">
                            <a:avLst/>
                          </a:prstGeom>
                        </pic:spPr>
                      </pic:pic>
                    </a:graphicData>
                  </a:graphic>
                </wp:anchor>
              </w:drawing>
            </w:r>
            <w:r>
              <w:drawing>
                <wp:anchor distT="0" distB="0" distL="0" distR="0" simplePos="0" relativeHeight="251750400" behindDoc="0" locked="0" layoutInCell="1" allowOverlap="1">
                  <wp:simplePos x="0" y="0"/>
                  <wp:positionH relativeFrom="rightMargin">
                    <wp:posOffset>-3575685</wp:posOffset>
                  </wp:positionH>
                  <wp:positionV relativeFrom="topMargin">
                    <wp:posOffset>1918970</wp:posOffset>
                  </wp:positionV>
                  <wp:extent cx="629920" cy="24257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7"/>
                          <a:stretch>
                            <a:fillRect/>
                          </a:stretch>
                        </pic:blipFill>
                        <pic:spPr>
                          <a:xfrm>
                            <a:off x="0" y="0"/>
                            <a:ext cx="629919" cy="242569"/>
                          </a:xfrm>
                          <a:prstGeom prst="rect">
                            <a:avLst/>
                          </a:prstGeom>
                        </pic:spPr>
                      </pic:pic>
                    </a:graphicData>
                  </a:graphic>
                </wp:anchor>
              </w:drawing>
            </w:r>
            <w:r>
              <w:drawing>
                <wp:anchor distT="0" distB="0" distL="0" distR="0" simplePos="0" relativeHeight="251748352" behindDoc="1" locked="0" layoutInCell="1" allowOverlap="1">
                  <wp:simplePos x="0" y="0"/>
                  <wp:positionH relativeFrom="rightMargin">
                    <wp:posOffset>-3717925</wp:posOffset>
                  </wp:positionH>
                  <wp:positionV relativeFrom="topMargin">
                    <wp:posOffset>4230370</wp:posOffset>
                  </wp:positionV>
                  <wp:extent cx="944245" cy="24257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68"/>
                          <a:stretch>
                            <a:fillRect/>
                          </a:stretch>
                        </pic:blipFill>
                        <pic:spPr>
                          <a:xfrm>
                            <a:off x="0" y="0"/>
                            <a:ext cx="944244" cy="242570"/>
                          </a:xfrm>
                          <a:prstGeom prst="rect">
                            <a:avLst/>
                          </a:prstGeom>
                        </pic:spPr>
                      </pic:pic>
                    </a:graphicData>
                  </a:graphic>
                </wp:anchor>
              </w:drawing>
            </w:r>
            <w:r>
              <w:pict>
                <v:shape id="_x0000_s1059" o:spid="_x0000_s1059" o:spt="202" type="#_x0000_t202" style="position:absolute;left:0pt;margin-left:135.55pt;margin-top:61.75pt;height:41.85pt;width:131.75pt;mso-position-horizontal-relative:page;mso-position-vertical-relative:page;z-index:251758592;mso-width-relative:page;mso-height-relative:page;" filled="f" stroked="f" coordsize="21600,21600">
                  <v:path/>
                  <v:fill on="f" focussize="0,0"/>
                  <v:stroke on="f"/>
                  <v:imagedata o:title=""/>
                  <o:lock v:ext="edit" aspectratio="f"/>
                  <v:textbox inset="0mm,0mm,0mm,0mm">
                    <w:txbxContent>
                      <w:p w14:paraId="16FFDA58">
                        <w:pPr>
                          <w:pStyle w:val="6"/>
                          <w:spacing w:before="20"/>
                          <w:ind w:left="20"/>
                          <w:rPr>
                            <w:sz w:val="18"/>
                            <w:szCs w:val="18"/>
                          </w:rPr>
                        </w:pPr>
                        <w:r>
                          <w:rPr>
                            <w:position w:val="-11"/>
                            <w:sz w:val="18"/>
                            <w:szCs w:val="18"/>
                          </w:rPr>
                          <w:drawing>
                            <wp:inline distT="0" distB="0" distL="0" distR="0">
                              <wp:extent cx="76200" cy="21590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69"/>
                                      <a:stretch>
                                        <a:fillRect/>
                                      </a:stretch>
                                    </pic:blipFill>
                                    <pic:spPr>
                                      <a:xfrm>
                                        <a:off x="0" y="0"/>
                                        <a:ext cx="76200" cy="215912"/>
                                      </a:xfrm>
                                      <a:prstGeom prst="rect">
                                        <a:avLst/>
                                      </a:prstGeom>
                                    </pic:spPr>
                                  </pic:pic>
                                </a:graphicData>
                              </a:graphic>
                            </wp:inline>
                          </w:drawing>
                        </w:r>
                        <w:r>
                          <w:rPr>
                            <w:spacing w:val="-2"/>
                            <w:position w:val="2"/>
                            <w:sz w:val="18"/>
                            <w:szCs w:val="18"/>
                          </w:rPr>
                          <w:t>铲车</w:t>
                        </w:r>
                        <w:r>
                          <w:rPr>
                            <w:spacing w:val="3"/>
                            <w:position w:val="2"/>
                            <w:sz w:val="18"/>
                            <w:szCs w:val="18"/>
                          </w:rPr>
                          <w:t xml:space="preserve">               </w:t>
                        </w:r>
                        <w:r>
                          <w:rPr>
                            <w:b/>
                            <w:bCs/>
                            <w:spacing w:val="-2"/>
                            <w:position w:val="-1"/>
                            <w:sz w:val="18"/>
                            <w:szCs w:val="18"/>
                          </w:rPr>
                          <w:t>位于地下</w:t>
                        </w:r>
                      </w:p>
                      <w:p w14:paraId="74381C31">
                        <w:pPr>
                          <w:pStyle w:val="6"/>
                          <w:spacing w:before="276" w:line="184" w:lineRule="auto"/>
                          <w:ind w:left="1407"/>
                          <w:rPr>
                            <w:sz w:val="18"/>
                            <w:szCs w:val="18"/>
                          </w:rPr>
                        </w:pPr>
                        <w:r>
                          <w:rPr>
                            <w:sz w:val="18"/>
                            <w:szCs w:val="18"/>
                          </w:rPr>
                          <w:t>不</w:t>
                        </w:r>
                      </w:p>
                    </w:txbxContent>
                  </v:textbox>
                </v:shape>
              </w:pict>
            </w:r>
            <w:r>
              <w:pict>
                <v:shape id="_x0000_s1060" o:spid="_x0000_s1060" o:spt="202" type="#_x0000_t202" style="position:absolute;left:0pt;margin-left:45.55pt;margin-top:115.9pt;height:73.3pt;width:169.95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14:paraId="2269AD52">
                        <w:pPr>
                          <w:pStyle w:val="6"/>
                          <w:spacing w:before="19" w:line="208" w:lineRule="auto"/>
                          <w:ind w:left="20"/>
                          <w:rPr>
                            <w:sz w:val="18"/>
                            <w:szCs w:val="18"/>
                          </w:rPr>
                        </w:pPr>
                        <w:r>
                          <w:rPr>
                            <w:spacing w:val="-1"/>
                            <w:position w:val="-3"/>
                            <w:sz w:val="18"/>
                            <w:szCs w:val="18"/>
                          </w:rPr>
                          <w:t>粉尘、噪声</w:t>
                        </w:r>
                        <w:r>
                          <w:rPr>
                            <w:spacing w:val="-35"/>
                            <w:position w:val="-3"/>
                            <w:sz w:val="18"/>
                            <w:szCs w:val="18"/>
                          </w:rPr>
                          <w:t xml:space="preserve"> </w:t>
                        </w:r>
                        <w:r>
                          <w:rPr>
                            <w:rFonts w:ascii="Arial" w:hAnsi="Arial" w:eastAsia="Arial" w:cs="Arial"/>
                            <w:spacing w:val="-1"/>
                            <w:sz w:val="30"/>
                            <w:szCs w:val="30"/>
                          </w:rPr>
                          <w:t>1</w:t>
                        </w:r>
                        <w:r>
                          <w:rPr>
                            <w:rFonts w:ascii="Arial" w:hAnsi="Arial" w:eastAsia="Arial" w:cs="Arial"/>
                            <w:spacing w:val="-43"/>
                            <w:sz w:val="30"/>
                            <w:szCs w:val="30"/>
                          </w:rPr>
                          <w:t xml:space="preserve"> </w:t>
                        </w:r>
                        <w:r>
                          <w:rPr>
                            <w:rFonts w:ascii="Arial" w:hAnsi="Arial" w:eastAsia="Arial" w:cs="Arial"/>
                            <w:spacing w:val="-1"/>
                            <w:sz w:val="30"/>
                            <w:szCs w:val="30"/>
                          </w:rPr>
                          <w:t>-</w:t>
                        </w:r>
                        <w:r>
                          <w:rPr>
                            <w:rFonts w:ascii="Arial" w:hAnsi="Arial" w:eastAsia="Arial" w:cs="Arial"/>
                            <w:spacing w:val="-43"/>
                            <w:sz w:val="30"/>
                            <w:szCs w:val="30"/>
                          </w:rPr>
                          <w:t xml:space="preserve"> </w:t>
                        </w:r>
                        <w:r>
                          <w:rPr>
                            <w:rFonts w:ascii="Arial" w:hAnsi="Arial" w:eastAsia="Arial" w:cs="Arial"/>
                            <w:spacing w:val="-1"/>
                            <w:sz w:val="30"/>
                            <w:szCs w:val="30"/>
                          </w:rPr>
                          <w:t>-</w:t>
                        </w:r>
                        <w:r>
                          <w:rPr>
                            <w:rFonts w:ascii="Arial" w:hAnsi="Arial" w:eastAsia="Arial" w:cs="Arial"/>
                            <w:spacing w:val="20"/>
                            <w:sz w:val="30"/>
                            <w:szCs w:val="30"/>
                          </w:rPr>
                          <w:t xml:space="preserve">   </w:t>
                        </w:r>
                        <w:r>
                          <w:rPr>
                            <w:spacing w:val="-1"/>
                            <w:position w:val="-2"/>
                            <w:sz w:val="19"/>
                            <w:szCs w:val="19"/>
                          </w:rPr>
                          <w:t>筛分</w:t>
                        </w:r>
                        <w:r>
                          <w:rPr>
                            <w:spacing w:val="5"/>
                            <w:position w:val="-2"/>
                            <w:sz w:val="19"/>
                            <w:szCs w:val="19"/>
                          </w:rPr>
                          <w:t xml:space="preserve">           </w:t>
                        </w:r>
                        <w:r>
                          <w:rPr>
                            <w:spacing w:val="-1"/>
                            <w:position w:val="7"/>
                            <w:sz w:val="18"/>
                            <w:szCs w:val="18"/>
                          </w:rPr>
                          <w:t>格</w:t>
                        </w:r>
                      </w:p>
                      <w:p w14:paraId="522C8474">
                        <w:pPr>
                          <w:pStyle w:val="6"/>
                          <w:spacing w:before="35" w:line="289" w:lineRule="auto"/>
                          <w:ind w:left="1747" w:right="742" w:firstLine="105"/>
                          <w:rPr>
                            <w:sz w:val="19"/>
                            <w:szCs w:val="19"/>
                          </w:rPr>
                        </w:pPr>
                        <w:r>
                          <w:rPr>
                            <w:position w:val="-12"/>
                            <w:sz w:val="18"/>
                            <w:szCs w:val="18"/>
                          </w:rPr>
                          <w:drawing>
                            <wp:inline distT="0" distB="0" distL="0" distR="0">
                              <wp:extent cx="76200" cy="21590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70"/>
                                      <a:stretch>
                                        <a:fillRect/>
                                      </a:stretch>
                                    </pic:blipFill>
                                    <pic:spPr>
                                      <a:xfrm>
                                        <a:off x="0" y="0"/>
                                        <a:ext cx="76200" cy="215912"/>
                                      </a:xfrm>
                                      <a:prstGeom prst="rect">
                                        <a:avLst/>
                                      </a:prstGeom>
                                    </pic:spPr>
                                  </pic:pic>
                                </a:graphicData>
                              </a:graphic>
                            </wp:inline>
                          </w:drawing>
                        </w:r>
                        <w:r>
                          <w:rPr>
                            <w:spacing w:val="-10"/>
                            <w:sz w:val="18"/>
                            <w:szCs w:val="18"/>
                          </w:rPr>
                          <w:t>封闭输送</w:t>
                        </w:r>
                        <w:r>
                          <w:rPr>
                            <w:spacing w:val="2"/>
                            <w:sz w:val="18"/>
                            <w:szCs w:val="18"/>
                          </w:rPr>
                          <w:t xml:space="preserve"> </w:t>
                        </w:r>
                        <w:r>
                          <w:rPr>
                            <w:spacing w:val="5"/>
                            <w:sz w:val="19"/>
                            <w:szCs w:val="19"/>
                          </w:rPr>
                          <w:t>料斗</w:t>
                        </w:r>
                      </w:p>
                      <w:p w14:paraId="7B2499AA">
                        <w:pPr>
                          <w:pStyle w:val="6"/>
                          <w:spacing w:before="40" w:line="203" w:lineRule="auto"/>
                          <w:ind w:left="1858"/>
                          <w:rPr>
                            <w:sz w:val="18"/>
                            <w:szCs w:val="18"/>
                          </w:rPr>
                        </w:pPr>
                        <w:r>
                          <w:rPr>
                            <w:rFonts w:ascii="微软雅黑" w:hAnsi="微软雅黑" w:eastAsia="微软雅黑" w:cs="微软雅黑"/>
                            <w:spacing w:val="-1"/>
                            <w:position w:val="-2"/>
                            <w:sz w:val="24"/>
                            <w:szCs w:val="24"/>
                          </w:rPr>
                          <w:t>↓</w:t>
                        </w:r>
                        <w:r>
                          <w:rPr>
                            <w:spacing w:val="-1"/>
                            <w:position w:val="2"/>
                            <w:sz w:val="18"/>
                            <w:szCs w:val="18"/>
                          </w:rPr>
                          <w:t>封闭输送</w:t>
                        </w:r>
                      </w:p>
                    </w:txbxContent>
                  </v:textbox>
                </v:shape>
              </w:pict>
            </w:r>
            <w:r>
              <w:pict>
                <v:shape id="_x0000_s1061" o:spid="_x0000_s1061" o:spt="202" type="#_x0000_t202" style="position:absolute;left:0pt;margin-left:46pt;margin-top:47.95pt;height:12.1pt;width:147.6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14:paraId="216AF1BE">
                        <w:pPr>
                          <w:pStyle w:val="6"/>
                          <w:spacing w:before="20" w:line="201" w:lineRule="exact"/>
                          <w:ind w:left="20"/>
                          <w:rPr>
                            <w:sz w:val="19"/>
                            <w:szCs w:val="19"/>
                          </w:rPr>
                        </w:pPr>
                        <w:r>
                          <w:rPr>
                            <w:spacing w:val="6"/>
                            <w:sz w:val="18"/>
                            <w:szCs w:val="18"/>
                          </w:rPr>
                          <w:t>扬尘、噪声</w:t>
                        </w:r>
                        <w:r>
                          <w:rPr>
                            <w:rFonts w:ascii="Arial" w:hAnsi="Arial" w:eastAsia="Arial" w:cs="Arial"/>
                            <w:spacing w:val="6"/>
                            <w:position w:val="2"/>
                            <w:sz w:val="28"/>
                            <w:szCs w:val="28"/>
                          </w:rPr>
                          <w:t>1</w:t>
                        </w:r>
                        <w:r>
                          <w:rPr>
                            <w:rFonts w:ascii="Arial" w:hAnsi="Arial" w:eastAsia="Arial" w:cs="Arial"/>
                            <w:spacing w:val="-30"/>
                            <w:position w:val="2"/>
                            <w:sz w:val="28"/>
                            <w:szCs w:val="28"/>
                          </w:rPr>
                          <w:t xml:space="preserve"> </w:t>
                        </w:r>
                        <w:r>
                          <w:rPr>
                            <w:rFonts w:ascii="Arial" w:hAnsi="Arial" w:eastAsia="Arial" w:cs="Arial"/>
                            <w:spacing w:val="6"/>
                            <w:position w:val="2"/>
                            <w:sz w:val="28"/>
                            <w:szCs w:val="28"/>
                          </w:rPr>
                          <w:t>-</w:t>
                        </w:r>
                        <w:r>
                          <w:rPr>
                            <w:rFonts w:ascii="Arial" w:hAnsi="Arial" w:eastAsia="Arial" w:cs="Arial"/>
                            <w:spacing w:val="-38"/>
                            <w:position w:val="2"/>
                            <w:sz w:val="28"/>
                            <w:szCs w:val="28"/>
                          </w:rPr>
                          <w:t xml:space="preserve"> </w:t>
                        </w:r>
                        <w:r>
                          <w:rPr>
                            <w:rFonts w:ascii="Arial" w:hAnsi="Arial" w:eastAsia="Arial" w:cs="Arial"/>
                            <w:spacing w:val="6"/>
                            <w:position w:val="2"/>
                            <w:sz w:val="28"/>
                            <w:szCs w:val="28"/>
                          </w:rPr>
                          <w:t>-</w:t>
                        </w:r>
                        <w:r>
                          <w:rPr>
                            <w:rFonts w:ascii="Arial" w:hAnsi="Arial" w:eastAsia="Arial" w:cs="Arial"/>
                            <w:spacing w:val="2"/>
                            <w:position w:val="2"/>
                            <w:sz w:val="28"/>
                            <w:szCs w:val="28"/>
                          </w:rPr>
                          <w:t xml:space="preserve">  </w:t>
                        </w:r>
                        <w:r>
                          <w:rPr>
                            <w:spacing w:val="6"/>
                            <w:position w:val="-2"/>
                            <w:sz w:val="19"/>
                            <w:szCs w:val="19"/>
                          </w:rPr>
                          <w:t>卸料至地下堆场</w:t>
                        </w:r>
                      </w:p>
                    </w:txbxContent>
                  </v:textbox>
                </v:shape>
              </w:pict>
            </w:r>
          </w:p>
          <w:p w14:paraId="1DFB1B98">
            <w:pPr>
              <w:pStyle w:val="6"/>
              <w:spacing w:before="62" w:line="216" w:lineRule="auto"/>
              <w:ind w:left="2378"/>
              <w:rPr>
                <w:sz w:val="19"/>
                <w:szCs w:val="19"/>
              </w:rPr>
            </w:pPr>
            <w:r>
              <w:rPr>
                <w:b/>
                <w:bCs/>
                <w:color w:val="E36C09"/>
                <w:spacing w:val="5"/>
                <w:sz w:val="19"/>
                <w:szCs w:val="19"/>
              </w:rPr>
              <w:t>建筑垃圾</w:t>
            </w:r>
          </w:p>
          <w:p w14:paraId="0CF5EF7D">
            <w:pPr>
              <w:spacing w:line="340" w:lineRule="exact"/>
              <w:ind w:left="2718"/>
            </w:pPr>
            <w:r>
              <w:drawing>
                <wp:anchor distT="0" distB="0" distL="0" distR="0" simplePos="0" relativeHeight="251755520" behindDoc="0" locked="0" layoutInCell="1" allowOverlap="1">
                  <wp:simplePos x="0" y="0"/>
                  <wp:positionH relativeFrom="column">
                    <wp:posOffset>1428750</wp:posOffset>
                  </wp:positionH>
                  <wp:positionV relativeFrom="paragraph">
                    <wp:posOffset>165735</wp:posOffset>
                  </wp:positionV>
                  <wp:extent cx="1310640" cy="184023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71"/>
                          <a:stretch>
                            <a:fillRect/>
                          </a:stretch>
                        </pic:blipFill>
                        <pic:spPr>
                          <a:xfrm>
                            <a:off x="0" y="0"/>
                            <a:ext cx="1310639" cy="1840229"/>
                          </a:xfrm>
                          <a:prstGeom prst="rect">
                            <a:avLst/>
                          </a:prstGeom>
                        </pic:spPr>
                      </pic:pic>
                    </a:graphicData>
                  </a:graphic>
                </wp:anchor>
              </w:drawing>
            </w:r>
            <w:r>
              <w:rPr>
                <w:position w:val="-7"/>
              </w:rPr>
              <w:drawing>
                <wp:inline distT="0" distB="0" distL="0" distR="0">
                  <wp:extent cx="76200" cy="21590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72"/>
                          <a:stretch>
                            <a:fillRect/>
                          </a:stretch>
                        </pic:blipFill>
                        <pic:spPr>
                          <a:xfrm>
                            <a:off x="0" y="0"/>
                            <a:ext cx="76200" cy="215913"/>
                          </a:xfrm>
                          <a:prstGeom prst="rect">
                            <a:avLst/>
                          </a:prstGeom>
                        </pic:spPr>
                      </pic:pic>
                    </a:graphicData>
                  </a:graphic>
                </wp:inline>
              </w:drawing>
            </w:r>
          </w:p>
          <w:p w14:paraId="4A2E19B7">
            <w:pPr>
              <w:spacing w:line="241" w:lineRule="auto"/>
              <w:rPr>
                <w:rFonts w:ascii="Arial"/>
                <w:sz w:val="21"/>
              </w:rPr>
            </w:pPr>
          </w:p>
          <w:p w14:paraId="2D1BAE90">
            <w:pPr>
              <w:spacing w:line="242" w:lineRule="auto"/>
              <w:rPr>
                <w:rFonts w:ascii="Arial"/>
                <w:sz w:val="21"/>
              </w:rPr>
            </w:pPr>
          </w:p>
          <w:p w14:paraId="1D3DF242">
            <w:pPr>
              <w:spacing w:line="242" w:lineRule="auto"/>
              <w:rPr>
                <w:rFonts w:ascii="Arial"/>
                <w:sz w:val="21"/>
              </w:rPr>
            </w:pPr>
          </w:p>
          <w:p w14:paraId="0A7AA0C6">
            <w:pPr>
              <w:pStyle w:val="6"/>
              <w:spacing w:before="78" w:line="199" w:lineRule="exact"/>
              <w:ind w:left="917"/>
              <w:rPr>
                <w:sz w:val="19"/>
                <w:szCs w:val="19"/>
              </w:rPr>
            </w:pPr>
            <w:r>
              <w:rPr>
                <w:spacing w:val="2"/>
                <w:position w:val="-1"/>
                <w:sz w:val="18"/>
                <w:szCs w:val="18"/>
              </w:rPr>
              <w:t>粉尘、噪声</w:t>
            </w:r>
            <w:r>
              <w:rPr>
                <w:spacing w:val="-21"/>
                <w:position w:val="-1"/>
                <w:sz w:val="18"/>
                <w:szCs w:val="18"/>
              </w:rPr>
              <w:t xml:space="preserve"> </w:t>
            </w:r>
            <w:r>
              <w:rPr>
                <w:rFonts w:ascii="Arial" w:hAnsi="Arial" w:eastAsia="Arial" w:cs="Arial"/>
                <w:spacing w:val="2"/>
                <w:position w:val="2"/>
                <w:sz w:val="27"/>
                <w:szCs w:val="27"/>
              </w:rPr>
              <w:t>1</w:t>
            </w:r>
            <w:r>
              <w:rPr>
                <w:rFonts w:ascii="Arial" w:hAnsi="Arial" w:eastAsia="Arial" w:cs="Arial"/>
                <w:spacing w:val="-35"/>
                <w:position w:val="2"/>
                <w:sz w:val="27"/>
                <w:szCs w:val="27"/>
              </w:rPr>
              <w:t xml:space="preserve"> </w:t>
            </w:r>
            <w:r>
              <w:rPr>
                <w:rFonts w:ascii="Arial" w:hAnsi="Arial" w:eastAsia="Arial" w:cs="Arial"/>
                <w:spacing w:val="2"/>
                <w:position w:val="2"/>
                <w:sz w:val="27"/>
                <w:szCs w:val="27"/>
              </w:rPr>
              <w:t>-</w:t>
            </w:r>
            <w:r>
              <w:rPr>
                <w:rFonts w:ascii="Arial" w:hAnsi="Arial" w:eastAsia="Arial" w:cs="Arial"/>
                <w:spacing w:val="-35"/>
                <w:position w:val="2"/>
                <w:sz w:val="27"/>
                <w:szCs w:val="27"/>
              </w:rPr>
              <w:t xml:space="preserve"> </w:t>
            </w:r>
            <w:r>
              <w:rPr>
                <w:rFonts w:ascii="Arial" w:hAnsi="Arial" w:eastAsia="Arial" w:cs="Arial"/>
                <w:spacing w:val="2"/>
                <w:position w:val="2"/>
                <w:sz w:val="27"/>
                <w:szCs w:val="27"/>
              </w:rPr>
              <w:t xml:space="preserve">-    </w:t>
            </w:r>
            <w:r>
              <w:rPr>
                <w:spacing w:val="2"/>
                <w:position w:val="-2"/>
                <w:sz w:val="19"/>
                <w:szCs w:val="19"/>
              </w:rPr>
              <w:t>颚破</w:t>
            </w:r>
            <w:r>
              <w:rPr>
                <w:position w:val="-2"/>
                <w:sz w:val="19"/>
                <w:szCs w:val="19"/>
              </w:rPr>
              <w:t xml:space="preserve">    </w:t>
            </w:r>
          </w:p>
          <w:p w14:paraId="1D48E4F8">
            <w:pPr>
              <w:pStyle w:val="6"/>
              <w:spacing w:before="76"/>
              <w:ind w:left="2753"/>
              <w:rPr>
                <w:sz w:val="18"/>
                <w:szCs w:val="18"/>
              </w:rPr>
            </w:pPr>
            <w:r>
              <w:rPr>
                <w:position w:val="-10"/>
                <w:sz w:val="18"/>
                <w:szCs w:val="18"/>
              </w:rPr>
              <w:drawing>
                <wp:inline distT="0" distB="0" distL="0" distR="0">
                  <wp:extent cx="76200" cy="21590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73"/>
                          <a:stretch>
                            <a:fillRect/>
                          </a:stretch>
                        </pic:blipFill>
                        <pic:spPr>
                          <a:xfrm>
                            <a:off x="0" y="0"/>
                            <a:ext cx="76200" cy="215912"/>
                          </a:xfrm>
                          <a:prstGeom prst="rect">
                            <a:avLst/>
                          </a:prstGeom>
                        </pic:spPr>
                      </pic:pic>
                    </a:graphicData>
                  </a:graphic>
                </wp:inline>
              </w:drawing>
            </w:r>
            <w:r>
              <w:rPr>
                <w:spacing w:val="-33"/>
                <w:position w:val="1"/>
                <w:sz w:val="18"/>
                <w:szCs w:val="18"/>
              </w:rPr>
              <w:t xml:space="preserve"> </w:t>
            </w:r>
            <w:r>
              <w:rPr>
                <w:spacing w:val="-2"/>
                <w:position w:val="1"/>
                <w:sz w:val="18"/>
                <w:szCs w:val="18"/>
              </w:rPr>
              <w:t>封闭输送</w:t>
            </w:r>
            <w:r>
              <w:rPr>
                <w:spacing w:val="4"/>
                <w:position w:val="1"/>
                <w:sz w:val="18"/>
                <w:szCs w:val="18"/>
              </w:rPr>
              <w:t xml:space="preserve">     </w:t>
            </w:r>
            <w:r>
              <w:rPr>
                <w:spacing w:val="-2"/>
                <w:position w:val="-4"/>
                <w:sz w:val="18"/>
                <w:szCs w:val="18"/>
              </w:rPr>
              <w:t>合</w:t>
            </w:r>
          </w:p>
          <w:p w14:paraId="574EED4B">
            <w:pPr>
              <w:spacing w:line="246" w:lineRule="auto"/>
              <w:rPr>
                <w:rFonts w:ascii="Arial"/>
                <w:sz w:val="21"/>
              </w:rPr>
            </w:pPr>
          </w:p>
          <w:p w14:paraId="6BC8B223">
            <w:pPr>
              <w:spacing w:line="246" w:lineRule="auto"/>
              <w:rPr>
                <w:rFonts w:ascii="Arial"/>
                <w:sz w:val="21"/>
              </w:rPr>
            </w:pPr>
          </w:p>
          <w:p w14:paraId="0DF0867C">
            <w:pPr>
              <w:spacing w:line="246" w:lineRule="auto"/>
              <w:rPr>
                <w:rFonts w:ascii="Arial"/>
                <w:sz w:val="21"/>
              </w:rPr>
            </w:pPr>
          </w:p>
          <w:p w14:paraId="5407077B">
            <w:pPr>
              <w:spacing w:line="247" w:lineRule="auto"/>
              <w:rPr>
                <w:rFonts w:ascii="Arial"/>
                <w:sz w:val="21"/>
              </w:rPr>
            </w:pPr>
          </w:p>
          <w:p w14:paraId="4D6707B8">
            <w:pPr>
              <w:spacing w:line="247" w:lineRule="auto"/>
              <w:rPr>
                <w:rFonts w:ascii="Arial"/>
                <w:sz w:val="21"/>
              </w:rPr>
            </w:pPr>
          </w:p>
          <w:p w14:paraId="39CBCDB3">
            <w:pPr>
              <w:spacing w:line="247" w:lineRule="auto"/>
              <w:rPr>
                <w:rFonts w:ascii="Arial"/>
                <w:sz w:val="21"/>
              </w:rPr>
            </w:pPr>
          </w:p>
          <w:p w14:paraId="3A6AE4DC">
            <w:pPr>
              <w:pStyle w:val="6"/>
              <w:tabs>
                <w:tab w:val="left" w:pos="2463"/>
              </w:tabs>
              <w:spacing w:before="62" w:line="263" w:lineRule="auto"/>
              <w:ind w:left="2783" w:right="4368" w:hanging="426"/>
              <w:rPr>
                <w:sz w:val="18"/>
                <w:szCs w:val="18"/>
              </w:rPr>
            </w:pPr>
            <w:r>
              <w:rPr>
                <w:sz w:val="19"/>
                <w:szCs w:val="19"/>
              </w:rPr>
              <w:tab/>
            </w:r>
            <w:r>
              <w:rPr>
                <w:spacing w:val="7"/>
                <w:sz w:val="19"/>
                <w:szCs w:val="19"/>
              </w:rPr>
              <w:t>车间料斗</w:t>
            </w:r>
            <w:r>
              <w:rPr>
                <w:sz w:val="19"/>
                <w:szCs w:val="19"/>
              </w:rPr>
              <w:t xml:space="preserve">     </w:t>
            </w:r>
            <w:r>
              <w:rPr>
                <w:rFonts w:ascii="微软雅黑" w:hAnsi="微软雅黑" w:eastAsia="微软雅黑" w:cs="微软雅黑"/>
                <w:spacing w:val="-2"/>
                <w:position w:val="-5"/>
                <w:sz w:val="23"/>
                <w:szCs w:val="23"/>
              </w:rPr>
              <w:t>↓</w:t>
            </w:r>
            <w:r>
              <w:rPr>
                <w:spacing w:val="-2"/>
                <w:position w:val="4"/>
                <w:sz w:val="18"/>
                <w:szCs w:val="18"/>
              </w:rPr>
              <w:t>封闭输送</w:t>
            </w:r>
          </w:p>
          <w:p w14:paraId="71AE3FE2">
            <w:pPr>
              <w:pStyle w:val="6"/>
              <w:spacing w:before="12" w:line="186" w:lineRule="auto"/>
              <w:ind w:left="2801" w:right="3878" w:hanging="1318"/>
              <w:rPr>
                <w:sz w:val="18"/>
                <w:szCs w:val="18"/>
              </w:rPr>
            </w:pPr>
            <w:r>
              <w:drawing>
                <wp:anchor distT="0" distB="0" distL="0" distR="0" simplePos="0" relativeHeight="251743232" behindDoc="1" locked="0" layoutInCell="1" allowOverlap="1">
                  <wp:simplePos x="0" y="0"/>
                  <wp:positionH relativeFrom="column">
                    <wp:posOffset>1496695</wp:posOffset>
                  </wp:positionH>
                  <wp:positionV relativeFrom="paragraph">
                    <wp:posOffset>-53975</wp:posOffset>
                  </wp:positionV>
                  <wp:extent cx="629920" cy="24257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74"/>
                          <a:stretch>
                            <a:fillRect/>
                          </a:stretch>
                        </pic:blipFill>
                        <pic:spPr>
                          <a:xfrm>
                            <a:off x="0" y="0"/>
                            <a:ext cx="629920" cy="242569"/>
                          </a:xfrm>
                          <a:prstGeom prst="rect">
                            <a:avLst/>
                          </a:prstGeom>
                        </pic:spPr>
                      </pic:pic>
                    </a:graphicData>
                  </a:graphic>
                </wp:anchor>
              </w:drawing>
            </w:r>
            <w:r>
              <w:rPr>
                <w:spacing w:val="9"/>
                <w:position w:val="-3"/>
                <w:sz w:val="18"/>
                <w:szCs w:val="18"/>
              </w:rPr>
              <w:t>噪声</w:t>
            </w:r>
            <w:r>
              <w:rPr>
                <w:spacing w:val="-16"/>
                <w:position w:val="-3"/>
                <w:sz w:val="18"/>
                <w:szCs w:val="18"/>
              </w:rPr>
              <w:t xml:space="preserve"> </w:t>
            </w:r>
            <w:r>
              <w:rPr>
                <w:rFonts w:ascii="Arial" w:hAnsi="Arial" w:eastAsia="Arial" w:cs="Arial"/>
                <w:spacing w:val="9"/>
                <w:position w:val="1"/>
                <w:sz w:val="30"/>
                <w:szCs w:val="30"/>
              </w:rPr>
              <w:t>t</w:t>
            </w:r>
            <w:r>
              <w:rPr>
                <w:rFonts w:ascii="Arial" w:hAnsi="Arial" w:eastAsia="Arial" w:cs="Arial"/>
                <w:spacing w:val="-43"/>
                <w:position w:val="1"/>
                <w:sz w:val="30"/>
                <w:szCs w:val="30"/>
              </w:rPr>
              <w:t xml:space="preserve"> </w:t>
            </w:r>
            <w:r>
              <w:rPr>
                <w:rFonts w:ascii="Arial" w:hAnsi="Arial" w:eastAsia="Arial" w:cs="Arial"/>
                <w:spacing w:val="9"/>
                <w:position w:val="1"/>
                <w:sz w:val="30"/>
                <w:szCs w:val="30"/>
              </w:rPr>
              <w:t>-</w:t>
            </w:r>
            <w:r>
              <w:rPr>
                <w:rFonts w:ascii="Arial" w:hAnsi="Arial" w:eastAsia="Arial" w:cs="Arial"/>
                <w:spacing w:val="-43"/>
                <w:position w:val="1"/>
                <w:sz w:val="30"/>
                <w:szCs w:val="30"/>
              </w:rPr>
              <w:t xml:space="preserve"> </w:t>
            </w:r>
            <w:r>
              <w:rPr>
                <w:rFonts w:ascii="Arial" w:hAnsi="Arial" w:eastAsia="Arial" w:cs="Arial"/>
                <w:spacing w:val="9"/>
                <w:position w:val="1"/>
                <w:sz w:val="30"/>
                <w:szCs w:val="30"/>
              </w:rPr>
              <w:t>-</w:t>
            </w:r>
            <w:r>
              <w:rPr>
                <w:rFonts w:ascii="Arial" w:hAnsi="Arial" w:eastAsia="Arial" w:cs="Arial"/>
                <w:spacing w:val="21"/>
                <w:position w:val="1"/>
                <w:sz w:val="30"/>
                <w:szCs w:val="30"/>
              </w:rPr>
              <w:t xml:space="preserve">  </w:t>
            </w:r>
            <w:r>
              <w:rPr>
                <w:spacing w:val="9"/>
                <w:position w:val="-2"/>
                <w:sz w:val="19"/>
                <w:szCs w:val="19"/>
              </w:rPr>
              <w:t xml:space="preserve">球磨机  </w:t>
            </w:r>
            <w:r>
              <w:rPr>
                <w:position w:val="-1"/>
                <w:sz w:val="19"/>
                <w:szCs w:val="19"/>
              </w:rPr>
              <w:drawing>
                <wp:inline distT="0" distB="0" distL="0" distR="0">
                  <wp:extent cx="288290" cy="7620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75"/>
                          <a:stretch>
                            <a:fillRect/>
                          </a:stretch>
                        </pic:blipFill>
                        <pic:spPr>
                          <a:xfrm>
                            <a:off x="0" y="0"/>
                            <a:ext cx="288302" cy="76200"/>
                          </a:xfrm>
                          <a:prstGeom prst="rect">
                            <a:avLst/>
                          </a:prstGeom>
                        </pic:spPr>
                      </pic:pic>
                    </a:graphicData>
                  </a:graphic>
                </wp:inline>
              </w:drawing>
            </w:r>
            <w:r>
              <w:rPr>
                <w:spacing w:val="24"/>
                <w:position w:val="-2"/>
                <w:sz w:val="19"/>
                <w:szCs w:val="19"/>
              </w:rPr>
              <w:t xml:space="preserve"> </w:t>
            </w:r>
            <w:r>
              <w:rPr>
                <w:spacing w:val="9"/>
                <w:sz w:val="18"/>
                <w:szCs w:val="18"/>
              </w:rPr>
              <w:t>水</w:t>
            </w:r>
            <w:r>
              <w:rPr>
                <w:sz w:val="18"/>
                <w:szCs w:val="18"/>
              </w:rPr>
              <w:t xml:space="preserve"> </w:t>
            </w:r>
            <w:r>
              <w:rPr>
                <w:rFonts w:ascii="微软雅黑" w:hAnsi="微软雅黑" w:eastAsia="微软雅黑" w:cs="微软雅黑"/>
                <w:spacing w:val="-50"/>
                <w:position w:val="-2"/>
                <w:sz w:val="34"/>
                <w:szCs w:val="34"/>
              </w:rPr>
              <w:t>↓</w:t>
            </w:r>
            <w:r>
              <w:rPr>
                <w:rFonts w:ascii="微软雅黑" w:hAnsi="微软雅黑" w:eastAsia="微软雅黑" w:cs="微软雅黑"/>
                <w:spacing w:val="-44"/>
                <w:position w:val="-2"/>
                <w:sz w:val="34"/>
                <w:szCs w:val="34"/>
              </w:rPr>
              <w:t xml:space="preserve"> </w:t>
            </w:r>
            <w:r>
              <w:rPr>
                <w:spacing w:val="-6"/>
                <w:position w:val="4"/>
                <w:sz w:val="18"/>
                <w:szCs w:val="18"/>
              </w:rPr>
              <w:t>管道</w:t>
            </w:r>
          </w:p>
          <w:p w14:paraId="5A16A37F">
            <w:pPr>
              <w:pStyle w:val="6"/>
              <w:spacing w:line="237" w:lineRule="exact"/>
              <w:ind w:left="1085"/>
              <w:rPr>
                <w:sz w:val="19"/>
                <w:szCs w:val="19"/>
              </w:rPr>
            </w:pPr>
            <w:r>
              <w:drawing>
                <wp:anchor distT="0" distB="0" distL="0" distR="0" simplePos="0" relativeHeight="251741184" behindDoc="1" locked="0" layoutInCell="1" allowOverlap="1">
                  <wp:simplePos x="0" y="0"/>
                  <wp:positionH relativeFrom="column">
                    <wp:posOffset>1233170</wp:posOffset>
                  </wp:positionH>
                  <wp:positionV relativeFrom="paragraph">
                    <wp:posOffset>-65405</wp:posOffset>
                  </wp:positionV>
                  <wp:extent cx="1147445" cy="24257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76"/>
                          <a:stretch>
                            <a:fillRect/>
                          </a:stretch>
                        </pic:blipFill>
                        <pic:spPr>
                          <a:xfrm>
                            <a:off x="0" y="0"/>
                            <a:ext cx="1147445" cy="242570"/>
                          </a:xfrm>
                          <a:prstGeom prst="rect">
                            <a:avLst/>
                          </a:prstGeom>
                        </pic:spPr>
                      </pic:pic>
                    </a:graphicData>
                  </a:graphic>
                </wp:anchor>
              </w:drawing>
            </w:r>
            <w:r>
              <w:rPr>
                <w:spacing w:val="4"/>
                <w:position w:val="-1"/>
                <w:sz w:val="18"/>
                <w:szCs w:val="18"/>
              </w:rPr>
              <w:t>噪声</w:t>
            </w:r>
            <w:r>
              <w:rPr>
                <w:spacing w:val="-39"/>
                <w:position w:val="-1"/>
                <w:sz w:val="18"/>
                <w:szCs w:val="18"/>
              </w:rPr>
              <w:t xml:space="preserve"> </w:t>
            </w:r>
            <w:r>
              <w:rPr>
                <w:rFonts w:ascii="Arial" w:hAnsi="Arial" w:eastAsia="Arial" w:cs="Arial"/>
                <w:spacing w:val="4"/>
                <w:position w:val="3"/>
                <w:sz w:val="29"/>
                <w:szCs w:val="29"/>
              </w:rPr>
              <w:t>1</w:t>
            </w:r>
            <w:r>
              <w:rPr>
                <w:rFonts w:ascii="Arial" w:hAnsi="Arial" w:eastAsia="Arial" w:cs="Arial"/>
                <w:spacing w:val="-40"/>
                <w:position w:val="3"/>
                <w:sz w:val="29"/>
                <w:szCs w:val="29"/>
              </w:rPr>
              <w:t xml:space="preserve"> </w:t>
            </w:r>
            <w:r>
              <w:rPr>
                <w:rFonts w:ascii="Arial" w:hAnsi="Arial" w:eastAsia="Arial" w:cs="Arial"/>
                <w:spacing w:val="4"/>
                <w:position w:val="3"/>
                <w:sz w:val="29"/>
                <w:szCs w:val="29"/>
              </w:rPr>
              <w:t>-</w:t>
            </w:r>
            <w:r>
              <w:rPr>
                <w:rFonts w:ascii="Arial" w:hAnsi="Arial" w:eastAsia="Arial" w:cs="Arial"/>
                <w:spacing w:val="-41"/>
                <w:position w:val="3"/>
                <w:sz w:val="29"/>
                <w:szCs w:val="29"/>
              </w:rPr>
              <w:t xml:space="preserve"> </w:t>
            </w:r>
            <w:r>
              <w:rPr>
                <w:rFonts w:ascii="Arial" w:hAnsi="Arial" w:eastAsia="Arial" w:cs="Arial"/>
                <w:spacing w:val="4"/>
                <w:position w:val="3"/>
                <w:sz w:val="29"/>
                <w:szCs w:val="29"/>
              </w:rPr>
              <w:t xml:space="preserve">-   </w:t>
            </w:r>
            <w:r>
              <w:rPr>
                <w:spacing w:val="4"/>
                <w:position w:val="-1"/>
                <w:sz w:val="19"/>
                <w:szCs w:val="19"/>
              </w:rPr>
              <w:t>过渡池</w:t>
            </w:r>
            <w:r>
              <w:rPr>
                <w:rFonts w:ascii="Times New Roman" w:hAnsi="Times New Roman" w:eastAsia="Times New Roman" w:cs="Times New Roman"/>
                <w:spacing w:val="4"/>
                <w:position w:val="-1"/>
                <w:sz w:val="19"/>
                <w:szCs w:val="19"/>
              </w:rPr>
              <w:t>(</w:t>
            </w:r>
            <w:r>
              <w:rPr>
                <w:spacing w:val="4"/>
                <w:position w:val="-1"/>
                <w:sz w:val="19"/>
                <w:szCs w:val="19"/>
              </w:rPr>
              <w:t>搅拌器</w:t>
            </w:r>
            <w:r>
              <w:rPr>
                <w:rFonts w:ascii="Times New Roman" w:hAnsi="Times New Roman" w:eastAsia="Times New Roman" w:cs="Times New Roman"/>
                <w:spacing w:val="4"/>
                <w:position w:val="-1"/>
                <w:sz w:val="19"/>
                <w:szCs w:val="19"/>
              </w:rPr>
              <w:t xml:space="preserve">)                 </w:t>
            </w:r>
            <w:r>
              <w:rPr>
                <w:b/>
                <w:bCs/>
                <w:color w:val="E36C09"/>
                <w:spacing w:val="4"/>
                <w:position w:val="-2"/>
                <w:sz w:val="19"/>
                <w:szCs w:val="19"/>
              </w:rPr>
              <w:t>水泥、石灰、粉煤灰等</w:t>
            </w:r>
          </w:p>
          <w:p w14:paraId="6BF893EE">
            <w:pPr>
              <w:pStyle w:val="6"/>
              <w:spacing w:before="20" w:line="205" w:lineRule="auto"/>
              <w:ind w:left="2810"/>
              <w:rPr>
                <w:sz w:val="18"/>
                <w:szCs w:val="18"/>
              </w:rPr>
            </w:pPr>
            <w:r>
              <w:rPr>
                <w:rFonts w:ascii="微软雅黑" w:hAnsi="微软雅黑" w:eastAsia="微软雅黑" w:cs="微软雅黑"/>
                <w:spacing w:val="-9"/>
                <w:position w:val="-4"/>
                <w:sz w:val="24"/>
                <w:szCs w:val="24"/>
              </w:rPr>
              <w:t>↓</w:t>
            </w:r>
            <w:r>
              <w:rPr>
                <w:spacing w:val="-9"/>
                <w:position w:val="3"/>
                <w:sz w:val="18"/>
                <w:szCs w:val="18"/>
              </w:rPr>
              <w:t>管道</w:t>
            </w:r>
            <w:r>
              <w:rPr>
                <w:spacing w:val="2"/>
                <w:position w:val="3"/>
                <w:sz w:val="18"/>
                <w:szCs w:val="18"/>
              </w:rPr>
              <w:t xml:space="preserve">                   </w:t>
            </w:r>
            <w:r>
              <w:rPr>
                <w:spacing w:val="1"/>
                <w:position w:val="3"/>
                <w:sz w:val="18"/>
                <w:szCs w:val="18"/>
              </w:rPr>
              <w:t xml:space="preserve">  </w:t>
            </w:r>
            <w:r>
              <w:rPr>
                <w:position w:val="-8"/>
                <w:sz w:val="18"/>
                <w:szCs w:val="18"/>
              </w:rPr>
              <w:drawing>
                <wp:inline distT="0" distB="0" distL="0" distR="0">
                  <wp:extent cx="76200" cy="21590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77"/>
                          <a:stretch>
                            <a:fillRect/>
                          </a:stretch>
                        </pic:blipFill>
                        <pic:spPr>
                          <a:xfrm>
                            <a:off x="0" y="0"/>
                            <a:ext cx="76200" cy="215912"/>
                          </a:xfrm>
                          <a:prstGeom prst="rect">
                            <a:avLst/>
                          </a:prstGeom>
                        </pic:spPr>
                      </pic:pic>
                    </a:graphicData>
                  </a:graphic>
                </wp:inline>
              </w:drawing>
            </w:r>
            <w:r>
              <w:rPr>
                <w:spacing w:val="-9"/>
                <w:position w:val="3"/>
                <w:sz w:val="18"/>
                <w:szCs w:val="18"/>
              </w:rPr>
              <w:t>气力</w:t>
            </w:r>
          </w:p>
          <w:p w14:paraId="7194285F">
            <w:pPr>
              <w:pStyle w:val="6"/>
              <w:spacing w:before="85" w:line="240" w:lineRule="exact"/>
              <w:ind w:left="1063"/>
              <w:rPr>
                <w:sz w:val="18"/>
                <w:szCs w:val="18"/>
              </w:rPr>
            </w:pPr>
            <w:r>
              <w:rPr>
                <w:spacing w:val="1"/>
                <w:position w:val="-1"/>
                <w:sz w:val="18"/>
                <w:szCs w:val="18"/>
              </w:rPr>
              <w:t>噪声</w:t>
            </w:r>
            <w:r>
              <w:rPr>
                <w:spacing w:val="-14"/>
                <w:position w:val="-1"/>
                <w:sz w:val="18"/>
                <w:szCs w:val="18"/>
              </w:rPr>
              <w:t xml:space="preserve"> </w:t>
            </w:r>
            <w:r>
              <w:rPr>
                <w:rFonts w:ascii="Arial" w:hAnsi="Arial" w:eastAsia="Arial" w:cs="Arial"/>
                <w:spacing w:val="1"/>
                <w:position w:val="3"/>
                <w:sz w:val="30"/>
                <w:szCs w:val="30"/>
              </w:rPr>
              <w:t>1</w:t>
            </w:r>
            <w:r>
              <w:rPr>
                <w:rFonts w:ascii="Arial" w:hAnsi="Arial" w:eastAsia="Arial" w:cs="Arial"/>
                <w:spacing w:val="-43"/>
                <w:position w:val="3"/>
                <w:sz w:val="30"/>
                <w:szCs w:val="30"/>
              </w:rPr>
              <w:t xml:space="preserve"> </w:t>
            </w:r>
            <w:r>
              <w:rPr>
                <w:rFonts w:ascii="Arial" w:hAnsi="Arial" w:eastAsia="Arial" w:cs="Arial"/>
                <w:spacing w:val="1"/>
                <w:position w:val="3"/>
                <w:sz w:val="30"/>
                <w:szCs w:val="30"/>
              </w:rPr>
              <w:t>-</w:t>
            </w:r>
            <w:r>
              <w:rPr>
                <w:rFonts w:ascii="Arial" w:hAnsi="Arial" w:eastAsia="Arial" w:cs="Arial"/>
                <w:spacing w:val="-43"/>
                <w:position w:val="3"/>
                <w:sz w:val="30"/>
                <w:szCs w:val="30"/>
              </w:rPr>
              <w:t xml:space="preserve"> </w:t>
            </w:r>
            <w:r>
              <w:rPr>
                <w:rFonts w:ascii="Arial" w:hAnsi="Arial" w:eastAsia="Arial" w:cs="Arial"/>
                <w:spacing w:val="1"/>
                <w:position w:val="3"/>
                <w:sz w:val="30"/>
                <w:szCs w:val="30"/>
              </w:rPr>
              <w:t>-</w:t>
            </w:r>
            <w:r>
              <w:rPr>
                <w:rFonts w:ascii="Arial" w:hAnsi="Arial" w:eastAsia="Arial" w:cs="Arial"/>
                <w:spacing w:val="33"/>
                <w:position w:val="3"/>
                <w:sz w:val="30"/>
                <w:szCs w:val="30"/>
              </w:rPr>
              <w:t xml:space="preserve">  </w:t>
            </w:r>
            <w:r>
              <w:rPr>
                <w:spacing w:val="1"/>
                <w:position w:val="-1"/>
                <w:sz w:val="19"/>
                <w:szCs w:val="19"/>
              </w:rPr>
              <w:t>原浆罐</w:t>
            </w:r>
            <w:r>
              <w:rPr>
                <w:rFonts w:ascii="Times New Roman" w:hAnsi="Times New Roman" w:eastAsia="Times New Roman" w:cs="Times New Roman"/>
                <w:spacing w:val="1"/>
                <w:position w:val="-1"/>
                <w:sz w:val="19"/>
                <w:szCs w:val="19"/>
              </w:rPr>
              <w:t>(</w:t>
            </w:r>
            <w:r>
              <w:rPr>
                <w:spacing w:val="1"/>
                <w:position w:val="-1"/>
                <w:sz w:val="19"/>
                <w:szCs w:val="19"/>
              </w:rPr>
              <w:t>搅拌器</w:t>
            </w:r>
            <w:r>
              <w:rPr>
                <w:rFonts w:ascii="Times New Roman" w:hAnsi="Times New Roman" w:eastAsia="Times New Roman" w:cs="Times New Roman"/>
                <w:spacing w:val="1"/>
                <w:position w:val="-1"/>
                <w:sz w:val="19"/>
                <w:szCs w:val="19"/>
              </w:rPr>
              <w:t xml:space="preserve">)                               </w:t>
            </w:r>
            <w:r>
              <w:rPr>
                <w:spacing w:val="1"/>
                <w:sz w:val="19"/>
                <w:szCs w:val="19"/>
              </w:rPr>
              <w:t>筒</w:t>
            </w:r>
            <w:r>
              <w:rPr>
                <w:spacing w:val="10"/>
                <w:sz w:val="19"/>
                <w:szCs w:val="19"/>
              </w:rPr>
              <w:t xml:space="preserve">  </w:t>
            </w:r>
            <w:r>
              <w:rPr>
                <w:spacing w:val="1"/>
                <w:sz w:val="19"/>
                <w:szCs w:val="19"/>
              </w:rPr>
              <w:t xml:space="preserve">仓   </w:t>
            </w:r>
            <w:r>
              <w:rPr>
                <w:rFonts w:ascii="Arial" w:hAnsi="Arial" w:eastAsia="Arial" w:cs="Arial"/>
                <w:spacing w:val="1"/>
                <w:position w:val="3"/>
                <w:sz w:val="30"/>
                <w:szCs w:val="30"/>
              </w:rPr>
              <w:t>-</w:t>
            </w:r>
            <w:r>
              <w:rPr>
                <w:rFonts w:ascii="Arial" w:hAnsi="Arial" w:eastAsia="Arial" w:cs="Arial"/>
                <w:spacing w:val="-44"/>
                <w:position w:val="3"/>
                <w:sz w:val="30"/>
                <w:szCs w:val="30"/>
              </w:rPr>
              <w:t xml:space="preserve"> </w:t>
            </w:r>
            <w:r>
              <w:rPr>
                <w:rFonts w:ascii="Arial" w:hAnsi="Arial" w:eastAsia="Arial" w:cs="Arial"/>
                <w:spacing w:val="1"/>
                <w:position w:val="3"/>
                <w:sz w:val="30"/>
                <w:szCs w:val="30"/>
              </w:rPr>
              <w:t>-</w:t>
            </w:r>
            <w:r>
              <w:rPr>
                <w:rFonts w:ascii="Arial" w:hAnsi="Arial" w:eastAsia="Arial" w:cs="Arial"/>
                <w:spacing w:val="-43"/>
                <w:position w:val="3"/>
                <w:sz w:val="30"/>
                <w:szCs w:val="30"/>
              </w:rPr>
              <w:t xml:space="preserve"> </w:t>
            </w:r>
            <w:r>
              <w:rPr>
                <w:rFonts w:ascii="Arial" w:hAnsi="Arial" w:eastAsia="Arial" w:cs="Arial"/>
                <w:spacing w:val="1"/>
                <w:position w:val="3"/>
                <w:sz w:val="30"/>
                <w:szCs w:val="30"/>
              </w:rPr>
              <w:t xml:space="preserve">+ </w:t>
            </w:r>
            <w:r>
              <w:rPr>
                <w:spacing w:val="1"/>
                <w:position w:val="2"/>
                <w:sz w:val="18"/>
                <w:szCs w:val="18"/>
              </w:rPr>
              <w:t>粉尘</w:t>
            </w:r>
          </w:p>
          <w:p w14:paraId="7FDA7970">
            <w:pPr>
              <w:pStyle w:val="6"/>
              <w:spacing w:before="59" w:line="350" w:lineRule="exact"/>
              <w:ind w:left="2842"/>
              <w:rPr>
                <w:rFonts w:ascii="微软雅黑" w:hAnsi="微软雅黑" w:eastAsia="微软雅黑" w:cs="微软雅黑"/>
                <w:sz w:val="34"/>
                <w:szCs w:val="34"/>
              </w:rPr>
            </w:pPr>
            <w:r>
              <w:pict>
                <v:shape id="_x0000_s1062" o:spid="_x0000_s1062" o:spt="202" type="#_x0000_t202" style="position:absolute;left:0pt;margin-left:194.5pt;margin-top:15.65pt;height:11.95pt;width:21.65pt;z-index:251753472;mso-width-relative:page;mso-height-relative:page;" filled="f" stroked="f" coordsize="21600,21600">
                  <v:path/>
                  <v:fill on="f" focussize="0,0"/>
                  <v:stroke on="f"/>
                  <v:imagedata o:title=""/>
                  <o:lock v:ext="edit" aspectratio="f"/>
                  <v:textbox inset="0mm,0mm,0mm,0mm">
                    <w:txbxContent>
                      <w:p w14:paraId="32A93942">
                        <w:pPr>
                          <w:pStyle w:val="6"/>
                          <w:spacing w:before="20" w:line="193" w:lineRule="auto"/>
                          <w:ind w:left="20"/>
                          <w:rPr>
                            <w:sz w:val="19"/>
                            <w:szCs w:val="19"/>
                          </w:rPr>
                        </w:pPr>
                        <w:r>
                          <w:rPr>
                            <w:b/>
                            <w:bCs/>
                            <w:color w:val="E36C09"/>
                            <w:spacing w:val="4"/>
                            <w:sz w:val="19"/>
                            <w:szCs w:val="19"/>
                          </w:rPr>
                          <w:t>铝粉</w:t>
                        </w:r>
                      </w:p>
                    </w:txbxContent>
                  </v:textbox>
                </v:shape>
              </w:pict>
            </w:r>
            <w:r>
              <w:rPr>
                <w:position w:val="-7"/>
                <w:sz w:val="18"/>
                <w:szCs w:val="18"/>
              </w:rPr>
              <w:drawing>
                <wp:inline distT="0" distB="0" distL="0" distR="0">
                  <wp:extent cx="76200" cy="21590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78"/>
                          <a:stretch>
                            <a:fillRect/>
                          </a:stretch>
                        </pic:blipFill>
                        <pic:spPr>
                          <a:xfrm>
                            <a:off x="0" y="0"/>
                            <a:ext cx="76200" cy="215912"/>
                          </a:xfrm>
                          <a:prstGeom prst="rect">
                            <a:avLst/>
                          </a:prstGeom>
                        </pic:spPr>
                      </pic:pic>
                    </a:graphicData>
                  </a:graphic>
                </wp:inline>
              </w:drawing>
            </w:r>
            <w:r>
              <w:rPr>
                <w:spacing w:val="-2"/>
                <w:position w:val="6"/>
                <w:sz w:val="18"/>
                <w:szCs w:val="18"/>
              </w:rPr>
              <w:t xml:space="preserve">管道                      </w:t>
            </w:r>
            <w:r>
              <w:rPr>
                <w:rFonts w:ascii="微软雅黑" w:hAnsi="微软雅黑" w:eastAsia="微软雅黑" w:cs="微软雅黑"/>
                <w:spacing w:val="-2"/>
                <w:position w:val="2"/>
                <w:sz w:val="34"/>
                <w:szCs w:val="34"/>
              </w:rPr>
              <w:t>↓</w:t>
            </w:r>
          </w:p>
          <w:p w14:paraId="3F3AAE4E">
            <w:pPr>
              <w:pStyle w:val="6"/>
              <w:spacing w:before="202" w:line="205" w:lineRule="auto"/>
              <w:ind w:left="2827"/>
              <w:rPr>
                <w:sz w:val="18"/>
                <w:szCs w:val="18"/>
              </w:rPr>
            </w:pPr>
            <w:r>
              <w:pict>
                <v:shape id="_x0000_s1063" o:spid="_x0000_s1063" o:spt="202" type="#_x0000_t202" style="position:absolute;left:0pt;margin-left:112.85pt;margin-top:3.7pt;height:11.95pt;width:196.35pt;z-index:251752448;mso-width-relative:page;mso-height-relative:page;" filled="f" stroked="f" coordsize="21600,21600">
                  <v:path/>
                  <v:fill on="f" focussize="0,0"/>
                  <v:stroke on="f"/>
                  <v:imagedata o:title=""/>
                  <o:lock v:ext="edit" aspectratio="f"/>
                  <v:textbox inset="0mm,0mm,0mm,0mm">
                    <w:txbxContent>
                      <w:p w14:paraId="62E81D9F">
                        <w:pPr>
                          <w:pStyle w:val="6"/>
                          <w:spacing w:before="20" w:line="193" w:lineRule="auto"/>
                          <w:ind w:left="20"/>
                          <w:rPr>
                            <w:sz w:val="19"/>
                            <w:szCs w:val="19"/>
                          </w:rPr>
                        </w:pPr>
                        <w:r>
                          <w:rPr>
                            <w:spacing w:val="8"/>
                            <w:sz w:val="19"/>
                            <w:szCs w:val="19"/>
                          </w:rPr>
                          <w:t>计量管道输送</w:t>
                        </w:r>
                        <w:r>
                          <w:rPr>
                            <w:spacing w:val="3"/>
                            <w:sz w:val="19"/>
                            <w:szCs w:val="19"/>
                          </w:rPr>
                          <w:t xml:space="preserve">              </w:t>
                        </w:r>
                        <w:r>
                          <w:rPr>
                            <w:spacing w:val="8"/>
                            <w:sz w:val="19"/>
                            <w:szCs w:val="19"/>
                          </w:rPr>
                          <w:t>计量螺旋输送</w:t>
                        </w:r>
                        <w:r>
                          <w:rPr>
                            <w:spacing w:val="5"/>
                            <w:sz w:val="19"/>
                            <w:szCs w:val="19"/>
                          </w:rPr>
                          <w:t xml:space="preserve">  </w:t>
                        </w:r>
                      </w:p>
                    </w:txbxContent>
                  </v:textbox>
                </v:shape>
              </w:pict>
            </w:r>
            <w:r>
              <w:rPr>
                <w:rFonts w:ascii="Arial" w:hAnsi="Arial" w:eastAsia="Arial" w:cs="Arial"/>
                <w:position w:val="-14"/>
                <w:sz w:val="51"/>
                <w:szCs w:val="51"/>
              </w:rPr>
              <w:drawing>
                <wp:inline distT="0" distB="0" distL="0" distR="0">
                  <wp:extent cx="76200" cy="21590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79"/>
                          <a:stretch>
                            <a:fillRect/>
                          </a:stretch>
                        </pic:blipFill>
                        <pic:spPr>
                          <a:xfrm>
                            <a:off x="0" y="0"/>
                            <a:ext cx="76200" cy="215912"/>
                          </a:xfrm>
                          <a:prstGeom prst="rect">
                            <a:avLst/>
                          </a:prstGeom>
                        </pic:spPr>
                      </pic:pic>
                    </a:graphicData>
                  </a:graphic>
                </wp:inline>
              </w:drawing>
            </w:r>
            <w:r>
              <w:rPr>
                <w:rFonts w:ascii="Arial" w:hAnsi="Arial" w:eastAsia="Arial" w:cs="Arial"/>
                <w:spacing w:val="9"/>
                <w:position w:val="-2"/>
                <w:sz w:val="51"/>
                <w:szCs w:val="51"/>
              </w:rPr>
              <w:t xml:space="preserve">       </w:t>
            </w:r>
            <w:r>
              <w:rPr>
                <w:rFonts w:ascii="Arial" w:hAnsi="Arial" w:eastAsia="Arial" w:cs="Arial"/>
                <w:spacing w:val="-22"/>
                <w:position w:val="-2"/>
                <w:sz w:val="51"/>
                <w:szCs w:val="51"/>
              </w:rPr>
              <w:t>!</w:t>
            </w:r>
            <w:r>
              <w:rPr>
                <w:spacing w:val="-11"/>
                <w:position w:val="9"/>
                <w:sz w:val="18"/>
                <w:szCs w:val="18"/>
              </w:rPr>
              <w:t>按需</w:t>
            </w:r>
            <w:r>
              <w:rPr>
                <w:spacing w:val="10"/>
                <w:position w:val="9"/>
                <w:sz w:val="18"/>
                <w:szCs w:val="18"/>
              </w:rPr>
              <w:t xml:space="preserve">        </w:t>
            </w:r>
            <w:r>
              <w:rPr>
                <w:position w:val="-13"/>
                <w:sz w:val="18"/>
                <w:szCs w:val="18"/>
              </w:rPr>
              <w:drawing>
                <wp:inline distT="0" distB="0" distL="0" distR="0">
                  <wp:extent cx="76200" cy="21590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80"/>
                          <a:stretch>
                            <a:fillRect/>
                          </a:stretch>
                        </pic:blipFill>
                        <pic:spPr>
                          <a:xfrm>
                            <a:off x="0" y="0"/>
                            <a:ext cx="76200" cy="215912"/>
                          </a:xfrm>
                          <a:prstGeom prst="rect">
                            <a:avLst/>
                          </a:prstGeom>
                        </pic:spPr>
                      </pic:pic>
                    </a:graphicData>
                  </a:graphic>
                </wp:inline>
              </w:drawing>
            </w:r>
          </w:p>
          <w:p w14:paraId="4213A4E3">
            <w:pPr>
              <w:pStyle w:val="6"/>
              <w:tabs>
                <w:tab w:val="left" w:pos="2966"/>
              </w:tabs>
              <w:spacing w:before="115" w:line="222" w:lineRule="exact"/>
              <w:ind w:left="2253"/>
              <w:rPr>
                <w:sz w:val="18"/>
                <w:szCs w:val="18"/>
              </w:rPr>
            </w:pPr>
            <w:r>
              <w:rPr>
                <w:position w:val="-2"/>
                <w:sz w:val="19"/>
                <w:szCs w:val="19"/>
              </w:rPr>
              <w:tab/>
            </w:r>
            <w:r>
              <w:rPr>
                <w:spacing w:val="10"/>
                <w:position w:val="-2"/>
                <w:sz w:val="19"/>
                <w:szCs w:val="19"/>
              </w:rPr>
              <w:t xml:space="preserve">配  料  罐（搅拌器）       </w:t>
            </w:r>
            <w:r>
              <w:rPr>
                <w:rFonts w:ascii="Arial" w:hAnsi="Arial" w:eastAsia="Arial" w:cs="Arial"/>
                <w:spacing w:val="10"/>
                <w:position w:val="-2"/>
                <w:sz w:val="38"/>
                <w:szCs w:val="38"/>
              </w:rPr>
              <w:t>-+</w:t>
            </w:r>
            <w:r>
              <w:rPr>
                <w:rFonts w:ascii="Arial" w:hAnsi="Arial" w:eastAsia="Arial" w:cs="Arial"/>
                <w:spacing w:val="-11"/>
                <w:position w:val="-2"/>
                <w:sz w:val="38"/>
                <w:szCs w:val="38"/>
              </w:rPr>
              <w:t xml:space="preserve"> </w:t>
            </w:r>
            <w:r>
              <w:rPr>
                <w:spacing w:val="10"/>
                <w:position w:val="-3"/>
                <w:sz w:val="18"/>
                <w:szCs w:val="18"/>
              </w:rPr>
              <w:t>噪声</w:t>
            </w:r>
          </w:p>
          <w:p w14:paraId="47A9282D">
            <w:pPr>
              <w:spacing w:before="67" w:line="340" w:lineRule="exact"/>
              <w:ind w:left="3928"/>
            </w:pPr>
            <w:r>
              <w:rPr>
                <w:position w:val="-7"/>
              </w:rPr>
              <w:drawing>
                <wp:inline distT="0" distB="0" distL="0" distR="0">
                  <wp:extent cx="76200" cy="21590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81"/>
                          <a:stretch>
                            <a:fillRect/>
                          </a:stretch>
                        </pic:blipFill>
                        <pic:spPr>
                          <a:xfrm>
                            <a:off x="0" y="0"/>
                            <a:ext cx="76200" cy="215912"/>
                          </a:xfrm>
                          <a:prstGeom prst="rect">
                            <a:avLst/>
                          </a:prstGeom>
                        </pic:spPr>
                      </pic:pic>
                    </a:graphicData>
                  </a:graphic>
                </wp:inline>
              </w:drawing>
            </w:r>
          </w:p>
          <w:p w14:paraId="7BDFA0B6">
            <w:pPr>
              <w:pStyle w:val="6"/>
              <w:spacing w:before="81" w:line="226" w:lineRule="exact"/>
              <w:ind w:left="885"/>
              <w:rPr>
                <w:sz w:val="18"/>
                <w:szCs w:val="18"/>
              </w:rPr>
            </w:pPr>
            <w:r>
              <w:rPr>
                <w:b/>
                <w:bCs/>
                <w:color w:val="E36C09"/>
                <w:spacing w:val="1"/>
                <w:position w:val="-3"/>
                <w:sz w:val="19"/>
                <w:szCs w:val="19"/>
              </w:rPr>
              <w:t>带肋钢筋网（板材生产）</w:t>
            </w:r>
            <w:r>
              <w:rPr>
                <w:position w:val="-1"/>
                <w:sz w:val="19"/>
                <w:szCs w:val="19"/>
              </w:rPr>
              <w:drawing>
                <wp:inline distT="0" distB="0" distL="0" distR="0">
                  <wp:extent cx="288290" cy="7620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82"/>
                          <a:stretch>
                            <a:fillRect/>
                          </a:stretch>
                        </pic:blipFill>
                        <pic:spPr>
                          <a:xfrm>
                            <a:off x="0" y="0"/>
                            <a:ext cx="288302" cy="76200"/>
                          </a:xfrm>
                          <a:prstGeom prst="rect">
                            <a:avLst/>
                          </a:prstGeom>
                        </pic:spPr>
                      </pic:pic>
                    </a:graphicData>
                  </a:graphic>
                </wp:inline>
              </w:drawing>
            </w:r>
            <w:r>
              <w:rPr>
                <w:color w:val="E36C09"/>
                <w:spacing w:val="73"/>
                <w:position w:val="-3"/>
                <w:sz w:val="19"/>
                <w:szCs w:val="19"/>
              </w:rPr>
              <w:t xml:space="preserve"> </w:t>
            </w:r>
            <w:r>
              <w:rPr>
                <w:spacing w:val="1"/>
                <w:position w:val="-2"/>
                <w:sz w:val="19"/>
                <w:szCs w:val="19"/>
              </w:rPr>
              <w:t>模具浇注</w:t>
            </w:r>
            <w:r>
              <w:rPr>
                <w:spacing w:val="87"/>
                <w:position w:val="-2"/>
                <w:sz w:val="19"/>
                <w:szCs w:val="19"/>
              </w:rPr>
              <w:t xml:space="preserve"> </w:t>
            </w:r>
            <w:r>
              <w:rPr>
                <w:rFonts w:ascii="Arial" w:hAnsi="Arial" w:eastAsia="Arial" w:cs="Arial"/>
                <w:spacing w:val="1"/>
                <w:position w:val="2"/>
                <w:sz w:val="29"/>
                <w:szCs w:val="29"/>
              </w:rPr>
              <w:t>-</w:t>
            </w:r>
            <w:r>
              <w:rPr>
                <w:rFonts w:ascii="Arial" w:hAnsi="Arial" w:eastAsia="Arial" w:cs="Arial"/>
                <w:spacing w:val="-40"/>
                <w:position w:val="2"/>
                <w:sz w:val="29"/>
                <w:szCs w:val="29"/>
              </w:rPr>
              <w:t xml:space="preserve"> </w:t>
            </w:r>
            <w:r>
              <w:rPr>
                <w:rFonts w:ascii="Arial" w:hAnsi="Arial" w:eastAsia="Arial" w:cs="Arial"/>
                <w:spacing w:val="1"/>
                <w:position w:val="2"/>
                <w:sz w:val="29"/>
                <w:szCs w:val="29"/>
              </w:rPr>
              <w:t>-</w:t>
            </w:r>
            <w:r>
              <w:rPr>
                <w:rFonts w:ascii="Arial" w:hAnsi="Arial" w:eastAsia="Arial" w:cs="Arial"/>
                <w:spacing w:val="-41"/>
                <w:position w:val="2"/>
                <w:sz w:val="29"/>
                <w:szCs w:val="29"/>
              </w:rPr>
              <w:t xml:space="preserve"> </w:t>
            </w:r>
            <w:r>
              <w:rPr>
                <w:rFonts w:ascii="Arial" w:hAnsi="Arial" w:eastAsia="Arial" w:cs="Arial"/>
                <w:spacing w:val="1"/>
                <w:position w:val="2"/>
                <w:sz w:val="29"/>
                <w:szCs w:val="29"/>
              </w:rPr>
              <w:t>+</w:t>
            </w:r>
            <w:r>
              <w:rPr>
                <w:rFonts w:ascii="Arial" w:hAnsi="Arial" w:eastAsia="Arial" w:cs="Arial"/>
                <w:spacing w:val="-22"/>
                <w:position w:val="2"/>
                <w:sz w:val="29"/>
                <w:szCs w:val="29"/>
              </w:rPr>
              <w:t xml:space="preserve"> </w:t>
            </w:r>
            <w:r>
              <w:rPr>
                <w:spacing w:val="1"/>
                <w:sz w:val="18"/>
                <w:szCs w:val="18"/>
              </w:rPr>
              <w:t>噪声</w:t>
            </w:r>
          </w:p>
          <w:p w14:paraId="41925E82">
            <w:pPr>
              <w:spacing w:before="66" w:line="340" w:lineRule="exact"/>
              <w:ind w:left="3938"/>
              <w:rPr>
                <w:rFonts w:ascii="微软雅黑" w:hAnsi="微软雅黑" w:eastAsia="微软雅黑" w:cs="微软雅黑"/>
                <w:sz w:val="34"/>
                <w:szCs w:val="34"/>
              </w:rPr>
            </w:pPr>
            <w:r>
              <w:rPr>
                <w:rFonts w:ascii="微软雅黑" w:hAnsi="微软雅黑" w:eastAsia="微软雅黑" w:cs="微软雅黑"/>
                <w:position w:val="-3"/>
                <w:sz w:val="34"/>
                <w:szCs w:val="34"/>
              </w:rPr>
              <w:t>↓</w:t>
            </w:r>
          </w:p>
          <w:p w14:paraId="617EE0A6">
            <w:pPr>
              <w:pStyle w:val="6"/>
              <w:spacing w:before="71" w:line="157" w:lineRule="auto"/>
              <w:ind w:left="1626"/>
              <w:rPr>
                <w:sz w:val="18"/>
                <w:szCs w:val="18"/>
              </w:rPr>
            </w:pPr>
            <w:r>
              <w:drawing>
                <wp:anchor distT="0" distB="0" distL="0" distR="0" simplePos="0" relativeHeight="251742208" behindDoc="1" locked="0" layoutInCell="1" allowOverlap="1">
                  <wp:simplePos x="0" y="0"/>
                  <wp:positionH relativeFrom="column">
                    <wp:posOffset>2201545</wp:posOffset>
                  </wp:positionH>
                  <wp:positionV relativeFrom="paragraph">
                    <wp:posOffset>-4445</wp:posOffset>
                  </wp:positionV>
                  <wp:extent cx="710565" cy="242570"/>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83"/>
                          <a:stretch>
                            <a:fillRect/>
                          </a:stretch>
                        </pic:blipFill>
                        <pic:spPr>
                          <a:xfrm>
                            <a:off x="0" y="0"/>
                            <a:ext cx="710564" cy="242569"/>
                          </a:xfrm>
                          <a:prstGeom prst="rect">
                            <a:avLst/>
                          </a:prstGeom>
                        </pic:spPr>
                      </pic:pic>
                    </a:graphicData>
                  </a:graphic>
                </wp:anchor>
              </w:drawing>
            </w:r>
            <w:r>
              <w:rPr>
                <w:sz w:val="18"/>
                <w:szCs w:val="18"/>
              </w:rPr>
              <w:t>余热或电厂蒸汽</w:t>
            </w:r>
            <w:r>
              <w:rPr>
                <w:spacing w:val="55"/>
                <w:sz w:val="18"/>
                <w:szCs w:val="18"/>
              </w:rPr>
              <w:t xml:space="preserve"> </w:t>
            </w:r>
            <w:r>
              <w:rPr>
                <w:position w:val="-2"/>
                <w:sz w:val="18"/>
                <w:szCs w:val="18"/>
              </w:rPr>
              <w:drawing>
                <wp:inline distT="0" distB="0" distL="0" distR="0">
                  <wp:extent cx="288290" cy="7620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84"/>
                          <a:stretch>
                            <a:fillRect/>
                          </a:stretch>
                        </pic:blipFill>
                        <pic:spPr>
                          <a:xfrm>
                            <a:off x="0" y="0"/>
                            <a:ext cx="288302" cy="76200"/>
                          </a:xfrm>
                          <a:prstGeom prst="rect">
                            <a:avLst/>
                          </a:prstGeom>
                        </pic:spPr>
                      </pic:pic>
                    </a:graphicData>
                  </a:graphic>
                </wp:inline>
              </w:drawing>
            </w:r>
            <w:r>
              <w:rPr>
                <w:sz w:val="18"/>
                <w:szCs w:val="18"/>
              </w:rPr>
              <w:t xml:space="preserve">    </w:t>
            </w:r>
            <w:r>
              <w:rPr>
                <w:position w:val="-4"/>
                <w:sz w:val="19"/>
                <w:szCs w:val="19"/>
              </w:rPr>
              <w:t>初养</w:t>
            </w:r>
            <w:r>
              <w:rPr>
                <w:spacing w:val="26"/>
                <w:position w:val="-4"/>
                <w:sz w:val="19"/>
                <w:szCs w:val="19"/>
              </w:rPr>
              <w:t xml:space="preserve">   </w:t>
            </w:r>
            <w:r>
              <w:rPr>
                <w:rFonts w:ascii="Arial" w:hAnsi="Arial" w:eastAsia="Arial" w:cs="Arial"/>
                <w:position w:val="1"/>
                <w:sz w:val="29"/>
                <w:szCs w:val="29"/>
              </w:rPr>
              <w:t>-</w:t>
            </w:r>
            <w:r>
              <w:rPr>
                <w:rFonts w:ascii="Arial" w:hAnsi="Arial" w:eastAsia="Arial" w:cs="Arial"/>
                <w:spacing w:val="-41"/>
                <w:position w:val="1"/>
                <w:sz w:val="29"/>
                <w:szCs w:val="29"/>
              </w:rPr>
              <w:t xml:space="preserve"> </w:t>
            </w:r>
            <w:r>
              <w:rPr>
                <w:rFonts w:ascii="Arial" w:hAnsi="Arial" w:eastAsia="Arial" w:cs="Arial"/>
                <w:position w:val="1"/>
                <w:sz w:val="29"/>
                <w:szCs w:val="29"/>
              </w:rPr>
              <w:t>-</w:t>
            </w:r>
            <w:r>
              <w:rPr>
                <w:rFonts w:ascii="Arial" w:hAnsi="Arial" w:eastAsia="Arial" w:cs="Arial"/>
                <w:spacing w:val="-41"/>
                <w:position w:val="1"/>
                <w:sz w:val="29"/>
                <w:szCs w:val="29"/>
              </w:rPr>
              <w:t xml:space="preserve"> </w:t>
            </w:r>
            <w:r>
              <w:rPr>
                <w:rFonts w:ascii="Arial" w:hAnsi="Arial" w:eastAsia="Arial" w:cs="Arial"/>
                <w:position w:val="1"/>
                <w:sz w:val="29"/>
                <w:szCs w:val="29"/>
              </w:rPr>
              <w:t>+</w:t>
            </w:r>
            <w:r>
              <w:rPr>
                <w:rFonts w:ascii="Arial" w:hAnsi="Arial" w:eastAsia="Arial" w:cs="Arial"/>
                <w:spacing w:val="-28"/>
                <w:position w:val="1"/>
                <w:sz w:val="29"/>
                <w:szCs w:val="29"/>
              </w:rPr>
              <w:t xml:space="preserve"> </w:t>
            </w:r>
            <w:r>
              <w:rPr>
                <w:sz w:val="18"/>
                <w:szCs w:val="18"/>
              </w:rPr>
              <w:t>水蒸气</w:t>
            </w:r>
          </w:p>
          <w:p w14:paraId="4D529940">
            <w:pPr>
              <w:spacing w:before="49" w:line="340" w:lineRule="exact"/>
              <w:ind w:left="3965"/>
            </w:pPr>
            <w:r>
              <w:rPr>
                <w:position w:val="-7"/>
              </w:rPr>
              <w:drawing>
                <wp:inline distT="0" distB="0" distL="0" distR="0">
                  <wp:extent cx="76200" cy="215900"/>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85"/>
                          <a:stretch>
                            <a:fillRect/>
                          </a:stretch>
                        </pic:blipFill>
                        <pic:spPr>
                          <a:xfrm>
                            <a:off x="0" y="0"/>
                            <a:ext cx="76200" cy="215925"/>
                          </a:xfrm>
                          <a:prstGeom prst="rect">
                            <a:avLst/>
                          </a:prstGeom>
                        </pic:spPr>
                      </pic:pic>
                    </a:graphicData>
                  </a:graphic>
                </wp:inline>
              </w:drawing>
            </w:r>
          </w:p>
          <w:p w14:paraId="68FEC94D">
            <w:pPr>
              <w:pStyle w:val="6"/>
              <w:spacing w:before="82" w:line="235" w:lineRule="auto"/>
              <w:ind w:left="2397"/>
              <w:rPr>
                <w:sz w:val="19"/>
                <w:szCs w:val="19"/>
              </w:rPr>
            </w:pPr>
            <w:r>
              <w:drawing>
                <wp:anchor distT="0" distB="0" distL="0" distR="0" simplePos="0" relativeHeight="251744256" behindDoc="1" locked="0" layoutInCell="1" allowOverlap="1">
                  <wp:simplePos x="0" y="0"/>
                  <wp:positionH relativeFrom="column">
                    <wp:posOffset>2207260</wp:posOffset>
                  </wp:positionH>
                  <wp:positionV relativeFrom="paragraph">
                    <wp:posOffset>-3810</wp:posOffset>
                  </wp:positionV>
                  <wp:extent cx="710565" cy="24257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86"/>
                          <a:stretch>
                            <a:fillRect/>
                          </a:stretch>
                        </pic:blipFill>
                        <pic:spPr>
                          <a:xfrm>
                            <a:off x="0" y="0"/>
                            <a:ext cx="710565" cy="242570"/>
                          </a:xfrm>
                          <a:prstGeom prst="rect">
                            <a:avLst/>
                          </a:prstGeom>
                        </pic:spPr>
                      </pic:pic>
                    </a:graphicData>
                  </a:graphic>
                </wp:anchor>
              </w:drawing>
            </w:r>
            <w:r>
              <w:rPr>
                <w:position w:val="1"/>
                <w:sz w:val="18"/>
                <w:szCs w:val="18"/>
              </w:rPr>
              <w:t xml:space="preserve">脱模剂 </w:t>
            </w:r>
            <w:r>
              <w:rPr>
                <w:position w:val="2"/>
                <w:sz w:val="18"/>
                <w:szCs w:val="18"/>
              </w:rPr>
              <w:drawing>
                <wp:inline distT="0" distB="0" distL="0" distR="0">
                  <wp:extent cx="288290" cy="76200"/>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87"/>
                          <a:stretch>
                            <a:fillRect/>
                          </a:stretch>
                        </pic:blipFill>
                        <pic:spPr>
                          <a:xfrm>
                            <a:off x="0" y="0"/>
                            <a:ext cx="288302" cy="76200"/>
                          </a:xfrm>
                          <a:prstGeom prst="rect">
                            <a:avLst/>
                          </a:prstGeom>
                        </pic:spPr>
                      </pic:pic>
                    </a:graphicData>
                  </a:graphic>
                </wp:inline>
              </w:drawing>
            </w:r>
            <w:r>
              <w:rPr>
                <w:spacing w:val="2"/>
                <w:position w:val="1"/>
                <w:sz w:val="18"/>
                <w:szCs w:val="18"/>
              </w:rPr>
              <w:t xml:space="preserve">    </w:t>
            </w:r>
            <w:r>
              <w:rPr>
                <w:position w:val="-1"/>
                <w:sz w:val="19"/>
                <w:szCs w:val="19"/>
              </w:rPr>
              <w:t>脱模</w:t>
            </w:r>
          </w:p>
          <w:p w14:paraId="6C729251">
            <w:pPr>
              <w:spacing w:before="57" w:line="340" w:lineRule="exact"/>
              <w:ind w:left="3993"/>
            </w:pPr>
            <w:r>
              <w:rPr>
                <w:position w:val="-7"/>
              </w:rPr>
              <w:drawing>
                <wp:inline distT="0" distB="0" distL="0" distR="0">
                  <wp:extent cx="76200" cy="21590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88"/>
                          <a:stretch>
                            <a:fillRect/>
                          </a:stretch>
                        </pic:blipFill>
                        <pic:spPr>
                          <a:xfrm>
                            <a:off x="0" y="0"/>
                            <a:ext cx="76200" cy="215913"/>
                          </a:xfrm>
                          <a:prstGeom prst="rect">
                            <a:avLst/>
                          </a:prstGeom>
                        </pic:spPr>
                      </pic:pic>
                    </a:graphicData>
                  </a:graphic>
                </wp:inline>
              </w:drawing>
            </w:r>
          </w:p>
          <w:p w14:paraId="4D145AD6">
            <w:pPr>
              <w:pStyle w:val="6"/>
              <w:spacing w:before="80" w:line="236" w:lineRule="exact"/>
              <w:ind w:left="2330"/>
              <w:rPr>
                <w:sz w:val="18"/>
                <w:szCs w:val="18"/>
              </w:rPr>
            </w:pPr>
            <w:r>
              <w:drawing>
                <wp:anchor distT="0" distB="0" distL="0" distR="0" simplePos="0" relativeHeight="251745280" behindDoc="1" locked="0" layoutInCell="1" allowOverlap="1">
                  <wp:simplePos x="0" y="0"/>
                  <wp:positionH relativeFrom="column">
                    <wp:posOffset>2059940</wp:posOffset>
                  </wp:positionH>
                  <wp:positionV relativeFrom="paragraph">
                    <wp:posOffset>-15240</wp:posOffset>
                  </wp:positionV>
                  <wp:extent cx="995045" cy="24257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89"/>
                          <a:stretch>
                            <a:fillRect/>
                          </a:stretch>
                        </pic:blipFill>
                        <pic:spPr>
                          <a:xfrm>
                            <a:off x="0" y="0"/>
                            <a:ext cx="995045" cy="242569"/>
                          </a:xfrm>
                          <a:prstGeom prst="rect">
                            <a:avLst/>
                          </a:prstGeom>
                        </pic:spPr>
                      </pic:pic>
                    </a:graphicData>
                  </a:graphic>
                </wp:anchor>
              </w:drawing>
            </w:r>
            <w:r>
              <w:rPr>
                <w:spacing w:val="3"/>
                <w:position w:val="-2"/>
                <w:sz w:val="18"/>
                <w:szCs w:val="18"/>
              </w:rPr>
              <w:t>冲水</w:t>
            </w:r>
            <w:r>
              <w:rPr>
                <w:spacing w:val="46"/>
                <w:position w:val="-2"/>
                <w:sz w:val="18"/>
                <w:szCs w:val="18"/>
              </w:rPr>
              <w:t xml:space="preserve"> </w:t>
            </w:r>
            <w:r>
              <w:rPr>
                <w:position w:val="-1"/>
                <w:sz w:val="18"/>
                <w:szCs w:val="18"/>
              </w:rPr>
              <w:drawing>
                <wp:inline distT="0" distB="0" distL="0" distR="0">
                  <wp:extent cx="288290" cy="76200"/>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90"/>
                          <a:stretch>
                            <a:fillRect/>
                          </a:stretch>
                        </pic:blipFill>
                        <pic:spPr>
                          <a:xfrm>
                            <a:off x="0" y="0"/>
                            <a:ext cx="288302" cy="76200"/>
                          </a:xfrm>
                          <a:prstGeom prst="rect">
                            <a:avLst/>
                          </a:prstGeom>
                        </pic:spPr>
                      </pic:pic>
                    </a:graphicData>
                  </a:graphic>
                </wp:inline>
              </w:drawing>
            </w:r>
            <w:r>
              <w:rPr>
                <w:spacing w:val="71"/>
                <w:position w:val="-2"/>
                <w:sz w:val="18"/>
                <w:szCs w:val="18"/>
              </w:rPr>
              <w:t xml:space="preserve"> </w:t>
            </w:r>
            <w:r>
              <w:rPr>
                <w:spacing w:val="3"/>
                <w:position w:val="-3"/>
                <w:sz w:val="19"/>
                <w:szCs w:val="19"/>
              </w:rPr>
              <w:t xml:space="preserve">切割（横纵）  </w:t>
            </w:r>
            <w:r>
              <w:rPr>
                <w:rFonts w:ascii="Arial" w:hAnsi="Arial" w:eastAsia="Arial" w:cs="Arial"/>
                <w:spacing w:val="3"/>
                <w:position w:val="1"/>
                <w:sz w:val="27"/>
                <w:szCs w:val="27"/>
              </w:rPr>
              <w:t>-</w:t>
            </w:r>
            <w:r>
              <w:rPr>
                <w:rFonts w:ascii="Arial" w:hAnsi="Arial" w:eastAsia="Arial" w:cs="Arial"/>
                <w:spacing w:val="-35"/>
                <w:position w:val="1"/>
                <w:sz w:val="27"/>
                <w:szCs w:val="27"/>
              </w:rPr>
              <w:t xml:space="preserve"> </w:t>
            </w:r>
            <w:r>
              <w:rPr>
                <w:rFonts w:ascii="Arial" w:hAnsi="Arial" w:eastAsia="Arial" w:cs="Arial"/>
                <w:spacing w:val="3"/>
                <w:position w:val="1"/>
                <w:sz w:val="27"/>
                <w:szCs w:val="27"/>
              </w:rPr>
              <w:t>-</w:t>
            </w:r>
            <w:r>
              <w:rPr>
                <w:rFonts w:ascii="Arial" w:hAnsi="Arial" w:eastAsia="Arial" w:cs="Arial"/>
                <w:spacing w:val="-35"/>
                <w:position w:val="1"/>
                <w:sz w:val="27"/>
                <w:szCs w:val="27"/>
              </w:rPr>
              <w:t xml:space="preserve"> </w:t>
            </w:r>
            <w:r>
              <w:rPr>
                <w:rFonts w:ascii="Arial" w:hAnsi="Arial" w:eastAsia="Arial" w:cs="Arial"/>
                <w:spacing w:val="3"/>
                <w:position w:val="1"/>
                <w:sz w:val="27"/>
                <w:szCs w:val="27"/>
              </w:rPr>
              <w:t>h</w:t>
            </w:r>
            <w:r>
              <w:rPr>
                <w:rFonts w:ascii="Arial" w:hAnsi="Arial" w:eastAsia="Arial" w:cs="Arial"/>
                <w:spacing w:val="-21"/>
                <w:position w:val="1"/>
                <w:sz w:val="27"/>
                <w:szCs w:val="27"/>
              </w:rPr>
              <w:t xml:space="preserve"> </w:t>
            </w:r>
            <w:r>
              <w:rPr>
                <w:spacing w:val="3"/>
                <w:position w:val="-1"/>
                <w:sz w:val="18"/>
                <w:szCs w:val="18"/>
              </w:rPr>
              <w:t>边角废料、噪声、废水</w:t>
            </w:r>
          </w:p>
          <w:p w14:paraId="4FDDD1C6">
            <w:pPr>
              <w:spacing w:before="39" w:line="340" w:lineRule="exact"/>
              <w:ind w:left="4021"/>
            </w:pPr>
            <w:r>
              <w:rPr>
                <w:position w:val="-7"/>
              </w:rPr>
              <w:drawing>
                <wp:inline distT="0" distB="0" distL="0" distR="0">
                  <wp:extent cx="76200" cy="21590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91"/>
                          <a:stretch>
                            <a:fillRect/>
                          </a:stretch>
                        </pic:blipFill>
                        <pic:spPr>
                          <a:xfrm>
                            <a:off x="0" y="0"/>
                            <a:ext cx="76200" cy="215913"/>
                          </a:xfrm>
                          <a:prstGeom prst="rect">
                            <a:avLst/>
                          </a:prstGeom>
                        </pic:spPr>
                      </pic:pic>
                    </a:graphicData>
                  </a:graphic>
                </wp:inline>
              </w:drawing>
            </w:r>
          </w:p>
          <w:p w14:paraId="5AC9A623">
            <w:pPr>
              <w:pStyle w:val="6"/>
              <w:tabs>
                <w:tab w:val="left" w:pos="3567"/>
              </w:tabs>
              <w:spacing w:before="55" w:line="233" w:lineRule="exact"/>
              <w:ind w:left="3318"/>
              <w:rPr>
                <w:sz w:val="18"/>
                <w:szCs w:val="18"/>
              </w:rPr>
            </w:pPr>
            <w:r>
              <w:rPr>
                <w:position w:val="-3"/>
                <w:sz w:val="19"/>
                <w:szCs w:val="19"/>
              </w:rPr>
              <w:tab/>
            </w:r>
            <w:r>
              <w:rPr>
                <w:spacing w:val="3"/>
                <w:position w:val="-3"/>
                <w:sz w:val="19"/>
                <w:szCs w:val="19"/>
              </w:rPr>
              <w:t>蒸压釜蒸养</w:t>
            </w:r>
            <w:r>
              <w:rPr>
                <w:spacing w:val="35"/>
                <w:position w:val="-3"/>
                <w:sz w:val="19"/>
                <w:szCs w:val="19"/>
              </w:rPr>
              <w:t xml:space="preserve">  </w:t>
            </w:r>
            <w:r>
              <w:rPr>
                <w:rFonts w:ascii="Arial" w:hAnsi="Arial" w:eastAsia="Arial" w:cs="Arial"/>
                <w:spacing w:val="3"/>
                <w:position w:val="2"/>
                <w:sz w:val="30"/>
                <w:szCs w:val="30"/>
              </w:rPr>
              <w:t>-</w:t>
            </w:r>
            <w:r>
              <w:rPr>
                <w:rFonts w:ascii="Arial" w:hAnsi="Arial" w:eastAsia="Arial" w:cs="Arial"/>
                <w:spacing w:val="-42"/>
                <w:position w:val="2"/>
                <w:sz w:val="30"/>
                <w:szCs w:val="30"/>
              </w:rPr>
              <w:t xml:space="preserve"> </w:t>
            </w:r>
            <w:r>
              <w:rPr>
                <w:rFonts w:ascii="Arial" w:hAnsi="Arial" w:eastAsia="Arial" w:cs="Arial"/>
                <w:spacing w:val="3"/>
                <w:position w:val="2"/>
                <w:sz w:val="30"/>
                <w:szCs w:val="30"/>
              </w:rPr>
              <w:t>-</w:t>
            </w:r>
            <w:r>
              <w:rPr>
                <w:rFonts w:ascii="Arial" w:hAnsi="Arial" w:eastAsia="Arial" w:cs="Arial"/>
                <w:spacing w:val="-43"/>
                <w:position w:val="2"/>
                <w:sz w:val="30"/>
                <w:szCs w:val="30"/>
              </w:rPr>
              <w:t xml:space="preserve"> </w:t>
            </w:r>
            <w:r>
              <w:rPr>
                <w:rFonts w:ascii="Arial" w:hAnsi="Arial" w:eastAsia="Arial" w:cs="Arial"/>
                <w:spacing w:val="3"/>
                <w:position w:val="2"/>
                <w:sz w:val="30"/>
                <w:szCs w:val="30"/>
              </w:rPr>
              <w:t>h</w:t>
            </w:r>
            <w:r>
              <w:rPr>
                <w:rFonts w:ascii="Arial" w:hAnsi="Arial" w:eastAsia="Arial" w:cs="Arial"/>
                <w:spacing w:val="-17"/>
                <w:position w:val="2"/>
                <w:sz w:val="30"/>
                <w:szCs w:val="30"/>
              </w:rPr>
              <w:t xml:space="preserve"> </w:t>
            </w:r>
            <w:r>
              <w:rPr>
                <w:spacing w:val="3"/>
                <w:position w:val="1"/>
                <w:sz w:val="18"/>
                <w:szCs w:val="18"/>
              </w:rPr>
              <w:t>水蒸气</w:t>
            </w:r>
          </w:p>
          <w:p w14:paraId="109BED35">
            <w:pPr>
              <w:spacing w:before="76" w:line="340" w:lineRule="exact"/>
              <w:ind w:left="4031"/>
            </w:pPr>
            <w:r>
              <w:rPr>
                <w:position w:val="-7"/>
              </w:rPr>
              <w:drawing>
                <wp:inline distT="0" distB="0" distL="0" distR="0">
                  <wp:extent cx="76200" cy="21590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92"/>
                          <a:stretch>
                            <a:fillRect/>
                          </a:stretch>
                        </pic:blipFill>
                        <pic:spPr>
                          <a:xfrm>
                            <a:off x="0" y="0"/>
                            <a:ext cx="76200" cy="215925"/>
                          </a:xfrm>
                          <a:prstGeom prst="rect">
                            <a:avLst/>
                          </a:prstGeom>
                        </pic:spPr>
                      </pic:pic>
                    </a:graphicData>
                  </a:graphic>
                </wp:inline>
              </w:drawing>
            </w:r>
          </w:p>
          <w:p w14:paraId="5F7992F2">
            <w:pPr>
              <w:pStyle w:val="6"/>
              <w:spacing w:before="88" w:line="164" w:lineRule="auto"/>
              <w:ind w:left="3213"/>
              <w:rPr>
                <w:sz w:val="18"/>
                <w:szCs w:val="18"/>
              </w:rPr>
            </w:pPr>
            <w:r>
              <w:drawing>
                <wp:anchor distT="0" distB="0" distL="0" distR="0" simplePos="0" relativeHeight="251740160" behindDoc="1" locked="0" layoutInCell="1" allowOverlap="1">
                  <wp:simplePos x="0" y="0"/>
                  <wp:positionH relativeFrom="column">
                    <wp:posOffset>1982470</wp:posOffset>
                  </wp:positionH>
                  <wp:positionV relativeFrom="paragraph">
                    <wp:posOffset>-10160</wp:posOffset>
                  </wp:positionV>
                  <wp:extent cx="1285875" cy="24257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93"/>
                          <a:stretch>
                            <a:fillRect/>
                          </a:stretch>
                        </pic:blipFill>
                        <pic:spPr>
                          <a:xfrm>
                            <a:off x="0" y="0"/>
                            <a:ext cx="1285875" cy="242570"/>
                          </a:xfrm>
                          <a:prstGeom prst="rect">
                            <a:avLst/>
                          </a:prstGeom>
                        </pic:spPr>
                      </pic:pic>
                    </a:graphicData>
                  </a:graphic>
                </wp:anchor>
              </w:drawing>
            </w:r>
            <w:r>
              <w:rPr>
                <w:spacing w:val="3"/>
                <w:position w:val="-1"/>
                <w:sz w:val="19"/>
                <w:szCs w:val="19"/>
              </w:rPr>
              <w:t>抓取打包（板车清理）</w:t>
            </w:r>
            <w:r>
              <w:rPr>
                <w:rFonts w:ascii="Arial" w:hAnsi="Arial" w:eastAsia="Arial" w:cs="Arial"/>
                <w:spacing w:val="3"/>
                <w:position w:val="1"/>
                <w:sz w:val="28"/>
                <w:szCs w:val="28"/>
              </w:rPr>
              <w:t>-</w:t>
            </w:r>
            <w:r>
              <w:rPr>
                <w:rFonts w:ascii="Arial" w:hAnsi="Arial" w:eastAsia="Arial" w:cs="Arial"/>
                <w:spacing w:val="-37"/>
                <w:position w:val="1"/>
                <w:sz w:val="28"/>
                <w:szCs w:val="28"/>
              </w:rPr>
              <w:t xml:space="preserve"> </w:t>
            </w:r>
            <w:r>
              <w:rPr>
                <w:rFonts w:ascii="Arial" w:hAnsi="Arial" w:eastAsia="Arial" w:cs="Arial"/>
                <w:spacing w:val="3"/>
                <w:position w:val="1"/>
                <w:sz w:val="28"/>
                <w:szCs w:val="28"/>
              </w:rPr>
              <w:t>-</w:t>
            </w:r>
            <w:r>
              <w:rPr>
                <w:rFonts w:ascii="Arial" w:hAnsi="Arial" w:eastAsia="Arial" w:cs="Arial"/>
                <w:spacing w:val="-37"/>
                <w:position w:val="1"/>
                <w:sz w:val="28"/>
                <w:szCs w:val="28"/>
              </w:rPr>
              <w:t xml:space="preserve"> </w:t>
            </w:r>
            <w:r>
              <w:rPr>
                <w:rFonts w:ascii="Arial" w:hAnsi="Arial" w:eastAsia="Arial" w:cs="Arial"/>
                <w:spacing w:val="3"/>
                <w:position w:val="1"/>
                <w:sz w:val="28"/>
                <w:szCs w:val="28"/>
              </w:rPr>
              <w:t>h</w:t>
            </w:r>
            <w:r>
              <w:rPr>
                <w:rFonts w:ascii="Arial" w:hAnsi="Arial" w:eastAsia="Arial" w:cs="Arial"/>
                <w:spacing w:val="23"/>
                <w:position w:val="1"/>
                <w:sz w:val="28"/>
                <w:szCs w:val="28"/>
              </w:rPr>
              <w:t xml:space="preserve"> </w:t>
            </w:r>
            <w:r>
              <w:rPr>
                <w:spacing w:val="3"/>
                <w:position w:val="-1"/>
                <w:sz w:val="18"/>
                <w:szCs w:val="18"/>
              </w:rPr>
              <w:t>边角废料、噪声</w:t>
            </w:r>
          </w:p>
          <w:p w14:paraId="5DA4C742">
            <w:pPr>
              <w:spacing w:before="49" w:line="340" w:lineRule="exact"/>
              <w:ind w:left="4050"/>
            </w:pPr>
            <w:r>
              <w:rPr>
                <w:position w:val="-7"/>
              </w:rPr>
              <w:drawing>
                <wp:inline distT="0" distB="0" distL="0" distR="0">
                  <wp:extent cx="76200" cy="21590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94"/>
                          <a:stretch>
                            <a:fillRect/>
                          </a:stretch>
                        </pic:blipFill>
                        <pic:spPr>
                          <a:xfrm>
                            <a:off x="0" y="0"/>
                            <a:ext cx="76200" cy="215912"/>
                          </a:xfrm>
                          <a:prstGeom prst="rect">
                            <a:avLst/>
                          </a:prstGeom>
                        </pic:spPr>
                      </pic:pic>
                    </a:graphicData>
                  </a:graphic>
                </wp:inline>
              </w:drawing>
            </w:r>
          </w:p>
          <w:p w14:paraId="032F6AC2">
            <w:pPr>
              <w:pStyle w:val="6"/>
              <w:spacing w:before="98" w:line="228" w:lineRule="auto"/>
              <w:ind w:left="3720"/>
              <w:rPr>
                <w:sz w:val="19"/>
                <w:szCs w:val="19"/>
              </w:rPr>
            </w:pPr>
            <w:r>
              <w:drawing>
                <wp:anchor distT="0" distB="0" distL="0" distR="0" simplePos="0" relativeHeight="251746304" behindDoc="1" locked="0" layoutInCell="1" allowOverlap="1">
                  <wp:simplePos x="0" y="0"/>
                  <wp:positionH relativeFrom="column">
                    <wp:posOffset>2255520</wp:posOffset>
                  </wp:positionH>
                  <wp:positionV relativeFrom="paragraph">
                    <wp:posOffset>-4445</wp:posOffset>
                  </wp:positionV>
                  <wp:extent cx="710565" cy="24257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95"/>
                          <a:stretch>
                            <a:fillRect/>
                          </a:stretch>
                        </pic:blipFill>
                        <pic:spPr>
                          <a:xfrm>
                            <a:off x="0" y="0"/>
                            <a:ext cx="710565" cy="242569"/>
                          </a:xfrm>
                          <a:prstGeom prst="rect">
                            <a:avLst/>
                          </a:prstGeom>
                        </pic:spPr>
                      </pic:pic>
                    </a:graphicData>
                  </a:graphic>
                </wp:anchor>
              </w:drawing>
            </w:r>
            <w:r>
              <w:rPr>
                <w:spacing w:val="7"/>
                <w:sz w:val="19"/>
                <w:szCs w:val="19"/>
              </w:rPr>
              <w:t>堆存待售</w:t>
            </w:r>
          </w:p>
          <w:p w14:paraId="22808296">
            <w:pPr>
              <w:pStyle w:val="6"/>
              <w:spacing w:before="268" w:line="219" w:lineRule="auto"/>
              <w:ind w:left="1492"/>
              <w:rPr>
                <w:sz w:val="18"/>
                <w:szCs w:val="18"/>
              </w:rPr>
            </w:pPr>
            <w:r>
              <w:rPr>
                <w:b/>
                <w:bCs/>
                <w:spacing w:val="-2"/>
                <w:sz w:val="18"/>
                <w:szCs w:val="18"/>
              </w:rPr>
              <w:t>图</w:t>
            </w:r>
            <w:r>
              <w:rPr>
                <w:spacing w:val="-40"/>
                <w:sz w:val="18"/>
                <w:szCs w:val="18"/>
              </w:rPr>
              <w:t xml:space="preserve"> </w:t>
            </w:r>
            <w:r>
              <w:rPr>
                <w:rFonts w:ascii="Times New Roman" w:hAnsi="Times New Roman" w:eastAsia="Times New Roman" w:cs="Times New Roman"/>
                <w:b/>
                <w:bCs/>
                <w:spacing w:val="-2"/>
                <w:sz w:val="18"/>
                <w:szCs w:val="18"/>
              </w:rPr>
              <w:t>2-3</w:t>
            </w:r>
            <w:r>
              <w:rPr>
                <w:b/>
                <w:bCs/>
                <w:spacing w:val="-2"/>
                <w:sz w:val="18"/>
                <w:szCs w:val="18"/>
              </w:rPr>
              <w:t>：项目蒸压加气混凝土砌块和板材工艺流程及</w:t>
            </w:r>
            <w:r>
              <w:rPr>
                <w:b/>
                <w:bCs/>
                <w:spacing w:val="-3"/>
                <w:sz w:val="18"/>
                <w:szCs w:val="18"/>
              </w:rPr>
              <w:t>产污环节图</w:t>
            </w:r>
          </w:p>
        </w:tc>
      </w:tr>
    </w:tbl>
    <w:p w14:paraId="6C05BBED">
      <w:pPr>
        <w:pStyle w:val="2"/>
      </w:pPr>
    </w:p>
    <w:p w14:paraId="6DA960E2">
      <w:pPr>
        <w:sectPr>
          <w:footerReference r:id="rId47" w:type="default"/>
          <w:pgSz w:w="11906" w:h="16839"/>
          <w:pgMar w:top="1431" w:right="1532" w:bottom="1260" w:left="511" w:header="0" w:footer="1080" w:gutter="0"/>
          <w:cols w:space="720" w:num="1"/>
        </w:sectPr>
      </w:pPr>
    </w:p>
    <w:p w14:paraId="26B7E910">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7AAB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7" w:hRule="atLeast"/>
        </w:trPr>
        <w:tc>
          <w:tcPr>
            <w:tcW w:w="831" w:type="dxa"/>
            <w:tcBorders>
              <w:left w:val="single" w:color="000000" w:sz="6" w:space="0"/>
            </w:tcBorders>
            <w:vAlign w:val="top"/>
          </w:tcPr>
          <w:p w14:paraId="4AF01D86">
            <w:pPr>
              <w:rPr>
                <w:rFonts w:ascii="Arial"/>
                <w:sz w:val="21"/>
              </w:rPr>
            </w:pPr>
          </w:p>
        </w:tc>
        <w:tc>
          <w:tcPr>
            <w:tcW w:w="7992" w:type="dxa"/>
            <w:tcBorders>
              <w:right w:val="single" w:color="000000" w:sz="6" w:space="0"/>
            </w:tcBorders>
            <w:vAlign w:val="top"/>
          </w:tcPr>
          <w:p w14:paraId="71B66B67">
            <w:pPr>
              <w:spacing w:line="287" w:lineRule="auto"/>
              <w:rPr>
                <w:rFonts w:ascii="Arial"/>
                <w:sz w:val="21"/>
              </w:rPr>
            </w:pPr>
            <w:r>
              <w:drawing>
                <wp:anchor distT="0" distB="0" distL="0" distR="0" simplePos="0" relativeHeight="251760640" behindDoc="1" locked="0" layoutInCell="1" allowOverlap="1">
                  <wp:simplePos x="0" y="0"/>
                  <wp:positionH relativeFrom="rightMargin">
                    <wp:posOffset>-3787140</wp:posOffset>
                  </wp:positionH>
                  <wp:positionV relativeFrom="topMargin">
                    <wp:posOffset>495300</wp:posOffset>
                  </wp:positionV>
                  <wp:extent cx="76200" cy="19685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96"/>
                          <a:stretch>
                            <a:fillRect/>
                          </a:stretch>
                        </pic:blipFill>
                        <pic:spPr>
                          <a:xfrm>
                            <a:off x="0" y="0"/>
                            <a:ext cx="76200" cy="196863"/>
                          </a:xfrm>
                          <a:prstGeom prst="rect">
                            <a:avLst/>
                          </a:prstGeom>
                        </pic:spPr>
                      </pic:pic>
                    </a:graphicData>
                  </a:graphic>
                </wp:anchor>
              </w:drawing>
            </w:r>
          </w:p>
          <w:p w14:paraId="0320BBB7">
            <w:pPr>
              <w:pStyle w:val="6"/>
              <w:spacing w:before="59" w:line="186" w:lineRule="auto"/>
              <w:ind w:left="1531"/>
              <w:rPr>
                <w:sz w:val="18"/>
                <w:szCs w:val="18"/>
              </w:rPr>
            </w:pPr>
            <w:r>
              <w:rPr>
                <w:spacing w:val="-6"/>
                <w:position w:val="4"/>
                <w:sz w:val="18"/>
                <w:szCs w:val="18"/>
              </w:rPr>
              <w:t>切割粉尘、</w:t>
            </w:r>
            <w:r>
              <w:rPr>
                <w:spacing w:val="12"/>
                <w:position w:val="4"/>
                <w:sz w:val="18"/>
                <w:szCs w:val="18"/>
              </w:rPr>
              <w:t xml:space="preserve">    </w:t>
            </w:r>
            <w:r>
              <w:rPr>
                <w:spacing w:val="-6"/>
                <w:position w:val="-2"/>
                <w:sz w:val="18"/>
                <w:szCs w:val="18"/>
              </w:rPr>
              <w:t>焊接烟尘、噪声</w:t>
            </w:r>
          </w:p>
          <w:p w14:paraId="51B5FC4E">
            <w:pPr>
              <w:pStyle w:val="6"/>
              <w:spacing w:line="197" w:lineRule="auto"/>
              <w:ind w:left="1361"/>
              <w:rPr>
                <w:sz w:val="18"/>
                <w:szCs w:val="18"/>
              </w:rPr>
            </w:pPr>
            <w:r>
              <w:rPr>
                <w:spacing w:val="-3"/>
                <w:position w:val="1"/>
                <w:sz w:val="18"/>
                <w:szCs w:val="18"/>
              </w:rPr>
              <w:t>噪声、废钢筋节</w:t>
            </w:r>
            <w:r>
              <w:rPr>
                <w:spacing w:val="9"/>
                <w:position w:val="1"/>
                <w:sz w:val="18"/>
                <w:szCs w:val="18"/>
              </w:rPr>
              <w:t xml:space="preserve">       </w:t>
            </w:r>
            <w:r>
              <w:rPr>
                <w:position w:val="-9"/>
                <w:sz w:val="18"/>
                <w:szCs w:val="18"/>
              </w:rPr>
              <w:drawing>
                <wp:inline distT="0" distB="0" distL="0" distR="0">
                  <wp:extent cx="76200" cy="97155"/>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97"/>
                          <a:stretch>
                            <a:fillRect/>
                          </a:stretch>
                        </pic:blipFill>
                        <pic:spPr>
                          <a:xfrm>
                            <a:off x="0" y="0"/>
                            <a:ext cx="76200" cy="97553"/>
                          </a:xfrm>
                          <a:prstGeom prst="rect">
                            <a:avLst/>
                          </a:prstGeom>
                        </pic:spPr>
                      </pic:pic>
                    </a:graphicData>
                  </a:graphic>
                </wp:inline>
              </w:drawing>
            </w:r>
            <w:r>
              <w:rPr>
                <w:spacing w:val="1"/>
                <w:position w:val="1"/>
                <w:sz w:val="18"/>
                <w:szCs w:val="18"/>
              </w:rPr>
              <w:t xml:space="preserve">        </w:t>
            </w:r>
            <w:r>
              <w:rPr>
                <w:rFonts w:ascii="Times New Roman" w:hAnsi="Times New Roman" w:eastAsia="Times New Roman" w:cs="Times New Roman"/>
                <w:spacing w:val="-3"/>
                <w:position w:val="-1"/>
                <w:sz w:val="18"/>
                <w:szCs w:val="18"/>
              </w:rPr>
              <w:t>VOC</w:t>
            </w:r>
            <w:r>
              <w:rPr>
                <w:rFonts w:ascii="Times New Roman" w:hAnsi="Times New Roman" w:eastAsia="Times New Roman" w:cs="Times New Roman"/>
                <w:spacing w:val="-3"/>
                <w:position w:val="-3"/>
                <w:sz w:val="11"/>
                <w:szCs w:val="11"/>
              </w:rPr>
              <w:t>s</w:t>
            </w:r>
            <w:r>
              <w:rPr>
                <w:rFonts w:ascii="Times New Roman" w:hAnsi="Times New Roman" w:eastAsia="Times New Roman" w:cs="Times New Roman"/>
                <w:position w:val="-3"/>
                <w:sz w:val="11"/>
                <w:szCs w:val="11"/>
              </w:rPr>
              <w:t xml:space="preserve"> </w:t>
            </w:r>
            <w:r>
              <w:rPr>
                <w:spacing w:val="-3"/>
                <w:position w:val="-1"/>
                <w:sz w:val="18"/>
                <w:szCs w:val="18"/>
              </w:rPr>
              <w:t>、漆渣</w:t>
            </w:r>
            <w:r>
              <w:rPr>
                <w:spacing w:val="12"/>
                <w:position w:val="-1"/>
                <w:sz w:val="18"/>
                <w:szCs w:val="18"/>
              </w:rPr>
              <w:t xml:space="preserve">   </w:t>
            </w:r>
            <w:r>
              <w:rPr>
                <w:rFonts w:ascii="Times New Roman" w:hAnsi="Times New Roman" w:eastAsia="Times New Roman" w:cs="Times New Roman"/>
                <w:spacing w:val="-3"/>
                <w:sz w:val="18"/>
                <w:szCs w:val="18"/>
              </w:rPr>
              <w:t>VOC</w:t>
            </w:r>
            <w:r>
              <w:rPr>
                <w:rFonts w:ascii="Times New Roman" w:hAnsi="Times New Roman" w:eastAsia="Times New Roman" w:cs="Times New Roman"/>
                <w:spacing w:val="-3"/>
                <w:position w:val="-2"/>
                <w:sz w:val="11"/>
                <w:szCs w:val="11"/>
              </w:rPr>
              <w:t>s</w:t>
            </w:r>
            <w:r>
              <w:rPr>
                <w:rFonts w:ascii="Times New Roman" w:hAnsi="Times New Roman" w:eastAsia="Times New Roman" w:cs="Times New Roman"/>
                <w:spacing w:val="-9"/>
                <w:position w:val="-2"/>
                <w:sz w:val="11"/>
                <w:szCs w:val="11"/>
              </w:rPr>
              <w:t xml:space="preserve"> </w:t>
            </w:r>
            <w:r>
              <w:rPr>
                <w:spacing w:val="-3"/>
                <w:sz w:val="18"/>
                <w:szCs w:val="18"/>
              </w:rPr>
              <w:t>、噪声</w:t>
            </w:r>
          </w:p>
          <w:p w14:paraId="5E1B1C14">
            <w:pPr>
              <w:spacing w:line="304" w:lineRule="exact"/>
              <w:ind w:left="3335"/>
            </w:pPr>
            <w:r>
              <w:drawing>
                <wp:anchor distT="0" distB="0" distL="0" distR="0" simplePos="0" relativeHeight="251759616" behindDoc="1" locked="0" layoutInCell="1" allowOverlap="1">
                  <wp:simplePos x="0" y="0"/>
                  <wp:positionH relativeFrom="column">
                    <wp:posOffset>1854200</wp:posOffset>
                  </wp:positionH>
                  <wp:positionV relativeFrom="paragraph">
                    <wp:posOffset>173990</wp:posOffset>
                  </wp:positionV>
                  <wp:extent cx="2930525" cy="254000"/>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98"/>
                          <a:stretch>
                            <a:fillRect/>
                          </a:stretch>
                        </pic:blipFill>
                        <pic:spPr>
                          <a:xfrm>
                            <a:off x="0" y="0"/>
                            <a:ext cx="2930525" cy="254000"/>
                          </a:xfrm>
                          <a:prstGeom prst="rect">
                            <a:avLst/>
                          </a:prstGeom>
                        </pic:spPr>
                      </pic:pic>
                    </a:graphicData>
                  </a:graphic>
                </wp:anchor>
              </w:drawing>
            </w:r>
            <w:r>
              <w:rPr>
                <w:position w:val="-6"/>
              </w:rPr>
              <w:drawing>
                <wp:inline distT="0" distB="0" distL="0" distR="0">
                  <wp:extent cx="1642110" cy="193040"/>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99"/>
                          <a:stretch>
                            <a:fillRect/>
                          </a:stretch>
                        </pic:blipFill>
                        <pic:spPr>
                          <a:xfrm>
                            <a:off x="0" y="0"/>
                            <a:ext cx="1642516" cy="193045"/>
                          </a:xfrm>
                          <a:prstGeom prst="rect">
                            <a:avLst/>
                          </a:prstGeom>
                        </pic:spPr>
                      </pic:pic>
                    </a:graphicData>
                  </a:graphic>
                </wp:inline>
              </w:drawing>
            </w:r>
          </w:p>
          <w:p w14:paraId="119D1126">
            <w:pPr>
              <w:pStyle w:val="6"/>
              <w:spacing w:before="50"/>
              <w:ind w:left="296"/>
              <w:rPr>
                <w:sz w:val="19"/>
                <w:szCs w:val="19"/>
              </w:rPr>
            </w:pPr>
            <w:r>
              <w:rPr>
                <w:b/>
                <w:bCs/>
                <w:color w:val="E36C09"/>
                <w:spacing w:val="6"/>
                <w:position w:val="1"/>
                <w:sz w:val="20"/>
                <w:szCs w:val="20"/>
              </w:rPr>
              <w:t>带肋钢筋</w:t>
            </w:r>
            <w:r>
              <w:rPr>
                <w:color w:val="E36C09"/>
                <w:spacing w:val="-26"/>
                <w:position w:val="1"/>
                <w:sz w:val="20"/>
                <w:szCs w:val="20"/>
              </w:rPr>
              <w:t xml:space="preserve"> </w:t>
            </w:r>
            <w:r>
              <w:rPr>
                <w:position w:val="3"/>
                <w:sz w:val="20"/>
                <w:szCs w:val="20"/>
              </w:rPr>
              <w:drawing>
                <wp:inline distT="0" distB="0" distL="0" distR="0">
                  <wp:extent cx="288290" cy="76200"/>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200"/>
                          <a:stretch>
                            <a:fillRect/>
                          </a:stretch>
                        </pic:blipFill>
                        <pic:spPr>
                          <a:xfrm>
                            <a:off x="0" y="0"/>
                            <a:ext cx="288302" cy="76200"/>
                          </a:xfrm>
                          <a:prstGeom prst="rect">
                            <a:avLst/>
                          </a:prstGeom>
                        </pic:spPr>
                      </pic:pic>
                    </a:graphicData>
                  </a:graphic>
                </wp:inline>
              </w:drawing>
            </w:r>
            <w:r>
              <w:rPr>
                <w:color w:val="E36C09"/>
                <w:spacing w:val="9"/>
                <w:position w:val="1"/>
                <w:sz w:val="20"/>
                <w:szCs w:val="20"/>
              </w:rPr>
              <w:t xml:space="preserve">  </w:t>
            </w:r>
            <w:r>
              <w:rPr>
                <w:spacing w:val="6"/>
                <w:sz w:val="19"/>
                <w:szCs w:val="19"/>
              </w:rPr>
              <w:t xml:space="preserve">切割  </w:t>
            </w:r>
            <w:r>
              <w:rPr>
                <w:position w:val="2"/>
                <w:sz w:val="19"/>
                <w:szCs w:val="19"/>
              </w:rPr>
              <w:drawing>
                <wp:inline distT="0" distB="0" distL="0" distR="0">
                  <wp:extent cx="288290" cy="76200"/>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201"/>
                          <a:stretch>
                            <a:fillRect/>
                          </a:stretch>
                        </pic:blipFill>
                        <pic:spPr>
                          <a:xfrm>
                            <a:off x="0" y="0"/>
                            <a:ext cx="288302" cy="76200"/>
                          </a:xfrm>
                          <a:prstGeom prst="rect">
                            <a:avLst/>
                          </a:prstGeom>
                        </pic:spPr>
                      </pic:pic>
                    </a:graphicData>
                  </a:graphic>
                </wp:inline>
              </w:drawing>
            </w:r>
            <w:r>
              <w:rPr>
                <w:spacing w:val="11"/>
                <w:sz w:val="19"/>
                <w:szCs w:val="19"/>
              </w:rPr>
              <w:t xml:space="preserve">  </w:t>
            </w:r>
            <w:r>
              <w:rPr>
                <w:spacing w:val="6"/>
                <w:position w:val="-1"/>
                <w:sz w:val="19"/>
                <w:szCs w:val="19"/>
              </w:rPr>
              <w:t xml:space="preserve">碰焊  </w:t>
            </w:r>
            <w:r>
              <w:rPr>
                <w:position w:val="3"/>
                <w:sz w:val="19"/>
                <w:szCs w:val="19"/>
              </w:rPr>
              <w:drawing>
                <wp:inline distT="0" distB="0" distL="0" distR="0">
                  <wp:extent cx="288290" cy="76200"/>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202"/>
                          <a:stretch>
                            <a:fillRect/>
                          </a:stretch>
                        </pic:blipFill>
                        <pic:spPr>
                          <a:xfrm>
                            <a:off x="0" y="0"/>
                            <a:ext cx="288302" cy="76200"/>
                          </a:xfrm>
                          <a:prstGeom prst="rect">
                            <a:avLst/>
                          </a:prstGeom>
                        </pic:spPr>
                      </pic:pic>
                    </a:graphicData>
                  </a:graphic>
                </wp:inline>
              </w:drawing>
            </w:r>
            <w:r>
              <w:rPr>
                <w:spacing w:val="11"/>
                <w:position w:val="-1"/>
                <w:sz w:val="19"/>
                <w:szCs w:val="19"/>
              </w:rPr>
              <w:t xml:space="preserve">  </w:t>
            </w:r>
            <w:r>
              <w:rPr>
                <w:spacing w:val="6"/>
                <w:position w:val="-1"/>
                <w:sz w:val="19"/>
                <w:szCs w:val="19"/>
              </w:rPr>
              <w:t>浸漆</w:t>
            </w:r>
            <w:r>
              <w:rPr>
                <w:spacing w:val="8"/>
                <w:position w:val="-1"/>
                <w:sz w:val="19"/>
                <w:szCs w:val="19"/>
              </w:rPr>
              <w:t xml:space="preserve">  </w:t>
            </w:r>
            <w:r>
              <w:rPr>
                <w:position w:val="1"/>
                <w:sz w:val="19"/>
                <w:szCs w:val="19"/>
              </w:rPr>
              <w:drawing>
                <wp:inline distT="0" distB="0" distL="0" distR="0">
                  <wp:extent cx="288290" cy="76200"/>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203"/>
                          <a:stretch>
                            <a:fillRect/>
                          </a:stretch>
                        </pic:blipFill>
                        <pic:spPr>
                          <a:xfrm>
                            <a:off x="0" y="0"/>
                            <a:ext cx="288302" cy="76200"/>
                          </a:xfrm>
                          <a:prstGeom prst="rect">
                            <a:avLst/>
                          </a:prstGeom>
                        </pic:spPr>
                      </pic:pic>
                    </a:graphicData>
                  </a:graphic>
                </wp:inline>
              </w:drawing>
            </w:r>
            <w:r>
              <w:rPr>
                <w:spacing w:val="11"/>
                <w:position w:val="-1"/>
                <w:sz w:val="19"/>
                <w:szCs w:val="19"/>
              </w:rPr>
              <w:t xml:space="preserve">  </w:t>
            </w:r>
            <w:r>
              <w:rPr>
                <w:spacing w:val="6"/>
                <w:sz w:val="19"/>
                <w:szCs w:val="19"/>
              </w:rPr>
              <w:t>烘干</w:t>
            </w:r>
            <w:r>
              <w:rPr>
                <w:spacing w:val="16"/>
                <w:sz w:val="19"/>
                <w:szCs w:val="19"/>
              </w:rPr>
              <w:t xml:space="preserve">  </w:t>
            </w:r>
            <w:r>
              <w:rPr>
                <w:position w:val="2"/>
                <w:sz w:val="19"/>
                <w:szCs w:val="19"/>
              </w:rPr>
              <w:drawing>
                <wp:inline distT="0" distB="0" distL="0" distR="0">
                  <wp:extent cx="288290" cy="76200"/>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204"/>
                          <a:stretch>
                            <a:fillRect/>
                          </a:stretch>
                        </pic:blipFill>
                        <pic:spPr>
                          <a:xfrm>
                            <a:off x="0" y="0"/>
                            <a:ext cx="288302" cy="76200"/>
                          </a:xfrm>
                          <a:prstGeom prst="rect">
                            <a:avLst/>
                          </a:prstGeom>
                        </pic:spPr>
                      </pic:pic>
                    </a:graphicData>
                  </a:graphic>
                </wp:inline>
              </w:drawing>
            </w:r>
            <w:r>
              <w:rPr>
                <w:spacing w:val="7"/>
                <w:sz w:val="19"/>
                <w:szCs w:val="19"/>
              </w:rPr>
              <w:t xml:space="preserve">  </w:t>
            </w:r>
            <w:r>
              <w:rPr>
                <w:spacing w:val="6"/>
                <w:sz w:val="19"/>
                <w:szCs w:val="19"/>
              </w:rPr>
              <w:t>模具</w:t>
            </w:r>
          </w:p>
          <w:p w14:paraId="0F008FF9">
            <w:pPr>
              <w:pStyle w:val="6"/>
              <w:spacing w:before="297" w:line="219" w:lineRule="auto"/>
              <w:ind w:left="2049"/>
              <w:rPr>
                <w:sz w:val="18"/>
                <w:szCs w:val="18"/>
              </w:rPr>
            </w:pPr>
            <w:r>
              <w:rPr>
                <w:b/>
                <w:bCs/>
                <w:spacing w:val="-3"/>
                <w:sz w:val="18"/>
                <w:szCs w:val="18"/>
              </w:rPr>
              <w:t>图</w:t>
            </w:r>
            <w:r>
              <w:rPr>
                <w:spacing w:val="-24"/>
                <w:sz w:val="18"/>
                <w:szCs w:val="18"/>
              </w:rPr>
              <w:t xml:space="preserve"> </w:t>
            </w:r>
            <w:r>
              <w:rPr>
                <w:rFonts w:ascii="Times New Roman" w:hAnsi="Times New Roman" w:eastAsia="Times New Roman" w:cs="Times New Roman"/>
                <w:b/>
                <w:bCs/>
                <w:spacing w:val="-3"/>
                <w:sz w:val="18"/>
                <w:szCs w:val="18"/>
              </w:rPr>
              <w:t>2-4</w:t>
            </w:r>
            <w:r>
              <w:rPr>
                <w:b/>
                <w:bCs/>
                <w:spacing w:val="-3"/>
                <w:sz w:val="18"/>
                <w:szCs w:val="18"/>
              </w:rPr>
              <w:t>：项目带肋钢筋网生产工艺流程及产污环节图</w:t>
            </w:r>
          </w:p>
          <w:p w14:paraId="2EBAA65D">
            <w:pPr>
              <w:pStyle w:val="6"/>
              <w:spacing w:before="273" w:line="227" w:lineRule="auto"/>
              <w:ind w:left="513"/>
              <w:rPr>
                <w:sz w:val="20"/>
                <w:szCs w:val="20"/>
              </w:rPr>
            </w:pPr>
            <w:r>
              <w:rPr>
                <w:b/>
                <w:bCs/>
                <w:spacing w:val="4"/>
                <w:sz w:val="20"/>
                <w:szCs w:val="20"/>
              </w:rPr>
              <w:t>工艺简述：</w:t>
            </w:r>
          </w:p>
          <w:p w14:paraId="00670D48">
            <w:pPr>
              <w:pStyle w:val="6"/>
              <w:spacing w:before="153" w:line="355" w:lineRule="auto"/>
              <w:ind w:left="91" w:right="87" w:firstLine="423"/>
              <w:rPr>
                <w:sz w:val="20"/>
                <w:szCs w:val="20"/>
              </w:rPr>
            </w:pPr>
            <w:r>
              <w:rPr>
                <w:spacing w:val="11"/>
                <w:sz w:val="20"/>
                <w:szCs w:val="20"/>
              </w:rPr>
              <w:t>项目蒸压加气混凝土砌块和板材的生产工艺几乎相同，唯一不同之</w:t>
            </w:r>
            <w:r>
              <w:rPr>
                <w:spacing w:val="10"/>
                <w:sz w:val="20"/>
                <w:szCs w:val="20"/>
              </w:rPr>
              <w:t>处在于板材生</w:t>
            </w:r>
            <w:r>
              <w:rPr>
                <w:sz w:val="20"/>
                <w:szCs w:val="20"/>
              </w:rPr>
              <w:t xml:space="preserve"> </w:t>
            </w:r>
            <w:r>
              <w:rPr>
                <w:spacing w:val="8"/>
                <w:sz w:val="20"/>
                <w:szCs w:val="20"/>
              </w:rPr>
              <w:t>产过程多出带肋钢筋网加工环节。</w:t>
            </w:r>
          </w:p>
          <w:p w14:paraId="575375A5">
            <w:pPr>
              <w:pStyle w:val="6"/>
              <w:spacing w:before="32" w:line="225" w:lineRule="auto"/>
              <w:ind w:left="510"/>
              <w:rPr>
                <w:sz w:val="20"/>
                <w:szCs w:val="20"/>
              </w:rPr>
            </w:pPr>
            <w:r>
              <w:rPr>
                <w:spacing w:val="8"/>
                <w:sz w:val="20"/>
                <w:szCs w:val="20"/>
              </w:rPr>
              <w:t>①原料的准备</w:t>
            </w:r>
          </w:p>
          <w:p w14:paraId="1DF071AA">
            <w:pPr>
              <w:pStyle w:val="6"/>
              <w:spacing w:before="155" w:line="355" w:lineRule="auto"/>
              <w:ind w:left="92" w:right="87" w:firstLine="422"/>
              <w:rPr>
                <w:sz w:val="20"/>
                <w:szCs w:val="20"/>
              </w:rPr>
            </w:pPr>
            <w:r>
              <w:rPr>
                <w:spacing w:val="10"/>
                <w:sz w:val="20"/>
                <w:szCs w:val="20"/>
              </w:rPr>
              <w:t>项目砌块和板材的生产原料主要会用到水泥、石灰、</w:t>
            </w:r>
            <w:r>
              <w:rPr>
                <w:spacing w:val="9"/>
                <w:sz w:val="20"/>
                <w:szCs w:val="20"/>
              </w:rPr>
              <w:t>粉煤灰等原料，</w:t>
            </w:r>
            <w:r>
              <w:rPr>
                <w:spacing w:val="-59"/>
                <w:sz w:val="20"/>
                <w:szCs w:val="20"/>
              </w:rPr>
              <w:t xml:space="preserve"> </w:t>
            </w:r>
            <w:r>
              <w:rPr>
                <w:spacing w:val="9"/>
                <w:sz w:val="20"/>
                <w:szCs w:val="20"/>
              </w:rPr>
              <w:t>以及建筑垃</w:t>
            </w:r>
            <w:r>
              <w:rPr>
                <w:sz w:val="20"/>
                <w:szCs w:val="20"/>
              </w:rPr>
              <w:t xml:space="preserve"> </w:t>
            </w:r>
            <w:r>
              <w:rPr>
                <w:spacing w:val="5"/>
                <w:sz w:val="20"/>
                <w:szCs w:val="20"/>
              </w:rPr>
              <w:t>圾和铝粉。</w:t>
            </w:r>
          </w:p>
          <w:p w14:paraId="141B676E">
            <w:pPr>
              <w:pStyle w:val="6"/>
              <w:spacing w:before="33" w:line="364" w:lineRule="auto"/>
              <w:ind w:left="89" w:right="15" w:firstLine="423"/>
              <w:jc w:val="both"/>
              <w:rPr>
                <w:sz w:val="20"/>
                <w:szCs w:val="20"/>
              </w:rPr>
            </w:pPr>
            <w:r>
              <w:rPr>
                <w:spacing w:val="11"/>
                <w:sz w:val="20"/>
                <w:szCs w:val="20"/>
              </w:rPr>
              <w:t>生产时水泥、石灰等粉料原料，通过散装罐车运至厂区后，通过气力</w:t>
            </w:r>
            <w:r>
              <w:rPr>
                <w:spacing w:val="10"/>
                <w:sz w:val="20"/>
                <w:szCs w:val="20"/>
              </w:rPr>
              <w:t>输送至相应</w:t>
            </w:r>
            <w:r>
              <w:rPr>
                <w:sz w:val="20"/>
                <w:szCs w:val="20"/>
              </w:rPr>
              <w:t xml:space="preserve"> </w:t>
            </w:r>
            <w:r>
              <w:rPr>
                <w:spacing w:val="11"/>
                <w:sz w:val="20"/>
                <w:szCs w:val="20"/>
              </w:rPr>
              <w:t>筒仓贮存。建筑垃圾通过汽车运至厂区后，于卸料口卸料至地下原料堆场。卸</w:t>
            </w:r>
            <w:r>
              <w:rPr>
                <w:spacing w:val="10"/>
                <w:sz w:val="20"/>
                <w:szCs w:val="20"/>
              </w:rPr>
              <w:t>料口设</w:t>
            </w:r>
            <w:r>
              <w:rPr>
                <w:sz w:val="20"/>
                <w:szCs w:val="20"/>
              </w:rPr>
              <w:t xml:space="preserve"> </w:t>
            </w:r>
            <w:r>
              <w:rPr>
                <w:spacing w:val="11"/>
                <w:sz w:val="20"/>
                <w:szCs w:val="20"/>
              </w:rPr>
              <w:t>置于砌块和板材车间的西侧，即地面上。建筑垃圾通过溜槽进入地下原料堆场</w:t>
            </w:r>
            <w:r>
              <w:rPr>
                <w:spacing w:val="10"/>
                <w:sz w:val="20"/>
                <w:szCs w:val="20"/>
              </w:rPr>
              <w:t>。堆场</w:t>
            </w:r>
            <w:r>
              <w:rPr>
                <w:sz w:val="20"/>
                <w:szCs w:val="20"/>
              </w:rPr>
              <w:t xml:space="preserve"> </w:t>
            </w:r>
            <w:r>
              <w:rPr>
                <w:spacing w:val="7"/>
                <w:sz w:val="20"/>
                <w:szCs w:val="20"/>
              </w:rPr>
              <w:t>内采用装载机进行原料的分类堆放。堆场内设置有颚破机和振动筛及料斗等生产设施。</w:t>
            </w:r>
            <w:r>
              <w:rPr>
                <w:spacing w:val="9"/>
                <w:sz w:val="20"/>
                <w:szCs w:val="20"/>
              </w:rPr>
              <w:t xml:space="preserve"> </w:t>
            </w:r>
            <w:r>
              <w:rPr>
                <w:spacing w:val="11"/>
                <w:sz w:val="20"/>
                <w:szCs w:val="20"/>
              </w:rPr>
              <w:t>建筑垃圾需要首先进行破碎筛分成为小块物料，才能通过封闭式皮带输送装置</w:t>
            </w:r>
            <w:r>
              <w:rPr>
                <w:spacing w:val="10"/>
                <w:sz w:val="20"/>
                <w:szCs w:val="20"/>
              </w:rPr>
              <w:t>，输送</w:t>
            </w:r>
            <w:r>
              <w:rPr>
                <w:sz w:val="20"/>
                <w:szCs w:val="20"/>
              </w:rPr>
              <w:t xml:space="preserve"> </w:t>
            </w:r>
            <w:r>
              <w:rPr>
                <w:spacing w:val="8"/>
                <w:sz w:val="20"/>
                <w:szCs w:val="20"/>
              </w:rPr>
              <w:t>至地面的生产车间内利用。</w:t>
            </w:r>
          </w:p>
          <w:p w14:paraId="12D90446">
            <w:pPr>
              <w:pStyle w:val="6"/>
              <w:spacing w:before="33" w:line="227" w:lineRule="auto"/>
              <w:ind w:left="512"/>
              <w:rPr>
                <w:sz w:val="20"/>
                <w:szCs w:val="20"/>
              </w:rPr>
            </w:pPr>
            <w:r>
              <w:rPr>
                <w:spacing w:val="9"/>
                <w:sz w:val="20"/>
                <w:szCs w:val="20"/>
              </w:rPr>
              <w:t>铝粉发泡剂添加量较少，直接采用袋装原料，在车间固定位置堆存。</w:t>
            </w:r>
          </w:p>
          <w:p w14:paraId="198B402B">
            <w:pPr>
              <w:pStyle w:val="6"/>
              <w:spacing w:before="153" w:line="225" w:lineRule="auto"/>
              <w:ind w:left="509"/>
              <w:rPr>
                <w:sz w:val="20"/>
                <w:szCs w:val="20"/>
              </w:rPr>
            </w:pPr>
            <w:r>
              <w:rPr>
                <w:spacing w:val="8"/>
                <w:sz w:val="20"/>
                <w:szCs w:val="20"/>
              </w:rPr>
              <w:t>②原浆制备</w:t>
            </w:r>
          </w:p>
          <w:p w14:paraId="5A71C4F4">
            <w:pPr>
              <w:pStyle w:val="6"/>
              <w:spacing w:before="159" w:line="363" w:lineRule="auto"/>
              <w:ind w:left="90" w:right="86" w:firstLine="422"/>
              <w:rPr>
                <w:sz w:val="20"/>
                <w:szCs w:val="20"/>
              </w:rPr>
            </w:pPr>
            <w:r>
              <w:rPr>
                <w:spacing w:val="11"/>
                <w:sz w:val="20"/>
                <w:szCs w:val="20"/>
              </w:rPr>
              <w:t>经过颚破筛分后的建筑垃圾经皮带送入球磨机研磨。球磨机运行时同步</w:t>
            </w:r>
            <w:r>
              <w:rPr>
                <w:spacing w:val="10"/>
                <w:sz w:val="20"/>
                <w:szCs w:val="20"/>
              </w:rPr>
              <w:t>加入水，</w:t>
            </w:r>
            <w:r>
              <w:rPr>
                <w:sz w:val="20"/>
                <w:szCs w:val="20"/>
              </w:rPr>
              <w:t xml:space="preserve"> </w:t>
            </w:r>
            <w:r>
              <w:rPr>
                <w:spacing w:val="9"/>
                <w:sz w:val="20"/>
                <w:szCs w:val="20"/>
              </w:rPr>
              <w:t>根据建设单位介绍，生产</w:t>
            </w:r>
            <w:r>
              <w:rPr>
                <w:spacing w:val="-6"/>
                <w:sz w:val="20"/>
                <w:szCs w:val="20"/>
              </w:rPr>
              <w:t xml:space="preserve"> </w:t>
            </w:r>
            <w:r>
              <w:rPr>
                <w:rFonts w:ascii="Times New Roman" w:hAnsi="Times New Roman" w:eastAsia="Times New Roman" w:cs="Times New Roman"/>
                <w:spacing w:val="9"/>
                <w:sz w:val="20"/>
                <w:szCs w:val="20"/>
              </w:rPr>
              <w:t>1m</w:t>
            </w:r>
            <w:r>
              <w:rPr>
                <w:rFonts w:ascii="Times New Roman" w:hAnsi="Times New Roman" w:eastAsia="Times New Roman" w:cs="Times New Roman"/>
                <w:spacing w:val="9"/>
                <w:position w:val="6"/>
                <w:sz w:val="13"/>
                <w:szCs w:val="13"/>
              </w:rPr>
              <w:t>3</w:t>
            </w:r>
            <w:r>
              <w:rPr>
                <w:rFonts w:ascii="Times New Roman" w:hAnsi="Times New Roman" w:eastAsia="Times New Roman" w:cs="Times New Roman"/>
                <w:spacing w:val="13"/>
                <w:w w:val="101"/>
                <w:position w:val="6"/>
                <w:sz w:val="13"/>
                <w:szCs w:val="13"/>
              </w:rPr>
              <w:t xml:space="preserve"> </w:t>
            </w:r>
            <w:r>
              <w:rPr>
                <w:spacing w:val="9"/>
                <w:sz w:val="20"/>
                <w:szCs w:val="20"/>
              </w:rPr>
              <w:t>砌块和板材产品约需要消耗</w:t>
            </w:r>
            <w:r>
              <w:rPr>
                <w:spacing w:val="-35"/>
                <w:sz w:val="20"/>
                <w:szCs w:val="20"/>
              </w:rPr>
              <w:t xml:space="preserve"> </w:t>
            </w:r>
            <w:r>
              <w:rPr>
                <w:rFonts w:ascii="Times New Roman" w:hAnsi="Times New Roman" w:eastAsia="Times New Roman" w:cs="Times New Roman"/>
                <w:spacing w:val="9"/>
                <w:sz w:val="20"/>
                <w:szCs w:val="20"/>
              </w:rPr>
              <w:t>0.3m</w:t>
            </w:r>
            <w:r>
              <w:rPr>
                <w:rFonts w:ascii="Times New Roman" w:hAnsi="Times New Roman" w:eastAsia="Times New Roman" w:cs="Times New Roman"/>
                <w:spacing w:val="9"/>
                <w:position w:val="6"/>
                <w:sz w:val="13"/>
                <w:szCs w:val="13"/>
              </w:rPr>
              <w:t>3</w:t>
            </w:r>
            <w:r>
              <w:rPr>
                <w:rFonts w:ascii="Times New Roman" w:hAnsi="Times New Roman" w:eastAsia="Times New Roman" w:cs="Times New Roman"/>
                <w:spacing w:val="15"/>
                <w:w w:val="101"/>
                <w:position w:val="6"/>
                <w:sz w:val="13"/>
                <w:szCs w:val="13"/>
              </w:rPr>
              <w:t xml:space="preserve"> </w:t>
            </w:r>
            <w:r>
              <w:rPr>
                <w:spacing w:val="9"/>
                <w:sz w:val="20"/>
                <w:szCs w:val="20"/>
              </w:rPr>
              <w:t>水，制成原浆。球磨</w:t>
            </w:r>
            <w:r>
              <w:rPr>
                <w:sz w:val="20"/>
                <w:szCs w:val="20"/>
              </w:rPr>
              <w:t xml:space="preserve"> </w:t>
            </w:r>
            <w:r>
              <w:rPr>
                <w:spacing w:val="11"/>
                <w:sz w:val="20"/>
                <w:szCs w:val="20"/>
              </w:rPr>
              <w:t>机属于封闭型设备且采取湿法工艺，及时在进出料口也不会有粉尘产生。制</w:t>
            </w:r>
            <w:r>
              <w:rPr>
                <w:spacing w:val="10"/>
                <w:sz w:val="20"/>
                <w:szCs w:val="20"/>
              </w:rPr>
              <w:t>好的原浆</w:t>
            </w:r>
            <w:r>
              <w:rPr>
                <w:sz w:val="20"/>
                <w:szCs w:val="20"/>
              </w:rPr>
              <w:t xml:space="preserve"> </w:t>
            </w:r>
            <w:r>
              <w:rPr>
                <w:spacing w:val="11"/>
                <w:sz w:val="20"/>
                <w:szCs w:val="20"/>
              </w:rPr>
              <w:t>先进入过渡池，池内有搅拌器不断搅拌，避免原浆内的固体物质发生沉淀。</w:t>
            </w:r>
            <w:r>
              <w:rPr>
                <w:spacing w:val="10"/>
                <w:sz w:val="20"/>
                <w:szCs w:val="20"/>
              </w:rPr>
              <w:t>然后通过</w:t>
            </w:r>
            <w:r>
              <w:rPr>
                <w:sz w:val="20"/>
                <w:szCs w:val="20"/>
              </w:rPr>
              <w:t xml:space="preserve"> </w:t>
            </w:r>
            <w:r>
              <w:rPr>
                <w:spacing w:val="7"/>
                <w:sz w:val="20"/>
                <w:szCs w:val="20"/>
              </w:rPr>
              <w:t>泵泵入原浆罐。项目拟设置</w:t>
            </w:r>
            <w:r>
              <w:rPr>
                <w:spacing w:val="-25"/>
                <w:sz w:val="20"/>
                <w:szCs w:val="20"/>
              </w:rPr>
              <w:t xml:space="preserve"> </w:t>
            </w:r>
            <w:r>
              <w:rPr>
                <w:rFonts w:ascii="Times New Roman" w:hAnsi="Times New Roman" w:eastAsia="Times New Roman" w:cs="Times New Roman"/>
                <w:spacing w:val="7"/>
                <w:sz w:val="20"/>
                <w:szCs w:val="20"/>
              </w:rPr>
              <w:t xml:space="preserve">2 </w:t>
            </w:r>
            <w:r>
              <w:rPr>
                <w:spacing w:val="7"/>
                <w:sz w:val="20"/>
                <w:szCs w:val="20"/>
              </w:rPr>
              <w:t>个原浆罐，单个容积约</w:t>
            </w:r>
            <w:r>
              <w:rPr>
                <w:spacing w:val="-35"/>
                <w:sz w:val="20"/>
                <w:szCs w:val="20"/>
              </w:rPr>
              <w:t xml:space="preserve"> </w:t>
            </w:r>
            <w:r>
              <w:rPr>
                <w:rFonts w:ascii="Times New Roman" w:hAnsi="Times New Roman" w:eastAsia="Times New Roman" w:cs="Times New Roman"/>
                <w:spacing w:val="7"/>
                <w:sz w:val="20"/>
                <w:szCs w:val="20"/>
              </w:rPr>
              <w:t>50m</w:t>
            </w:r>
            <w:r>
              <w:rPr>
                <w:rFonts w:ascii="Times New Roman" w:hAnsi="Times New Roman" w:eastAsia="Times New Roman" w:cs="Times New Roman"/>
                <w:spacing w:val="7"/>
                <w:position w:val="6"/>
                <w:sz w:val="13"/>
                <w:szCs w:val="13"/>
              </w:rPr>
              <w:t>3</w:t>
            </w:r>
            <w:r>
              <w:rPr>
                <w:spacing w:val="7"/>
                <w:sz w:val="20"/>
                <w:szCs w:val="20"/>
              </w:rPr>
              <w:t>。</w:t>
            </w:r>
          </w:p>
          <w:p w14:paraId="1FA76472">
            <w:pPr>
              <w:pStyle w:val="6"/>
              <w:spacing w:before="31" w:line="225" w:lineRule="auto"/>
              <w:ind w:left="509"/>
              <w:rPr>
                <w:sz w:val="20"/>
                <w:szCs w:val="20"/>
              </w:rPr>
            </w:pPr>
            <w:r>
              <w:rPr>
                <w:spacing w:val="8"/>
                <w:sz w:val="20"/>
                <w:szCs w:val="20"/>
              </w:rPr>
              <w:t>③配料、模具浇注</w:t>
            </w:r>
          </w:p>
          <w:p w14:paraId="3387EEDA">
            <w:pPr>
              <w:pStyle w:val="6"/>
              <w:spacing w:before="154" w:line="364" w:lineRule="auto"/>
              <w:ind w:left="90" w:right="86" w:firstLine="422"/>
              <w:rPr>
                <w:sz w:val="20"/>
                <w:szCs w:val="20"/>
              </w:rPr>
            </w:pPr>
            <w:r>
              <w:rPr>
                <w:spacing w:val="11"/>
                <w:sz w:val="20"/>
                <w:szCs w:val="20"/>
              </w:rPr>
              <w:t>经过计量后的水泥、石粉及粉煤灰等物料经螺旋输送装置送入配料罐</w:t>
            </w:r>
            <w:r>
              <w:rPr>
                <w:spacing w:val="10"/>
                <w:sz w:val="20"/>
                <w:szCs w:val="20"/>
              </w:rPr>
              <w:t>，原浆经管</w:t>
            </w:r>
            <w:r>
              <w:rPr>
                <w:sz w:val="20"/>
                <w:szCs w:val="20"/>
              </w:rPr>
              <w:t xml:space="preserve"> </w:t>
            </w:r>
            <w:r>
              <w:rPr>
                <w:spacing w:val="5"/>
                <w:sz w:val="20"/>
                <w:szCs w:val="20"/>
              </w:rPr>
              <w:t>道输送至配料罐，铝粉则采取人工添加。项目设有</w:t>
            </w:r>
            <w:r>
              <w:rPr>
                <w:spacing w:val="-3"/>
                <w:sz w:val="20"/>
                <w:szCs w:val="20"/>
              </w:rPr>
              <w:t xml:space="preserve"> </w:t>
            </w:r>
            <w:r>
              <w:rPr>
                <w:spacing w:val="5"/>
                <w:sz w:val="20"/>
                <w:szCs w:val="20"/>
              </w:rPr>
              <w:t>1</w:t>
            </w:r>
            <w:r>
              <w:rPr>
                <w:spacing w:val="-38"/>
                <w:sz w:val="20"/>
                <w:szCs w:val="20"/>
              </w:rPr>
              <w:t xml:space="preserve"> </w:t>
            </w:r>
            <w:r>
              <w:rPr>
                <w:spacing w:val="5"/>
                <w:sz w:val="20"/>
                <w:szCs w:val="20"/>
              </w:rPr>
              <w:t>个</w:t>
            </w:r>
            <w:r>
              <w:rPr>
                <w:spacing w:val="-35"/>
                <w:sz w:val="20"/>
                <w:szCs w:val="20"/>
              </w:rPr>
              <w:t xml:space="preserve"> </w:t>
            </w:r>
            <w:r>
              <w:rPr>
                <w:spacing w:val="5"/>
                <w:sz w:val="20"/>
                <w:szCs w:val="20"/>
              </w:rPr>
              <w:t>5m</w:t>
            </w:r>
            <w:r>
              <w:rPr>
                <w:spacing w:val="5"/>
                <w:position w:val="10"/>
                <w:sz w:val="10"/>
                <w:szCs w:val="10"/>
              </w:rPr>
              <w:t>3</w:t>
            </w:r>
            <w:r>
              <w:rPr>
                <w:spacing w:val="-16"/>
                <w:position w:val="10"/>
                <w:sz w:val="10"/>
                <w:szCs w:val="10"/>
              </w:rPr>
              <w:t xml:space="preserve"> </w:t>
            </w:r>
            <w:r>
              <w:rPr>
                <w:spacing w:val="5"/>
                <w:sz w:val="20"/>
                <w:szCs w:val="20"/>
              </w:rPr>
              <w:t>配料罐，罐内有搅拌器不断</w:t>
            </w:r>
            <w:r>
              <w:rPr>
                <w:sz w:val="20"/>
                <w:szCs w:val="20"/>
              </w:rPr>
              <w:t xml:space="preserve"> </w:t>
            </w:r>
            <w:r>
              <w:rPr>
                <w:spacing w:val="9"/>
                <w:sz w:val="20"/>
                <w:szCs w:val="20"/>
              </w:rPr>
              <w:t>搅拌。配料罐内按需添加好物料后，单次搅拌时间约</w:t>
            </w:r>
            <w:r>
              <w:rPr>
                <w:spacing w:val="-21"/>
                <w:sz w:val="20"/>
                <w:szCs w:val="20"/>
              </w:rPr>
              <w:t xml:space="preserve"> </w:t>
            </w:r>
            <w:r>
              <w:rPr>
                <w:spacing w:val="9"/>
                <w:sz w:val="20"/>
                <w:szCs w:val="20"/>
              </w:rPr>
              <w:t>3</w:t>
            </w:r>
            <w:r>
              <w:rPr>
                <w:sz w:val="20"/>
                <w:szCs w:val="20"/>
              </w:rPr>
              <w:t>min</w:t>
            </w:r>
            <w:r>
              <w:rPr>
                <w:spacing w:val="9"/>
                <w:sz w:val="20"/>
                <w:szCs w:val="20"/>
              </w:rPr>
              <w:t>。此时，工人将模具放置在</w:t>
            </w:r>
            <w:r>
              <w:rPr>
                <w:sz w:val="20"/>
                <w:szCs w:val="20"/>
              </w:rPr>
              <w:t xml:space="preserve"> </w:t>
            </w:r>
            <w:r>
              <w:rPr>
                <w:spacing w:val="10"/>
                <w:sz w:val="20"/>
                <w:szCs w:val="20"/>
              </w:rPr>
              <w:t>牵引车和摆渡车上，拉入配料罐下方的浇注口进行模具浇注。</w:t>
            </w:r>
            <w:r>
              <w:rPr>
                <w:b/>
                <w:bCs/>
                <w:spacing w:val="10"/>
                <w:sz w:val="20"/>
                <w:szCs w:val="20"/>
              </w:rPr>
              <w:t>混凝土板材生产时需先</w:t>
            </w:r>
            <w:r>
              <w:rPr>
                <w:spacing w:val="10"/>
                <w:sz w:val="20"/>
                <w:szCs w:val="20"/>
              </w:rPr>
              <w:t xml:space="preserve"> </w:t>
            </w:r>
            <w:r>
              <w:rPr>
                <w:b/>
                <w:bCs/>
                <w:spacing w:val="6"/>
                <w:sz w:val="20"/>
                <w:szCs w:val="20"/>
              </w:rPr>
              <w:t>放置带肋钢筋网在模具内。</w:t>
            </w:r>
          </w:p>
          <w:p w14:paraId="176FC377">
            <w:pPr>
              <w:pStyle w:val="6"/>
              <w:spacing w:before="31" w:line="355" w:lineRule="auto"/>
              <w:ind w:left="91" w:right="15" w:firstLine="420"/>
              <w:rPr>
                <w:sz w:val="20"/>
                <w:szCs w:val="20"/>
              </w:rPr>
            </w:pPr>
            <w:r>
              <w:rPr>
                <w:spacing w:val="4"/>
                <w:sz w:val="20"/>
                <w:szCs w:val="20"/>
              </w:rPr>
              <w:t>本项目一个模具大约需浇注浆料</w:t>
            </w:r>
            <w:r>
              <w:rPr>
                <w:spacing w:val="-35"/>
                <w:sz w:val="20"/>
                <w:szCs w:val="20"/>
              </w:rPr>
              <w:t xml:space="preserve"> </w:t>
            </w:r>
            <w:r>
              <w:rPr>
                <w:spacing w:val="4"/>
                <w:sz w:val="20"/>
                <w:szCs w:val="20"/>
              </w:rPr>
              <w:t>3.5m</w:t>
            </w:r>
            <w:r>
              <w:rPr>
                <w:spacing w:val="4"/>
                <w:position w:val="10"/>
                <w:sz w:val="10"/>
                <w:szCs w:val="10"/>
              </w:rPr>
              <w:t>3</w:t>
            </w:r>
            <w:r>
              <w:rPr>
                <w:spacing w:val="4"/>
                <w:sz w:val="20"/>
                <w:szCs w:val="20"/>
              </w:rPr>
              <w:t>。</w:t>
            </w:r>
            <w:r>
              <w:rPr>
                <w:spacing w:val="3"/>
                <w:sz w:val="20"/>
                <w:szCs w:val="20"/>
              </w:rPr>
              <w:t>浇注完成后的模具，拉入初养室进行养护。</w:t>
            </w:r>
            <w:r>
              <w:rPr>
                <w:sz w:val="20"/>
                <w:szCs w:val="20"/>
              </w:rPr>
              <w:t xml:space="preserve"> </w:t>
            </w:r>
            <w:r>
              <w:rPr>
                <w:spacing w:val="8"/>
                <w:sz w:val="20"/>
                <w:szCs w:val="20"/>
              </w:rPr>
              <w:t>配料罐则进行下一批配料和搅拌工作。</w:t>
            </w:r>
          </w:p>
          <w:p w14:paraId="5DF232D7">
            <w:pPr>
              <w:pStyle w:val="6"/>
              <w:spacing w:before="32" w:line="225" w:lineRule="auto"/>
              <w:ind w:left="509"/>
              <w:rPr>
                <w:sz w:val="20"/>
                <w:szCs w:val="20"/>
              </w:rPr>
            </w:pPr>
            <w:r>
              <w:rPr>
                <w:spacing w:val="9"/>
                <w:sz w:val="20"/>
                <w:szCs w:val="20"/>
              </w:rPr>
              <w:t>④初养、脱模及蒸压釜养护</w:t>
            </w:r>
          </w:p>
        </w:tc>
      </w:tr>
    </w:tbl>
    <w:p w14:paraId="07C52C46">
      <w:pPr>
        <w:pStyle w:val="2"/>
      </w:pPr>
    </w:p>
    <w:p w14:paraId="0F8381CB">
      <w:pPr>
        <w:sectPr>
          <w:footerReference r:id="rId48" w:type="default"/>
          <w:pgSz w:w="11906" w:h="16839"/>
          <w:pgMar w:top="1431" w:right="1534" w:bottom="1259" w:left="1533" w:header="0" w:footer="1080" w:gutter="0"/>
          <w:cols w:space="720" w:num="1"/>
        </w:sectPr>
      </w:pPr>
    </w:p>
    <w:p w14:paraId="75DB0F16">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261B3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14:paraId="6F1DC27C">
            <w:pPr>
              <w:rPr>
                <w:rFonts w:ascii="Arial"/>
                <w:sz w:val="21"/>
              </w:rPr>
            </w:pPr>
          </w:p>
        </w:tc>
        <w:tc>
          <w:tcPr>
            <w:tcW w:w="7992" w:type="dxa"/>
            <w:tcBorders>
              <w:right w:val="single" w:color="000000" w:sz="6" w:space="0"/>
            </w:tcBorders>
            <w:vAlign w:val="top"/>
          </w:tcPr>
          <w:p w14:paraId="5F696AAB">
            <w:pPr>
              <w:pStyle w:val="6"/>
              <w:spacing w:before="145" w:line="362" w:lineRule="auto"/>
              <w:ind w:left="90" w:right="15" w:firstLine="420"/>
              <w:jc w:val="both"/>
              <w:rPr>
                <w:sz w:val="20"/>
                <w:szCs w:val="20"/>
              </w:rPr>
            </w:pPr>
            <w:r>
              <w:rPr>
                <w:spacing w:val="10"/>
                <w:sz w:val="20"/>
                <w:szCs w:val="20"/>
              </w:rPr>
              <w:t>初养：浇注好的模具，</w:t>
            </w:r>
            <w:r>
              <w:rPr>
                <w:spacing w:val="-58"/>
                <w:sz w:val="20"/>
                <w:szCs w:val="20"/>
              </w:rPr>
              <w:t xml:space="preserve"> </w:t>
            </w:r>
            <w:r>
              <w:rPr>
                <w:spacing w:val="10"/>
                <w:sz w:val="20"/>
                <w:szCs w:val="20"/>
              </w:rPr>
              <w:t>由摆渡车和牵引机将模具车拉入初养</w:t>
            </w:r>
            <w:r>
              <w:rPr>
                <w:spacing w:val="9"/>
                <w:sz w:val="20"/>
                <w:szCs w:val="20"/>
              </w:rPr>
              <w:t>室进行初养，使坯体</w:t>
            </w:r>
            <w:r>
              <w:rPr>
                <w:sz w:val="20"/>
                <w:szCs w:val="20"/>
              </w:rPr>
              <w:t xml:space="preserve"> </w:t>
            </w:r>
            <w:r>
              <w:rPr>
                <w:spacing w:val="11"/>
                <w:sz w:val="20"/>
                <w:szCs w:val="20"/>
              </w:rPr>
              <w:t>内水化反应充分，发气剂铝粉发泡使胚体逐渐膨胀，同时料浆中大量的水化</w:t>
            </w:r>
            <w:r>
              <w:rPr>
                <w:spacing w:val="10"/>
                <w:sz w:val="20"/>
                <w:szCs w:val="20"/>
              </w:rPr>
              <w:t>产物不断</w:t>
            </w:r>
            <w:r>
              <w:rPr>
                <w:sz w:val="20"/>
                <w:szCs w:val="20"/>
              </w:rPr>
              <w:t xml:space="preserve"> </w:t>
            </w:r>
            <w:r>
              <w:rPr>
                <w:spacing w:val="5"/>
                <w:sz w:val="20"/>
                <w:szCs w:val="20"/>
              </w:rPr>
              <w:t>生成，坯体逐渐稠化粘结，达到一定的切割硬度，要求静停后坯体强度</w:t>
            </w:r>
            <w:r>
              <w:rPr>
                <w:spacing w:val="4"/>
                <w:sz w:val="20"/>
                <w:szCs w:val="20"/>
              </w:rPr>
              <w:t xml:space="preserve"> </w:t>
            </w:r>
            <w:r>
              <w:rPr>
                <w:rFonts w:ascii="Times New Roman" w:hAnsi="Times New Roman" w:eastAsia="Times New Roman" w:cs="Times New Roman"/>
                <w:spacing w:val="4"/>
                <w:sz w:val="20"/>
                <w:szCs w:val="20"/>
              </w:rPr>
              <w:t>0.20~0.25</w:t>
            </w:r>
            <w:r>
              <w:rPr>
                <w:rFonts w:ascii="Times New Roman" w:hAnsi="Times New Roman" w:eastAsia="Times New Roman" w:cs="Times New Roman"/>
                <w:sz w:val="20"/>
                <w:szCs w:val="20"/>
              </w:rPr>
              <w:t>Mpa</w:t>
            </w:r>
            <w:r>
              <w:rPr>
                <w:spacing w:val="4"/>
                <w:sz w:val="20"/>
                <w:szCs w:val="20"/>
              </w:rPr>
              <w:t>。</w:t>
            </w:r>
            <w:r>
              <w:rPr>
                <w:sz w:val="20"/>
                <w:szCs w:val="20"/>
              </w:rPr>
              <w:t xml:space="preserve"> </w:t>
            </w:r>
            <w:r>
              <w:rPr>
                <w:spacing w:val="8"/>
                <w:sz w:val="20"/>
                <w:szCs w:val="20"/>
              </w:rPr>
              <w:t>初养所需时间约</w:t>
            </w:r>
            <w:r>
              <w:rPr>
                <w:spacing w:val="-39"/>
                <w:sz w:val="20"/>
                <w:szCs w:val="20"/>
              </w:rPr>
              <w:t xml:space="preserve"> </w:t>
            </w:r>
            <w:r>
              <w:rPr>
                <w:rFonts w:ascii="Times New Roman" w:hAnsi="Times New Roman" w:eastAsia="Times New Roman" w:cs="Times New Roman"/>
                <w:spacing w:val="8"/>
                <w:sz w:val="20"/>
                <w:szCs w:val="20"/>
              </w:rPr>
              <w:t xml:space="preserve">2.5h </w:t>
            </w:r>
            <w:r>
              <w:rPr>
                <w:spacing w:val="8"/>
                <w:sz w:val="20"/>
                <w:szCs w:val="20"/>
              </w:rPr>
              <w:t>左右，温度要求控制在</w:t>
            </w:r>
            <w:r>
              <w:rPr>
                <w:spacing w:val="-38"/>
                <w:sz w:val="20"/>
                <w:szCs w:val="20"/>
              </w:rPr>
              <w:t xml:space="preserve"> </w:t>
            </w:r>
            <w:r>
              <w:rPr>
                <w:rFonts w:ascii="Times New Roman" w:hAnsi="Times New Roman" w:eastAsia="Times New Roman" w:cs="Times New Roman"/>
                <w:spacing w:val="8"/>
                <w:sz w:val="20"/>
                <w:szCs w:val="20"/>
              </w:rPr>
              <w:t>70~80℃</w:t>
            </w:r>
            <w:r>
              <w:rPr>
                <w:rFonts w:ascii="Times New Roman" w:hAnsi="Times New Roman" w:eastAsia="Times New Roman" w:cs="Times New Roman"/>
                <w:spacing w:val="-19"/>
                <w:sz w:val="20"/>
                <w:szCs w:val="20"/>
              </w:rPr>
              <w:t xml:space="preserve"> </w:t>
            </w:r>
            <w:r>
              <w:rPr>
                <w:spacing w:val="8"/>
                <w:sz w:val="20"/>
                <w:szCs w:val="20"/>
              </w:rPr>
              <w:t>。初养所需热能主要来自东岳电</w:t>
            </w:r>
            <w:r>
              <w:rPr>
                <w:sz w:val="20"/>
                <w:szCs w:val="20"/>
              </w:rPr>
              <w:t xml:space="preserve"> </w:t>
            </w:r>
            <w:r>
              <w:rPr>
                <w:spacing w:val="8"/>
                <w:sz w:val="20"/>
                <w:szCs w:val="20"/>
              </w:rPr>
              <w:t>厂的蒸汽以及蒸压釜的余热能。</w:t>
            </w:r>
          </w:p>
          <w:p w14:paraId="3C053327">
            <w:pPr>
              <w:pStyle w:val="6"/>
              <w:spacing w:before="39" w:line="355" w:lineRule="auto"/>
              <w:ind w:left="93" w:right="86" w:firstLine="418"/>
              <w:rPr>
                <w:sz w:val="20"/>
                <w:szCs w:val="20"/>
              </w:rPr>
            </w:pPr>
            <w:r>
              <w:rPr>
                <w:spacing w:val="7"/>
                <w:sz w:val="20"/>
                <w:szCs w:val="20"/>
              </w:rPr>
              <w:t>坯体达到强度要求后，将带坯体模具送到翻转机处翻转</w:t>
            </w:r>
            <w:r>
              <w:rPr>
                <w:spacing w:val="-27"/>
                <w:sz w:val="20"/>
                <w:szCs w:val="20"/>
              </w:rPr>
              <w:t xml:space="preserve"> </w:t>
            </w:r>
            <w:r>
              <w:rPr>
                <w:rFonts w:ascii="Times New Roman" w:hAnsi="Times New Roman" w:eastAsia="Times New Roman" w:cs="Times New Roman"/>
                <w:spacing w:val="7"/>
                <w:sz w:val="20"/>
                <w:szCs w:val="20"/>
              </w:rPr>
              <w:t xml:space="preserve">90 </w:t>
            </w:r>
            <w:r>
              <w:rPr>
                <w:spacing w:val="7"/>
                <w:sz w:val="20"/>
                <w:szCs w:val="20"/>
              </w:rPr>
              <w:t>度，再进入模具开启设</w:t>
            </w:r>
            <w:r>
              <w:rPr>
                <w:sz w:val="20"/>
                <w:szCs w:val="20"/>
              </w:rPr>
              <w:t xml:space="preserve"> </w:t>
            </w:r>
            <w:r>
              <w:rPr>
                <w:spacing w:val="6"/>
                <w:sz w:val="20"/>
                <w:szCs w:val="20"/>
              </w:rPr>
              <w:t>备，进行脱模。</w:t>
            </w:r>
          </w:p>
          <w:p w14:paraId="5B5DD309">
            <w:pPr>
              <w:pStyle w:val="6"/>
              <w:spacing w:before="28" w:line="358" w:lineRule="auto"/>
              <w:ind w:left="90" w:right="86" w:firstLine="421"/>
              <w:jc w:val="both"/>
              <w:rPr>
                <w:sz w:val="20"/>
                <w:szCs w:val="20"/>
              </w:rPr>
            </w:pPr>
            <w:r>
              <w:rPr>
                <w:spacing w:val="11"/>
                <w:sz w:val="20"/>
                <w:szCs w:val="20"/>
              </w:rPr>
              <w:t>脱模：静养室中出来的坯体，先通过翻转吊具吊起模框进行脱模。根据</w:t>
            </w:r>
            <w:r>
              <w:rPr>
                <w:spacing w:val="10"/>
                <w:sz w:val="20"/>
                <w:szCs w:val="20"/>
              </w:rPr>
              <w:t>《脱模剂</w:t>
            </w:r>
            <w:r>
              <w:rPr>
                <w:sz w:val="20"/>
                <w:szCs w:val="20"/>
              </w:rPr>
              <w:t xml:space="preserve"> </w:t>
            </w:r>
            <w:r>
              <w:rPr>
                <w:spacing w:val="8"/>
                <w:sz w:val="20"/>
                <w:szCs w:val="20"/>
              </w:rPr>
              <w:t>及其作用机理》</w:t>
            </w:r>
            <w:r>
              <w:rPr>
                <w:rFonts w:ascii="Times New Roman" w:hAnsi="Times New Roman" w:eastAsia="Times New Roman" w:cs="Times New Roman"/>
                <w:spacing w:val="8"/>
                <w:sz w:val="20"/>
                <w:szCs w:val="20"/>
              </w:rPr>
              <w:t xml:space="preserve">(2012 </w:t>
            </w:r>
            <w:r>
              <w:rPr>
                <w:spacing w:val="8"/>
                <w:sz w:val="20"/>
                <w:szCs w:val="20"/>
              </w:rPr>
              <w:t>年 西北橡胶塑料研究设计院</w:t>
            </w:r>
            <w:r>
              <w:rPr>
                <w:spacing w:val="7"/>
                <w:sz w:val="20"/>
                <w:szCs w:val="20"/>
              </w:rPr>
              <w:t>李昂</w:t>
            </w:r>
            <w:r>
              <w:rPr>
                <w:rFonts w:ascii="Times New Roman" w:hAnsi="Times New Roman" w:eastAsia="Times New Roman" w:cs="Times New Roman"/>
                <w:spacing w:val="7"/>
                <w:sz w:val="20"/>
                <w:szCs w:val="20"/>
              </w:rPr>
              <w:t>)</w:t>
            </w:r>
            <w:r>
              <w:rPr>
                <w:spacing w:val="7"/>
                <w:sz w:val="20"/>
                <w:szCs w:val="20"/>
              </w:rPr>
              <w:t>《环保混凝土脱模剂的合成研</w:t>
            </w:r>
            <w:r>
              <w:rPr>
                <w:sz w:val="20"/>
                <w:szCs w:val="20"/>
              </w:rPr>
              <w:t xml:space="preserve"> </w:t>
            </w:r>
            <w:r>
              <w:rPr>
                <w:spacing w:val="9"/>
                <w:sz w:val="20"/>
                <w:szCs w:val="20"/>
              </w:rPr>
              <w:t>究》</w:t>
            </w:r>
            <w:r>
              <w:rPr>
                <w:rFonts w:ascii="Times New Roman" w:hAnsi="Times New Roman" w:eastAsia="Times New Roman" w:cs="Times New Roman"/>
                <w:spacing w:val="9"/>
                <w:sz w:val="20"/>
                <w:szCs w:val="20"/>
              </w:rPr>
              <w:t xml:space="preserve">(2012 </w:t>
            </w:r>
            <w:r>
              <w:rPr>
                <w:spacing w:val="9"/>
                <w:sz w:val="20"/>
                <w:szCs w:val="20"/>
              </w:rPr>
              <w:t>年合肥工业大学</w:t>
            </w:r>
            <w:r>
              <w:rPr>
                <w:rFonts w:ascii="Times New Roman" w:hAnsi="Times New Roman" w:eastAsia="Times New Roman" w:cs="Times New Roman"/>
                <w:spacing w:val="9"/>
                <w:sz w:val="20"/>
                <w:szCs w:val="20"/>
              </w:rPr>
              <w:t>:</w:t>
            </w:r>
            <w:r>
              <w:rPr>
                <w:spacing w:val="9"/>
                <w:sz w:val="20"/>
                <w:szCs w:val="20"/>
              </w:rPr>
              <w:t>赵鹤翔</w:t>
            </w:r>
            <w:r>
              <w:rPr>
                <w:rFonts w:ascii="Times New Roman" w:hAnsi="Times New Roman" w:eastAsia="Times New Roman" w:cs="Times New Roman"/>
                <w:spacing w:val="9"/>
                <w:sz w:val="20"/>
                <w:szCs w:val="20"/>
              </w:rPr>
              <w:t>)</w:t>
            </w:r>
            <w:r>
              <w:rPr>
                <w:spacing w:val="9"/>
                <w:sz w:val="20"/>
                <w:szCs w:val="20"/>
              </w:rPr>
              <w:t>文献及研究资</w:t>
            </w:r>
            <w:r>
              <w:rPr>
                <w:spacing w:val="8"/>
                <w:sz w:val="20"/>
                <w:szCs w:val="20"/>
              </w:rPr>
              <w:t>料，脱模机理主要通过以下几种方式</w:t>
            </w:r>
            <w:r>
              <w:rPr>
                <w:sz w:val="20"/>
                <w:szCs w:val="20"/>
              </w:rPr>
              <w:t xml:space="preserve"> </w:t>
            </w:r>
            <w:r>
              <w:rPr>
                <w:spacing w:val="6"/>
                <w:sz w:val="20"/>
                <w:szCs w:val="20"/>
              </w:rPr>
              <w:t>作用实现：</w:t>
            </w:r>
          </w:p>
          <w:p w14:paraId="15FC0BBC">
            <w:pPr>
              <w:pStyle w:val="6"/>
              <w:spacing w:before="50" w:line="355" w:lineRule="auto"/>
              <w:ind w:left="94" w:right="86" w:firstLine="416"/>
              <w:rPr>
                <w:sz w:val="20"/>
                <w:szCs w:val="20"/>
              </w:rPr>
            </w:pPr>
            <w:r>
              <w:rPr>
                <w:rFonts w:ascii="Times New Roman" w:hAnsi="Times New Roman" w:eastAsia="Times New Roman" w:cs="Times New Roman"/>
                <w:spacing w:val="8"/>
                <w:sz w:val="20"/>
                <w:szCs w:val="20"/>
              </w:rPr>
              <w:t>a</w:t>
            </w:r>
            <w:r>
              <w:rPr>
                <w:rFonts w:ascii="Times New Roman" w:hAnsi="Times New Roman" w:eastAsia="Times New Roman" w:cs="Times New Roman"/>
                <w:spacing w:val="-29"/>
                <w:sz w:val="20"/>
                <w:szCs w:val="20"/>
              </w:rPr>
              <w:t xml:space="preserve"> </w:t>
            </w:r>
            <w:r>
              <w:rPr>
                <w:spacing w:val="8"/>
                <w:sz w:val="20"/>
                <w:szCs w:val="20"/>
              </w:rPr>
              <w:t>、物理润滑作用：脱模剂在模板和混凝土之间</w:t>
            </w:r>
            <w:r>
              <w:rPr>
                <w:spacing w:val="7"/>
                <w:sz w:val="20"/>
                <w:szCs w:val="20"/>
              </w:rPr>
              <w:t>起润滑作用，减弱二者之间的亲和</w:t>
            </w:r>
            <w:r>
              <w:rPr>
                <w:sz w:val="20"/>
                <w:szCs w:val="20"/>
              </w:rPr>
              <w:t xml:space="preserve"> </w:t>
            </w:r>
            <w:r>
              <w:rPr>
                <w:spacing w:val="7"/>
                <w:sz w:val="20"/>
                <w:szCs w:val="20"/>
              </w:rPr>
              <w:t>力从而起到脱模作用。</w:t>
            </w:r>
          </w:p>
          <w:p w14:paraId="074EF615">
            <w:pPr>
              <w:pStyle w:val="6"/>
              <w:spacing w:before="30" w:line="355" w:lineRule="auto"/>
              <w:ind w:left="92" w:right="86" w:firstLine="410"/>
              <w:rPr>
                <w:sz w:val="20"/>
                <w:szCs w:val="20"/>
              </w:rPr>
            </w:pPr>
            <w:r>
              <w:rPr>
                <w:rFonts w:ascii="Times New Roman" w:hAnsi="Times New Roman" w:eastAsia="Times New Roman" w:cs="Times New Roman"/>
                <w:spacing w:val="7"/>
                <w:sz w:val="20"/>
                <w:szCs w:val="20"/>
              </w:rPr>
              <w:t>b</w:t>
            </w:r>
            <w:r>
              <w:rPr>
                <w:rFonts w:ascii="Times New Roman" w:hAnsi="Times New Roman" w:eastAsia="Times New Roman" w:cs="Times New Roman"/>
                <w:spacing w:val="-11"/>
                <w:sz w:val="20"/>
                <w:szCs w:val="20"/>
              </w:rPr>
              <w:t xml:space="preserve"> </w:t>
            </w:r>
            <w:r>
              <w:rPr>
                <w:spacing w:val="7"/>
                <w:sz w:val="20"/>
                <w:szCs w:val="20"/>
              </w:rPr>
              <w:t>、成膜隔离作用：脱模剂涂覆在模板表面形成一层膜，依靠膜起到隔离作用从而</w:t>
            </w:r>
            <w:r>
              <w:rPr>
                <w:sz w:val="20"/>
                <w:szCs w:val="20"/>
              </w:rPr>
              <w:t xml:space="preserve"> </w:t>
            </w:r>
            <w:r>
              <w:rPr>
                <w:spacing w:val="2"/>
                <w:sz w:val="20"/>
                <w:szCs w:val="20"/>
              </w:rPr>
              <w:t>脱模。</w:t>
            </w:r>
          </w:p>
          <w:p w14:paraId="683F9FB3">
            <w:pPr>
              <w:pStyle w:val="6"/>
              <w:spacing w:before="31" w:line="362" w:lineRule="auto"/>
              <w:ind w:left="90" w:right="86" w:firstLine="419"/>
              <w:rPr>
                <w:sz w:val="20"/>
                <w:szCs w:val="20"/>
              </w:rPr>
            </w:pPr>
            <w:r>
              <w:rPr>
                <w:rFonts w:ascii="Times New Roman" w:hAnsi="Times New Roman" w:eastAsia="Times New Roman" w:cs="Times New Roman"/>
                <w:spacing w:val="8"/>
                <w:sz w:val="20"/>
                <w:szCs w:val="20"/>
              </w:rPr>
              <w:t>c</w:t>
            </w:r>
            <w:r>
              <w:rPr>
                <w:rFonts w:ascii="Times New Roman" w:hAnsi="Times New Roman" w:eastAsia="Times New Roman" w:cs="Times New Roman"/>
                <w:spacing w:val="-28"/>
                <w:sz w:val="20"/>
                <w:szCs w:val="20"/>
              </w:rPr>
              <w:t xml:space="preserve"> </w:t>
            </w:r>
            <w:r>
              <w:rPr>
                <w:spacing w:val="8"/>
                <w:sz w:val="20"/>
                <w:szCs w:val="20"/>
              </w:rPr>
              <w:t>、化学作用：脱模剂与新拌混凝土中的部分矿</w:t>
            </w:r>
            <w:r>
              <w:rPr>
                <w:spacing w:val="7"/>
                <w:sz w:val="20"/>
                <w:szCs w:val="20"/>
              </w:rPr>
              <w:t>物或离子起一定的化学反应，生成</w:t>
            </w:r>
            <w:r>
              <w:rPr>
                <w:sz w:val="20"/>
                <w:szCs w:val="20"/>
              </w:rPr>
              <w:t xml:space="preserve"> </w:t>
            </w:r>
            <w:r>
              <w:rPr>
                <w:spacing w:val="11"/>
                <w:sz w:val="20"/>
                <w:szCs w:val="20"/>
              </w:rPr>
              <w:t>具有隔离作用的物质，从而起到脱模作用。无论脱模剂是何种形态，无论其</w:t>
            </w:r>
            <w:r>
              <w:rPr>
                <w:spacing w:val="10"/>
                <w:sz w:val="20"/>
                <w:szCs w:val="20"/>
              </w:rPr>
              <w:t>具备上述</w:t>
            </w:r>
            <w:r>
              <w:rPr>
                <w:sz w:val="20"/>
                <w:szCs w:val="20"/>
              </w:rPr>
              <w:t xml:space="preserve"> </w:t>
            </w:r>
            <w:r>
              <w:rPr>
                <w:spacing w:val="11"/>
                <w:sz w:val="20"/>
                <w:szCs w:val="20"/>
              </w:rPr>
              <w:t>任何一种单一作用或复合作用从本质上来讲，混凝土与模具之间都是以一薄</w:t>
            </w:r>
            <w:r>
              <w:rPr>
                <w:spacing w:val="10"/>
                <w:sz w:val="20"/>
                <w:szCs w:val="20"/>
              </w:rPr>
              <w:t>层憎水性</w:t>
            </w:r>
            <w:r>
              <w:rPr>
                <w:sz w:val="20"/>
                <w:szCs w:val="20"/>
              </w:rPr>
              <w:t xml:space="preserve"> </w:t>
            </w:r>
            <w:r>
              <w:rPr>
                <w:spacing w:val="9"/>
                <w:sz w:val="20"/>
                <w:szCs w:val="20"/>
              </w:rPr>
              <w:t>物质存在，形成易于分离的界面，从而脱模。</w:t>
            </w:r>
          </w:p>
          <w:p w14:paraId="49AF3314">
            <w:pPr>
              <w:pStyle w:val="6"/>
              <w:spacing w:before="29" w:line="360" w:lineRule="auto"/>
              <w:ind w:left="91" w:firstLine="420"/>
              <w:rPr>
                <w:sz w:val="20"/>
                <w:szCs w:val="20"/>
              </w:rPr>
            </w:pPr>
            <w:r>
              <w:rPr>
                <w:spacing w:val="10"/>
                <w:sz w:val="20"/>
                <w:szCs w:val="20"/>
              </w:rPr>
              <w:t>本项目使用的脱模剂属于水性脱模剂（属环保型</w:t>
            </w:r>
            <w:r>
              <w:rPr>
                <w:spacing w:val="22"/>
                <w:sz w:val="20"/>
                <w:szCs w:val="20"/>
              </w:rPr>
              <w:t>），</w:t>
            </w:r>
            <w:r>
              <w:rPr>
                <w:spacing w:val="10"/>
                <w:sz w:val="20"/>
                <w:szCs w:val="20"/>
              </w:rPr>
              <w:t>通过成膜隔离作用使混凝土</w:t>
            </w:r>
            <w:r>
              <w:rPr>
                <w:sz w:val="20"/>
                <w:szCs w:val="20"/>
              </w:rPr>
              <w:t xml:space="preserve">  </w:t>
            </w:r>
            <w:r>
              <w:rPr>
                <w:spacing w:val="8"/>
                <w:sz w:val="20"/>
                <w:szCs w:val="20"/>
              </w:rPr>
              <w:t>与脱模剂成膜之间分离，脱模剂的膜仍附着在模具上</w:t>
            </w:r>
            <w:r>
              <w:rPr>
                <w:spacing w:val="7"/>
                <w:sz w:val="20"/>
                <w:szCs w:val="20"/>
              </w:rPr>
              <w:t>面。根据《脱模剂及其作用机理》</w:t>
            </w:r>
            <w:r>
              <w:rPr>
                <w:sz w:val="20"/>
                <w:szCs w:val="20"/>
              </w:rPr>
              <w:t xml:space="preserve"> </w:t>
            </w:r>
            <w:r>
              <w:rPr>
                <w:rFonts w:ascii="Times New Roman" w:hAnsi="Times New Roman" w:eastAsia="Times New Roman" w:cs="Times New Roman"/>
                <w:spacing w:val="8"/>
                <w:sz w:val="20"/>
                <w:szCs w:val="20"/>
              </w:rPr>
              <w:t xml:space="preserve">(2012 </w:t>
            </w:r>
            <w:r>
              <w:rPr>
                <w:spacing w:val="8"/>
                <w:sz w:val="20"/>
                <w:szCs w:val="20"/>
              </w:rPr>
              <w:t xml:space="preserve">年西北橡胶塑料研究设计院 </w:t>
            </w:r>
            <w:r>
              <w:rPr>
                <w:spacing w:val="7"/>
                <w:sz w:val="20"/>
                <w:szCs w:val="20"/>
              </w:rPr>
              <w:t>李昂</w:t>
            </w:r>
            <w:r>
              <w:rPr>
                <w:rFonts w:ascii="Times New Roman" w:hAnsi="Times New Roman" w:eastAsia="Times New Roman" w:cs="Times New Roman"/>
                <w:spacing w:val="7"/>
                <w:sz w:val="20"/>
                <w:szCs w:val="20"/>
              </w:rPr>
              <w:t>)</w:t>
            </w:r>
            <w:r>
              <w:rPr>
                <w:spacing w:val="7"/>
                <w:sz w:val="20"/>
                <w:szCs w:val="20"/>
              </w:rPr>
              <w:t>文献中对脱模剂的转移率研究，混凝土在Ⅱ面</w:t>
            </w:r>
            <w:r>
              <w:rPr>
                <w:sz w:val="20"/>
                <w:szCs w:val="20"/>
              </w:rPr>
              <w:t xml:space="preserve">  </w:t>
            </w:r>
            <w:r>
              <w:rPr>
                <w:spacing w:val="9"/>
                <w:sz w:val="20"/>
                <w:szCs w:val="20"/>
              </w:rPr>
              <w:t>脱模时，脱模剂不发生转移。因此脱模剂不会转移进入废水。</w:t>
            </w:r>
          </w:p>
          <w:p w14:paraId="64D06BA7">
            <w:pPr>
              <w:pStyle w:val="6"/>
              <w:spacing w:before="41" w:line="355" w:lineRule="auto"/>
              <w:ind w:left="93" w:right="87" w:firstLine="419"/>
              <w:rPr>
                <w:sz w:val="20"/>
                <w:szCs w:val="20"/>
              </w:rPr>
            </w:pPr>
            <w:r>
              <w:rPr>
                <w:spacing w:val="11"/>
                <w:sz w:val="20"/>
                <w:szCs w:val="20"/>
              </w:rPr>
              <w:t>脱模剂喷涂在模具后，脱模剂中的水蒸发后，其余组分在成膜剂的作用</w:t>
            </w:r>
            <w:r>
              <w:rPr>
                <w:spacing w:val="10"/>
                <w:sz w:val="20"/>
                <w:szCs w:val="20"/>
              </w:rPr>
              <w:t>下，干燥</w:t>
            </w:r>
            <w:r>
              <w:rPr>
                <w:sz w:val="20"/>
                <w:szCs w:val="20"/>
              </w:rPr>
              <w:t xml:space="preserve"> </w:t>
            </w:r>
            <w:r>
              <w:rPr>
                <w:spacing w:val="9"/>
                <w:sz w:val="20"/>
                <w:szCs w:val="20"/>
              </w:rPr>
              <w:t>成膜，根据脱模剂检测报告，脱模剂成膜后，在水中浸泡不溶解。</w:t>
            </w:r>
          </w:p>
          <w:p w14:paraId="034E0C4F">
            <w:pPr>
              <w:pStyle w:val="6"/>
              <w:spacing w:before="29" w:line="364" w:lineRule="auto"/>
              <w:ind w:left="89" w:right="32" w:firstLine="420"/>
              <w:rPr>
                <w:sz w:val="20"/>
                <w:szCs w:val="20"/>
              </w:rPr>
            </w:pPr>
            <w:r>
              <w:rPr>
                <w:spacing w:val="11"/>
                <w:sz w:val="20"/>
                <w:szCs w:val="20"/>
              </w:rPr>
              <w:t>切割：脱模后的砌块或板材垂直放置于蒸压托板上，送入切割系统。将坯体</w:t>
            </w:r>
            <w:r>
              <w:rPr>
                <w:spacing w:val="10"/>
                <w:sz w:val="20"/>
                <w:szCs w:val="20"/>
              </w:rPr>
              <w:t>精确</w:t>
            </w:r>
            <w:r>
              <w:rPr>
                <w:sz w:val="20"/>
                <w:szCs w:val="20"/>
              </w:rPr>
              <w:t xml:space="preserve"> </w:t>
            </w:r>
            <w:r>
              <w:rPr>
                <w:spacing w:val="11"/>
                <w:sz w:val="20"/>
                <w:szCs w:val="20"/>
              </w:rPr>
              <w:t>的移动到切割位置进行纵向切割、切边，然后移动到横切位置进行横向切割，</w:t>
            </w:r>
            <w:r>
              <w:rPr>
                <w:spacing w:val="10"/>
                <w:sz w:val="20"/>
                <w:szCs w:val="20"/>
              </w:rPr>
              <w:t>切割后</w:t>
            </w:r>
            <w:r>
              <w:rPr>
                <w:sz w:val="20"/>
                <w:szCs w:val="20"/>
              </w:rPr>
              <w:t xml:space="preserve"> </w:t>
            </w:r>
            <w:r>
              <w:rPr>
                <w:spacing w:val="11"/>
                <w:sz w:val="20"/>
                <w:szCs w:val="20"/>
              </w:rPr>
              <w:t>的余料落入收集沟，经冲水带入废浆池搅拌成废料浆，再用废料浆泵送至原料</w:t>
            </w:r>
            <w:r>
              <w:rPr>
                <w:spacing w:val="10"/>
                <w:sz w:val="20"/>
                <w:szCs w:val="20"/>
              </w:rPr>
              <w:t>加工环</w:t>
            </w:r>
            <w:r>
              <w:rPr>
                <w:sz w:val="20"/>
                <w:szCs w:val="20"/>
              </w:rPr>
              <w:t xml:space="preserve"> </w:t>
            </w:r>
            <w:r>
              <w:rPr>
                <w:spacing w:val="7"/>
                <w:sz w:val="20"/>
                <w:szCs w:val="20"/>
              </w:rPr>
              <w:t>节回用。空模具返回浇筑工位待用。切好的坯体连托板由装载机放到蒸</w:t>
            </w:r>
            <w:r>
              <w:rPr>
                <w:spacing w:val="6"/>
                <w:sz w:val="20"/>
                <w:szCs w:val="20"/>
              </w:rPr>
              <w:t>压釜轨道车上，</w:t>
            </w:r>
            <w:r>
              <w:rPr>
                <w:sz w:val="20"/>
                <w:szCs w:val="20"/>
              </w:rPr>
              <w:t xml:space="preserve"> </w:t>
            </w:r>
            <w:r>
              <w:rPr>
                <w:spacing w:val="7"/>
                <w:sz w:val="20"/>
                <w:szCs w:val="20"/>
              </w:rPr>
              <w:t>将生坏码放、编组。</w:t>
            </w:r>
          </w:p>
          <w:p w14:paraId="4534F941">
            <w:pPr>
              <w:pStyle w:val="6"/>
              <w:spacing w:before="34" w:line="323" w:lineRule="auto"/>
              <w:ind w:left="92" w:right="86" w:firstLine="421"/>
              <w:jc w:val="both"/>
              <w:rPr>
                <w:sz w:val="20"/>
                <w:szCs w:val="20"/>
              </w:rPr>
            </w:pPr>
            <w:r>
              <w:rPr>
                <w:spacing w:val="11"/>
                <w:sz w:val="20"/>
                <w:szCs w:val="20"/>
              </w:rPr>
              <w:t>蒸养：编组好的蒸压釜轨道车由摆渡车送入蒸压釜内，在釜内进行蒸</w:t>
            </w:r>
            <w:r>
              <w:rPr>
                <w:spacing w:val="10"/>
                <w:sz w:val="20"/>
                <w:szCs w:val="20"/>
              </w:rPr>
              <w:t>压养护。蒸</w:t>
            </w:r>
            <w:r>
              <w:rPr>
                <w:sz w:val="20"/>
                <w:szCs w:val="20"/>
              </w:rPr>
              <w:t xml:space="preserve"> </w:t>
            </w:r>
            <w:r>
              <w:rPr>
                <w:spacing w:val="11"/>
                <w:sz w:val="20"/>
                <w:szCs w:val="20"/>
              </w:rPr>
              <w:t>压釜进料完毕后关闭釜门，严格按照操作手册对蒸压釜进行各种阀门操</w:t>
            </w:r>
            <w:r>
              <w:rPr>
                <w:spacing w:val="10"/>
                <w:sz w:val="20"/>
                <w:szCs w:val="20"/>
              </w:rPr>
              <w:t>作，准备就绪</w:t>
            </w:r>
            <w:r>
              <w:rPr>
                <w:sz w:val="20"/>
                <w:szCs w:val="20"/>
              </w:rPr>
              <w:t xml:space="preserve"> </w:t>
            </w:r>
            <w:r>
              <w:rPr>
                <w:spacing w:val="4"/>
                <w:sz w:val="20"/>
                <w:szCs w:val="20"/>
              </w:rPr>
              <w:t>后开始蒸养工作。首先对蒸压釜进行升温升压</w:t>
            </w:r>
            <w:r>
              <w:rPr>
                <w:spacing w:val="-21"/>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8"/>
                <w:sz w:val="20"/>
                <w:szCs w:val="20"/>
              </w:rPr>
              <w:t xml:space="preserve"> </w:t>
            </w:r>
            <w:r>
              <w:rPr>
                <w:spacing w:val="4"/>
                <w:sz w:val="20"/>
                <w:szCs w:val="20"/>
              </w:rPr>
              <w:t>小时</w:t>
            </w:r>
            <w:r>
              <w:rPr>
                <w:spacing w:val="3"/>
                <w:sz w:val="20"/>
                <w:szCs w:val="20"/>
              </w:rPr>
              <w:t>，到</w:t>
            </w:r>
            <w:r>
              <w:rPr>
                <w:spacing w:val="-23"/>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3"/>
                <w:sz w:val="20"/>
                <w:szCs w:val="20"/>
              </w:rPr>
              <w:t>1.3</w:t>
            </w:r>
            <w:r>
              <w:rPr>
                <w:rFonts w:ascii="Times New Roman" w:hAnsi="Times New Roman" w:eastAsia="Times New Roman" w:cs="Times New Roman"/>
                <w:sz w:val="20"/>
                <w:szCs w:val="20"/>
              </w:rPr>
              <w:t>MPa</w:t>
            </w:r>
            <w:r>
              <w:rPr>
                <w:rFonts w:ascii="Times New Roman" w:hAnsi="Times New Roman" w:eastAsia="Times New Roman" w:cs="Times New Roman"/>
                <w:spacing w:val="3"/>
                <w:sz w:val="20"/>
                <w:szCs w:val="20"/>
              </w:rPr>
              <w:t xml:space="preserve"> </w:t>
            </w:r>
            <w:r>
              <w:rPr>
                <w:spacing w:val="3"/>
                <w:sz w:val="20"/>
                <w:szCs w:val="20"/>
              </w:rPr>
              <w:t>压力</w:t>
            </w:r>
            <w:r>
              <w:rPr>
                <w:spacing w:val="-21"/>
                <w:sz w:val="20"/>
                <w:szCs w:val="20"/>
              </w:rPr>
              <w:t xml:space="preserve"> </w:t>
            </w:r>
            <w:r>
              <w:rPr>
                <w:rFonts w:ascii="Times New Roman" w:hAnsi="Times New Roman" w:eastAsia="Times New Roman" w:cs="Times New Roman"/>
                <w:spacing w:val="3"/>
                <w:sz w:val="20"/>
                <w:szCs w:val="20"/>
              </w:rPr>
              <w:t xml:space="preserve">180~200 </w:t>
            </w:r>
            <w:r>
              <w:rPr>
                <w:spacing w:val="3"/>
                <w:sz w:val="20"/>
                <w:szCs w:val="20"/>
              </w:rPr>
              <w:t>摄</w:t>
            </w:r>
          </w:p>
        </w:tc>
      </w:tr>
    </w:tbl>
    <w:p w14:paraId="42A8F2E6">
      <w:pPr>
        <w:pStyle w:val="2"/>
      </w:pPr>
    </w:p>
    <w:p w14:paraId="734E7B30">
      <w:pPr>
        <w:sectPr>
          <w:footerReference r:id="rId49" w:type="default"/>
          <w:pgSz w:w="11906" w:h="16839"/>
          <w:pgMar w:top="1431" w:right="1532" w:bottom="1259" w:left="1533" w:header="0" w:footer="1080" w:gutter="0"/>
          <w:cols w:space="720" w:num="1"/>
        </w:sectPr>
      </w:pPr>
    </w:p>
    <w:p w14:paraId="3AFB38CC">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6003C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7" w:hRule="atLeast"/>
        </w:trPr>
        <w:tc>
          <w:tcPr>
            <w:tcW w:w="831" w:type="dxa"/>
            <w:tcBorders>
              <w:left w:val="single" w:color="000000" w:sz="6" w:space="0"/>
            </w:tcBorders>
            <w:vAlign w:val="top"/>
          </w:tcPr>
          <w:p w14:paraId="26F7E855">
            <w:pPr>
              <w:rPr>
                <w:rFonts w:ascii="Arial"/>
                <w:sz w:val="21"/>
              </w:rPr>
            </w:pPr>
          </w:p>
        </w:tc>
        <w:tc>
          <w:tcPr>
            <w:tcW w:w="7992" w:type="dxa"/>
            <w:tcBorders>
              <w:right w:val="single" w:color="000000" w:sz="6" w:space="0"/>
            </w:tcBorders>
            <w:vAlign w:val="top"/>
          </w:tcPr>
          <w:p w14:paraId="6D4F53A5">
            <w:pPr>
              <w:pStyle w:val="6"/>
              <w:spacing w:before="145" w:line="363" w:lineRule="auto"/>
              <w:ind w:left="91" w:right="15" w:firstLine="25"/>
              <w:jc w:val="both"/>
              <w:rPr>
                <w:sz w:val="20"/>
                <w:szCs w:val="20"/>
              </w:rPr>
            </w:pPr>
            <w:r>
              <w:rPr>
                <w:spacing w:val="8"/>
                <w:sz w:val="20"/>
                <w:szCs w:val="20"/>
              </w:rPr>
              <w:t>氏度条件时，进行恒温恒压约</w:t>
            </w:r>
            <w:r>
              <w:rPr>
                <w:spacing w:val="-38"/>
                <w:sz w:val="20"/>
                <w:szCs w:val="20"/>
              </w:rPr>
              <w:t xml:space="preserve"> </w:t>
            </w:r>
            <w:r>
              <w:rPr>
                <w:rFonts w:ascii="Times New Roman" w:hAnsi="Times New Roman" w:eastAsia="Times New Roman" w:cs="Times New Roman"/>
                <w:spacing w:val="8"/>
                <w:sz w:val="20"/>
                <w:szCs w:val="20"/>
              </w:rPr>
              <w:t>5~7</w:t>
            </w:r>
            <w:r>
              <w:rPr>
                <w:rFonts w:ascii="Times New Roman" w:hAnsi="Times New Roman" w:eastAsia="Times New Roman" w:cs="Times New Roman"/>
                <w:spacing w:val="17"/>
                <w:w w:val="101"/>
                <w:sz w:val="20"/>
                <w:szCs w:val="20"/>
              </w:rPr>
              <w:t xml:space="preserve"> </w:t>
            </w:r>
            <w:r>
              <w:rPr>
                <w:spacing w:val="8"/>
                <w:sz w:val="20"/>
                <w:szCs w:val="20"/>
              </w:rPr>
              <w:t>小时左右的蒸养。完成后再打开放气阀进行降压约</w:t>
            </w:r>
            <w:r>
              <w:rPr>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9"/>
                <w:w w:val="101"/>
                <w:sz w:val="20"/>
                <w:szCs w:val="20"/>
              </w:rPr>
              <w:t xml:space="preserve"> </w:t>
            </w:r>
            <w:r>
              <w:rPr>
                <w:spacing w:val="8"/>
                <w:sz w:val="20"/>
                <w:szCs w:val="20"/>
              </w:rPr>
              <w:t>小时，由此完成蒸压养护过程，坯体即成为砌块。蒸压釜运行过程中有水蒸气排出。</w:t>
            </w:r>
            <w:r>
              <w:rPr>
                <w:sz w:val="20"/>
                <w:szCs w:val="20"/>
              </w:rPr>
              <w:t xml:space="preserve"> </w:t>
            </w:r>
            <w:r>
              <w:rPr>
                <w:spacing w:val="10"/>
                <w:sz w:val="20"/>
                <w:szCs w:val="20"/>
              </w:rPr>
              <w:t>蒸压釜在运行过程中，</w:t>
            </w:r>
            <w:r>
              <w:rPr>
                <w:spacing w:val="-58"/>
                <w:sz w:val="20"/>
                <w:szCs w:val="20"/>
              </w:rPr>
              <w:t xml:space="preserve"> </w:t>
            </w:r>
            <w:r>
              <w:rPr>
                <w:spacing w:val="10"/>
                <w:sz w:val="20"/>
                <w:szCs w:val="20"/>
              </w:rPr>
              <w:t>内部设置了排气系统，用于处理蒸发后</w:t>
            </w:r>
            <w:r>
              <w:rPr>
                <w:spacing w:val="9"/>
                <w:sz w:val="20"/>
                <w:szCs w:val="20"/>
              </w:rPr>
              <w:t>形成的水蒸气和其他气</w:t>
            </w:r>
            <w:r>
              <w:rPr>
                <w:sz w:val="20"/>
                <w:szCs w:val="20"/>
              </w:rPr>
              <w:t xml:space="preserve"> </w:t>
            </w:r>
            <w:r>
              <w:rPr>
                <w:spacing w:val="10"/>
                <w:sz w:val="20"/>
                <w:szCs w:val="20"/>
              </w:rPr>
              <w:t>体。在蒸发过程中，</w:t>
            </w:r>
            <w:r>
              <w:rPr>
                <w:spacing w:val="-58"/>
                <w:sz w:val="20"/>
                <w:szCs w:val="20"/>
              </w:rPr>
              <w:t xml:space="preserve"> </w:t>
            </w:r>
            <w:r>
              <w:rPr>
                <w:spacing w:val="10"/>
                <w:sz w:val="20"/>
                <w:szCs w:val="20"/>
              </w:rPr>
              <w:t>由于温度的升高和蒸汽的作用，水分蒸发</w:t>
            </w:r>
            <w:r>
              <w:rPr>
                <w:spacing w:val="9"/>
                <w:sz w:val="20"/>
                <w:szCs w:val="20"/>
              </w:rPr>
              <w:t>形成的水蒸气被排出蒸</w:t>
            </w:r>
            <w:r>
              <w:rPr>
                <w:sz w:val="20"/>
                <w:szCs w:val="20"/>
              </w:rPr>
              <w:t xml:space="preserve"> </w:t>
            </w:r>
            <w:r>
              <w:rPr>
                <w:spacing w:val="9"/>
                <w:sz w:val="20"/>
                <w:szCs w:val="20"/>
              </w:rPr>
              <w:t>压釜，保持了蒸压釜内部的相对稳定的湿度和压力</w:t>
            </w:r>
          </w:p>
          <w:p w14:paraId="5AFB597A">
            <w:pPr>
              <w:pStyle w:val="6"/>
              <w:spacing w:before="33" w:line="359" w:lineRule="auto"/>
              <w:ind w:left="92" w:right="86" w:firstLine="422"/>
              <w:jc w:val="both"/>
              <w:rPr>
                <w:sz w:val="20"/>
                <w:szCs w:val="20"/>
              </w:rPr>
            </w:pPr>
            <w:r>
              <w:rPr>
                <w:spacing w:val="8"/>
                <w:sz w:val="20"/>
                <w:szCs w:val="20"/>
              </w:rPr>
              <w:t>项目拟设置</w:t>
            </w:r>
            <w:r>
              <w:rPr>
                <w:spacing w:val="-36"/>
                <w:sz w:val="20"/>
                <w:szCs w:val="20"/>
              </w:rPr>
              <w:t xml:space="preserve"> </w:t>
            </w:r>
            <w:r>
              <w:rPr>
                <w:rFonts w:ascii="Times New Roman" w:hAnsi="Times New Roman" w:eastAsia="Times New Roman" w:cs="Times New Roman"/>
                <w:spacing w:val="8"/>
                <w:sz w:val="20"/>
                <w:szCs w:val="20"/>
              </w:rPr>
              <w:t>6</w:t>
            </w:r>
            <w:r>
              <w:rPr>
                <w:rFonts w:ascii="Times New Roman" w:hAnsi="Times New Roman" w:eastAsia="Times New Roman" w:cs="Times New Roman"/>
                <w:spacing w:val="18"/>
                <w:w w:val="101"/>
                <w:sz w:val="20"/>
                <w:szCs w:val="20"/>
              </w:rPr>
              <w:t xml:space="preserve"> </w:t>
            </w:r>
            <w:r>
              <w:rPr>
                <w:spacing w:val="8"/>
                <w:sz w:val="20"/>
                <w:szCs w:val="20"/>
              </w:rPr>
              <w:t>条长宽规格为</w:t>
            </w:r>
            <w:r>
              <w:rPr>
                <w:spacing w:val="-34"/>
                <w:sz w:val="20"/>
                <w:szCs w:val="20"/>
              </w:rPr>
              <w:t xml:space="preserve"> </w:t>
            </w:r>
            <w:r>
              <w:rPr>
                <w:rFonts w:ascii="Times New Roman" w:hAnsi="Times New Roman" w:eastAsia="Times New Roman" w:cs="Times New Roman"/>
                <w:spacing w:val="8"/>
                <w:sz w:val="20"/>
                <w:szCs w:val="20"/>
              </w:rPr>
              <w:t>31m*2.5m</w:t>
            </w:r>
            <w:r>
              <w:rPr>
                <w:rFonts w:ascii="Times New Roman" w:hAnsi="Times New Roman" w:eastAsia="Times New Roman" w:cs="Times New Roman"/>
                <w:spacing w:val="33"/>
                <w:w w:val="101"/>
                <w:sz w:val="20"/>
                <w:szCs w:val="20"/>
              </w:rPr>
              <w:t xml:space="preserve"> </w:t>
            </w:r>
            <w:r>
              <w:rPr>
                <w:spacing w:val="8"/>
                <w:sz w:val="20"/>
                <w:szCs w:val="20"/>
              </w:rPr>
              <w:t>的蒸压釜，单个蒸压釜</w:t>
            </w:r>
            <w:r>
              <w:rPr>
                <w:spacing w:val="-18"/>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0"/>
                <w:sz w:val="20"/>
                <w:szCs w:val="20"/>
              </w:rPr>
              <w:t xml:space="preserve"> </w:t>
            </w:r>
            <w:r>
              <w:rPr>
                <w:spacing w:val="8"/>
                <w:sz w:val="20"/>
                <w:szCs w:val="20"/>
              </w:rPr>
              <w:t>小时用蒸</w:t>
            </w:r>
            <w:r>
              <w:rPr>
                <w:spacing w:val="7"/>
                <w:sz w:val="20"/>
                <w:szCs w:val="20"/>
              </w:rPr>
              <w:t>汽约</w:t>
            </w:r>
            <w:r>
              <w:rPr>
                <w:spacing w:val="-18"/>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z w:val="20"/>
                <w:szCs w:val="20"/>
              </w:rPr>
              <w:t xml:space="preserve"> </w:t>
            </w:r>
            <w:r>
              <w:rPr>
                <w:spacing w:val="10"/>
                <w:sz w:val="20"/>
                <w:szCs w:val="20"/>
              </w:rPr>
              <w:t>蒸吨。根据建设单位介绍，初养室利用蒸压釜余热能和热蒸汽。项目共设置</w:t>
            </w:r>
            <w:r>
              <w:rPr>
                <w:spacing w:val="-28"/>
                <w:sz w:val="20"/>
                <w:szCs w:val="20"/>
              </w:rPr>
              <w:t xml:space="preserve"> </w:t>
            </w:r>
            <w:r>
              <w:rPr>
                <w:rFonts w:ascii="Times New Roman" w:hAnsi="Times New Roman" w:eastAsia="Times New Roman" w:cs="Times New Roman"/>
                <w:spacing w:val="10"/>
                <w:sz w:val="20"/>
                <w:szCs w:val="20"/>
              </w:rPr>
              <w:t xml:space="preserve">4 </w:t>
            </w:r>
            <w:r>
              <w:rPr>
                <w:spacing w:val="10"/>
                <w:sz w:val="20"/>
                <w:szCs w:val="20"/>
              </w:rPr>
              <w:t>条长宽</w:t>
            </w:r>
            <w:r>
              <w:rPr>
                <w:sz w:val="20"/>
                <w:szCs w:val="20"/>
              </w:rPr>
              <w:t xml:space="preserve"> </w:t>
            </w:r>
            <w:r>
              <w:rPr>
                <w:spacing w:val="8"/>
                <w:sz w:val="20"/>
                <w:szCs w:val="20"/>
              </w:rPr>
              <w:t>规格为</w:t>
            </w:r>
            <w:r>
              <w:rPr>
                <w:spacing w:val="-29"/>
                <w:sz w:val="20"/>
                <w:szCs w:val="20"/>
              </w:rPr>
              <w:t xml:space="preserve"> </w:t>
            </w:r>
            <w:r>
              <w:rPr>
                <w:rFonts w:ascii="Times New Roman" w:hAnsi="Times New Roman" w:eastAsia="Times New Roman" w:cs="Times New Roman"/>
                <w:spacing w:val="8"/>
                <w:sz w:val="20"/>
                <w:szCs w:val="20"/>
              </w:rPr>
              <w:t>30m*3.5m</w:t>
            </w:r>
            <w:r>
              <w:rPr>
                <w:rFonts w:ascii="Times New Roman" w:hAnsi="Times New Roman" w:eastAsia="Times New Roman" w:cs="Times New Roman"/>
                <w:spacing w:val="31"/>
                <w:w w:val="101"/>
                <w:sz w:val="20"/>
                <w:szCs w:val="20"/>
              </w:rPr>
              <w:t xml:space="preserve"> </w:t>
            </w:r>
            <w:r>
              <w:rPr>
                <w:spacing w:val="8"/>
                <w:sz w:val="20"/>
                <w:szCs w:val="20"/>
              </w:rPr>
              <w:t>的初养室，单条初养室每天（</w:t>
            </w:r>
            <w:r>
              <w:rPr>
                <w:rFonts w:ascii="Times New Roman" w:hAnsi="Times New Roman" w:eastAsia="Times New Roman" w:cs="Times New Roman"/>
                <w:spacing w:val="8"/>
                <w:sz w:val="20"/>
                <w:szCs w:val="20"/>
              </w:rPr>
              <w:t>8h</w:t>
            </w:r>
            <w:r>
              <w:rPr>
                <w:spacing w:val="8"/>
                <w:sz w:val="20"/>
                <w:szCs w:val="20"/>
              </w:rPr>
              <w:t>）综合蒸汽用量约</w:t>
            </w:r>
            <w:r>
              <w:rPr>
                <w:rFonts w:ascii="Times New Roman" w:hAnsi="Times New Roman" w:eastAsia="Times New Roman" w:cs="Times New Roman"/>
                <w:spacing w:val="8"/>
                <w:sz w:val="20"/>
                <w:szCs w:val="20"/>
              </w:rPr>
              <w:t xml:space="preserve">2 </w:t>
            </w:r>
            <w:r>
              <w:rPr>
                <w:spacing w:val="8"/>
                <w:sz w:val="20"/>
                <w:szCs w:val="20"/>
              </w:rPr>
              <w:t>蒸吨。</w:t>
            </w:r>
          </w:p>
          <w:p w14:paraId="7D772A34">
            <w:pPr>
              <w:pStyle w:val="6"/>
              <w:spacing w:before="32" w:line="355" w:lineRule="auto"/>
              <w:ind w:left="91" w:right="86" w:firstLine="419"/>
              <w:rPr>
                <w:sz w:val="20"/>
                <w:szCs w:val="20"/>
              </w:rPr>
            </w:pPr>
            <w:r>
              <w:rPr>
                <w:spacing w:val="10"/>
                <w:sz w:val="20"/>
                <w:szCs w:val="20"/>
              </w:rPr>
              <w:t>初养室和蒸压釜运行过程产生的蒸汽冷凝水，经排水槽进入废浆池（共有</w:t>
            </w:r>
            <w:r>
              <w:rPr>
                <w:spacing w:val="-27"/>
                <w:sz w:val="20"/>
                <w:szCs w:val="20"/>
              </w:rPr>
              <w:t xml:space="preserve"> </w:t>
            </w:r>
            <w:r>
              <w:rPr>
                <w:rFonts w:ascii="Times New Roman" w:hAnsi="Times New Roman" w:eastAsia="Times New Roman" w:cs="Times New Roman"/>
                <w:spacing w:val="10"/>
                <w:sz w:val="20"/>
                <w:szCs w:val="20"/>
              </w:rPr>
              <w:t xml:space="preserve">3 </w:t>
            </w:r>
            <w:r>
              <w:rPr>
                <w:spacing w:val="10"/>
                <w:sz w:val="20"/>
                <w:szCs w:val="20"/>
              </w:rPr>
              <w:t>个废</w:t>
            </w:r>
            <w:r>
              <w:rPr>
                <w:sz w:val="20"/>
                <w:szCs w:val="20"/>
              </w:rPr>
              <w:t xml:space="preserve"> </w:t>
            </w:r>
            <w:r>
              <w:rPr>
                <w:spacing w:val="7"/>
                <w:sz w:val="20"/>
                <w:szCs w:val="20"/>
              </w:rPr>
              <w:t>浆池，单个容积约</w:t>
            </w:r>
            <w:r>
              <w:rPr>
                <w:spacing w:val="-37"/>
                <w:sz w:val="20"/>
                <w:szCs w:val="20"/>
              </w:rPr>
              <w:t xml:space="preserve"> </w:t>
            </w:r>
            <w:r>
              <w:rPr>
                <w:rFonts w:ascii="Times New Roman" w:hAnsi="Times New Roman" w:eastAsia="Times New Roman" w:cs="Times New Roman"/>
                <w:spacing w:val="7"/>
                <w:sz w:val="20"/>
                <w:szCs w:val="20"/>
              </w:rPr>
              <w:t>50m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9"/>
                <w:position w:val="6"/>
                <w:sz w:val="13"/>
                <w:szCs w:val="13"/>
              </w:rPr>
              <w:t xml:space="preserve"> </w:t>
            </w:r>
            <w:r>
              <w:rPr>
                <w:spacing w:val="7"/>
                <w:sz w:val="20"/>
                <w:szCs w:val="20"/>
              </w:rPr>
              <w:t>，之间设有溢流口</w:t>
            </w:r>
            <w:r>
              <w:rPr>
                <w:spacing w:val="15"/>
                <w:sz w:val="20"/>
                <w:szCs w:val="20"/>
              </w:rPr>
              <w:t>），</w:t>
            </w:r>
            <w:r>
              <w:rPr>
                <w:spacing w:val="7"/>
                <w:sz w:val="20"/>
                <w:szCs w:val="20"/>
              </w:rPr>
              <w:t>每天及时泵回配料罐或者球磨机回用。</w:t>
            </w:r>
          </w:p>
          <w:p w14:paraId="28A51E0D">
            <w:pPr>
              <w:pStyle w:val="6"/>
              <w:spacing w:before="30" w:line="225" w:lineRule="auto"/>
              <w:ind w:left="509"/>
              <w:rPr>
                <w:sz w:val="20"/>
                <w:szCs w:val="20"/>
              </w:rPr>
            </w:pPr>
            <w:r>
              <w:rPr>
                <w:spacing w:val="8"/>
                <w:sz w:val="20"/>
                <w:szCs w:val="20"/>
              </w:rPr>
              <w:t>⑤产品包装待售</w:t>
            </w:r>
          </w:p>
          <w:p w14:paraId="6DE45665">
            <w:pPr>
              <w:pStyle w:val="6"/>
              <w:spacing w:before="157" w:line="355" w:lineRule="auto"/>
              <w:ind w:left="91" w:right="87" w:firstLine="437"/>
              <w:rPr>
                <w:sz w:val="20"/>
                <w:szCs w:val="20"/>
              </w:rPr>
            </w:pPr>
            <w:r>
              <w:rPr>
                <w:spacing w:val="10"/>
                <w:sz w:val="20"/>
                <w:szCs w:val="20"/>
              </w:rPr>
              <w:t>出釜后的成品由摆渡车和吊车品放到掰板机进行分离，并送到缠绕打包机进行包</w:t>
            </w:r>
            <w:r>
              <w:rPr>
                <w:spacing w:val="14"/>
                <w:sz w:val="20"/>
                <w:szCs w:val="20"/>
              </w:rPr>
              <w:t xml:space="preserve"> </w:t>
            </w:r>
            <w:r>
              <w:rPr>
                <w:spacing w:val="8"/>
                <w:sz w:val="20"/>
                <w:szCs w:val="20"/>
              </w:rPr>
              <w:t>装后，由又车运送到成品堆场。</w:t>
            </w:r>
          </w:p>
          <w:p w14:paraId="5667ED40">
            <w:pPr>
              <w:pStyle w:val="6"/>
              <w:spacing w:before="29" w:line="360" w:lineRule="auto"/>
              <w:ind w:left="90" w:right="87" w:firstLine="420"/>
              <w:jc w:val="both"/>
              <w:rPr>
                <w:sz w:val="20"/>
                <w:szCs w:val="20"/>
              </w:rPr>
            </w:pPr>
            <w:r>
              <w:rPr>
                <w:spacing w:val="11"/>
                <w:sz w:val="20"/>
                <w:szCs w:val="20"/>
              </w:rPr>
              <w:t>产品掰板分离过程会产生少量的不合格产品，运板车分离砌块后会有一些</w:t>
            </w:r>
            <w:r>
              <w:rPr>
                <w:spacing w:val="10"/>
                <w:sz w:val="20"/>
                <w:szCs w:val="20"/>
              </w:rPr>
              <w:t>残留混</w:t>
            </w:r>
            <w:r>
              <w:rPr>
                <w:sz w:val="20"/>
                <w:szCs w:val="20"/>
              </w:rPr>
              <w:t xml:space="preserve"> </w:t>
            </w:r>
            <w:r>
              <w:rPr>
                <w:spacing w:val="11"/>
                <w:sz w:val="20"/>
                <w:szCs w:val="20"/>
              </w:rPr>
              <w:t>凝土，采用专用机械设备进行运板清理时也会产生少量的废弃物。不合格出</w:t>
            </w:r>
            <w:r>
              <w:rPr>
                <w:spacing w:val="10"/>
                <w:sz w:val="20"/>
                <w:szCs w:val="20"/>
              </w:rPr>
              <w:t>产品和运</w:t>
            </w:r>
            <w:r>
              <w:rPr>
                <w:sz w:val="20"/>
                <w:szCs w:val="20"/>
              </w:rPr>
              <w:t xml:space="preserve"> </w:t>
            </w:r>
            <w:r>
              <w:rPr>
                <w:spacing w:val="9"/>
                <w:sz w:val="20"/>
                <w:szCs w:val="20"/>
              </w:rPr>
              <w:t>板清理废弃物统一收集后，及时送入地下原料堆场，作为原料再利用。</w:t>
            </w:r>
          </w:p>
          <w:p w14:paraId="7B12BBB1">
            <w:pPr>
              <w:pStyle w:val="6"/>
              <w:spacing w:before="31" w:line="225" w:lineRule="auto"/>
              <w:ind w:left="509"/>
              <w:rPr>
                <w:sz w:val="20"/>
                <w:szCs w:val="20"/>
              </w:rPr>
            </w:pPr>
            <w:r>
              <w:rPr>
                <w:spacing w:val="8"/>
                <w:sz w:val="20"/>
                <w:szCs w:val="20"/>
              </w:rPr>
              <w:t>⑥带肋钢筋网加工</w:t>
            </w:r>
          </w:p>
          <w:p w14:paraId="53E04610">
            <w:pPr>
              <w:pStyle w:val="6"/>
              <w:spacing w:before="133" w:line="364" w:lineRule="auto"/>
              <w:ind w:left="107" w:right="86" w:firstLine="421"/>
              <w:rPr>
                <w:sz w:val="20"/>
                <w:szCs w:val="20"/>
              </w:rPr>
            </w:pPr>
            <w:r>
              <w:rPr>
                <w:spacing w:val="9"/>
                <w:sz w:val="20"/>
                <w:szCs w:val="20"/>
              </w:rPr>
              <w:t>本项目生产混凝土板材时需要加入钢筋网片，</w:t>
            </w:r>
            <w:r>
              <w:rPr>
                <w:spacing w:val="-50"/>
                <w:sz w:val="20"/>
                <w:szCs w:val="20"/>
              </w:rPr>
              <w:t xml:space="preserve"> </w:t>
            </w:r>
            <w:r>
              <w:rPr>
                <w:spacing w:val="9"/>
                <w:sz w:val="20"/>
                <w:szCs w:val="20"/>
              </w:rPr>
              <w:t>以增强产品性能。首先，将外购的</w:t>
            </w:r>
            <w:r>
              <w:rPr>
                <w:sz w:val="20"/>
                <w:szCs w:val="20"/>
              </w:rPr>
              <w:t xml:space="preserve"> </w:t>
            </w:r>
            <w:r>
              <w:rPr>
                <w:spacing w:val="8"/>
                <w:sz w:val="20"/>
                <w:szCs w:val="20"/>
              </w:rPr>
              <w:t>φ8</w:t>
            </w:r>
            <w:r>
              <w:rPr>
                <w:sz w:val="20"/>
                <w:szCs w:val="20"/>
              </w:rPr>
              <w:t>mm</w:t>
            </w:r>
            <w:r>
              <w:rPr>
                <w:spacing w:val="8"/>
                <w:sz w:val="20"/>
                <w:szCs w:val="20"/>
              </w:rPr>
              <w:t>带肋钢筋进行测量切割，再按照板材规格要求进行网片焊接</w:t>
            </w:r>
            <w:r>
              <w:rPr>
                <w:spacing w:val="7"/>
                <w:sz w:val="20"/>
                <w:szCs w:val="20"/>
              </w:rPr>
              <w:t>，焊接工序采用碰焊</w:t>
            </w:r>
            <w:r>
              <w:rPr>
                <w:sz w:val="20"/>
                <w:szCs w:val="20"/>
              </w:rPr>
              <w:t xml:space="preserve"> </w:t>
            </w:r>
            <w:r>
              <w:rPr>
                <w:spacing w:val="10"/>
                <w:sz w:val="20"/>
                <w:szCs w:val="20"/>
              </w:rPr>
              <w:t>机焊接。碰焊机也叫对焊机、电流焊机或电阻碰焊机；不使用焊条，主要是利用两工</w:t>
            </w:r>
            <w:r>
              <w:rPr>
                <w:spacing w:val="14"/>
                <w:sz w:val="20"/>
                <w:szCs w:val="20"/>
              </w:rPr>
              <w:t xml:space="preserve"> </w:t>
            </w:r>
            <w:r>
              <w:rPr>
                <w:spacing w:val="10"/>
                <w:sz w:val="20"/>
                <w:szCs w:val="20"/>
              </w:rPr>
              <w:t>件接触面之间的电阻，瞬间通过低电压大电流，使两个互相对接的金属的接触面瞬间</w:t>
            </w:r>
            <w:r>
              <w:rPr>
                <w:spacing w:val="16"/>
                <w:sz w:val="20"/>
                <w:szCs w:val="20"/>
              </w:rPr>
              <w:t xml:space="preserve"> </w:t>
            </w:r>
            <w:r>
              <w:rPr>
                <w:spacing w:val="7"/>
                <w:sz w:val="20"/>
                <w:szCs w:val="20"/>
              </w:rPr>
              <w:t>发热至融化并融合。</w:t>
            </w:r>
          </w:p>
          <w:p w14:paraId="3EB0D5B8">
            <w:pPr>
              <w:pStyle w:val="6"/>
              <w:spacing w:before="32" w:line="363" w:lineRule="auto"/>
              <w:ind w:left="107" w:right="32" w:firstLine="421"/>
              <w:rPr>
                <w:sz w:val="20"/>
                <w:szCs w:val="20"/>
              </w:rPr>
            </w:pPr>
            <w:r>
              <w:rPr>
                <w:spacing w:val="6"/>
                <w:sz w:val="20"/>
                <w:szCs w:val="20"/>
              </w:rPr>
              <w:t>焊接后的网片送入浸漆间，直接放入浸漆槽让水性漆完全淹没网片。网片浸漆后，</w:t>
            </w:r>
            <w:r>
              <w:rPr>
                <w:spacing w:val="3"/>
                <w:sz w:val="20"/>
                <w:szCs w:val="20"/>
              </w:rPr>
              <w:t xml:space="preserve"> </w:t>
            </w:r>
            <w:r>
              <w:rPr>
                <w:spacing w:val="8"/>
                <w:sz w:val="20"/>
                <w:szCs w:val="20"/>
              </w:rPr>
              <w:t>采用工具提起来挂在搁架上搁置</w:t>
            </w:r>
            <w:r>
              <w:rPr>
                <w:rFonts w:ascii="Times New Roman" w:hAnsi="Times New Roman" w:eastAsia="Times New Roman" w:cs="Times New Roman"/>
                <w:spacing w:val="8"/>
                <w:sz w:val="20"/>
                <w:szCs w:val="20"/>
              </w:rPr>
              <w:t>2~3</w:t>
            </w:r>
            <w:r>
              <w:rPr>
                <w:spacing w:val="8"/>
                <w:sz w:val="20"/>
                <w:szCs w:val="20"/>
              </w:rPr>
              <w:t>分钟左右</w:t>
            </w:r>
            <w:r>
              <w:rPr>
                <w:spacing w:val="7"/>
                <w:sz w:val="20"/>
                <w:szCs w:val="20"/>
              </w:rPr>
              <w:t>进行沥干，让部分不能</w:t>
            </w:r>
            <w:r>
              <w:rPr>
                <w:rFonts w:ascii="Times New Roman" w:hAnsi="Times New Roman" w:eastAsia="Times New Roman" w:cs="Times New Roman"/>
                <w:spacing w:val="7"/>
                <w:sz w:val="20"/>
                <w:szCs w:val="20"/>
              </w:rPr>
              <w:t>“</w:t>
            </w:r>
            <w:r>
              <w:rPr>
                <w:spacing w:val="7"/>
                <w:sz w:val="20"/>
                <w:szCs w:val="20"/>
              </w:rPr>
              <w:t>挂住</w:t>
            </w:r>
            <w:r>
              <w:rPr>
                <w:rFonts w:ascii="Times New Roman" w:hAnsi="Times New Roman" w:eastAsia="Times New Roman" w:cs="Times New Roman"/>
                <w:spacing w:val="7"/>
                <w:sz w:val="20"/>
                <w:szCs w:val="20"/>
              </w:rPr>
              <w:t>”</w:t>
            </w:r>
            <w:r>
              <w:rPr>
                <w:spacing w:val="7"/>
                <w:sz w:val="20"/>
                <w:szCs w:val="20"/>
              </w:rPr>
              <w:t>的漆液滴落</w:t>
            </w:r>
            <w:r>
              <w:rPr>
                <w:sz w:val="20"/>
                <w:szCs w:val="20"/>
              </w:rPr>
              <w:t xml:space="preserve"> </w:t>
            </w:r>
            <w:r>
              <w:rPr>
                <w:spacing w:val="10"/>
                <w:sz w:val="20"/>
                <w:szCs w:val="20"/>
              </w:rPr>
              <w:t>回浸漆槽内。然后将网片送入旁边的烘干房间，采用电热灯进行烤漆烘干，最终完成</w:t>
            </w:r>
            <w:r>
              <w:rPr>
                <w:spacing w:val="16"/>
                <w:sz w:val="20"/>
                <w:szCs w:val="20"/>
              </w:rPr>
              <w:t xml:space="preserve"> </w:t>
            </w:r>
            <w:r>
              <w:rPr>
                <w:spacing w:val="11"/>
                <w:sz w:val="20"/>
                <w:szCs w:val="20"/>
              </w:rPr>
              <w:t>带肋钢筋网的防腐处理。带肋钢筋网浸漆后转移过程，会有少量的漆液滴落</w:t>
            </w:r>
            <w:r>
              <w:rPr>
                <w:spacing w:val="10"/>
                <w:sz w:val="20"/>
                <w:szCs w:val="20"/>
              </w:rPr>
              <w:t>至地面，</w:t>
            </w:r>
            <w:r>
              <w:rPr>
                <w:sz w:val="20"/>
                <w:szCs w:val="20"/>
              </w:rPr>
              <w:t xml:space="preserve"> </w:t>
            </w:r>
            <w:r>
              <w:rPr>
                <w:spacing w:val="7"/>
                <w:sz w:val="20"/>
                <w:szCs w:val="20"/>
              </w:rPr>
              <w:t>干后会形成漆渣。</w:t>
            </w:r>
          </w:p>
          <w:p w14:paraId="276C6630">
            <w:pPr>
              <w:pStyle w:val="6"/>
              <w:spacing w:before="33" w:line="227" w:lineRule="auto"/>
              <w:ind w:left="538"/>
              <w:rPr>
                <w:sz w:val="20"/>
                <w:szCs w:val="20"/>
              </w:rPr>
            </w:pPr>
            <w:r>
              <w:rPr>
                <w:b/>
                <w:bCs/>
                <w:spacing w:val="6"/>
                <w:sz w:val="20"/>
                <w:szCs w:val="20"/>
              </w:rPr>
              <w:t>（</w:t>
            </w:r>
            <w:r>
              <w:rPr>
                <w:rFonts w:ascii="Times New Roman" w:hAnsi="Times New Roman" w:eastAsia="Times New Roman" w:cs="Times New Roman"/>
                <w:b/>
                <w:bCs/>
                <w:spacing w:val="6"/>
                <w:sz w:val="20"/>
                <w:szCs w:val="20"/>
              </w:rPr>
              <w:t>2</w:t>
            </w:r>
            <w:r>
              <w:rPr>
                <w:b/>
                <w:bCs/>
                <w:spacing w:val="6"/>
                <w:sz w:val="20"/>
                <w:szCs w:val="20"/>
              </w:rPr>
              <w:t>）干混砂浆的生产工艺流程</w:t>
            </w:r>
          </w:p>
        </w:tc>
      </w:tr>
    </w:tbl>
    <w:p w14:paraId="320DD994">
      <w:pPr>
        <w:pStyle w:val="2"/>
      </w:pPr>
    </w:p>
    <w:p w14:paraId="24A6F076">
      <w:pPr>
        <w:sectPr>
          <w:footerReference r:id="rId50" w:type="default"/>
          <w:pgSz w:w="11906" w:h="16839"/>
          <w:pgMar w:top="1431" w:right="1534" w:bottom="1260" w:left="1533" w:header="0" w:footer="1080" w:gutter="0"/>
          <w:cols w:space="720" w:num="1"/>
        </w:sectPr>
      </w:pPr>
    </w:p>
    <w:p w14:paraId="65C9AF1F">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05814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14:paraId="24D296C8">
            <w:pPr>
              <w:rPr>
                <w:rFonts w:ascii="Arial"/>
                <w:sz w:val="21"/>
              </w:rPr>
            </w:pPr>
          </w:p>
        </w:tc>
        <w:tc>
          <w:tcPr>
            <w:tcW w:w="7992" w:type="dxa"/>
            <w:tcBorders>
              <w:right w:val="single" w:color="000000" w:sz="6" w:space="0"/>
            </w:tcBorders>
            <w:vAlign w:val="top"/>
          </w:tcPr>
          <w:p w14:paraId="5E60D768">
            <w:pPr>
              <w:pStyle w:val="6"/>
              <w:spacing w:before="223" w:line="229" w:lineRule="auto"/>
              <w:ind w:left="1614"/>
              <w:rPr>
                <w:sz w:val="19"/>
                <w:szCs w:val="19"/>
              </w:rPr>
            </w:pPr>
            <w:r>
              <w:pict>
                <v:shape id="_x0000_s1064" o:spid="_x0000_s1064" o:spt="202" type="#_x0000_t202" style="position:absolute;left:0pt;margin-left:227.9pt;margin-top:13.4pt;height:13.75pt;width:21.7pt;z-index:251828224;mso-width-relative:page;mso-height-relative:page;" filled="f" stroked="f" coordsize="21600,21600">
                  <v:path/>
                  <v:fill on="f" focussize="0,0"/>
                  <v:stroke on="f"/>
                  <v:imagedata o:title=""/>
                  <o:lock v:ext="edit" aspectratio="f"/>
                  <v:textbox inset="0mm,0mm,0mm,0mm">
                    <w:txbxContent>
                      <w:p w14:paraId="265DC20A">
                        <w:pPr>
                          <w:pStyle w:val="6"/>
                          <w:spacing w:before="20" w:line="228" w:lineRule="auto"/>
                          <w:ind w:left="20"/>
                          <w:rPr>
                            <w:sz w:val="19"/>
                            <w:szCs w:val="19"/>
                          </w:rPr>
                        </w:pPr>
                        <w:r>
                          <w:rPr>
                            <w:b/>
                            <w:bCs/>
                            <w:color w:val="E36C09"/>
                            <w:spacing w:val="4"/>
                            <w:sz w:val="19"/>
                            <w:szCs w:val="19"/>
                          </w:rPr>
                          <w:t>黄沙</w:t>
                        </w:r>
                      </w:p>
                    </w:txbxContent>
                  </v:textbox>
                </v:shape>
              </w:pict>
            </w:r>
            <w:r>
              <w:pict>
                <v:shape id="_x0000_s1065" o:spid="_x0000_s1065" o:spt="202" type="#_x0000_t202" style="position:absolute;left:0pt;margin-left:164.75pt;margin-top:87.3pt;height:34.3pt;width:12.45pt;mso-position-horizontal-relative:page;mso-position-vertical-relative:page;z-index:251826176;mso-width-relative:page;mso-height-relative:page;" filled="f" stroked="f" coordsize="21600,21600">
                  <v:path/>
                  <v:fill on="f" focussize="0,0"/>
                  <v:stroke on="f"/>
                  <v:imagedata o:title=""/>
                  <o:lock v:ext="edit" aspectratio="f"/>
                  <v:textbox inset="0mm,0mm,0mm,0mm" style="layout-flow:vertical-ideographic;">
                    <w:txbxContent>
                      <w:p w14:paraId="3363A3D7">
                        <w:pPr>
                          <w:pStyle w:val="6"/>
                          <w:spacing w:before="19" w:line="208" w:lineRule="auto"/>
                          <w:ind w:left="20"/>
                          <w:rPr>
                            <w:sz w:val="18"/>
                            <w:szCs w:val="18"/>
                          </w:rPr>
                        </w:pPr>
                        <w:r>
                          <w:rPr>
                            <w:spacing w:val="35"/>
                            <w:sz w:val="18"/>
                            <w:szCs w:val="18"/>
                          </w:rPr>
                          <w:t>不合格</w:t>
                        </w:r>
                      </w:p>
                    </w:txbxContent>
                  </v:textbox>
                </v:shape>
              </w:pict>
            </w:r>
            <w:r>
              <w:pict>
                <v:shape id="_x0000_s1066" o:spid="_x0000_s1066" o:spt="202" type="#_x0000_t202" style="position:absolute;left:0pt;margin-left:76.25pt;margin-top:37.6pt;height:21.1pt;width:86.5pt;mso-position-horizontal-relative:page;mso-position-vertical-relative:page;z-index:251825152;mso-width-relative:page;mso-height-relative:page;" filled="f" stroked="f" coordsize="21600,21600">
                  <v:path/>
                  <v:fill on="f" focussize="0,0"/>
                  <v:stroke on="f"/>
                  <v:imagedata o:title=""/>
                  <o:lock v:ext="edit" aspectratio="f"/>
                  <v:textbox inset="0mm,0mm,0mm,0mm">
                    <w:txbxContent>
                      <w:p w14:paraId="7497AF7E">
                        <w:pPr>
                          <w:spacing w:line="20" w:lineRule="exact"/>
                        </w:pPr>
                      </w:p>
                      <w:tbl>
                        <w:tblPr>
                          <w:tblStyle w:val="5"/>
                          <w:tblW w:w="166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69"/>
                        </w:tblGrid>
                        <w:tr w14:paraId="6299481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1669" w:type="dxa"/>
                              <w:vAlign w:val="top"/>
                            </w:tcPr>
                            <w:p w14:paraId="30DCDB5B">
                              <w:pPr>
                                <w:pStyle w:val="6"/>
                                <w:spacing w:before="84" w:line="229" w:lineRule="auto"/>
                                <w:ind w:left="136"/>
                                <w:rPr>
                                  <w:sz w:val="19"/>
                                  <w:szCs w:val="19"/>
                                </w:rPr>
                              </w:pPr>
                              <w:r>
                                <w:rPr>
                                  <w:spacing w:val="8"/>
                                  <w:sz w:val="19"/>
                                  <w:szCs w:val="19"/>
                                </w:rPr>
                                <w:t>卸料至地下堆场</w:t>
                              </w:r>
                            </w:p>
                          </w:tc>
                        </w:tr>
                      </w:tbl>
                      <w:p w14:paraId="401F76F7">
                        <w:pPr>
                          <w:rPr>
                            <w:rFonts w:ascii="Arial"/>
                            <w:sz w:val="21"/>
                          </w:rPr>
                        </w:pPr>
                      </w:p>
                    </w:txbxContent>
                  </v:textbox>
                </v:shape>
              </w:pict>
            </w:r>
            <w:r>
              <w:pict>
                <v:shape id="_x0000_s1067" o:spid="_x0000_s1067" o:spt="202" type="#_x0000_t202" style="position:absolute;left:0pt;margin-left:189.6pt;margin-top:40.95pt;height:21.1pt;width:86.5pt;mso-position-horizontal-relative:page;mso-position-vertical-relative:page;z-index:251844608;mso-width-relative:page;mso-height-relative:page;" filled="f" stroked="f" coordsize="21600,21600">
                  <v:path/>
                  <v:fill on="f" focussize="0,0"/>
                  <v:stroke on="f"/>
                  <v:imagedata o:title=""/>
                  <o:lock v:ext="edit" aspectratio="f"/>
                  <v:textbox inset="0mm,0mm,0mm,0mm">
                    <w:txbxContent>
                      <w:p w14:paraId="594F93F2">
                        <w:pPr>
                          <w:spacing w:line="20" w:lineRule="exact"/>
                        </w:pPr>
                      </w:p>
                      <w:tbl>
                        <w:tblPr>
                          <w:tblStyle w:val="5"/>
                          <w:tblW w:w="167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70"/>
                        </w:tblGrid>
                        <w:tr w14:paraId="25896CE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1670" w:type="dxa"/>
                              <w:vAlign w:val="top"/>
                            </w:tcPr>
                            <w:p w14:paraId="4DE87706">
                              <w:pPr>
                                <w:pStyle w:val="6"/>
                                <w:spacing w:before="85" w:line="229" w:lineRule="auto"/>
                                <w:ind w:left="137"/>
                                <w:rPr>
                                  <w:sz w:val="19"/>
                                  <w:szCs w:val="19"/>
                                </w:rPr>
                              </w:pPr>
                              <w:r>
                                <w:rPr>
                                  <w:spacing w:val="8"/>
                                  <w:sz w:val="19"/>
                                  <w:szCs w:val="19"/>
                                </w:rPr>
                                <w:t>卸料至地下堆场</w:t>
                              </w:r>
                            </w:p>
                          </w:tc>
                        </w:tr>
                      </w:tbl>
                      <w:p w14:paraId="6FB1A78D">
                        <w:pPr>
                          <w:rPr>
                            <w:rFonts w:ascii="Arial"/>
                            <w:sz w:val="21"/>
                          </w:rPr>
                        </w:pPr>
                      </w:p>
                    </w:txbxContent>
                  </v:textbox>
                </v:shape>
              </w:pict>
            </w:r>
            <w:r>
              <w:pict>
                <v:shape id="_x0000_s1068" o:spid="_x0000_s1068" o:spt="202" type="#_x0000_t202" style="position:absolute;left:0pt;margin-left:7.85pt;margin-top:42.7pt;height:12.75pt;width:45.85pt;mso-position-horizontal-relative:page;mso-position-vertical-relative:page;z-index:251824128;mso-width-relative:page;mso-height-relative:page;" filled="f" stroked="f" coordsize="21600,21600">
                  <v:path/>
                  <v:fill on="f" focussize="0,0"/>
                  <v:stroke on="f"/>
                  <v:imagedata o:title=""/>
                  <o:lock v:ext="edit" aspectratio="f"/>
                  <v:textbox inset="0mm,0mm,0mm,0mm">
                    <w:txbxContent>
                      <w:p w14:paraId="332266B9">
                        <w:pPr>
                          <w:pStyle w:val="6"/>
                          <w:spacing w:before="20" w:line="220" w:lineRule="auto"/>
                          <w:ind w:left="20"/>
                          <w:rPr>
                            <w:sz w:val="18"/>
                            <w:szCs w:val="18"/>
                          </w:rPr>
                        </w:pPr>
                        <w:r>
                          <w:rPr>
                            <w:spacing w:val="-5"/>
                            <w:sz w:val="18"/>
                            <w:szCs w:val="18"/>
                          </w:rPr>
                          <w:t>扬尘、噪声</w:t>
                        </w:r>
                      </w:p>
                    </w:txbxContent>
                  </v:textbox>
                </v:shape>
              </w:pict>
            </w:r>
            <w:r>
              <w:pict>
                <v:shape id="_x0000_s1069" o:spid="_x0000_s1069" o:spt="202" type="#_x0000_t202" style="position:absolute;left:0pt;margin-left:104.05pt;margin-top:58.9pt;height:12.7pt;width:19.65pt;mso-position-horizontal-relative:page;mso-position-vertical-relative:page;z-index:251827200;mso-width-relative:page;mso-height-relative:page;" filled="f" stroked="f" coordsize="21600,21600">
                  <v:path/>
                  <v:fill on="f" focussize="0,0"/>
                  <v:stroke on="f"/>
                  <v:imagedata o:title=""/>
                  <o:lock v:ext="edit" aspectratio="f"/>
                  <v:textbox inset="0mm,0mm,0mm,0mm">
                    <w:txbxContent>
                      <w:p w14:paraId="6AB1701F">
                        <w:pPr>
                          <w:pStyle w:val="6"/>
                          <w:spacing w:before="20" w:line="219" w:lineRule="auto"/>
                          <w:ind w:left="20"/>
                          <w:rPr>
                            <w:sz w:val="18"/>
                            <w:szCs w:val="18"/>
                          </w:rPr>
                        </w:pPr>
                        <w:r>
                          <w:rPr>
                            <w:spacing w:val="-4"/>
                            <w:sz w:val="18"/>
                            <w:szCs w:val="18"/>
                          </w:rPr>
                          <w:t>铲车</w:t>
                        </w:r>
                      </w:p>
                    </w:txbxContent>
                  </v:textbox>
                </v:shape>
              </w:pict>
            </w:r>
            <w:r>
              <w:pict>
                <v:shape id="_x0000_s1070" o:spid="_x0000_s1070" o:spt="202" type="#_x0000_t202" style="position:absolute;left:0pt;margin-left:73.5pt;margin-top:34.6pt;height:146.9pt;width:204.25pt;mso-position-horizontal-relative:page;mso-position-vertical-relative:page;z-index:251842560;mso-width-relative:page;mso-height-relative:page;" filled="f" stroked="f" coordsize="21600,21600">
                  <v:path/>
                  <v:fill on="f" focussize="0,0"/>
                  <v:stroke on="f"/>
                  <v:imagedata o:title=""/>
                  <o:lock v:ext="edit" aspectratio="f"/>
                  <v:textbox inset="0mm,0mm,0mm,0mm">
                    <w:txbxContent>
                      <w:p w14:paraId="42EE0C0C">
                        <w:pPr>
                          <w:spacing w:line="20" w:lineRule="exact"/>
                        </w:pPr>
                      </w:p>
                      <w:tbl>
                        <w:tblPr>
                          <w:tblStyle w:val="5"/>
                          <w:tblW w:w="403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034"/>
                        </w:tblGrid>
                        <w:tr w14:paraId="798B67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77" w:hRule="atLeast"/>
                          </w:trPr>
                          <w:tc>
                            <w:tcPr>
                              <w:tcW w:w="4034" w:type="dxa"/>
                              <w:vAlign w:val="top"/>
                            </w:tcPr>
                            <w:p w14:paraId="3D3B3739">
                              <w:pPr>
                                <w:spacing w:line="298" w:lineRule="auto"/>
                                <w:rPr>
                                  <w:rFonts w:ascii="Arial"/>
                                  <w:sz w:val="21"/>
                                </w:rPr>
                              </w:pPr>
                            </w:p>
                            <w:p w14:paraId="221B32CE">
                              <w:pPr>
                                <w:spacing w:line="299" w:lineRule="auto"/>
                                <w:rPr>
                                  <w:rFonts w:ascii="Arial"/>
                                  <w:sz w:val="21"/>
                                </w:rPr>
                              </w:pPr>
                            </w:p>
                            <w:p w14:paraId="0635D4CD">
                              <w:pPr>
                                <w:spacing w:line="299" w:lineRule="auto"/>
                                <w:rPr>
                                  <w:rFonts w:ascii="Arial"/>
                                  <w:sz w:val="21"/>
                                </w:rPr>
                              </w:pPr>
                            </w:p>
                            <w:p w14:paraId="148B7706">
                              <w:pPr>
                                <w:spacing w:line="789" w:lineRule="exact"/>
                                <w:ind w:firstLine="1036"/>
                              </w:pPr>
                              <w:r>
                                <w:rPr>
                                  <w:position w:val="-15"/>
                                </w:rPr>
                                <w:drawing>
                                  <wp:inline distT="0" distB="0" distL="0" distR="0">
                                    <wp:extent cx="494665" cy="501015"/>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205"/>
                                            <a:stretch>
                                              <a:fillRect/>
                                            </a:stretch>
                                          </pic:blipFill>
                                          <pic:spPr>
                                            <a:xfrm>
                                              <a:off x="0" y="0"/>
                                              <a:ext cx="494982" cy="501332"/>
                                            </a:xfrm>
                                            <a:prstGeom prst="rect">
                                              <a:avLst/>
                                            </a:prstGeom>
                                          </pic:spPr>
                                        </pic:pic>
                                      </a:graphicData>
                                    </a:graphic>
                                  </wp:inline>
                                </w:drawing>
                              </w:r>
                            </w:p>
                            <w:p w14:paraId="3B78B69E">
                              <w:pPr>
                                <w:spacing w:line="264" w:lineRule="auto"/>
                                <w:rPr>
                                  <w:rFonts w:ascii="Arial"/>
                                  <w:sz w:val="21"/>
                                </w:rPr>
                              </w:pPr>
                            </w:p>
                            <w:p w14:paraId="2EECEFF9">
                              <w:pPr>
                                <w:spacing w:line="264" w:lineRule="auto"/>
                                <w:rPr>
                                  <w:rFonts w:ascii="Arial"/>
                                  <w:sz w:val="21"/>
                                </w:rPr>
                              </w:pPr>
                            </w:p>
                            <w:p w14:paraId="2A17371B">
                              <w:pPr>
                                <w:spacing w:line="264" w:lineRule="auto"/>
                                <w:rPr>
                                  <w:rFonts w:ascii="Arial"/>
                                  <w:sz w:val="21"/>
                                </w:rPr>
                              </w:pPr>
                            </w:p>
                            <w:p w14:paraId="028C6F5F">
                              <w:pPr>
                                <w:pStyle w:val="6"/>
                                <w:spacing w:before="59" w:line="219" w:lineRule="auto"/>
                                <w:ind w:left="2963"/>
                                <w:rPr>
                                  <w:sz w:val="18"/>
                                  <w:szCs w:val="18"/>
                                </w:rPr>
                              </w:pPr>
                              <w:r>
                                <w:rPr>
                                  <w:spacing w:val="-2"/>
                                  <w:sz w:val="18"/>
                                  <w:szCs w:val="18"/>
                                </w:rPr>
                                <w:t>封闭输送</w:t>
                              </w:r>
                            </w:p>
                          </w:tc>
                        </w:tr>
                      </w:tbl>
                      <w:p w14:paraId="039E2D69">
                        <w:pPr>
                          <w:rPr>
                            <w:rFonts w:ascii="Arial"/>
                            <w:sz w:val="21"/>
                          </w:rPr>
                        </w:pPr>
                      </w:p>
                    </w:txbxContent>
                  </v:textbox>
                </v:shape>
              </w:pict>
            </w:r>
            <w:r>
              <w:pict>
                <v:shape id="_x0000_s1071" o:spid="_x0000_s1071" o:spt="202" type="#_x0000_t202" style="position:absolute;left:0pt;margin-left:6.9pt;margin-top:79.15pt;height:12.7pt;width:45.85pt;mso-position-horizontal-relative:page;mso-position-vertical-relative:page;z-index:251816960;mso-width-relative:page;mso-height-relative:page;" filled="f" stroked="f" coordsize="21600,21600">
                  <v:path/>
                  <v:fill on="f" focussize="0,0"/>
                  <v:stroke on="f"/>
                  <v:imagedata o:title=""/>
                  <o:lock v:ext="edit" aspectratio="f"/>
                  <v:textbox inset="0mm,0mm,0mm,0mm">
                    <w:txbxContent>
                      <w:p w14:paraId="7D6DFE91">
                        <w:pPr>
                          <w:pStyle w:val="6"/>
                          <w:spacing w:before="20" w:line="219" w:lineRule="auto"/>
                          <w:ind w:left="20"/>
                          <w:rPr>
                            <w:sz w:val="18"/>
                            <w:szCs w:val="18"/>
                          </w:rPr>
                        </w:pPr>
                        <w:r>
                          <w:rPr>
                            <w:spacing w:val="-5"/>
                            <w:sz w:val="18"/>
                            <w:szCs w:val="18"/>
                          </w:rPr>
                          <w:t>粉尘、噪声</w:t>
                        </w:r>
                      </w:p>
                    </w:txbxContent>
                  </v:textbox>
                </v:shape>
              </w:pict>
            </w:r>
            <w:r>
              <w:pict>
                <v:shape id="_x0000_s1072" o:spid="_x0000_s1072" o:spt="202" type="#_x0000_t202" style="position:absolute;left:0pt;margin-left:76.55pt;margin-top:73.65pt;height:21.1pt;width:51.6pt;mso-position-horizontal-relative:page;mso-position-vertical-relative:page;z-index:251821056;mso-width-relative:page;mso-height-relative:page;" filled="f" stroked="f" coordsize="21600,21600">
                  <v:path/>
                  <v:fill on="f" focussize="0,0"/>
                  <v:stroke on="f"/>
                  <v:imagedata o:title=""/>
                  <o:lock v:ext="edit" aspectratio="f"/>
                  <v:textbox inset="0mm,0mm,0mm,0mm">
                    <w:txbxContent>
                      <w:p w14:paraId="3A04AD55">
                        <w:pPr>
                          <w:spacing w:line="20" w:lineRule="exact"/>
                        </w:pPr>
                      </w:p>
                      <w:tbl>
                        <w:tblPr>
                          <w:tblStyle w:val="5"/>
                          <w:tblW w:w="971"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1"/>
                        </w:tblGrid>
                        <w:tr w14:paraId="1809112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971" w:type="dxa"/>
                              <w:vAlign w:val="top"/>
                            </w:tcPr>
                            <w:p w14:paraId="4B8155A8">
                              <w:pPr>
                                <w:pStyle w:val="6"/>
                                <w:spacing w:before="83" w:line="229" w:lineRule="auto"/>
                                <w:ind w:left="283"/>
                                <w:rPr>
                                  <w:sz w:val="19"/>
                                  <w:szCs w:val="19"/>
                                </w:rPr>
                              </w:pPr>
                              <w:r>
                                <w:rPr>
                                  <w:spacing w:val="4"/>
                                  <w:sz w:val="19"/>
                                  <w:szCs w:val="19"/>
                                </w:rPr>
                                <w:t>颚破</w:t>
                              </w:r>
                            </w:p>
                          </w:tc>
                        </w:tr>
                      </w:tbl>
                      <w:p w14:paraId="4666F2F1">
                        <w:pPr>
                          <w:rPr>
                            <w:rFonts w:ascii="Arial"/>
                            <w:sz w:val="21"/>
                          </w:rPr>
                        </w:pPr>
                      </w:p>
                    </w:txbxContent>
                  </v:textbox>
                </v:shape>
              </w:pict>
            </w:r>
            <w:r>
              <w:pict>
                <v:shape id="_x0000_s1073" o:spid="_x0000_s1073" o:spt="202" type="#_x0000_t202" style="position:absolute;left:0pt;margin-left:274.55pt;margin-top:91.05pt;height:24.45pt;width:55.75pt;mso-position-horizontal-relative:page;mso-position-vertical-relative:page;z-index:251812864;mso-width-relative:page;mso-height-relative:page;" filled="f" stroked="f" coordsize="21600,21600">
                  <v:path/>
                  <v:fill on="f" focussize="0,0"/>
                  <v:stroke on="f"/>
                  <v:imagedata o:title=""/>
                  <o:lock v:ext="edit" aspectratio="f"/>
                  <v:textbox inset="0mm,0mm,0mm,0mm">
                    <w:txbxContent>
                      <w:p w14:paraId="22582A75">
                        <w:pPr>
                          <w:pStyle w:val="6"/>
                          <w:spacing w:before="19" w:line="230" w:lineRule="auto"/>
                          <w:ind w:left="198" w:right="20" w:hanging="179"/>
                          <w:rPr>
                            <w:sz w:val="18"/>
                            <w:szCs w:val="18"/>
                          </w:rPr>
                        </w:pPr>
                        <w:r>
                          <w:rPr>
                            <w:b/>
                            <w:bCs/>
                            <w:spacing w:val="-3"/>
                            <w:sz w:val="18"/>
                            <w:szCs w:val="18"/>
                          </w:rPr>
                          <w:t>虚线框选设施</w:t>
                        </w:r>
                        <w:r>
                          <w:rPr>
                            <w:sz w:val="18"/>
                            <w:szCs w:val="18"/>
                          </w:rPr>
                          <w:t xml:space="preserve"> </w:t>
                        </w:r>
                        <w:r>
                          <w:rPr>
                            <w:b/>
                            <w:bCs/>
                            <w:spacing w:val="-4"/>
                            <w:sz w:val="18"/>
                            <w:szCs w:val="18"/>
                          </w:rPr>
                          <w:t>位于地下</w:t>
                        </w:r>
                      </w:p>
                    </w:txbxContent>
                  </v:textbox>
                </v:shape>
              </w:pict>
            </w:r>
            <w:r>
              <w:pict>
                <v:shape id="_x0000_s1074" o:spid="_x0000_s1074" o:spt="202" type="#_x0000_t202" style="position:absolute;left:0pt;margin-left:107.45pt;margin-top:95.85pt;height:12.7pt;width:37.7pt;mso-position-horizontal-relative:page;mso-position-vertical-relative:page;z-index:251819008;mso-width-relative:page;mso-height-relative:page;" filled="f" stroked="f" coordsize="21600,21600">
                  <v:path/>
                  <v:fill on="f" focussize="0,0"/>
                  <v:stroke on="f"/>
                  <v:imagedata o:title=""/>
                  <o:lock v:ext="edit" aspectratio="f"/>
                  <v:textbox inset="0mm,0mm,0mm,0mm">
                    <w:txbxContent>
                      <w:p w14:paraId="0D035E19">
                        <w:pPr>
                          <w:pStyle w:val="6"/>
                          <w:spacing w:before="20" w:line="219" w:lineRule="auto"/>
                          <w:ind w:left="20"/>
                          <w:rPr>
                            <w:sz w:val="18"/>
                            <w:szCs w:val="18"/>
                          </w:rPr>
                        </w:pPr>
                        <w:r>
                          <w:rPr>
                            <w:spacing w:val="-2"/>
                            <w:sz w:val="18"/>
                            <w:szCs w:val="18"/>
                          </w:rPr>
                          <w:t>封闭输送</w:t>
                        </w:r>
                      </w:p>
                    </w:txbxContent>
                  </v:textbox>
                </v:shape>
              </w:pict>
            </w:r>
            <w:r>
              <w:pict>
                <v:shape id="_x0000_s1075" o:spid="_x0000_s1075" o:spt="202" type="#_x0000_t202" style="position:absolute;left:0pt;margin-left:7.35pt;margin-top:115.65pt;height:12.7pt;width:45.85pt;mso-position-horizontal-relative:page;mso-position-vertical-relative:page;z-index:251810816;mso-width-relative:page;mso-height-relative:page;" filled="f" stroked="f" coordsize="21600,21600">
                  <v:path/>
                  <v:fill on="f" focussize="0,0"/>
                  <v:stroke on="f"/>
                  <v:imagedata o:title=""/>
                  <o:lock v:ext="edit" aspectratio="f"/>
                  <v:textbox inset="0mm,0mm,0mm,0mm">
                    <w:txbxContent>
                      <w:p w14:paraId="6B1A1039">
                        <w:pPr>
                          <w:pStyle w:val="6"/>
                          <w:spacing w:before="20" w:line="219" w:lineRule="auto"/>
                          <w:ind w:left="20"/>
                          <w:rPr>
                            <w:sz w:val="18"/>
                            <w:szCs w:val="18"/>
                          </w:rPr>
                        </w:pPr>
                        <w:r>
                          <w:rPr>
                            <w:spacing w:val="-5"/>
                            <w:sz w:val="18"/>
                            <w:szCs w:val="18"/>
                          </w:rPr>
                          <w:t>粉尘、噪声</w:t>
                        </w:r>
                      </w:p>
                    </w:txbxContent>
                  </v:textbox>
                </v:shape>
              </w:pict>
            </w:r>
            <w:r>
              <w:drawing>
                <wp:anchor distT="0" distB="0" distL="0" distR="0" simplePos="0" relativeHeight="251786240" behindDoc="0" locked="0" layoutInCell="1" allowOverlap="1">
                  <wp:simplePos x="0" y="0"/>
                  <wp:positionH relativeFrom="rightMargin">
                    <wp:posOffset>-4232275</wp:posOffset>
                  </wp:positionH>
                  <wp:positionV relativeFrom="topMargin">
                    <wp:posOffset>1517015</wp:posOffset>
                  </wp:positionV>
                  <wp:extent cx="146050" cy="25400"/>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206"/>
                          <a:stretch>
                            <a:fillRect/>
                          </a:stretch>
                        </pic:blipFill>
                        <pic:spPr>
                          <a:xfrm>
                            <a:off x="0" y="0"/>
                            <a:ext cx="146075" cy="25717"/>
                          </a:xfrm>
                          <a:prstGeom prst="rect">
                            <a:avLst/>
                          </a:prstGeom>
                        </pic:spPr>
                      </pic:pic>
                    </a:graphicData>
                  </a:graphic>
                </wp:anchor>
              </w:drawing>
            </w:r>
            <w:r>
              <w:drawing>
                <wp:anchor distT="0" distB="0" distL="0" distR="0" simplePos="0" relativeHeight="251767808" behindDoc="0" locked="0" layoutInCell="1" allowOverlap="1">
                  <wp:simplePos x="0" y="0"/>
                  <wp:positionH relativeFrom="rightMargin">
                    <wp:posOffset>-2071370</wp:posOffset>
                  </wp:positionH>
                  <wp:positionV relativeFrom="topMargin">
                    <wp:posOffset>770255</wp:posOffset>
                  </wp:positionV>
                  <wp:extent cx="76200" cy="1605915"/>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207"/>
                          <a:stretch>
                            <a:fillRect/>
                          </a:stretch>
                        </pic:blipFill>
                        <pic:spPr>
                          <a:xfrm>
                            <a:off x="0" y="0"/>
                            <a:ext cx="76200" cy="1605915"/>
                          </a:xfrm>
                          <a:prstGeom prst="rect">
                            <a:avLst/>
                          </a:prstGeom>
                        </pic:spPr>
                      </pic:pic>
                    </a:graphicData>
                  </a:graphic>
                </wp:anchor>
              </w:drawing>
            </w:r>
            <w:r>
              <w:drawing>
                <wp:anchor distT="0" distB="0" distL="0" distR="0" simplePos="0" relativeHeight="251779072" behindDoc="0" locked="0" layoutInCell="1" allowOverlap="1">
                  <wp:simplePos x="0" y="0"/>
                  <wp:positionH relativeFrom="rightMargin">
                    <wp:posOffset>-4371975</wp:posOffset>
                  </wp:positionH>
                  <wp:positionV relativeFrom="topMargin">
                    <wp:posOffset>1491615</wp:posOffset>
                  </wp:positionV>
                  <wp:extent cx="114300" cy="76200"/>
                  <wp:effectExtent l="0" t="0" r="0" b="0"/>
                  <wp:wrapNone/>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208"/>
                          <a:stretch>
                            <a:fillRect/>
                          </a:stretch>
                        </pic:blipFill>
                        <pic:spPr>
                          <a:xfrm>
                            <a:off x="0" y="0"/>
                            <a:ext cx="114312" cy="76200"/>
                          </a:xfrm>
                          <a:prstGeom prst="rect">
                            <a:avLst/>
                          </a:prstGeom>
                        </pic:spPr>
                      </pic:pic>
                    </a:graphicData>
                  </a:graphic>
                </wp:anchor>
              </w:drawing>
            </w:r>
            <w:r>
              <w:pict>
                <v:shape id="_x0000_s1076" o:spid="_x0000_s1076" o:spt="202" type="#_x0000_t202" style="position:absolute;left:0pt;margin-left:103.5pt;margin-top:131.35pt;height:12.7pt;width:37.7pt;mso-position-horizontal-relative:page;mso-position-vertical-relative:page;z-index:251809792;mso-width-relative:page;mso-height-relative:page;" filled="f" stroked="f" coordsize="21600,21600">
                  <v:path/>
                  <v:fill on="f" focussize="0,0"/>
                  <v:stroke on="f"/>
                  <v:imagedata o:title=""/>
                  <o:lock v:ext="edit" aspectratio="f"/>
                  <v:textbox inset="0mm,0mm,0mm,0mm">
                    <w:txbxContent>
                      <w:p w14:paraId="2C937031">
                        <w:pPr>
                          <w:pStyle w:val="6"/>
                          <w:spacing w:before="20" w:line="219" w:lineRule="auto"/>
                          <w:ind w:left="20"/>
                          <w:rPr>
                            <w:sz w:val="18"/>
                            <w:szCs w:val="18"/>
                          </w:rPr>
                        </w:pPr>
                        <w:r>
                          <w:rPr>
                            <w:spacing w:val="-2"/>
                            <w:sz w:val="18"/>
                            <w:szCs w:val="18"/>
                          </w:rPr>
                          <w:t>封闭输送</w:t>
                        </w:r>
                      </w:p>
                    </w:txbxContent>
                  </v:textbox>
                </v:shape>
              </w:pict>
            </w:r>
            <w:r>
              <w:drawing>
                <wp:anchor distT="0" distB="0" distL="0" distR="0" simplePos="0" relativeHeight="251769856" behindDoc="0" locked="0" layoutInCell="1" allowOverlap="1">
                  <wp:simplePos x="0" y="0"/>
                  <wp:positionH relativeFrom="rightMargin">
                    <wp:posOffset>-3797300</wp:posOffset>
                  </wp:positionH>
                  <wp:positionV relativeFrom="topMargin">
                    <wp:posOffset>2097405</wp:posOffset>
                  </wp:positionV>
                  <wp:extent cx="76200" cy="215900"/>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209"/>
                          <a:stretch>
                            <a:fillRect/>
                          </a:stretch>
                        </pic:blipFill>
                        <pic:spPr>
                          <a:xfrm>
                            <a:off x="0" y="0"/>
                            <a:ext cx="76200" cy="215912"/>
                          </a:xfrm>
                          <a:prstGeom prst="rect">
                            <a:avLst/>
                          </a:prstGeom>
                        </pic:spPr>
                      </pic:pic>
                    </a:graphicData>
                  </a:graphic>
                </wp:anchor>
              </w:drawing>
            </w:r>
            <w:r>
              <w:pict>
                <v:shape id="_x0000_s1077" o:spid="_x0000_s1077" o:spt="202" type="#_x0000_t202" style="position:absolute;left:0pt;margin-left:203.7pt;margin-top:186.05pt;height:21.15pt;width:62pt;mso-position-horizontal-relative:page;mso-position-vertical-relative:page;z-index:251811840;mso-width-relative:page;mso-height-relative:page;" filled="f" stroked="f" coordsize="21600,21600">
                  <v:path/>
                  <v:fill on="f" focussize="0,0"/>
                  <v:stroke on="f"/>
                  <v:imagedata o:title=""/>
                  <o:lock v:ext="edit" aspectratio="f"/>
                  <v:textbox inset="0mm,0mm,0mm,0mm">
                    <w:txbxContent>
                      <w:p w14:paraId="4CD217C2">
                        <w:pPr>
                          <w:spacing w:line="20" w:lineRule="exact"/>
                        </w:pPr>
                      </w:p>
                      <w:tbl>
                        <w:tblPr>
                          <w:tblStyle w:val="5"/>
                          <w:tblW w:w="11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80"/>
                        </w:tblGrid>
                        <w:tr w14:paraId="74A6098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1180" w:type="dxa"/>
                              <w:vAlign w:val="top"/>
                            </w:tcPr>
                            <w:p w14:paraId="4002F99F">
                              <w:pPr>
                                <w:pStyle w:val="6"/>
                                <w:spacing w:before="84" w:line="228" w:lineRule="auto"/>
                                <w:ind w:left="88"/>
                                <w:rPr>
                                  <w:sz w:val="19"/>
                                  <w:szCs w:val="19"/>
                                </w:rPr>
                              </w:pPr>
                              <w:r>
                                <w:rPr>
                                  <w:spacing w:val="7"/>
                                  <w:sz w:val="19"/>
                                  <w:szCs w:val="19"/>
                                </w:rPr>
                                <w:t>车间堆放区</w:t>
                              </w:r>
                            </w:p>
                          </w:tc>
                        </w:tr>
                      </w:tbl>
                      <w:p w14:paraId="1E07F8A6">
                        <w:pPr>
                          <w:rPr>
                            <w:rFonts w:ascii="Arial"/>
                            <w:sz w:val="21"/>
                          </w:rPr>
                        </w:pPr>
                      </w:p>
                    </w:txbxContent>
                  </v:textbox>
                </v:shape>
              </w:pict>
            </w:r>
            <w:r>
              <w:drawing>
                <wp:anchor distT="0" distB="0" distL="0" distR="0" simplePos="0" relativeHeight="251840512" behindDoc="0" locked="0" layoutInCell="1" allowOverlap="1">
                  <wp:simplePos x="0" y="0"/>
                  <wp:positionH relativeFrom="rightMargin">
                    <wp:posOffset>-3785870</wp:posOffset>
                  </wp:positionH>
                  <wp:positionV relativeFrom="topMargin">
                    <wp:posOffset>2557145</wp:posOffset>
                  </wp:positionV>
                  <wp:extent cx="76200" cy="215900"/>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210"/>
                          <a:stretch>
                            <a:fillRect/>
                          </a:stretch>
                        </pic:blipFill>
                        <pic:spPr>
                          <a:xfrm>
                            <a:off x="0" y="0"/>
                            <a:ext cx="76200" cy="215913"/>
                          </a:xfrm>
                          <a:prstGeom prst="rect">
                            <a:avLst/>
                          </a:prstGeom>
                        </pic:spPr>
                      </pic:pic>
                    </a:graphicData>
                  </a:graphic>
                </wp:anchor>
              </w:drawing>
            </w:r>
            <w:r>
              <w:drawing>
                <wp:anchor distT="0" distB="0" distL="0" distR="0" simplePos="0" relativeHeight="251839488" behindDoc="0" locked="0" layoutInCell="1" allowOverlap="1">
                  <wp:simplePos x="0" y="0"/>
                  <wp:positionH relativeFrom="rightMargin">
                    <wp:posOffset>-2075815</wp:posOffset>
                  </wp:positionH>
                  <wp:positionV relativeFrom="topMargin">
                    <wp:posOffset>2597785</wp:posOffset>
                  </wp:positionV>
                  <wp:extent cx="76200" cy="215900"/>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211"/>
                          <a:stretch>
                            <a:fillRect/>
                          </a:stretch>
                        </pic:blipFill>
                        <pic:spPr>
                          <a:xfrm>
                            <a:off x="0" y="0"/>
                            <a:ext cx="76200" cy="215913"/>
                          </a:xfrm>
                          <a:prstGeom prst="rect">
                            <a:avLst/>
                          </a:prstGeom>
                        </pic:spPr>
                      </pic:pic>
                    </a:graphicData>
                  </a:graphic>
                </wp:anchor>
              </w:drawing>
            </w:r>
            <w:r>
              <w:pict>
                <v:shape id="_x0000_s1078" o:spid="_x0000_s1078" o:spt="202" type="#_x0000_t202" style="position:absolute;left:0pt;margin-left:217.25pt;margin-top:221pt;height:21.15pt;width:42.15pt;mso-position-horizontal-relative:page;mso-position-vertical-relative:page;z-index:251822080;mso-width-relative:page;mso-height-relative:page;" filled="f" stroked="f" coordsize="21600,21600">
                  <v:path/>
                  <v:fill on="f" focussize="0,0"/>
                  <v:stroke on="f"/>
                  <v:imagedata o:title=""/>
                  <o:lock v:ext="edit" aspectratio="f"/>
                  <v:textbox inset="0mm,0mm,0mm,0mm">
                    <w:txbxContent>
                      <w:p w14:paraId="5100B7EB">
                        <w:pPr>
                          <w:spacing w:line="20" w:lineRule="exact"/>
                        </w:pPr>
                      </w:p>
                      <w:tbl>
                        <w:tblPr>
                          <w:tblStyle w:val="5"/>
                          <w:tblW w:w="78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82"/>
                        </w:tblGrid>
                        <w:tr w14:paraId="2CF5CC3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782" w:type="dxa"/>
                              <w:vAlign w:val="top"/>
                            </w:tcPr>
                            <w:p w14:paraId="0A6C8283">
                              <w:pPr>
                                <w:pStyle w:val="6"/>
                                <w:spacing w:before="84" w:line="229" w:lineRule="auto"/>
                                <w:ind w:left="187"/>
                                <w:rPr>
                                  <w:sz w:val="19"/>
                                  <w:szCs w:val="19"/>
                                </w:rPr>
                              </w:pPr>
                              <w:r>
                                <w:rPr>
                                  <w:spacing w:val="5"/>
                                  <w:sz w:val="19"/>
                                  <w:szCs w:val="19"/>
                                </w:rPr>
                                <w:t>料斗</w:t>
                              </w:r>
                            </w:p>
                          </w:tc>
                        </w:tr>
                      </w:tbl>
                      <w:p w14:paraId="3EFD344E">
                        <w:pPr>
                          <w:rPr>
                            <w:rFonts w:ascii="Arial"/>
                            <w:sz w:val="21"/>
                          </w:rPr>
                        </w:pPr>
                      </w:p>
                    </w:txbxContent>
                  </v:textbox>
                </v:shape>
              </w:pict>
            </w:r>
            <w:r>
              <w:pict>
                <v:shape id="_x0000_s1079" o:spid="_x0000_s1079" o:spt="202" type="#_x0000_t202" style="position:absolute;left:0pt;margin-left:9.15pt;margin-top:224.7pt;height:12.7pt;width:46.7pt;mso-position-horizontal-relative:page;mso-position-vertical-relative:page;z-index:251815936;mso-width-relative:page;mso-height-relative:page;" filled="f" stroked="f" coordsize="21600,21600">
                  <v:path/>
                  <v:fill on="f" focussize="0,0"/>
                  <v:stroke on="f"/>
                  <v:imagedata o:title=""/>
                  <o:lock v:ext="edit" aspectratio="f"/>
                  <v:textbox inset="0mm,0mm,0mm,0mm">
                    <w:txbxContent>
                      <w:p w14:paraId="63DA4FD1">
                        <w:pPr>
                          <w:pStyle w:val="6"/>
                          <w:spacing w:before="20" w:line="219" w:lineRule="auto"/>
                          <w:ind w:left="20"/>
                          <w:rPr>
                            <w:sz w:val="18"/>
                            <w:szCs w:val="18"/>
                          </w:rPr>
                        </w:pPr>
                        <w:r>
                          <w:rPr>
                            <w:spacing w:val="-2"/>
                            <w:sz w:val="18"/>
                            <w:szCs w:val="18"/>
                          </w:rPr>
                          <w:t>粉尘、噪声</w:t>
                        </w:r>
                      </w:p>
                    </w:txbxContent>
                  </v:textbox>
                </v:shape>
              </w:pict>
            </w:r>
            <w:r>
              <w:pict>
                <v:shape id="_x0000_s1080" o:spid="_x0000_s1080" o:spt="202" type="#_x0000_t202" style="position:absolute;left:0pt;margin-left:149.15pt;margin-top:227.85pt;height:13.7pt;width:153.8pt;mso-position-horizontal-relative:page;mso-position-vertical-relative:page;z-index:251814912;mso-width-relative:page;mso-height-relative:page;" filled="f" stroked="f" coordsize="21600,21600">
                  <v:path/>
                  <v:fill on="f" focussize="0,0"/>
                  <v:stroke on="f"/>
                  <v:imagedata o:title=""/>
                  <o:lock v:ext="edit" aspectratio="f"/>
                  <v:textbox inset="0mm,0mm,0mm,0mm">
                    <w:txbxContent>
                      <w:p w14:paraId="0E91B6F4">
                        <w:pPr>
                          <w:pStyle w:val="6"/>
                          <w:spacing w:before="20" w:line="239" w:lineRule="auto"/>
                          <w:ind w:left="20"/>
                          <w:rPr>
                            <w:sz w:val="18"/>
                            <w:szCs w:val="18"/>
                          </w:rPr>
                        </w:pPr>
                        <w:r>
                          <w:rPr>
                            <w:spacing w:val="-4"/>
                            <w:sz w:val="18"/>
                            <w:szCs w:val="18"/>
                          </w:rPr>
                          <w:t>不合格</w:t>
                        </w:r>
                        <w:r>
                          <w:rPr>
                            <w:spacing w:val="4"/>
                            <w:sz w:val="18"/>
                            <w:szCs w:val="18"/>
                          </w:rPr>
                          <w:t xml:space="preserve">                     </w:t>
                        </w:r>
                        <w:r>
                          <w:rPr>
                            <w:spacing w:val="-4"/>
                            <w:sz w:val="18"/>
                            <w:szCs w:val="18"/>
                          </w:rPr>
                          <w:t>水蒸气</w:t>
                        </w:r>
                      </w:p>
                    </w:txbxContent>
                  </v:textbox>
                </v:shape>
              </w:pict>
            </w:r>
            <w:r>
              <w:drawing>
                <wp:anchor distT="0" distB="0" distL="0" distR="0" simplePos="0" relativeHeight="251790336" behindDoc="0" locked="0" layoutInCell="1" allowOverlap="1">
                  <wp:simplePos x="0" y="0"/>
                  <wp:positionH relativeFrom="rightMargin">
                    <wp:posOffset>-4206875</wp:posOffset>
                  </wp:positionH>
                  <wp:positionV relativeFrom="topMargin">
                    <wp:posOffset>2894965</wp:posOffset>
                  </wp:positionV>
                  <wp:extent cx="63500" cy="25400"/>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212"/>
                          <a:stretch>
                            <a:fillRect/>
                          </a:stretch>
                        </pic:blipFill>
                        <pic:spPr>
                          <a:xfrm>
                            <a:off x="0" y="0"/>
                            <a:ext cx="63525" cy="25513"/>
                          </a:xfrm>
                          <a:prstGeom prst="rect">
                            <a:avLst/>
                          </a:prstGeom>
                        </pic:spPr>
                      </pic:pic>
                    </a:graphicData>
                  </a:graphic>
                </wp:anchor>
              </w:drawing>
            </w:r>
            <w:r>
              <w:drawing>
                <wp:anchor distT="0" distB="0" distL="0" distR="0" simplePos="0" relativeHeight="251791360" behindDoc="0" locked="0" layoutInCell="1" allowOverlap="1">
                  <wp:simplePos x="0" y="0"/>
                  <wp:positionH relativeFrom="rightMargin">
                    <wp:posOffset>-4117975</wp:posOffset>
                  </wp:positionH>
                  <wp:positionV relativeFrom="topMargin">
                    <wp:posOffset>2894965</wp:posOffset>
                  </wp:positionV>
                  <wp:extent cx="57150" cy="25400"/>
                  <wp:effectExtent l="0" t="0" r="0" b="0"/>
                  <wp:wrapNone/>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213"/>
                          <a:stretch>
                            <a:fillRect/>
                          </a:stretch>
                        </pic:blipFill>
                        <pic:spPr>
                          <a:xfrm>
                            <a:off x="0" y="0"/>
                            <a:ext cx="57175" cy="25513"/>
                          </a:xfrm>
                          <a:prstGeom prst="rect">
                            <a:avLst/>
                          </a:prstGeom>
                        </pic:spPr>
                      </pic:pic>
                    </a:graphicData>
                  </a:graphic>
                </wp:anchor>
              </w:drawing>
            </w:r>
            <w:r>
              <w:drawing>
                <wp:anchor distT="0" distB="0" distL="0" distR="0" simplePos="0" relativeHeight="251776000" behindDoc="0" locked="0" layoutInCell="1" allowOverlap="1">
                  <wp:simplePos x="0" y="0"/>
                  <wp:positionH relativeFrom="rightMargin">
                    <wp:posOffset>-4346575</wp:posOffset>
                  </wp:positionH>
                  <wp:positionV relativeFrom="topMargin">
                    <wp:posOffset>2869565</wp:posOffset>
                  </wp:positionV>
                  <wp:extent cx="114300" cy="76200"/>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214"/>
                          <a:stretch>
                            <a:fillRect/>
                          </a:stretch>
                        </pic:blipFill>
                        <pic:spPr>
                          <a:xfrm>
                            <a:off x="0" y="0"/>
                            <a:ext cx="114312" cy="76200"/>
                          </a:xfrm>
                          <a:prstGeom prst="rect">
                            <a:avLst/>
                          </a:prstGeom>
                        </pic:spPr>
                      </pic:pic>
                    </a:graphicData>
                  </a:graphic>
                </wp:anchor>
              </w:drawing>
            </w:r>
            <w:r>
              <w:drawing>
                <wp:anchor distT="0" distB="0" distL="0" distR="0" simplePos="0" relativeHeight="251838464" behindDoc="0" locked="0" layoutInCell="1" allowOverlap="1">
                  <wp:simplePos x="0" y="0"/>
                  <wp:positionH relativeFrom="rightMargin">
                    <wp:posOffset>-2082800</wp:posOffset>
                  </wp:positionH>
                  <wp:positionV relativeFrom="topMargin">
                    <wp:posOffset>3053715</wp:posOffset>
                  </wp:positionV>
                  <wp:extent cx="76200" cy="215900"/>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215"/>
                          <a:stretch>
                            <a:fillRect/>
                          </a:stretch>
                        </pic:blipFill>
                        <pic:spPr>
                          <a:xfrm>
                            <a:off x="0" y="0"/>
                            <a:ext cx="76200" cy="215912"/>
                          </a:xfrm>
                          <a:prstGeom prst="rect">
                            <a:avLst/>
                          </a:prstGeom>
                        </pic:spPr>
                      </pic:pic>
                    </a:graphicData>
                  </a:graphic>
                </wp:anchor>
              </w:drawing>
            </w:r>
            <w:r>
              <w:drawing>
                <wp:anchor distT="0" distB="0" distL="0" distR="0" simplePos="0" relativeHeight="251768832" behindDoc="0" locked="0" layoutInCell="1" allowOverlap="1">
                  <wp:simplePos x="0" y="0"/>
                  <wp:positionH relativeFrom="rightMargin">
                    <wp:posOffset>-1660525</wp:posOffset>
                  </wp:positionH>
                  <wp:positionV relativeFrom="topMargin">
                    <wp:posOffset>3063240</wp:posOffset>
                  </wp:positionV>
                  <wp:extent cx="157480" cy="200025"/>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216"/>
                          <a:stretch>
                            <a:fillRect/>
                          </a:stretch>
                        </pic:blipFill>
                        <pic:spPr>
                          <a:xfrm>
                            <a:off x="0" y="0"/>
                            <a:ext cx="157416" cy="200113"/>
                          </a:xfrm>
                          <a:prstGeom prst="rect">
                            <a:avLst/>
                          </a:prstGeom>
                        </pic:spPr>
                      </pic:pic>
                    </a:graphicData>
                  </a:graphic>
                </wp:anchor>
              </w:drawing>
            </w:r>
            <w:r>
              <w:pict>
                <v:shape id="_x0000_s1081" o:spid="_x0000_s1081" o:spt="202" type="#_x0000_t202" style="position:absolute;left:0pt;margin-left:78.95pt;margin-top:255.2pt;height:21.1pt;width:52.35pt;mso-position-horizontal-relative:page;mso-position-vertical-relative:page;z-index:251813888;mso-width-relative:page;mso-height-relative:page;" filled="f" stroked="f" coordsize="21600,21600">
                  <v:path/>
                  <v:fill on="f" focussize="0,0"/>
                  <v:stroke on="f"/>
                  <v:imagedata o:title=""/>
                  <o:lock v:ext="edit" aspectratio="f"/>
                  <v:textbox inset="0mm,0mm,0mm,0mm">
                    <w:txbxContent>
                      <w:p w14:paraId="5843170F">
                        <w:pPr>
                          <w:spacing w:line="20" w:lineRule="exact"/>
                        </w:pPr>
                      </w:p>
                      <w:tbl>
                        <w:tblPr>
                          <w:tblStyle w:val="5"/>
                          <w:tblW w:w="986"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86"/>
                        </w:tblGrid>
                        <w:tr w14:paraId="5DD214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986" w:type="dxa"/>
                              <w:vAlign w:val="top"/>
                            </w:tcPr>
                            <w:p w14:paraId="4F742EBC">
                              <w:pPr>
                                <w:pStyle w:val="6"/>
                                <w:spacing w:before="84" w:line="228" w:lineRule="auto"/>
                                <w:ind w:left="190"/>
                                <w:rPr>
                                  <w:sz w:val="19"/>
                                  <w:szCs w:val="19"/>
                                </w:rPr>
                              </w:pPr>
                              <w:r>
                                <w:rPr>
                                  <w:spacing w:val="7"/>
                                  <w:sz w:val="19"/>
                                  <w:szCs w:val="19"/>
                                </w:rPr>
                                <w:t>振动筛</w:t>
                              </w:r>
                            </w:p>
                          </w:tc>
                        </w:tr>
                      </w:tbl>
                      <w:p w14:paraId="76C6C9D8">
                        <w:pPr>
                          <w:rPr>
                            <w:rFonts w:ascii="Arial"/>
                            <w:sz w:val="21"/>
                          </w:rPr>
                        </w:pPr>
                      </w:p>
                    </w:txbxContent>
                  </v:textbox>
                </v:shape>
              </w:pict>
            </w:r>
            <w:r>
              <w:pict>
                <v:shape id="_x0000_s1082" o:spid="_x0000_s1082" o:spt="202" type="#_x0000_t202" style="position:absolute;left:0pt;margin-left:302.75pt;margin-top:249pt;height:26.7pt;width:79.75pt;mso-position-horizontal-relative:page;mso-position-vertical-relative:page;z-index:251823104;mso-width-relative:page;mso-height-relative:page;" filled="f" stroked="f" coordsize="21600,21600">
                  <v:path/>
                  <v:fill on="f" focussize="0,0"/>
                  <v:stroke on="f"/>
                  <v:imagedata o:title=""/>
                  <o:lock v:ext="edit" aspectratio="f"/>
                  <v:textbox inset="0mm,0mm,0mm,0mm">
                    <w:txbxContent>
                      <w:p w14:paraId="085DAA28">
                        <w:pPr>
                          <w:pStyle w:val="6"/>
                          <w:spacing w:before="19"/>
                          <w:ind w:left="100" w:right="20" w:hanging="80"/>
                          <w:rPr>
                            <w:sz w:val="19"/>
                            <w:szCs w:val="19"/>
                          </w:rPr>
                        </w:pPr>
                        <w:r>
                          <w:rPr>
                            <w:b/>
                            <w:bCs/>
                            <w:color w:val="E36C09"/>
                            <w:spacing w:val="2"/>
                            <w:sz w:val="19"/>
                            <w:szCs w:val="19"/>
                          </w:rPr>
                          <w:t>水泥、石膏、粉煤</w:t>
                        </w:r>
                        <w:r>
                          <w:rPr>
                            <w:color w:val="E36C09"/>
                            <w:spacing w:val="1"/>
                            <w:sz w:val="19"/>
                            <w:szCs w:val="19"/>
                          </w:rPr>
                          <w:t xml:space="preserve"> </w:t>
                        </w:r>
                        <w:r>
                          <w:rPr>
                            <w:b/>
                            <w:bCs/>
                            <w:color w:val="E36C09"/>
                            <w:spacing w:val="7"/>
                            <w:sz w:val="19"/>
                            <w:szCs w:val="19"/>
                          </w:rPr>
                          <w:t>灰、玻化微珠等</w:t>
                        </w:r>
                      </w:p>
                    </w:txbxContent>
                  </v:textbox>
                </v:shape>
              </w:pict>
            </w:r>
            <w:r>
              <w:pict>
                <v:shape id="_x0000_s1083" o:spid="_x0000_s1083" o:spt="202" type="#_x0000_t202" style="position:absolute;left:0pt;margin-left:5.35pt;margin-top:261.2pt;height:12.7pt;width:46.7pt;mso-position-horizontal-relative:page;mso-position-vertical-relative:page;z-index:251817984;mso-width-relative:page;mso-height-relative:page;" filled="f" stroked="f" coordsize="21600,21600">
                  <v:path/>
                  <v:fill on="f" focussize="0,0"/>
                  <v:stroke on="f"/>
                  <v:imagedata o:title=""/>
                  <o:lock v:ext="edit" aspectratio="f"/>
                  <v:textbox inset="0mm,0mm,0mm,0mm">
                    <w:txbxContent>
                      <w:p w14:paraId="3B120E70">
                        <w:pPr>
                          <w:pStyle w:val="6"/>
                          <w:spacing w:before="20" w:line="219" w:lineRule="auto"/>
                          <w:ind w:left="20"/>
                          <w:rPr>
                            <w:sz w:val="18"/>
                            <w:szCs w:val="18"/>
                          </w:rPr>
                        </w:pPr>
                        <w:r>
                          <w:rPr>
                            <w:spacing w:val="-2"/>
                            <w:sz w:val="18"/>
                            <w:szCs w:val="18"/>
                          </w:rPr>
                          <w:t>粉尘、噪声</w:t>
                        </w:r>
                      </w:p>
                    </w:txbxContent>
                  </v:textbox>
                </v:shape>
              </w:pict>
            </w:r>
            <w:r>
              <w:pict>
                <v:shape id="_x0000_s1084" o:spid="_x0000_s1084" o:spt="202" type="#_x0000_t202" style="position:absolute;left:0pt;margin-left:151.4pt;margin-top:262.5pt;height:12.8pt;width:19.55pt;mso-position-horizontal-relative:page;mso-position-vertical-relative:page;z-index:251808768;mso-width-relative:page;mso-height-relative:page;" filled="f" stroked="f" coordsize="21600,21600">
                  <v:path/>
                  <v:fill on="f" focussize="0,0"/>
                  <v:stroke on="f"/>
                  <v:imagedata o:title=""/>
                  <o:lock v:ext="edit" aspectratio="f"/>
                  <v:textbox inset="0mm,0mm,0mm,0mm">
                    <w:txbxContent>
                      <w:p w14:paraId="117F8EFF">
                        <w:pPr>
                          <w:pStyle w:val="6"/>
                          <w:spacing w:before="20" w:line="221" w:lineRule="auto"/>
                          <w:ind w:left="20"/>
                          <w:rPr>
                            <w:sz w:val="18"/>
                            <w:szCs w:val="18"/>
                          </w:rPr>
                        </w:pPr>
                        <w:r>
                          <w:rPr>
                            <w:spacing w:val="-5"/>
                            <w:sz w:val="18"/>
                            <w:szCs w:val="18"/>
                          </w:rPr>
                          <w:t>蒸汽</w:t>
                        </w:r>
                      </w:p>
                    </w:txbxContent>
                  </v:textbox>
                </v:shape>
              </w:pict>
            </w:r>
            <w:r>
              <w:drawing>
                <wp:anchor distT="0" distB="0" distL="0" distR="0" simplePos="0" relativeHeight="251833344" behindDoc="0" locked="0" layoutInCell="1" allowOverlap="1">
                  <wp:simplePos x="0" y="0"/>
                  <wp:positionH relativeFrom="rightMargin">
                    <wp:posOffset>-4182745</wp:posOffset>
                  </wp:positionH>
                  <wp:positionV relativeFrom="topMargin">
                    <wp:posOffset>3363595</wp:posOffset>
                  </wp:positionV>
                  <wp:extent cx="146050" cy="25400"/>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217"/>
                          <a:stretch>
                            <a:fillRect/>
                          </a:stretch>
                        </pic:blipFill>
                        <pic:spPr>
                          <a:xfrm>
                            <a:off x="0" y="0"/>
                            <a:ext cx="146075" cy="25717"/>
                          </a:xfrm>
                          <a:prstGeom prst="rect">
                            <a:avLst/>
                          </a:prstGeom>
                        </pic:spPr>
                      </pic:pic>
                    </a:graphicData>
                  </a:graphic>
                </wp:anchor>
              </w:drawing>
            </w:r>
            <w:r>
              <w:drawing>
                <wp:anchor distT="0" distB="0" distL="0" distR="0" simplePos="0" relativeHeight="251778048" behindDoc="0" locked="0" layoutInCell="1" allowOverlap="1">
                  <wp:simplePos x="0" y="0"/>
                  <wp:positionH relativeFrom="rightMargin">
                    <wp:posOffset>-4322445</wp:posOffset>
                  </wp:positionH>
                  <wp:positionV relativeFrom="topMargin">
                    <wp:posOffset>3338195</wp:posOffset>
                  </wp:positionV>
                  <wp:extent cx="114300" cy="76200"/>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218"/>
                          <a:stretch>
                            <a:fillRect/>
                          </a:stretch>
                        </pic:blipFill>
                        <pic:spPr>
                          <a:xfrm>
                            <a:off x="0" y="0"/>
                            <a:ext cx="114312" cy="76200"/>
                          </a:xfrm>
                          <a:prstGeom prst="rect">
                            <a:avLst/>
                          </a:prstGeom>
                        </pic:spPr>
                      </pic:pic>
                    </a:graphicData>
                  </a:graphic>
                </wp:anchor>
              </w:drawing>
            </w:r>
            <w:r>
              <w:drawing>
                <wp:anchor distT="0" distB="0" distL="0" distR="0" simplePos="0" relativeHeight="251832320" behindDoc="0" locked="0" layoutInCell="1" allowOverlap="1">
                  <wp:simplePos x="0" y="0"/>
                  <wp:positionH relativeFrom="rightMargin">
                    <wp:posOffset>-2870200</wp:posOffset>
                  </wp:positionH>
                  <wp:positionV relativeFrom="topMargin">
                    <wp:posOffset>3359150</wp:posOffset>
                  </wp:positionV>
                  <wp:extent cx="288290" cy="76200"/>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219"/>
                          <a:stretch>
                            <a:fillRect/>
                          </a:stretch>
                        </pic:blipFill>
                        <pic:spPr>
                          <a:xfrm>
                            <a:off x="0" y="0"/>
                            <a:ext cx="288302" cy="76200"/>
                          </a:xfrm>
                          <a:prstGeom prst="rect">
                            <a:avLst/>
                          </a:prstGeom>
                        </pic:spPr>
                      </pic:pic>
                    </a:graphicData>
                  </a:graphic>
                </wp:anchor>
              </w:drawing>
            </w:r>
            <w:r>
              <w:drawing>
                <wp:anchor distT="0" distB="0" distL="0" distR="0" simplePos="0" relativeHeight="251772928" behindDoc="0" locked="0" layoutInCell="1" allowOverlap="1">
                  <wp:simplePos x="0" y="0"/>
                  <wp:positionH relativeFrom="rightMargin">
                    <wp:posOffset>-3768725</wp:posOffset>
                  </wp:positionH>
                  <wp:positionV relativeFrom="topMargin">
                    <wp:posOffset>3487420</wp:posOffset>
                  </wp:positionV>
                  <wp:extent cx="76200" cy="215900"/>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220"/>
                          <a:stretch>
                            <a:fillRect/>
                          </a:stretch>
                        </pic:blipFill>
                        <pic:spPr>
                          <a:xfrm>
                            <a:off x="0" y="0"/>
                            <a:ext cx="76200" cy="215912"/>
                          </a:xfrm>
                          <a:prstGeom prst="rect">
                            <a:avLst/>
                          </a:prstGeom>
                        </pic:spPr>
                      </pic:pic>
                    </a:graphicData>
                  </a:graphic>
                </wp:anchor>
              </w:drawing>
            </w:r>
            <w:r>
              <w:drawing>
                <wp:anchor distT="0" distB="0" distL="0" distR="0" simplePos="0" relativeHeight="251771904" behindDoc="0" locked="0" layoutInCell="1" allowOverlap="1">
                  <wp:simplePos x="0" y="0"/>
                  <wp:positionH relativeFrom="rightMargin">
                    <wp:posOffset>-2075815</wp:posOffset>
                  </wp:positionH>
                  <wp:positionV relativeFrom="topMargin">
                    <wp:posOffset>3522980</wp:posOffset>
                  </wp:positionV>
                  <wp:extent cx="76200" cy="215900"/>
                  <wp:effectExtent l="0" t="0" r="0" b="0"/>
                  <wp:wrapNone/>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221"/>
                          <a:stretch>
                            <a:fillRect/>
                          </a:stretch>
                        </pic:blipFill>
                        <pic:spPr>
                          <a:xfrm>
                            <a:off x="0" y="0"/>
                            <a:ext cx="76200" cy="215912"/>
                          </a:xfrm>
                          <a:prstGeom prst="rect">
                            <a:avLst/>
                          </a:prstGeom>
                        </pic:spPr>
                      </pic:pic>
                    </a:graphicData>
                  </a:graphic>
                </wp:anchor>
              </w:drawing>
            </w:r>
            <w:r>
              <w:pict>
                <v:shape id="_x0000_s1085" o:spid="_x0000_s1085" o:spt="202" type="#_x0000_t202" style="position:absolute;left:0pt;margin-left:79.6pt;margin-top:291.3pt;height:21.15pt;width:49.5pt;mso-position-horizontal-relative:page;mso-position-vertical-relative:page;z-index:251803648;mso-width-relative:page;mso-height-relative:page;" filled="f" stroked="f" coordsize="21600,21600">
                  <v:path/>
                  <v:fill on="f" focussize="0,0"/>
                  <v:stroke on="f"/>
                  <v:imagedata o:title=""/>
                  <o:lock v:ext="edit" aspectratio="f"/>
                  <v:textbox inset="0mm,0mm,0mm,0mm">
                    <w:txbxContent>
                      <w:p w14:paraId="15FC96CF">
                        <w:pPr>
                          <w:spacing w:line="20" w:lineRule="exact"/>
                        </w:pPr>
                      </w:p>
                      <w:tbl>
                        <w:tblPr>
                          <w:tblStyle w:val="5"/>
                          <w:tblW w:w="93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30"/>
                        </w:tblGrid>
                        <w:tr w14:paraId="1AAB694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930" w:type="dxa"/>
                              <w:vAlign w:val="top"/>
                            </w:tcPr>
                            <w:p w14:paraId="056D595B">
                              <w:pPr>
                                <w:pStyle w:val="6"/>
                                <w:spacing w:before="84" w:line="228" w:lineRule="auto"/>
                                <w:ind w:left="265"/>
                                <w:rPr>
                                  <w:sz w:val="19"/>
                                  <w:szCs w:val="19"/>
                                </w:rPr>
                              </w:pPr>
                              <w:r>
                                <w:rPr>
                                  <w:spacing w:val="3"/>
                                  <w:sz w:val="19"/>
                                  <w:szCs w:val="19"/>
                                </w:rPr>
                                <w:t>筒仓</w:t>
                              </w:r>
                            </w:p>
                          </w:tc>
                        </w:tr>
                      </w:tbl>
                      <w:p w14:paraId="3511C6BC">
                        <w:pPr>
                          <w:rPr>
                            <w:rFonts w:ascii="Arial"/>
                            <w:sz w:val="21"/>
                          </w:rPr>
                        </w:pPr>
                      </w:p>
                    </w:txbxContent>
                  </v:textbox>
                </v:shape>
              </w:pict>
            </w:r>
            <w:r>
              <w:pict>
                <v:shape id="_x0000_s1086" o:spid="_x0000_s1086" o:spt="202" type="#_x0000_t202" style="position:absolute;left:0pt;margin-left:218.5pt;margin-top:294.15pt;height:21.1pt;width:42.15pt;mso-position-horizontal-relative:page;mso-position-vertical-relative:page;z-index:251800576;mso-width-relative:page;mso-height-relative:page;" filled="f" stroked="f" coordsize="21600,21600">
                  <v:path/>
                  <v:fill on="f" focussize="0,0"/>
                  <v:stroke on="f"/>
                  <v:imagedata o:title=""/>
                  <o:lock v:ext="edit" aspectratio="f"/>
                  <v:textbox inset="0mm,0mm,0mm,0mm">
                    <w:txbxContent>
                      <w:p w14:paraId="0ED9A13C">
                        <w:pPr>
                          <w:spacing w:line="20" w:lineRule="exact"/>
                        </w:pPr>
                      </w:p>
                      <w:tbl>
                        <w:tblPr>
                          <w:tblStyle w:val="5"/>
                          <w:tblW w:w="78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82"/>
                        </w:tblGrid>
                        <w:tr w14:paraId="7DC9164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782" w:type="dxa"/>
                              <w:vAlign w:val="top"/>
                            </w:tcPr>
                            <w:p w14:paraId="7836627B">
                              <w:pPr>
                                <w:pStyle w:val="6"/>
                                <w:spacing w:before="85" w:line="228" w:lineRule="auto"/>
                                <w:ind w:left="192"/>
                                <w:rPr>
                                  <w:sz w:val="19"/>
                                  <w:szCs w:val="19"/>
                                </w:rPr>
                              </w:pPr>
                              <w:r>
                                <w:rPr>
                                  <w:spacing w:val="3"/>
                                  <w:sz w:val="19"/>
                                  <w:szCs w:val="19"/>
                                </w:rPr>
                                <w:t>筒仓</w:t>
                              </w:r>
                            </w:p>
                          </w:tc>
                        </w:tr>
                      </w:tbl>
                      <w:p w14:paraId="31E5E902">
                        <w:pPr>
                          <w:rPr>
                            <w:rFonts w:ascii="Arial"/>
                            <w:sz w:val="21"/>
                          </w:rPr>
                        </w:pPr>
                      </w:p>
                    </w:txbxContent>
                  </v:textbox>
                </v:shape>
              </w:pict>
            </w:r>
            <w:r>
              <w:pict>
                <v:shape id="_x0000_s1087" o:spid="_x0000_s1087" o:spt="202" type="#_x0000_t202" style="position:absolute;left:0pt;margin-left:36.15pt;margin-top:296.85pt;height:12.7pt;width:19.7pt;mso-position-horizontal-relative:page;mso-position-vertical-relative:page;z-index:251806720;mso-width-relative:page;mso-height-relative:page;" filled="f" stroked="f" coordsize="21600,21600">
                  <v:path/>
                  <v:fill on="f" focussize="0,0"/>
                  <v:stroke on="f"/>
                  <v:imagedata o:title=""/>
                  <o:lock v:ext="edit" aspectratio="f"/>
                  <v:textbox inset="0mm,0mm,0mm,0mm">
                    <w:txbxContent>
                      <w:p w14:paraId="032C10F1">
                        <w:pPr>
                          <w:pStyle w:val="6"/>
                          <w:spacing w:before="20" w:line="219" w:lineRule="auto"/>
                          <w:ind w:left="20"/>
                          <w:rPr>
                            <w:sz w:val="18"/>
                            <w:szCs w:val="18"/>
                          </w:rPr>
                        </w:pPr>
                        <w:r>
                          <w:rPr>
                            <w:spacing w:val="-4"/>
                            <w:sz w:val="18"/>
                            <w:szCs w:val="18"/>
                          </w:rPr>
                          <w:t>粉尘</w:t>
                        </w:r>
                      </w:p>
                    </w:txbxContent>
                  </v:textbox>
                </v:shape>
              </w:pict>
            </w:r>
            <w:r>
              <w:pict>
                <v:shape id="_x0000_s1088" o:spid="_x0000_s1088" o:spt="202" type="#_x0000_t202" style="position:absolute;left:0pt;margin-left:271.25pt;margin-top:297.3pt;height:12.7pt;width:42.2pt;mso-position-horizontal-relative:page;mso-position-vertical-relative:page;z-index:251805696;mso-width-relative:page;mso-height-relative:page;" filled="f" stroked="f" coordsize="21600,21600">
                  <v:path/>
                  <v:fill on="f" focussize="0,0"/>
                  <v:stroke on="f"/>
                  <v:imagedata o:title=""/>
                  <o:lock v:ext="edit" aspectratio="f"/>
                  <v:textbox inset="0mm,0mm,0mm,0mm">
                    <w:txbxContent>
                      <w:p w14:paraId="7D6618FB">
                        <w:pPr>
                          <w:pStyle w:val="6"/>
                          <w:spacing w:before="19" w:line="185" w:lineRule="auto"/>
                          <w:ind w:left="20"/>
                          <w:rPr>
                            <w:rFonts w:ascii="Arial" w:hAnsi="Arial" w:eastAsia="Arial" w:cs="Arial"/>
                            <w:sz w:val="24"/>
                            <w:szCs w:val="24"/>
                          </w:rPr>
                        </w:pPr>
                        <w:r>
                          <w:rPr>
                            <w:spacing w:val="13"/>
                            <w:sz w:val="18"/>
                            <w:szCs w:val="18"/>
                          </w:rPr>
                          <w:t>粉尘</w:t>
                        </w:r>
                        <w:r>
                          <w:rPr>
                            <w:rFonts w:ascii="Arial" w:hAnsi="Arial" w:eastAsia="Arial" w:cs="Arial"/>
                            <w:spacing w:val="13"/>
                            <w:sz w:val="24"/>
                            <w:szCs w:val="24"/>
                          </w:rPr>
                          <w:t>4</w:t>
                        </w:r>
                        <w:r>
                          <w:rPr>
                            <w:rFonts w:ascii="Arial" w:hAnsi="Arial" w:eastAsia="Arial" w:cs="Arial"/>
                            <w:spacing w:val="-23"/>
                            <w:sz w:val="24"/>
                            <w:szCs w:val="24"/>
                          </w:rPr>
                          <w:t xml:space="preserve"> </w:t>
                        </w:r>
                        <w:r>
                          <w:rPr>
                            <w:rFonts w:ascii="Arial" w:hAnsi="Arial" w:eastAsia="Arial" w:cs="Arial"/>
                            <w:spacing w:val="13"/>
                            <w:sz w:val="24"/>
                            <w:szCs w:val="24"/>
                          </w:rPr>
                          <w:t>-</w:t>
                        </w:r>
                        <w:r>
                          <w:rPr>
                            <w:rFonts w:ascii="Arial" w:hAnsi="Arial" w:eastAsia="Arial" w:cs="Arial"/>
                            <w:spacing w:val="-27"/>
                            <w:sz w:val="24"/>
                            <w:szCs w:val="24"/>
                          </w:rPr>
                          <w:t xml:space="preserve"> </w:t>
                        </w:r>
                        <w:r>
                          <w:rPr>
                            <w:rFonts w:ascii="Arial" w:hAnsi="Arial" w:eastAsia="Arial" w:cs="Arial"/>
                            <w:spacing w:val="13"/>
                            <w:sz w:val="24"/>
                            <w:szCs w:val="24"/>
                          </w:rPr>
                          <w:t>-</w:t>
                        </w:r>
                      </w:p>
                    </w:txbxContent>
                  </v:textbox>
                </v:shape>
              </w:pict>
            </w:r>
            <w:r>
              <w:pict>
                <v:shape id="_x0000_s1089" o:spid="_x0000_s1089" o:spt="202" type="#_x0000_t202" style="position:absolute;left:0pt;margin-left:179.35pt;margin-top:301.75pt;height:12.7pt;width:41.85pt;mso-position-horizontal-relative:page;mso-position-vertical-relative:page;z-index:251836416;mso-width-relative:page;mso-height-relative:page;" filled="f" stroked="f" coordsize="21600,21600">
                  <v:path/>
                  <v:fill on="f" focussize="0,0"/>
                  <v:stroke on="f"/>
                  <v:imagedata o:title=""/>
                  <o:lock v:ext="edit" aspectratio="f"/>
                  <v:textbox inset="0mm,0mm,0mm,0mm">
                    <w:txbxContent>
                      <w:p w14:paraId="0A4B3A0A">
                        <w:pPr>
                          <w:pStyle w:val="6"/>
                          <w:spacing w:before="20" w:line="176" w:lineRule="auto"/>
                          <w:ind w:left="20"/>
                          <w:rPr>
                            <w:rFonts w:ascii="Arial" w:hAnsi="Arial" w:eastAsia="Arial" w:cs="Arial"/>
                            <w:sz w:val="24"/>
                            <w:szCs w:val="24"/>
                          </w:rPr>
                        </w:pPr>
                        <w:r>
                          <w:rPr>
                            <w:spacing w:val="12"/>
                            <w:sz w:val="18"/>
                            <w:szCs w:val="18"/>
                          </w:rPr>
                          <w:t>粉尘</w:t>
                        </w:r>
                        <w:r>
                          <w:rPr>
                            <w:rFonts w:ascii="Arial" w:hAnsi="Arial" w:eastAsia="Arial" w:cs="Arial"/>
                            <w:spacing w:val="12"/>
                            <w:position w:val="1"/>
                            <w:sz w:val="24"/>
                            <w:szCs w:val="24"/>
                          </w:rPr>
                          <w:t>4</w:t>
                        </w:r>
                        <w:r>
                          <w:rPr>
                            <w:rFonts w:ascii="Arial" w:hAnsi="Arial" w:eastAsia="Arial" w:cs="Arial"/>
                            <w:spacing w:val="-25"/>
                            <w:position w:val="1"/>
                            <w:sz w:val="24"/>
                            <w:szCs w:val="24"/>
                          </w:rPr>
                          <w:t xml:space="preserve"> </w:t>
                        </w:r>
                        <w:r>
                          <w:rPr>
                            <w:rFonts w:ascii="Arial" w:hAnsi="Arial" w:eastAsia="Arial" w:cs="Arial"/>
                            <w:spacing w:val="12"/>
                            <w:position w:val="1"/>
                            <w:sz w:val="24"/>
                            <w:szCs w:val="24"/>
                          </w:rPr>
                          <w:t>-</w:t>
                        </w:r>
                        <w:r>
                          <w:rPr>
                            <w:rFonts w:ascii="Arial" w:hAnsi="Arial" w:eastAsia="Arial" w:cs="Arial"/>
                            <w:spacing w:val="-27"/>
                            <w:position w:val="1"/>
                            <w:sz w:val="24"/>
                            <w:szCs w:val="24"/>
                          </w:rPr>
                          <w:t xml:space="preserve"> </w:t>
                        </w:r>
                        <w:r>
                          <w:rPr>
                            <w:rFonts w:ascii="Arial" w:hAnsi="Arial" w:eastAsia="Arial" w:cs="Arial"/>
                            <w:spacing w:val="12"/>
                            <w:position w:val="1"/>
                            <w:sz w:val="24"/>
                            <w:szCs w:val="24"/>
                          </w:rPr>
                          <w:t>-</w:t>
                        </w:r>
                      </w:p>
                    </w:txbxContent>
                  </v:textbox>
                </v:shape>
              </w:pict>
            </w:r>
            <w:r>
              <w:drawing>
                <wp:anchor distT="0" distB="0" distL="0" distR="0" simplePos="0" relativeHeight="251788288" behindDoc="0" locked="0" layoutInCell="1" allowOverlap="1">
                  <wp:simplePos x="0" y="0"/>
                  <wp:positionH relativeFrom="rightMargin">
                    <wp:posOffset>-4198620</wp:posOffset>
                  </wp:positionH>
                  <wp:positionV relativeFrom="topMargin">
                    <wp:posOffset>3815715</wp:posOffset>
                  </wp:positionV>
                  <wp:extent cx="146050" cy="25400"/>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222"/>
                          <a:stretch>
                            <a:fillRect/>
                          </a:stretch>
                        </pic:blipFill>
                        <pic:spPr>
                          <a:xfrm>
                            <a:off x="0" y="0"/>
                            <a:ext cx="146075" cy="25717"/>
                          </a:xfrm>
                          <a:prstGeom prst="rect">
                            <a:avLst/>
                          </a:prstGeom>
                        </pic:spPr>
                      </pic:pic>
                    </a:graphicData>
                  </a:graphic>
                </wp:anchor>
              </w:drawing>
            </w:r>
            <w:r>
              <w:drawing>
                <wp:anchor distT="0" distB="0" distL="0" distR="0" simplePos="0" relativeHeight="251777024" behindDoc="0" locked="0" layoutInCell="1" allowOverlap="1">
                  <wp:simplePos x="0" y="0"/>
                  <wp:positionH relativeFrom="rightMargin">
                    <wp:posOffset>-4338320</wp:posOffset>
                  </wp:positionH>
                  <wp:positionV relativeFrom="topMargin">
                    <wp:posOffset>3790315</wp:posOffset>
                  </wp:positionV>
                  <wp:extent cx="114300" cy="76200"/>
                  <wp:effectExtent l="0" t="0" r="0" b="0"/>
                  <wp:wrapNone/>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223"/>
                          <a:stretch>
                            <a:fillRect/>
                          </a:stretch>
                        </pic:blipFill>
                        <pic:spPr>
                          <a:xfrm>
                            <a:off x="0" y="0"/>
                            <a:ext cx="114312" cy="76200"/>
                          </a:xfrm>
                          <a:prstGeom prst="rect">
                            <a:avLst/>
                          </a:prstGeom>
                        </pic:spPr>
                      </pic:pic>
                    </a:graphicData>
                  </a:graphic>
                </wp:anchor>
              </w:drawing>
            </w:r>
            <w:r>
              <w:pict>
                <v:shape id="_x0000_s1090" o:spid="_x0000_s1090" o:spt="202" type="#_x0000_t202" style="position:absolute;left:0pt;margin-left:109pt;margin-top:312.9pt;height:12.7pt;width:19.45pt;mso-position-horizontal-relative:page;mso-position-vertical-relative:page;z-index:251804672;mso-width-relative:page;mso-height-relative:page;" filled="f" stroked="f" coordsize="21600,21600">
                  <v:path/>
                  <v:fill on="f" focussize="0,0"/>
                  <v:stroke on="f"/>
                  <v:imagedata o:title=""/>
                  <o:lock v:ext="edit" aspectratio="f"/>
                  <v:textbox inset="0mm,0mm,0mm,0mm">
                    <w:txbxContent>
                      <w:p w14:paraId="117C985F">
                        <w:pPr>
                          <w:pStyle w:val="6"/>
                          <w:spacing w:before="20" w:line="219" w:lineRule="auto"/>
                          <w:ind w:left="20"/>
                          <w:rPr>
                            <w:sz w:val="18"/>
                            <w:szCs w:val="18"/>
                          </w:rPr>
                        </w:pPr>
                        <w:r>
                          <w:rPr>
                            <w:spacing w:val="-6"/>
                            <w:sz w:val="18"/>
                            <w:szCs w:val="18"/>
                          </w:rPr>
                          <w:t>管道</w:t>
                        </w:r>
                      </w:p>
                    </w:txbxContent>
                  </v:textbox>
                </v:shape>
              </w:pict>
            </w:r>
            <w:r>
              <w:pict>
                <v:shape id="_x0000_s1091" o:spid="_x0000_s1091" o:spt="202" type="#_x0000_t202" style="position:absolute;left:0pt;margin-left:67.3pt;margin-top:327.05pt;height:21.15pt;width:76.4pt;mso-position-horizontal-relative:page;mso-position-vertical-relative:page;z-index:251801600;mso-width-relative:page;mso-height-relative:page;" filled="f" stroked="f" coordsize="21600,21600">
                  <v:path/>
                  <v:fill on="f" focussize="0,0"/>
                  <v:stroke on="f"/>
                  <v:imagedata o:title=""/>
                  <o:lock v:ext="edit" aspectratio="f"/>
                  <v:textbox inset="0mm,0mm,0mm,0mm">
                    <w:txbxContent>
                      <w:p w14:paraId="69DC549F">
                        <w:pPr>
                          <w:spacing w:line="20" w:lineRule="exact"/>
                        </w:pPr>
                      </w:p>
                      <w:tbl>
                        <w:tblPr>
                          <w:tblStyle w:val="5"/>
                          <w:tblW w:w="1467"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67"/>
                        </w:tblGrid>
                        <w:tr w14:paraId="73848FE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1467" w:type="dxa"/>
                              <w:vAlign w:val="top"/>
                            </w:tcPr>
                            <w:p w14:paraId="5A25A09A">
                              <w:pPr>
                                <w:pStyle w:val="6"/>
                                <w:spacing w:before="84" w:line="228" w:lineRule="auto"/>
                                <w:ind w:left="131"/>
                                <w:rPr>
                                  <w:sz w:val="19"/>
                                  <w:szCs w:val="19"/>
                                </w:rPr>
                              </w:pPr>
                              <w:r>
                                <w:rPr>
                                  <w:spacing w:val="8"/>
                                  <w:sz w:val="19"/>
                                  <w:szCs w:val="19"/>
                                </w:rPr>
                                <w:t>计量管道输送</w:t>
                              </w:r>
                            </w:p>
                          </w:tc>
                        </w:tr>
                      </w:tbl>
                      <w:p w14:paraId="71C2CC17">
                        <w:pPr>
                          <w:rPr>
                            <w:rFonts w:ascii="Arial"/>
                            <w:sz w:val="21"/>
                          </w:rPr>
                        </w:pPr>
                      </w:p>
                    </w:txbxContent>
                  </v:textbox>
                </v:shape>
              </w:pict>
            </w:r>
            <w:r>
              <w:pict>
                <v:group id="_x0000_s1092" o:spid="_x0000_s1092" o:spt="203" style="position:absolute;left:0pt;margin-left:196.4pt;margin-top:314.85pt;height:34.15pt;width:74.4pt;mso-position-horizontal-relative:page;mso-position-vertical-relative:page;z-index:251837440;mso-width-relative:page;mso-height-relative:page;" coordsize="1488,683">
                  <o:lock v:ext="edit"/>
                  <v:shape id="_x0000_s1093" o:spid="_x0000_s1093" o:spt="75" type="#_x0000_t75" style="position:absolute;left:0;top:0;height:683;width:1488;" filled="f" stroked="f" coordsize="21600,21600">
                    <v:path/>
                    <v:fill on="f" focussize="0,0"/>
                    <v:stroke on="f"/>
                    <v:imagedata r:id="rId224" o:title=""/>
                    <o:lock v:ext="edit" aspectratio="t"/>
                  </v:shape>
                  <v:shape id="_x0000_s1094" o:spid="_x0000_s1094" o:spt="202" type="#_x0000_t202" style="position:absolute;left:-20;top:-20;height:758;width:1528;" filled="f" stroked="f" coordsize="21600,21600">
                    <v:path/>
                    <v:fill on="f" focussize="0,0"/>
                    <v:stroke on="f"/>
                    <v:imagedata o:title=""/>
                    <o:lock v:ext="edit" aspectratio="f"/>
                    <v:textbox inset="0mm,0mm,0mm,0mm">
                      <w:txbxContent>
                        <w:p w14:paraId="35EC011D">
                          <w:pPr>
                            <w:spacing w:line="359" w:lineRule="auto"/>
                            <w:rPr>
                              <w:rFonts w:ascii="Arial"/>
                              <w:sz w:val="21"/>
                            </w:rPr>
                          </w:pPr>
                        </w:p>
                        <w:p w14:paraId="45C226AE">
                          <w:pPr>
                            <w:pStyle w:val="6"/>
                            <w:spacing w:before="62" w:line="228" w:lineRule="auto"/>
                            <w:ind w:left="170"/>
                            <w:rPr>
                              <w:sz w:val="19"/>
                              <w:szCs w:val="19"/>
                            </w:rPr>
                          </w:pPr>
                          <w:r>
                            <w:rPr>
                              <w:spacing w:val="8"/>
                              <w:sz w:val="19"/>
                              <w:szCs w:val="19"/>
                            </w:rPr>
                            <w:t>计量管道输送</w:t>
                          </w:r>
                        </w:p>
                      </w:txbxContent>
                    </v:textbox>
                  </v:shape>
                </v:group>
              </w:pict>
            </w:r>
            <w:r>
              <w:pict>
                <v:shape id="_x0000_s1095" o:spid="_x0000_s1095" o:spt="202" type="#_x0000_t202" style="position:absolute;left:0pt;margin-left:51.8pt;margin-top:361.9pt;height:12.7pt;width:37.55pt;mso-position-horizontal-relative:page;mso-position-vertical-relative:page;z-index:251807744;mso-width-relative:page;mso-height-relative:page;" filled="f" stroked="f" coordsize="21600,21600">
                  <v:path/>
                  <v:fill on="f" focussize="0,0"/>
                  <v:stroke on="f"/>
                  <v:imagedata o:title=""/>
                  <o:lock v:ext="edit" aspectratio="f"/>
                  <v:textbox inset="0mm,0mm,0mm,0mm">
                    <w:txbxContent>
                      <w:p w14:paraId="1BC6584A">
                        <w:pPr>
                          <w:pStyle w:val="6"/>
                          <w:spacing w:before="20" w:line="219" w:lineRule="auto"/>
                          <w:ind w:left="20"/>
                          <w:rPr>
                            <w:sz w:val="18"/>
                            <w:szCs w:val="18"/>
                          </w:rPr>
                        </w:pPr>
                        <w:r>
                          <w:rPr>
                            <w:spacing w:val="-3"/>
                            <w:sz w:val="18"/>
                            <w:szCs w:val="18"/>
                          </w:rPr>
                          <w:t>螺旋输送</w:t>
                        </w:r>
                      </w:p>
                    </w:txbxContent>
                  </v:textbox>
                </v:shape>
              </w:pict>
            </w:r>
            <w:r>
              <w:pict>
                <v:shape id="_x0000_s1096" o:spid="_x0000_s1096" o:spt="202" type="#_x0000_t202" style="position:absolute;left:0pt;margin-left:369.4pt;margin-top:366.1pt;height:24.4pt;width:27.15pt;mso-position-horizontal-relative:page;mso-position-vertical-relative:page;z-index:251799552;mso-width-relative:page;mso-height-relative:page;" filled="f" stroked="f" coordsize="21600,21600">
                  <v:path/>
                  <v:fill on="f" focussize="0,0"/>
                  <v:stroke on="f"/>
                  <v:imagedata o:title=""/>
                  <o:lock v:ext="edit" aspectratio="f"/>
                  <v:textbox inset="0mm,0mm,0mm,0mm">
                    <w:txbxContent>
                      <w:p w14:paraId="6E30DD76">
                        <w:pPr>
                          <w:pStyle w:val="6"/>
                          <w:spacing w:before="20" w:line="229" w:lineRule="auto"/>
                          <w:ind w:left="120" w:right="20" w:hanging="100"/>
                          <w:rPr>
                            <w:sz w:val="18"/>
                            <w:szCs w:val="18"/>
                          </w:rPr>
                        </w:pPr>
                        <w:r>
                          <w:rPr>
                            <w:spacing w:val="-13"/>
                            <w:sz w:val="18"/>
                            <w:szCs w:val="18"/>
                          </w:rPr>
                          <w:t>粉尘、</w:t>
                        </w:r>
                        <w:r>
                          <w:rPr>
                            <w:sz w:val="18"/>
                            <w:szCs w:val="18"/>
                          </w:rPr>
                          <w:t xml:space="preserve"> </w:t>
                        </w:r>
                        <w:r>
                          <w:rPr>
                            <w:spacing w:val="-8"/>
                            <w:sz w:val="18"/>
                            <w:szCs w:val="18"/>
                          </w:rPr>
                          <w:t>噪声</w:t>
                        </w:r>
                      </w:p>
                    </w:txbxContent>
                  </v:textbox>
                </v:shape>
              </w:pict>
            </w:r>
            <w:r>
              <w:drawing>
                <wp:anchor distT="0" distB="0" distL="0" distR="0" simplePos="0" relativeHeight="251784192" behindDoc="0" locked="0" layoutInCell="1" allowOverlap="1">
                  <wp:simplePos x="0" y="0"/>
                  <wp:positionH relativeFrom="rightMargin">
                    <wp:posOffset>-591185</wp:posOffset>
                  </wp:positionH>
                  <wp:positionV relativeFrom="topMargin">
                    <wp:posOffset>4773930</wp:posOffset>
                  </wp:positionV>
                  <wp:extent cx="146050" cy="26035"/>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225"/>
                          <a:stretch>
                            <a:fillRect/>
                          </a:stretch>
                        </pic:blipFill>
                        <pic:spPr>
                          <a:xfrm>
                            <a:off x="0" y="0"/>
                            <a:ext cx="146075" cy="25806"/>
                          </a:xfrm>
                          <a:prstGeom prst="rect">
                            <a:avLst/>
                          </a:prstGeom>
                        </pic:spPr>
                      </pic:pic>
                    </a:graphicData>
                  </a:graphic>
                </wp:anchor>
              </w:drawing>
            </w:r>
            <w:r>
              <w:drawing>
                <wp:anchor distT="0" distB="0" distL="0" distR="0" simplePos="0" relativeHeight="251782144" behindDoc="0" locked="0" layoutInCell="1" allowOverlap="1">
                  <wp:simplePos x="0" y="0"/>
                  <wp:positionH relativeFrom="rightMargin">
                    <wp:posOffset>-457835</wp:posOffset>
                  </wp:positionH>
                  <wp:positionV relativeFrom="topMargin">
                    <wp:posOffset>4748530</wp:posOffset>
                  </wp:positionV>
                  <wp:extent cx="82550" cy="76200"/>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226"/>
                          <a:stretch>
                            <a:fillRect/>
                          </a:stretch>
                        </pic:blipFill>
                        <pic:spPr>
                          <a:xfrm>
                            <a:off x="0" y="0"/>
                            <a:ext cx="82663" cy="76200"/>
                          </a:xfrm>
                          <a:prstGeom prst="rect">
                            <a:avLst/>
                          </a:prstGeom>
                        </pic:spPr>
                      </pic:pic>
                    </a:graphicData>
                  </a:graphic>
                </wp:anchor>
              </w:drawing>
            </w:r>
            <w:r>
              <w:pict>
                <v:shape id="_x0000_s1097" o:spid="_x0000_s1097" o:spt="202" type="#_x0000_t202" style="position:absolute;left:0pt;margin-left:214.25pt;margin-top:391.3pt;height:12.7pt;width:37.7pt;mso-position-horizontal-relative:page;mso-position-vertical-relative:page;z-index:251847680;mso-width-relative:page;mso-height-relative:page;" filled="f" stroked="f" coordsize="21600,21600">
                  <v:path/>
                  <v:fill on="f" focussize="0,0"/>
                  <v:stroke on="f"/>
                  <v:imagedata o:title=""/>
                  <o:lock v:ext="edit" aspectratio="f"/>
                  <v:textbox inset="0mm,0mm,0mm,0mm">
                    <w:txbxContent>
                      <w:p w14:paraId="6C214B75">
                        <w:pPr>
                          <w:pStyle w:val="6"/>
                          <w:spacing w:before="20" w:line="219" w:lineRule="auto"/>
                          <w:ind w:left="20"/>
                          <w:rPr>
                            <w:sz w:val="18"/>
                            <w:szCs w:val="18"/>
                          </w:rPr>
                        </w:pPr>
                        <w:r>
                          <w:rPr>
                            <w:spacing w:val="-2"/>
                            <w:sz w:val="18"/>
                            <w:szCs w:val="18"/>
                          </w:rPr>
                          <w:t>封闭输送</w:t>
                        </w:r>
                      </w:p>
                    </w:txbxContent>
                  </v:textbox>
                </v:shape>
              </w:pict>
            </w:r>
            <w:r>
              <w:pict>
                <v:shape id="_x0000_s1098" o:spid="_x0000_s1098" o:spt="202" type="#_x0000_t202" style="position:absolute;left:0pt;margin-left:178.4pt;margin-top:408.1pt;height:12.75pt;width:19.65pt;mso-position-horizontal-relative:page;mso-position-vertical-relative:page;z-index:251802624;mso-width-relative:page;mso-height-relative:page;" filled="f" stroked="f" coordsize="21600,21600">
                  <v:path/>
                  <v:fill on="f" focussize="0,0"/>
                  <v:stroke on="f"/>
                  <v:imagedata o:title=""/>
                  <o:lock v:ext="edit" aspectratio="f"/>
                  <v:textbox inset="0mm,0mm,0mm,0mm">
                    <w:txbxContent>
                      <w:p w14:paraId="030656B5">
                        <w:pPr>
                          <w:pStyle w:val="6"/>
                          <w:spacing w:before="20" w:line="220" w:lineRule="auto"/>
                          <w:ind w:left="20"/>
                          <w:rPr>
                            <w:sz w:val="18"/>
                            <w:szCs w:val="18"/>
                          </w:rPr>
                        </w:pPr>
                        <w:r>
                          <w:rPr>
                            <w:spacing w:val="-4"/>
                            <w:sz w:val="18"/>
                            <w:szCs w:val="18"/>
                          </w:rPr>
                          <w:t>放料</w:t>
                        </w:r>
                      </w:p>
                    </w:txbxContent>
                  </v:textbox>
                </v:shape>
              </w:pict>
            </w:r>
            <w:r>
              <w:pict>
                <v:shape id="_x0000_s1099" o:spid="_x0000_s1099" o:spt="202" type="#_x0000_t202" style="position:absolute;left:0pt;margin-left:203.9pt;margin-top:408.45pt;height:21.1pt;width:58pt;mso-position-horizontal-relative:page;mso-position-vertical-relative:page;z-index:251846656;mso-width-relative:page;mso-height-relative:page;" filled="f" stroked="f" coordsize="21600,21600">
                  <v:path/>
                  <v:fill on="f" focussize="0,0"/>
                  <v:stroke on="f"/>
                  <v:imagedata o:title=""/>
                  <o:lock v:ext="edit" aspectratio="f"/>
                  <v:textbox inset="0mm,0mm,0mm,0mm">
                    <w:txbxContent>
                      <w:p w14:paraId="052F55BA">
                        <w:pPr>
                          <w:spacing w:line="20" w:lineRule="exact"/>
                        </w:pPr>
                      </w:p>
                      <w:tbl>
                        <w:tblPr>
                          <w:tblStyle w:val="5"/>
                          <w:tblW w:w="109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99"/>
                        </w:tblGrid>
                        <w:tr w14:paraId="1FE81CD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1099" w:type="dxa"/>
                              <w:vAlign w:val="top"/>
                            </w:tcPr>
                            <w:p w14:paraId="5CABBA95">
                              <w:pPr>
                                <w:pStyle w:val="6"/>
                                <w:spacing w:before="83" w:line="230" w:lineRule="auto"/>
                                <w:ind w:left="245"/>
                                <w:rPr>
                                  <w:sz w:val="19"/>
                                  <w:szCs w:val="19"/>
                                </w:rPr>
                              </w:pPr>
                              <w:r>
                                <w:rPr>
                                  <w:spacing w:val="7"/>
                                  <w:sz w:val="19"/>
                                  <w:szCs w:val="19"/>
                                </w:rPr>
                                <w:t>底斗仓</w:t>
                              </w:r>
                            </w:p>
                          </w:tc>
                        </w:tr>
                      </w:tbl>
                      <w:p w14:paraId="2248C094">
                        <w:pPr>
                          <w:rPr>
                            <w:rFonts w:ascii="Arial"/>
                            <w:sz w:val="21"/>
                          </w:rPr>
                        </w:pPr>
                      </w:p>
                    </w:txbxContent>
                  </v:textbox>
                </v:shape>
              </w:pict>
            </w:r>
            <w:r>
              <w:pict>
                <v:shape id="_x0000_s1100" o:spid="_x0000_s1100" o:spt="202" type="#_x0000_t202" style="position:absolute;left:0pt;margin-left:91.25pt;margin-top:409.9pt;height:24.5pt;width:27.15pt;mso-position-horizontal-relative:page;mso-position-vertical-relative:page;z-index:251796480;mso-width-relative:page;mso-height-relative:page;" filled="f" stroked="f" coordsize="21600,21600">
                  <v:path/>
                  <v:fill on="f" focussize="0,0"/>
                  <v:stroke on="f"/>
                  <v:imagedata o:title=""/>
                  <o:lock v:ext="edit" aspectratio="f"/>
                  <v:textbox inset="0mm,0mm,0mm,0mm">
                    <w:txbxContent>
                      <w:p w14:paraId="402E7152">
                        <w:pPr>
                          <w:pStyle w:val="6"/>
                          <w:spacing w:before="19" w:line="231" w:lineRule="auto"/>
                          <w:ind w:left="116" w:right="20" w:hanging="97"/>
                          <w:rPr>
                            <w:sz w:val="18"/>
                            <w:szCs w:val="18"/>
                          </w:rPr>
                        </w:pPr>
                        <w:r>
                          <w:rPr>
                            <w:spacing w:val="-13"/>
                            <w:sz w:val="18"/>
                            <w:szCs w:val="18"/>
                          </w:rPr>
                          <w:t>粉尘、</w:t>
                        </w:r>
                        <w:r>
                          <w:rPr>
                            <w:sz w:val="18"/>
                            <w:szCs w:val="18"/>
                          </w:rPr>
                          <w:t xml:space="preserve"> </w:t>
                        </w:r>
                        <w:r>
                          <w:rPr>
                            <w:spacing w:val="-8"/>
                            <w:sz w:val="18"/>
                            <w:szCs w:val="18"/>
                          </w:rPr>
                          <w:t>噪声</w:t>
                        </w:r>
                      </w:p>
                    </w:txbxContent>
                  </v:textbox>
                </v:shape>
              </w:pict>
            </w:r>
            <w:r>
              <w:drawing>
                <wp:anchor distT="0" distB="0" distL="0" distR="0" simplePos="0" relativeHeight="251783168" behindDoc="0" locked="0" layoutInCell="1" allowOverlap="1">
                  <wp:simplePos x="0" y="0"/>
                  <wp:positionH relativeFrom="rightMargin">
                    <wp:posOffset>-4101465</wp:posOffset>
                  </wp:positionH>
                  <wp:positionV relativeFrom="topMargin">
                    <wp:posOffset>5350510</wp:posOffset>
                  </wp:positionV>
                  <wp:extent cx="146050" cy="26035"/>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227"/>
                          <a:stretch>
                            <a:fillRect/>
                          </a:stretch>
                        </pic:blipFill>
                        <pic:spPr>
                          <a:xfrm>
                            <a:off x="0" y="0"/>
                            <a:ext cx="146075" cy="25806"/>
                          </a:xfrm>
                          <a:prstGeom prst="rect">
                            <a:avLst/>
                          </a:prstGeom>
                        </pic:spPr>
                      </pic:pic>
                    </a:graphicData>
                  </a:graphic>
                </wp:anchor>
              </w:drawing>
            </w:r>
            <w:r>
              <w:drawing>
                <wp:anchor distT="0" distB="0" distL="0" distR="0" simplePos="0" relativeHeight="251761664" behindDoc="1" locked="0" layoutInCell="1" allowOverlap="1">
                  <wp:simplePos x="0" y="0"/>
                  <wp:positionH relativeFrom="rightMargin">
                    <wp:posOffset>-1761490</wp:posOffset>
                  </wp:positionH>
                  <wp:positionV relativeFrom="topMargin">
                    <wp:posOffset>5311775</wp:posOffset>
                  </wp:positionV>
                  <wp:extent cx="329565" cy="412115"/>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228"/>
                          <a:stretch>
                            <a:fillRect/>
                          </a:stretch>
                        </pic:blipFill>
                        <pic:spPr>
                          <a:xfrm>
                            <a:off x="0" y="0"/>
                            <a:ext cx="329564" cy="412115"/>
                          </a:xfrm>
                          <a:prstGeom prst="rect">
                            <a:avLst/>
                          </a:prstGeom>
                        </pic:spPr>
                      </pic:pic>
                    </a:graphicData>
                  </a:graphic>
                </wp:anchor>
              </w:drawing>
            </w:r>
            <w:r>
              <w:drawing>
                <wp:anchor distT="0" distB="0" distL="0" distR="0" simplePos="0" relativeHeight="251781120" behindDoc="0" locked="0" layoutInCell="1" allowOverlap="1">
                  <wp:simplePos x="0" y="0"/>
                  <wp:positionH relativeFrom="rightMargin">
                    <wp:posOffset>-3968115</wp:posOffset>
                  </wp:positionH>
                  <wp:positionV relativeFrom="topMargin">
                    <wp:posOffset>5325110</wp:posOffset>
                  </wp:positionV>
                  <wp:extent cx="82550" cy="76200"/>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229"/>
                          <a:stretch>
                            <a:fillRect/>
                          </a:stretch>
                        </pic:blipFill>
                        <pic:spPr>
                          <a:xfrm>
                            <a:off x="0" y="0"/>
                            <a:ext cx="82664" cy="76200"/>
                          </a:xfrm>
                          <a:prstGeom prst="rect">
                            <a:avLst/>
                          </a:prstGeom>
                        </pic:spPr>
                      </pic:pic>
                    </a:graphicData>
                  </a:graphic>
                </wp:anchor>
              </w:drawing>
            </w:r>
            <w:r>
              <w:drawing>
                <wp:anchor distT="0" distB="0" distL="0" distR="0" simplePos="0" relativeHeight="251766784" behindDoc="0" locked="0" layoutInCell="1" allowOverlap="1">
                  <wp:simplePos x="0" y="0"/>
                  <wp:positionH relativeFrom="rightMargin">
                    <wp:posOffset>-2851785</wp:posOffset>
                  </wp:positionH>
                  <wp:positionV relativeFrom="topMargin">
                    <wp:posOffset>5309235</wp:posOffset>
                  </wp:positionV>
                  <wp:extent cx="386715" cy="43243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230"/>
                          <a:stretch>
                            <a:fillRect/>
                          </a:stretch>
                        </pic:blipFill>
                        <pic:spPr>
                          <a:xfrm>
                            <a:off x="0" y="0"/>
                            <a:ext cx="386715" cy="432752"/>
                          </a:xfrm>
                          <a:prstGeom prst="rect">
                            <a:avLst/>
                          </a:prstGeom>
                        </pic:spPr>
                      </pic:pic>
                    </a:graphicData>
                  </a:graphic>
                </wp:anchor>
              </w:drawing>
            </w:r>
            <w:r>
              <w:pict>
                <v:shape id="_x0000_s1101" o:spid="_x0000_s1101" style="position:absolute;left:0pt;margin-left:255.15pt;margin-top:450.3pt;height:19.15pt;width:55.95pt;mso-position-horizontal-relative:page;mso-position-vertical-relative:page;z-index:251765760;mso-width-relative:page;mso-height-relative:page;" filled="f" stroked="t" coordsize="1119,382" path="m0,0l0,382,1118,382,1118,0,0,0e">
                  <v:fill on="f" focussize="0,0"/>
                  <v:stroke weight="1pt" color="#000000" miterlimit="0" joinstyle="miter"/>
                  <v:imagedata o:title=""/>
                  <o:lock v:ext="edit"/>
                </v:shape>
              </w:pict>
            </w:r>
            <w:r>
              <w:pict>
                <v:group id="_x0000_s1102" o:spid="_x0000_s1102" o:spt="203" style="position:absolute;left:0pt;margin-left:137.1pt;margin-top:471.7pt;height:32.6pt;width:79.15pt;mso-position-horizontal-relative:page;mso-position-vertical-relative:page;z-index:251835392;mso-width-relative:page;mso-height-relative:page;" coordsize="1583,651">
                  <o:lock v:ext="edit"/>
                  <v:shape id="_x0000_s1103" o:spid="_x0000_s1103" o:spt="75" type="#_x0000_t75" style="position:absolute;left:0;top:0;height:651;width:1583;" filled="f" stroked="f" coordsize="21600,21600">
                    <v:path/>
                    <v:fill on="f" focussize="0,0"/>
                    <v:stroke on="f"/>
                    <v:imagedata r:id="rId231" o:title=""/>
                    <o:lock v:ext="edit" aspectratio="t"/>
                  </v:shape>
                  <v:shape id="_x0000_s1104" o:spid="_x0000_s1104" o:spt="202" type="#_x0000_t202" style="position:absolute;left:-20;top:-20;height:726;width:1623;" filled="f" stroked="f" coordsize="21600,21600">
                    <v:path/>
                    <v:fill on="f" focussize="0,0"/>
                    <v:stroke on="f"/>
                    <v:imagedata o:title=""/>
                    <o:lock v:ext="edit" aspectratio="f"/>
                    <v:textbox inset="0mm,0mm,0mm,0mm">
                      <w:txbxContent>
                        <w:p w14:paraId="0F475E5C">
                          <w:pPr>
                            <w:spacing w:line="331" w:lineRule="auto"/>
                            <w:rPr>
                              <w:rFonts w:ascii="Arial"/>
                              <w:sz w:val="21"/>
                            </w:rPr>
                          </w:pPr>
                        </w:p>
                        <w:p w14:paraId="5B0773C7">
                          <w:pPr>
                            <w:pStyle w:val="6"/>
                            <w:spacing w:before="62" w:line="227" w:lineRule="auto"/>
                            <w:ind w:right="15"/>
                            <w:jc w:val="right"/>
                            <w:rPr>
                              <w:sz w:val="19"/>
                              <w:szCs w:val="19"/>
                            </w:rPr>
                          </w:pPr>
                          <w:r>
                            <w:rPr>
                              <w:spacing w:val="-3"/>
                              <w:sz w:val="19"/>
                              <w:szCs w:val="19"/>
                            </w:rPr>
                            <w:t>包装机（软连接）</w:t>
                          </w:r>
                        </w:p>
                      </w:txbxContent>
                    </v:textbox>
                  </v:shape>
                </v:group>
              </w:pict>
            </w:r>
            <w:r>
              <w:drawing>
                <wp:anchor distT="0" distB="0" distL="0" distR="0" simplePos="0" relativeHeight="251834368" behindDoc="0" locked="0" layoutInCell="1" allowOverlap="1">
                  <wp:simplePos x="0" y="0"/>
                  <wp:positionH relativeFrom="rightMargin">
                    <wp:posOffset>-3299460</wp:posOffset>
                  </wp:positionH>
                  <wp:positionV relativeFrom="topMargin">
                    <wp:posOffset>5859780</wp:posOffset>
                  </wp:positionV>
                  <wp:extent cx="146050" cy="25400"/>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232"/>
                          <a:stretch>
                            <a:fillRect/>
                          </a:stretch>
                        </pic:blipFill>
                        <pic:spPr>
                          <a:xfrm>
                            <a:off x="0" y="0"/>
                            <a:ext cx="146075" cy="25717"/>
                          </a:xfrm>
                          <a:prstGeom prst="rect">
                            <a:avLst/>
                          </a:prstGeom>
                        </pic:spPr>
                      </pic:pic>
                    </a:graphicData>
                  </a:graphic>
                </wp:anchor>
              </w:drawing>
            </w:r>
            <w:r>
              <w:drawing>
                <wp:anchor distT="0" distB="0" distL="0" distR="0" simplePos="0" relativeHeight="251773952" behindDoc="0" locked="0" layoutInCell="1" allowOverlap="1">
                  <wp:simplePos x="0" y="0"/>
                  <wp:positionH relativeFrom="rightMargin">
                    <wp:posOffset>-1489710</wp:posOffset>
                  </wp:positionH>
                  <wp:positionV relativeFrom="topMargin">
                    <wp:posOffset>5958840</wp:posOffset>
                  </wp:positionV>
                  <wp:extent cx="76200" cy="179705"/>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233"/>
                          <a:stretch>
                            <a:fillRect/>
                          </a:stretch>
                        </pic:blipFill>
                        <pic:spPr>
                          <a:xfrm>
                            <a:off x="0" y="0"/>
                            <a:ext cx="76200" cy="179730"/>
                          </a:xfrm>
                          <a:prstGeom prst="rect">
                            <a:avLst/>
                          </a:prstGeom>
                        </pic:spPr>
                      </pic:pic>
                    </a:graphicData>
                  </a:graphic>
                </wp:anchor>
              </w:drawing>
            </w:r>
            <w:r>
              <w:drawing>
                <wp:anchor distT="0" distB="0" distL="0" distR="0" simplePos="0" relativeHeight="251780096" behindDoc="0" locked="0" layoutInCell="1" allowOverlap="1">
                  <wp:simplePos x="0" y="0"/>
                  <wp:positionH relativeFrom="rightMargin">
                    <wp:posOffset>-3439160</wp:posOffset>
                  </wp:positionH>
                  <wp:positionV relativeFrom="topMargin">
                    <wp:posOffset>5834380</wp:posOffset>
                  </wp:positionV>
                  <wp:extent cx="114300" cy="76200"/>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234"/>
                          <a:stretch>
                            <a:fillRect/>
                          </a:stretch>
                        </pic:blipFill>
                        <pic:spPr>
                          <a:xfrm>
                            <a:off x="0" y="0"/>
                            <a:ext cx="114312" cy="76200"/>
                          </a:xfrm>
                          <a:prstGeom prst="rect">
                            <a:avLst/>
                          </a:prstGeom>
                        </pic:spPr>
                      </pic:pic>
                    </a:graphicData>
                  </a:graphic>
                </wp:anchor>
              </w:drawing>
            </w:r>
            <w:r>
              <w:drawing>
                <wp:anchor distT="0" distB="0" distL="0" distR="0" simplePos="0" relativeHeight="251845632" behindDoc="0" locked="0" layoutInCell="1" allowOverlap="1">
                  <wp:simplePos x="0" y="0"/>
                  <wp:positionH relativeFrom="rightMargin">
                    <wp:posOffset>-3821430</wp:posOffset>
                  </wp:positionH>
                  <wp:positionV relativeFrom="topMargin">
                    <wp:posOffset>726440</wp:posOffset>
                  </wp:positionV>
                  <wp:extent cx="76200" cy="215900"/>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235"/>
                          <a:stretch>
                            <a:fillRect/>
                          </a:stretch>
                        </pic:blipFill>
                        <pic:spPr>
                          <a:xfrm>
                            <a:off x="0" y="0"/>
                            <a:ext cx="76200" cy="215912"/>
                          </a:xfrm>
                          <a:prstGeom prst="rect">
                            <a:avLst/>
                          </a:prstGeom>
                        </pic:spPr>
                      </pic:pic>
                    </a:graphicData>
                  </a:graphic>
                </wp:anchor>
              </w:drawing>
            </w:r>
            <w:r>
              <w:drawing>
                <wp:anchor distT="0" distB="0" distL="0" distR="0" simplePos="0" relativeHeight="251770880" behindDoc="0" locked="0" layoutInCell="1" allowOverlap="1">
                  <wp:simplePos x="0" y="0"/>
                  <wp:positionH relativeFrom="rightMargin">
                    <wp:posOffset>-3748405</wp:posOffset>
                  </wp:positionH>
                  <wp:positionV relativeFrom="topMargin">
                    <wp:posOffset>3953510</wp:posOffset>
                  </wp:positionV>
                  <wp:extent cx="76200" cy="215900"/>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236"/>
                          <a:stretch>
                            <a:fillRect/>
                          </a:stretch>
                        </pic:blipFill>
                        <pic:spPr>
                          <a:xfrm>
                            <a:off x="0" y="0"/>
                            <a:ext cx="76200" cy="215912"/>
                          </a:xfrm>
                          <a:prstGeom prst="rect">
                            <a:avLst/>
                          </a:prstGeom>
                        </pic:spPr>
                      </pic:pic>
                    </a:graphicData>
                  </a:graphic>
                </wp:anchor>
              </w:drawing>
            </w:r>
            <w:r>
              <w:drawing>
                <wp:anchor distT="0" distB="0" distL="0" distR="0" simplePos="0" relativeHeight="251841536" behindDoc="0" locked="0" layoutInCell="1" allowOverlap="1">
                  <wp:simplePos x="0" y="0"/>
                  <wp:positionH relativeFrom="rightMargin">
                    <wp:posOffset>-3827145</wp:posOffset>
                  </wp:positionH>
                  <wp:positionV relativeFrom="topMargin">
                    <wp:posOffset>282575</wp:posOffset>
                  </wp:positionV>
                  <wp:extent cx="76200" cy="215900"/>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37"/>
                          <a:stretch>
                            <a:fillRect/>
                          </a:stretch>
                        </pic:blipFill>
                        <pic:spPr>
                          <a:xfrm>
                            <a:off x="0" y="0"/>
                            <a:ext cx="76200" cy="215912"/>
                          </a:xfrm>
                          <a:prstGeom prst="rect">
                            <a:avLst/>
                          </a:prstGeom>
                        </pic:spPr>
                      </pic:pic>
                    </a:graphicData>
                  </a:graphic>
                </wp:anchor>
              </w:drawing>
            </w:r>
            <w:r>
              <w:drawing>
                <wp:anchor distT="0" distB="0" distL="0" distR="0" simplePos="0" relativeHeight="251787264" behindDoc="0" locked="0" layoutInCell="1" allowOverlap="1">
                  <wp:simplePos x="0" y="0"/>
                  <wp:positionH relativeFrom="rightMargin">
                    <wp:posOffset>-4232275</wp:posOffset>
                  </wp:positionH>
                  <wp:positionV relativeFrom="topMargin">
                    <wp:posOffset>1053465</wp:posOffset>
                  </wp:positionV>
                  <wp:extent cx="146050" cy="25400"/>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238"/>
                          <a:stretch>
                            <a:fillRect/>
                          </a:stretch>
                        </pic:blipFill>
                        <pic:spPr>
                          <a:xfrm>
                            <a:off x="0" y="0"/>
                            <a:ext cx="146075" cy="25717"/>
                          </a:xfrm>
                          <a:prstGeom prst="rect">
                            <a:avLst/>
                          </a:prstGeom>
                        </pic:spPr>
                      </pic:pic>
                    </a:graphicData>
                  </a:graphic>
                </wp:anchor>
              </w:drawing>
            </w:r>
            <w:r>
              <w:drawing>
                <wp:anchor distT="0" distB="0" distL="0" distR="0" simplePos="0" relativeHeight="251785216" behindDoc="0" locked="0" layoutInCell="1" allowOverlap="1">
                  <wp:simplePos x="0" y="0"/>
                  <wp:positionH relativeFrom="rightMargin">
                    <wp:posOffset>-4238625</wp:posOffset>
                  </wp:positionH>
                  <wp:positionV relativeFrom="topMargin">
                    <wp:posOffset>596265</wp:posOffset>
                  </wp:positionV>
                  <wp:extent cx="146050" cy="25400"/>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239"/>
                          <a:stretch>
                            <a:fillRect/>
                          </a:stretch>
                        </pic:blipFill>
                        <pic:spPr>
                          <a:xfrm>
                            <a:off x="0" y="0"/>
                            <a:ext cx="146075" cy="25717"/>
                          </a:xfrm>
                          <a:prstGeom prst="rect">
                            <a:avLst/>
                          </a:prstGeom>
                        </pic:spPr>
                      </pic:pic>
                    </a:graphicData>
                  </a:graphic>
                </wp:anchor>
              </w:drawing>
            </w:r>
            <w:r>
              <w:drawing>
                <wp:anchor distT="0" distB="0" distL="0" distR="0" simplePos="0" relativeHeight="251789312" behindDoc="0" locked="0" layoutInCell="1" allowOverlap="1">
                  <wp:simplePos x="0" y="0"/>
                  <wp:positionH relativeFrom="rightMargin">
                    <wp:posOffset>-1181735</wp:posOffset>
                  </wp:positionH>
                  <wp:positionV relativeFrom="topMargin">
                    <wp:posOffset>5516880</wp:posOffset>
                  </wp:positionV>
                  <wp:extent cx="146050" cy="25400"/>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240"/>
                          <a:stretch>
                            <a:fillRect/>
                          </a:stretch>
                        </pic:blipFill>
                        <pic:spPr>
                          <a:xfrm>
                            <a:off x="0" y="0"/>
                            <a:ext cx="146075" cy="25705"/>
                          </a:xfrm>
                          <a:prstGeom prst="rect">
                            <a:avLst/>
                          </a:prstGeom>
                        </pic:spPr>
                      </pic:pic>
                    </a:graphicData>
                  </a:graphic>
                </wp:anchor>
              </w:drawing>
            </w:r>
            <w:r>
              <w:drawing>
                <wp:anchor distT="0" distB="0" distL="0" distR="0" simplePos="0" relativeHeight="251831296" behindDoc="0" locked="0" layoutInCell="1" allowOverlap="1">
                  <wp:simplePos x="0" y="0"/>
                  <wp:positionH relativeFrom="rightMargin">
                    <wp:posOffset>-2021205</wp:posOffset>
                  </wp:positionH>
                  <wp:positionV relativeFrom="topMargin">
                    <wp:posOffset>4432300</wp:posOffset>
                  </wp:positionV>
                  <wp:extent cx="76200" cy="215900"/>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241"/>
                          <a:stretch>
                            <a:fillRect/>
                          </a:stretch>
                        </pic:blipFill>
                        <pic:spPr>
                          <a:xfrm>
                            <a:off x="0" y="0"/>
                            <a:ext cx="76200" cy="215912"/>
                          </a:xfrm>
                          <a:prstGeom prst="rect">
                            <a:avLst/>
                          </a:prstGeom>
                        </pic:spPr>
                      </pic:pic>
                    </a:graphicData>
                  </a:graphic>
                </wp:anchor>
              </w:drawing>
            </w:r>
            <w:r>
              <w:drawing>
                <wp:anchor distT="0" distB="0" distL="0" distR="0" simplePos="0" relativeHeight="251830272" behindDoc="0" locked="0" layoutInCell="1" allowOverlap="1">
                  <wp:simplePos x="0" y="0"/>
                  <wp:positionH relativeFrom="rightMargin">
                    <wp:posOffset>-742950</wp:posOffset>
                  </wp:positionH>
                  <wp:positionV relativeFrom="topMargin">
                    <wp:posOffset>4432300</wp:posOffset>
                  </wp:positionV>
                  <wp:extent cx="76200" cy="215900"/>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242"/>
                          <a:stretch>
                            <a:fillRect/>
                          </a:stretch>
                        </pic:blipFill>
                        <pic:spPr>
                          <a:xfrm>
                            <a:off x="0" y="0"/>
                            <a:ext cx="76200" cy="215912"/>
                          </a:xfrm>
                          <a:prstGeom prst="rect">
                            <a:avLst/>
                          </a:prstGeom>
                        </pic:spPr>
                      </pic:pic>
                    </a:graphicData>
                  </a:graphic>
                </wp:anchor>
              </w:drawing>
            </w:r>
            <w:r>
              <w:drawing>
                <wp:anchor distT="0" distB="0" distL="0" distR="0" simplePos="0" relativeHeight="251843584" behindDoc="0" locked="0" layoutInCell="1" allowOverlap="1">
                  <wp:simplePos x="0" y="0"/>
                  <wp:positionH relativeFrom="rightMargin">
                    <wp:posOffset>-2064385</wp:posOffset>
                  </wp:positionH>
                  <wp:positionV relativeFrom="topMargin">
                    <wp:posOffset>325120</wp:posOffset>
                  </wp:positionV>
                  <wp:extent cx="76200" cy="215900"/>
                  <wp:effectExtent l="0" t="0" r="0" b="0"/>
                  <wp:wrapNone/>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243"/>
                          <a:stretch>
                            <a:fillRect/>
                          </a:stretch>
                        </pic:blipFill>
                        <pic:spPr>
                          <a:xfrm>
                            <a:off x="0" y="0"/>
                            <a:ext cx="76200" cy="215913"/>
                          </a:xfrm>
                          <a:prstGeom prst="rect">
                            <a:avLst/>
                          </a:prstGeom>
                        </pic:spPr>
                      </pic:pic>
                    </a:graphicData>
                  </a:graphic>
                </wp:anchor>
              </w:drawing>
            </w:r>
            <w:r>
              <w:drawing>
                <wp:anchor distT="0" distB="0" distL="0" distR="0" simplePos="0" relativeHeight="251774976" behindDoc="0" locked="0" layoutInCell="1" allowOverlap="1">
                  <wp:simplePos x="0" y="0"/>
                  <wp:positionH relativeFrom="rightMargin">
                    <wp:posOffset>-1010285</wp:posOffset>
                  </wp:positionH>
                  <wp:positionV relativeFrom="topMargin">
                    <wp:posOffset>5491480</wp:posOffset>
                  </wp:positionV>
                  <wp:extent cx="116840" cy="76200"/>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244"/>
                          <a:stretch>
                            <a:fillRect/>
                          </a:stretch>
                        </pic:blipFill>
                        <pic:spPr>
                          <a:xfrm>
                            <a:off x="0" y="0"/>
                            <a:ext cx="116852" cy="76200"/>
                          </a:xfrm>
                          <a:prstGeom prst="rect">
                            <a:avLst/>
                          </a:prstGeom>
                        </pic:spPr>
                      </pic:pic>
                    </a:graphicData>
                  </a:graphic>
                </wp:anchor>
              </w:drawing>
            </w:r>
            <w:r>
              <w:rPr>
                <w:b/>
                <w:bCs/>
                <w:color w:val="E36C09"/>
                <w:spacing w:val="5"/>
                <w:sz w:val="19"/>
                <w:szCs w:val="19"/>
              </w:rPr>
              <w:t>建筑垃圾</w:t>
            </w:r>
          </w:p>
          <w:p w14:paraId="0466E896">
            <w:pPr>
              <w:spacing w:line="437" w:lineRule="auto"/>
              <w:rPr>
                <w:rFonts w:ascii="Arial"/>
                <w:sz w:val="21"/>
              </w:rPr>
            </w:pPr>
          </w:p>
          <w:p w14:paraId="09D35D46">
            <w:pPr>
              <w:spacing w:line="120" w:lineRule="exact"/>
              <w:ind w:firstLine="1086"/>
            </w:pPr>
            <w:r>
              <w:rPr>
                <w:position w:val="-2"/>
              </w:rPr>
              <w:drawing>
                <wp:inline distT="0" distB="0" distL="0" distR="0">
                  <wp:extent cx="114300" cy="7620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245"/>
                          <a:stretch>
                            <a:fillRect/>
                          </a:stretch>
                        </pic:blipFill>
                        <pic:spPr>
                          <a:xfrm>
                            <a:off x="0" y="0"/>
                            <a:ext cx="114312" cy="76200"/>
                          </a:xfrm>
                          <a:prstGeom prst="rect">
                            <a:avLst/>
                          </a:prstGeom>
                        </pic:spPr>
                      </pic:pic>
                    </a:graphicData>
                  </a:graphic>
                </wp:inline>
              </w:drawing>
            </w:r>
          </w:p>
          <w:p w14:paraId="181A19DB">
            <w:pPr>
              <w:spacing w:line="298" w:lineRule="auto"/>
              <w:rPr>
                <w:rFonts w:ascii="Arial"/>
                <w:sz w:val="21"/>
              </w:rPr>
            </w:pPr>
          </w:p>
          <w:p w14:paraId="40130DA3">
            <w:pPr>
              <w:spacing w:line="298" w:lineRule="auto"/>
              <w:rPr>
                <w:rFonts w:ascii="Arial"/>
                <w:sz w:val="21"/>
              </w:rPr>
            </w:pPr>
          </w:p>
          <w:p w14:paraId="4FE32303">
            <w:pPr>
              <w:spacing w:line="120" w:lineRule="exact"/>
              <w:ind w:firstLine="1096"/>
            </w:pPr>
            <w:r>
              <w:rPr>
                <w:position w:val="-2"/>
              </w:rPr>
              <w:drawing>
                <wp:inline distT="0" distB="0" distL="0" distR="0">
                  <wp:extent cx="114300" cy="7620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246"/>
                          <a:stretch>
                            <a:fillRect/>
                          </a:stretch>
                        </pic:blipFill>
                        <pic:spPr>
                          <a:xfrm>
                            <a:off x="0" y="0"/>
                            <a:ext cx="114312" cy="76200"/>
                          </a:xfrm>
                          <a:prstGeom prst="rect">
                            <a:avLst/>
                          </a:prstGeom>
                        </pic:spPr>
                      </pic:pic>
                    </a:graphicData>
                  </a:graphic>
                </wp:inline>
              </w:drawing>
            </w:r>
          </w:p>
          <w:p w14:paraId="69971327">
            <w:pPr>
              <w:pStyle w:val="6"/>
              <w:spacing w:before="129" w:line="715" w:lineRule="exact"/>
              <w:ind w:firstLine="1553"/>
            </w:pPr>
            <w:r>
              <w:rPr>
                <w:position w:val="-14"/>
              </w:rPr>
              <w:pict>
                <v:group id="_x0000_s1105" o:spid="_x0000_s1105" o:spt="203" style="height:35.95pt;width:49.65pt;" coordsize="993,719">
                  <o:lock v:ext="edit"/>
                  <v:shape id="_x0000_s1106" o:spid="_x0000_s1106" o:spt="75" type="#_x0000_t75" style="position:absolute;left:0;top:0;height:719;width:993;" filled="f" stroked="f" coordsize="21600,21600">
                    <v:path/>
                    <v:fill on="f" focussize="0,0"/>
                    <v:stroke on="f"/>
                    <v:imagedata r:id="rId247" o:title=""/>
                    <o:lock v:ext="edit" aspectratio="t"/>
                  </v:shape>
                  <v:shape id="_x0000_s1107" o:spid="_x0000_s1107" o:spt="202" type="#_x0000_t202" style="position:absolute;left:-20;top:-20;height:759;width:1033;" filled="f" stroked="f" coordsize="21600,21600">
                    <v:path/>
                    <v:fill on="f" focussize="0,0"/>
                    <v:stroke on="f"/>
                    <v:imagedata o:title=""/>
                    <o:lock v:ext="edit" aspectratio="f"/>
                    <v:textbox inset="0mm,0mm,0mm,0mm">
                      <w:txbxContent>
                        <w:p w14:paraId="185001C5">
                          <w:pPr>
                            <w:spacing w:line="396" w:lineRule="auto"/>
                            <w:rPr>
                              <w:rFonts w:ascii="Arial"/>
                              <w:sz w:val="21"/>
                            </w:rPr>
                          </w:pPr>
                        </w:p>
                        <w:p w14:paraId="5E856455">
                          <w:pPr>
                            <w:spacing w:before="62" w:line="228" w:lineRule="auto"/>
                            <w:ind w:left="325"/>
                            <w:rPr>
                              <w:rFonts w:ascii="宋体" w:hAnsi="宋体" w:eastAsia="宋体" w:cs="宋体"/>
                              <w:sz w:val="19"/>
                              <w:szCs w:val="19"/>
                            </w:rPr>
                          </w:pPr>
                          <w:r>
                            <w:rPr>
                              <w:rFonts w:ascii="宋体" w:hAnsi="宋体" w:eastAsia="宋体" w:cs="宋体"/>
                              <w:spacing w:val="4"/>
                              <w:sz w:val="19"/>
                              <w:szCs w:val="19"/>
                            </w:rPr>
                            <w:t>筛分</w:t>
                          </w:r>
                        </w:p>
                      </w:txbxContent>
                    </v:textbox>
                  </v:shape>
                  <w10:wrap type="none"/>
                  <w10:anchorlock/>
                </v:group>
              </w:pict>
            </w:r>
          </w:p>
          <w:p w14:paraId="5EA5CEC3">
            <w:pPr>
              <w:pStyle w:val="6"/>
              <w:spacing w:line="714" w:lineRule="exact"/>
              <w:ind w:firstLine="1586"/>
            </w:pPr>
            <w:r>
              <w:rPr>
                <w:position w:val="-14"/>
              </w:rPr>
              <w:pict>
                <v:group id="_x0000_s1108" o:spid="_x0000_s1108" o:spt="203" style="height:35.75pt;width:49.65pt;" coordsize="993,715">
                  <o:lock v:ext="edit"/>
                  <v:shape id="_x0000_s1109" o:spid="_x0000_s1109" o:spt="75" type="#_x0000_t75" style="position:absolute;left:0;top:-3;height:719;width:993;" filled="f" stroked="f" coordsize="21600,21600">
                    <v:path/>
                    <v:fill on="f" focussize="0,0"/>
                    <v:stroke on="f"/>
                    <v:imagedata r:id="rId248" o:title=""/>
                    <o:lock v:ext="edit" aspectratio="t"/>
                  </v:shape>
                  <v:shape id="_x0000_s1110" o:spid="_x0000_s1110" o:spt="202" type="#_x0000_t202" style="position:absolute;left:-20;top:-23;height:759;width:1033;" filled="f" stroked="f" coordsize="21600,21600">
                    <v:path/>
                    <v:fill on="f" focussize="0,0"/>
                    <v:stroke on="f"/>
                    <v:imagedata o:title=""/>
                    <o:lock v:ext="edit" aspectratio="f"/>
                    <v:textbox inset="0mm,0mm,0mm,0mm">
                      <w:txbxContent>
                        <w:p w14:paraId="0D05BC59">
                          <w:pPr>
                            <w:spacing w:line="395" w:lineRule="auto"/>
                            <w:rPr>
                              <w:rFonts w:ascii="Arial"/>
                              <w:sz w:val="21"/>
                            </w:rPr>
                          </w:pPr>
                        </w:p>
                        <w:p w14:paraId="19A7782E">
                          <w:pPr>
                            <w:spacing w:before="62" w:line="229" w:lineRule="auto"/>
                            <w:ind w:left="324"/>
                            <w:rPr>
                              <w:rFonts w:ascii="宋体" w:hAnsi="宋体" w:eastAsia="宋体" w:cs="宋体"/>
                              <w:sz w:val="19"/>
                              <w:szCs w:val="19"/>
                            </w:rPr>
                          </w:pPr>
                          <w:r>
                            <w:rPr>
                              <w:rFonts w:ascii="宋体" w:hAnsi="宋体" w:eastAsia="宋体" w:cs="宋体"/>
                              <w:spacing w:val="5"/>
                              <w:sz w:val="19"/>
                              <w:szCs w:val="19"/>
                            </w:rPr>
                            <w:t>料斗</w:t>
                          </w:r>
                        </w:p>
                      </w:txbxContent>
                    </v:textbox>
                  </v:shape>
                  <w10:wrap type="none"/>
                  <w10:anchorlock/>
                </v:group>
              </w:pict>
            </w:r>
          </w:p>
          <w:p w14:paraId="3D7DF282">
            <w:pPr>
              <w:pStyle w:val="6"/>
              <w:spacing w:before="65" w:line="219" w:lineRule="auto"/>
              <w:ind w:left="2124"/>
              <w:rPr>
                <w:sz w:val="18"/>
                <w:szCs w:val="18"/>
              </w:rPr>
            </w:pPr>
            <w:r>
              <w:rPr>
                <w:spacing w:val="-2"/>
                <w:sz w:val="18"/>
                <w:szCs w:val="18"/>
              </w:rPr>
              <w:t>封闭输送</w:t>
            </w:r>
          </w:p>
          <w:p w14:paraId="4A0CAC2E">
            <w:pPr>
              <w:spacing w:line="76" w:lineRule="exact"/>
            </w:pPr>
          </w:p>
          <w:tbl>
            <w:tblPr>
              <w:tblStyle w:val="5"/>
              <w:tblW w:w="972" w:type="dxa"/>
              <w:tblInd w:w="160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2"/>
            </w:tblGrid>
            <w:tr w14:paraId="53D158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972" w:type="dxa"/>
                  <w:vAlign w:val="top"/>
                </w:tcPr>
                <w:p w14:paraId="18824D61">
                  <w:pPr>
                    <w:pStyle w:val="6"/>
                    <w:spacing w:before="83" w:line="228" w:lineRule="auto"/>
                    <w:ind w:left="84"/>
                    <w:rPr>
                      <w:sz w:val="19"/>
                      <w:szCs w:val="19"/>
                    </w:rPr>
                  </w:pPr>
                  <w:r>
                    <w:rPr>
                      <w:spacing w:val="7"/>
                      <w:sz w:val="19"/>
                      <w:szCs w:val="19"/>
                    </w:rPr>
                    <w:t>车间料斗</w:t>
                  </w:r>
                </w:p>
              </w:tc>
            </w:tr>
          </w:tbl>
          <w:p w14:paraId="6B13116F">
            <w:pPr>
              <w:pStyle w:val="6"/>
              <w:spacing w:before="29" w:line="219" w:lineRule="auto"/>
              <w:ind w:left="2136"/>
              <w:rPr>
                <w:sz w:val="18"/>
                <w:szCs w:val="18"/>
              </w:rPr>
            </w:pPr>
            <w:r>
              <w:drawing>
                <wp:anchor distT="0" distB="0" distL="0" distR="0" simplePos="0" relativeHeight="251829248" behindDoc="0" locked="0" layoutInCell="1" allowOverlap="1">
                  <wp:simplePos x="0" y="0"/>
                  <wp:positionH relativeFrom="column">
                    <wp:posOffset>1637665</wp:posOffset>
                  </wp:positionH>
                  <wp:positionV relativeFrom="paragraph">
                    <wp:posOffset>-80645</wp:posOffset>
                  </wp:positionV>
                  <wp:extent cx="254635" cy="516255"/>
                  <wp:effectExtent l="0" t="0" r="0" b="0"/>
                  <wp:wrapNone/>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249"/>
                          <a:stretch>
                            <a:fillRect/>
                          </a:stretch>
                        </pic:blipFill>
                        <pic:spPr>
                          <a:xfrm>
                            <a:off x="0" y="0"/>
                            <a:ext cx="254635" cy="516254"/>
                          </a:xfrm>
                          <a:prstGeom prst="rect">
                            <a:avLst/>
                          </a:prstGeom>
                        </pic:spPr>
                      </pic:pic>
                    </a:graphicData>
                  </a:graphic>
                </wp:anchor>
              </w:drawing>
            </w:r>
            <w:r>
              <w:rPr>
                <w:spacing w:val="-2"/>
                <w:sz w:val="18"/>
                <w:szCs w:val="18"/>
              </w:rPr>
              <w:t>封闭输送</w:t>
            </w:r>
          </w:p>
          <w:p w14:paraId="5CD3A823">
            <w:pPr>
              <w:spacing w:line="98" w:lineRule="exact"/>
            </w:pPr>
          </w:p>
          <w:tbl>
            <w:tblPr>
              <w:tblStyle w:val="5"/>
              <w:tblW w:w="972" w:type="dxa"/>
              <w:tblInd w:w="160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2"/>
            </w:tblGrid>
            <w:tr w14:paraId="5E3958B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972" w:type="dxa"/>
                  <w:vAlign w:val="top"/>
                </w:tcPr>
                <w:p w14:paraId="3F9FF51B">
                  <w:pPr>
                    <w:pStyle w:val="6"/>
                    <w:spacing w:before="86" w:line="227" w:lineRule="auto"/>
                    <w:ind w:left="183"/>
                    <w:rPr>
                      <w:sz w:val="19"/>
                      <w:szCs w:val="19"/>
                    </w:rPr>
                  </w:pPr>
                  <w:r>
                    <w:rPr>
                      <w:spacing w:val="7"/>
                      <w:sz w:val="19"/>
                      <w:szCs w:val="19"/>
                    </w:rPr>
                    <w:t>球磨机</w:t>
                  </w:r>
                </w:p>
              </w:tc>
            </w:tr>
          </w:tbl>
          <w:p w14:paraId="23A02DF5">
            <w:pPr>
              <w:pStyle w:val="6"/>
              <w:spacing w:before="55" w:line="219" w:lineRule="auto"/>
              <w:ind w:left="2119"/>
              <w:rPr>
                <w:sz w:val="18"/>
                <w:szCs w:val="18"/>
              </w:rPr>
            </w:pPr>
            <w:r>
              <w:drawing>
                <wp:anchor distT="0" distB="0" distL="0" distR="0" simplePos="0" relativeHeight="251764736" behindDoc="1" locked="0" layoutInCell="1" allowOverlap="1">
                  <wp:simplePos x="0" y="0"/>
                  <wp:positionH relativeFrom="column">
                    <wp:posOffset>1293495</wp:posOffset>
                  </wp:positionH>
                  <wp:positionV relativeFrom="paragraph">
                    <wp:posOffset>6985</wp:posOffset>
                  </wp:positionV>
                  <wp:extent cx="76200" cy="215900"/>
                  <wp:effectExtent l="0" t="0" r="0" b="0"/>
                  <wp:wrapNone/>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250"/>
                          <a:stretch>
                            <a:fillRect/>
                          </a:stretch>
                        </pic:blipFill>
                        <pic:spPr>
                          <a:xfrm>
                            <a:off x="0" y="0"/>
                            <a:ext cx="76200" cy="215912"/>
                          </a:xfrm>
                          <a:prstGeom prst="rect">
                            <a:avLst/>
                          </a:prstGeom>
                        </pic:spPr>
                      </pic:pic>
                    </a:graphicData>
                  </a:graphic>
                </wp:anchor>
              </w:drawing>
            </w:r>
            <w:r>
              <w:rPr>
                <w:spacing w:val="-2"/>
                <w:sz w:val="18"/>
                <w:szCs w:val="18"/>
              </w:rPr>
              <w:t>封闭输送</w:t>
            </w:r>
          </w:p>
          <w:p w14:paraId="6E727E3A">
            <w:pPr>
              <w:spacing w:line="137" w:lineRule="exact"/>
            </w:pPr>
          </w:p>
          <w:tbl>
            <w:tblPr>
              <w:tblStyle w:val="5"/>
              <w:tblW w:w="1819" w:type="dxa"/>
              <w:tblInd w:w="391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19"/>
            </w:tblGrid>
            <w:tr w14:paraId="536135B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42" w:hRule="atLeast"/>
              </w:trPr>
              <w:tc>
                <w:tcPr>
                  <w:tcW w:w="1819" w:type="dxa"/>
                  <w:vAlign w:val="top"/>
                </w:tcPr>
                <w:p w14:paraId="1D02841F">
                  <w:pPr>
                    <w:pStyle w:val="6"/>
                    <w:spacing w:before="86" w:line="227" w:lineRule="auto"/>
                    <w:ind w:left="106"/>
                    <w:rPr>
                      <w:sz w:val="19"/>
                      <w:szCs w:val="19"/>
                    </w:rPr>
                  </w:pPr>
                  <w:r>
                    <w:rPr>
                      <w:spacing w:val="8"/>
                      <w:sz w:val="19"/>
                      <w:szCs w:val="19"/>
                    </w:rPr>
                    <w:t>三回程筒式烘干机</w:t>
                  </w:r>
                </w:p>
              </w:tc>
            </w:tr>
          </w:tbl>
          <w:p w14:paraId="14757F0C">
            <w:pPr>
              <w:pStyle w:val="6"/>
              <w:spacing w:before="28" w:line="219" w:lineRule="auto"/>
              <w:ind w:left="6813"/>
              <w:rPr>
                <w:sz w:val="18"/>
                <w:szCs w:val="18"/>
              </w:rPr>
            </w:pPr>
            <w:r>
              <w:pict>
                <v:shape id="_x0000_s1111" o:spid="_x0000_s1111" o:spt="202" type="#_x0000_t202" style="position:absolute;left:0pt;margin-left:110.55pt;margin-top:1.25pt;height:12.7pt;width:28.65pt;z-index:251820032;mso-width-relative:page;mso-height-relative:page;" filled="f" stroked="f" coordsize="21600,21600">
                  <v:path/>
                  <v:fill on="f" focussize="0,0"/>
                  <v:stroke on="f"/>
                  <v:imagedata o:title=""/>
                  <o:lock v:ext="edit" aspectratio="f"/>
                  <v:textbox inset="0mm,0mm,0mm,0mm">
                    <w:txbxContent>
                      <w:p w14:paraId="0292A2FA">
                        <w:pPr>
                          <w:pStyle w:val="6"/>
                          <w:spacing w:before="19" w:line="219" w:lineRule="auto"/>
                          <w:ind w:left="20"/>
                          <w:rPr>
                            <w:sz w:val="18"/>
                            <w:szCs w:val="18"/>
                          </w:rPr>
                        </w:pPr>
                        <w:r>
                          <w:rPr>
                            <w:spacing w:val="-3"/>
                            <w:sz w:val="18"/>
                            <w:szCs w:val="18"/>
                          </w:rPr>
                          <w:t>提升机</w:t>
                        </w:r>
                      </w:p>
                    </w:txbxContent>
                  </v:textbox>
                </v:shape>
              </w:pict>
            </w:r>
            <w:r>
              <w:pict>
                <v:shape id="_x0000_s1112" o:spid="_x0000_s1112" o:spt="202" type="#_x0000_t202" style="position:absolute;left:0pt;margin-left:242.1pt;margin-top:3.4pt;height:12.7pt;width:28.65pt;z-index:251798528;mso-width-relative:page;mso-height-relative:page;" filled="f" stroked="f" coordsize="21600,21600">
                  <v:path/>
                  <v:fill on="f" focussize="0,0"/>
                  <v:stroke on="f"/>
                  <v:imagedata o:title=""/>
                  <o:lock v:ext="edit" aspectratio="f"/>
                  <v:textbox inset="0mm,0mm,0mm,0mm">
                    <w:txbxContent>
                      <w:p w14:paraId="4ABDB1F5">
                        <w:pPr>
                          <w:pStyle w:val="6"/>
                          <w:spacing w:before="19" w:line="219" w:lineRule="auto"/>
                          <w:ind w:left="20"/>
                          <w:rPr>
                            <w:sz w:val="18"/>
                            <w:szCs w:val="18"/>
                          </w:rPr>
                        </w:pPr>
                        <w:r>
                          <w:rPr>
                            <w:spacing w:val="-3"/>
                            <w:sz w:val="18"/>
                            <w:szCs w:val="18"/>
                          </w:rPr>
                          <w:t>提升机</w:t>
                        </w:r>
                      </w:p>
                    </w:txbxContent>
                  </v:textbox>
                </v:shape>
              </w:pict>
            </w:r>
            <w:r>
              <w:drawing>
                <wp:anchor distT="0" distB="0" distL="0" distR="0" simplePos="0" relativeHeight="251763712" behindDoc="1" locked="0" layoutInCell="1" allowOverlap="1">
                  <wp:simplePos x="0" y="0"/>
                  <wp:positionH relativeFrom="column">
                    <wp:posOffset>4263390</wp:posOffset>
                  </wp:positionH>
                  <wp:positionV relativeFrom="paragraph">
                    <wp:posOffset>-20955</wp:posOffset>
                  </wp:positionV>
                  <wp:extent cx="76200" cy="215900"/>
                  <wp:effectExtent l="0" t="0" r="0" b="0"/>
                  <wp:wrapNone/>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251"/>
                          <a:stretch>
                            <a:fillRect/>
                          </a:stretch>
                        </pic:blipFill>
                        <pic:spPr>
                          <a:xfrm>
                            <a:off x="0" y="0"/>
                            <a:ext cx="76200" cy="215912"/>
                          </a:xfrm>
                          <a:prstGeom prst="rect">
                            <a:avLst/>
                          </a:prstGeom>
                        </pic:spPr>
                      </pic:pic>
                    </a:graphicData>
                  </a:graphic>
                </wp:anchor>
              </w:drawing>
            </w:r>
            <w:r>
              <w:rPr>
                <w:spacing w:val="-4"/>
                <w:sz w:val="18"/>
                <w:szCs w:val="18"/>
              </w:rPr>
              <w:t>气力</w:t>
            </w:r>
          </w:p>
          <w:p w14:paraId="042F52EB">
            <w:pPr>
              <w:spacing w:line="71" w:lineRule="exact"/>
            </w:pPr>
          </w:p>
          <w:tbl>
            <w:tblPr>
              <w:tblStyle w:val="5"/>
              <w:tblW w:w="1099" w:type="dxa"/>
              <w:tblInd w:w="624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99"/>
            </w:tblGrid>
            <w:tr w14:paraId="7BFE0A2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1099" w:type="dxa"/>
                  <w:vAlign w:val="top"/>
                </w:tcPr>
                <w:p w14:paraId="2D2DAF12">
                  <w:pPr>
                    <w:pStyle w:val="6"/>
                    <w:spacing w:before="84" w:line="228" w:lineRule="auto"/>
                    <w:ind w:left="249"/>
                    <w:rPr>
                      <w:sz w:val="19"/>
                      <w:szCs w:val="19"/>
                    </w:rPr>
                  </w:pPr>
                  <w:r>
                    <w:rPr>
                      <w:sz w:val="19"/>
                      <w:szCs w:val="19"/>
                    </w:rPr>
                    <w:t>筒</w:t>
                  </w:r>
                  <w:r>
                    <w:rPr>
                      <w:spacing w:val="9"/>
                      <w:sz w:val="19"/>
                      <w:szCs w:val="19"/>
                    </w:rPr>
                    <w:t xml:space="preserve">  </w:t>
                  </w:r>
                  <w:r>
                    <w:rPr>
                      <w:sz w:val="19"/>
                      <w:szCs w:val="19"/>
                    </w:rPr>
                    <w:t>仓</w:t>
                  </w:r>
                </w:p>
              </w:tc>
            </w:tr>
          </w:tbl>
          <w:p w14:paraId="6C4052CF">
            <w:pPr>
              <w:spacing w:before="6" w:line="340" w:lineRule="exact"/>
              <w:ind w:firstLine="6761"/>
            </w:pPr>
            <w:r>
              <w:rPr>
                <w:position w:val="-6"/>
              </w:rPr>
              <w:drawing>
                <wp:inline distT="0" distB="0" distL="0" distR="0">
                  <wp:extent cx="76200" cy="215265"/>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252"/>
                          <a:stretch>
                            <a:fillRect/>
                          </a:stretch>
                        </pic:blipFill>
                        <pic:spPr>
                          <a:xfrm>
                            <a:off x="0" y="0"/>
                            <a:ext cx="76200" cy="215595"/>
                          </a:xfrm>
                          <a:prstGeom prst="rect">
                            <a:avLst/>
                          </a:prstGeom>
                        </pic:spPr>
                      </pic:pic>
                    </a:graphicData>
                  </a:graphic>
                </wp:inline>
              </w:drawing>
            </w:r>
          </w:p>
          <w:tbl>
            <w:tblPr>
              <w:tblStyle w:val="5"/>
              <w:tblW w:w="1432" w:type="dxa"/>
              <w:tblInd w:w="622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32"/>
            </w:tblGrid>
            <w:tr w14:paraId="0FBA808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8" w:hRule="atLeast"/>
              </w:trPr>
              <w:tc>
                <w:tcPr>
                  <w:tcW w:w="1432" w:type="dxa"/>
                  <w:vAlign w:val="top"/>
                </w:tcPr>
                <w:p w14:paraId="6FE0D4A4">
                  <w:pPr>
                    <w:pStyle w:val="6"/>
                    <w:spacing w:before="80" w:line="222" w:lineRule="auto"/>
                    <w:ind w:left="113"/>
                    <w:rPr>
                      <w:sz w:val="19"/>
                      <w:szCs w:val="19"/>
                    </w:rPr>
                  </w:pPr>
                  <w:r>
                    <w:rPr>
                      <w:spacing w:val="8"/>
                      <w:sz w:val="19"/>
                      <w:szCs w:val="19"/>
                    </w:rPr>
                    <w:t>计量螺旋输送</w:t>
                  </w:r>
                </w:p>
              </w:tc>
            </w:tr>
          </w:tbl>
          <w:p w14:paraId="7622D1FE">
            <w:pPr>
              <w:spacing w:line="327" w:lineRule="exact"/>
              <w:ind w:firstLine="2063"/>
            </w:pPr>
            <w:r>
              <w:rPr>
                <w:position w:val="-6"/>
              </w:rPr>
              <w:drawing>
                <wp:inline distT="0" distB="0" distL="0" distR="0">
                  <wp:extent cx="76200" cy="207645"/>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253"/>
                          <a:stretch>
                            <a:fillRect/>
                          </a:stretch>
                        </pic:blipFill>
                        <pic:spPr>
                          <a:xfrm>
                            <a:off x="0" y="0"/>
                            <a:ext cx="76200" cy="207969"/>
                          </a:xfrm>
                          <a:prstGeom prst="rect">
                            <a:avLst/>
                          </a:prstGeom>
                        </pic:spPr>
                      </pic:pic>
                    </a:graphicData>
                  </a:graphic>
                </wp:inline>
              </w:drawing>
            </w:r>
          </w:p>
          <w:p w14:paraId="6D9F0AEC">
            <w:pPr>
              <w:spacing w:line="36" w:lineRule="exact"/>
            </w:pPr>
          </w:p>
          <w:tbl>
            <w:tblPr>
              <w:tblStyle w:val="5"/>
              <w:tblW w:w="5124" w:type="dxa"/>
              <w:tblInd w:w="191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5124"/>
            </w:tblGrid>
            <w:tr w14:paraId="0B9B964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0" w:hRule="atLeast"/>
              </w:trPr>
              <w:tc>
                <w:tcPr>
                  <w:tcW w:w="5124" w:type="dxa"/>
                  <w:vAlign w:val="top"/>
                </w:tcPr>
                <w:p w14:paraId="3A8D9F0F">
                  <w:pPr>
                    <w:pStyle w:val="6"/>
                    <w:spacing w:before="86" w:line="227" w:lineRule="auto"/>
                    <w:ind w:left="2157"/>
                    <w:rPr>
                      <w:sz w:val="19"/>
                      <w:szCs w:val="19"/>
                    </w:rPr>
                  </w:pPr>
                  <w:r>
                    <w:rPr>
                      <w:spacing w:val="1"/>
                      <w:sz w:val="19"/>
                      <w:szCs w:val="19"/>
                    </w:rPr>
                    <w:t>搅</w:t>
                  </w:r>
                  <w:r>
                    <w:rPr>
                      <w:spacing w:val="15"/>
                      <w:sz w:val="19"/>
                      <w:szCs w:val="19"/>
                    </w:rPr>
                    <w:t xml:space="preserve"> </w:t>
                  </w:r>
                  <w:r>
                    <w:rPr>
                      <w:spacing w:val="1"/>
                      <w:sz w:val="19"/>
                      <w:szCs w:val="19"/>
                    </w:rPr>
                    <w:t>拌</w:t>
                  </w:r>
                  <w:r>
                    <w:rPr>
                      <w:spacing w:val="13"/>
                      <w:sz w:val="19"/>
                      <w:szCs w:val="19"/>
                    </w:rPr>
                    <w:t xml:space="preserve"> </w:t>
                  </w:r>
                  <w:r>
                    <w:rPr>
                      <w:spacing w:val="1"/>
                      <w:sz w:val="19"/>
                      <w:szCs w:val="19"/>
                    </w:rPr>
                    <w:t>机</w:t>
                  </w:r>
                </w:p>
              </w:tc>
            </w:tr>
          </w:tbl>
          <w:p w14:paraId="6CF00583">
            <w:pPr>
              <w:pStyle w:val="6"/>
              <w:spacing w:before="179" w:line="221" w:lineRule="auto"/>
              <w:ind w:left="1062"/>
              <w:rPr>
                <w:sz w:val="18"/>
                <w:szCs w:val="18"/>
              </w:rPr>
            </w:pPr>
            <w:r>
              <w:drawing>
                <wp:anchor distT="0" distB="0" distL="0" distR="0" simplePos="0" relativeHeight="251762688" behindDoc="1" locked="0" layoutInCell="1" allowOverlap="1">
                  <wp:simplePos x="0" y="0"/>
                  <wp:positionH relativeFrom="column">
                    <wp:posOffset>600710</wp:posOffset>
                  </wp:positionH>
                  <wp:positionV relativeFrom="paragraph">
                    <wp:posOffset>-174625</wp:posOffset>
                  </wp:positionV>
                  <wp:extent cx="611505" cy="502285"/>
                  <wp:effectExtent l="0" t="0" r="0" b="0"/>
                  <wp:wrapNone/>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254"/>
                          <a:stretch>
                            <a:fillRect/>
                          </a:stretch>
                        </pic:blipFill>
                        <pic:spPr>
                          <a:xfrm>
                            <a:off x="0" y="0"/>
                            <a:ext cx="611822" cy="502284"/>
                          </a:xfrm>
                          <a:prstGeom prst="rect">
                            <a:avLst/>
                          </a:prstGeom>
                        </pic:spPr>
                      </pic:pic>
                    </a:graphicData>
                  </a:graphic>
                </wp:anchor>
              </w:drawing>
            </w:r>
            <w:r>
              <w:pict>
                <v:shape id="_x0000_s1113" o:spid="_x0000_s1113" o:spt="202" type="#_x0000_t202" style="position:absolute;left:0pt;margin-left:227.25pt;margin-top:-1pt;height:24.75pt;width:8pt;z-index:251797504;mso-width-relative:page;mso-height-relative:page;" filled="f" stroked="f" coordsize="21600,21600">
                  <v:path/>
                  <v:fill on="f" focussize="0,0"/>
                  <v:stroke on="f"/>
                  <v:imagedata o:title=""/>
                  <o:lock v:ext="edit" aspectratio="f"/>
                  <v:textbox inset="0mm,0mm,0mm,0mm">
                    <w:txbxContent>
                      <w:p w14:paraId="1D74F978">
                        <w:pPr>
                          <w:spacing w:before="19" w:line="211" w:lineRule="auto"/>
                          <w:ind w:left="20"/>
                          <w:rPr>
                            <w:rFonts w:ascii="Arial" w:hAnsi="Arial" w:eastAsia="Arial" w:cs="Arial"/>
                            <w:sz w:val="45"/>
                            <w:szCs w:val="45"/>
                          </w:rPr>
                        </w:pPr>
                        <w:r>
                          <w:rPr>
                            <w:rFonts w:ascii="Arial" w:hAnsi="Arial" w:eastAsia="Arial" w:cs="Arial"/>
                            <w:sz w:val="45"/>
                            <w:szCs w:val="45"/>
                          </w:rPr>
                          <w:t>!</w:t>
                        </w:r>
                      </w:p>
                    </w:txbxContent>
                  </v:textbox>
                </v:shape>
              </w:pict>
            </w:r>
            <w:r>
              <w:rPr>
                <w:spacing w:val="-4"/>
                <w:sz w:val="18"/>
                <w:szCs w:val="18"/>
              </w:rPr>
              <w:t>计量</w:t>
            </w:r>
          </w:p>
          <w:p w14:paraId="05E150BC">
            <w:pPr>
              <w:spacing w:line="116" w:lineRule="exact"/>
            </w:pPr>
          </w:p>
          <w:tbl>
            <w:tblPr>
              <w:tblStyle w:val="5"/>
              <w:tblW w:w="1098" w:type="dxa"/>
              <w:tblInd w:w="40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98"/>
            </w:tblGrid>
            <w:tr w14:paraId="5A412B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1" w:hRule="atLeast"/>
              </w:trPr>
              <w:tc>
                <w:tcPr>
                  <w:tcW w:w="1098" w:type="dxa"/>
                  <w:vAlign w:val="top"/>
                </w:tcPr>
                <w:p w14:paraId="4258722A">
                  <w:pPr>
                    <w:pStyle w:val="6"/>
                    <w:spacing w:before="85" w:line="229" w:lineRule="auto"/>
                    <w:ind w:left="149"/>
                    <w:rPr>
                      <w:sz w:val="19"/>
                      <w:szCs w:val="19"/>
                    </w:rPr>
                  </w:pPr>
                  <w:r>
                    <w:rPr>
                      <w:spacing w:val="7"/>
                      <w:sz w:val="19"/>
                      <w:szCs w:val="19"/>
                    </w:rPr>
                    <w:t>上料平台</w:t>
                  </w:r>
                </w:p>
              </w:tc>
            </w:tr>
          </w:tbl>
          <w:p w14:paraId="130A7407">
            <w:pPr>
              <w:spacing w:before="39" w:line="499" w:lineRule="exact"/>
              <w:ind w:firstLine="855"/>
            </w:pPr>
            <w:r>
              <w:rPr>
                <w:position w:val="-9"/>
              </w:rPr>
              <w:drawing>
                <wp:inline distT="0" distB="0" distL="0" distR="0">
                  <wp:extent cx="76200" cy="316865"/>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255"/>
                          <a:stretch>
                            <a:fillRect/>
                          </a:stretch>
                        </pic:blipFill>
                        <pic:spPr>
                          <a:xfrm>
                            <a:off x="0" y="0"/>
                            <a:ext cx="76200" cy="317144"/>
                          </a:xfrm>
                          <a:prstGeom prst="rect">
                            <a:avLst/>
                          </a:prstGeom>
                        </pic:spPr>
                      </pic:pic>
                    </a:graphicData>
                  </a:graphic>
                </wp:inline>
              </w:drawing>
            </w:r>
          </w:p>
          <w:p w14:paraId="39FB3597">
            <w:pPr>
              <w:pStyle w:val="6"/>
              <w:spacing w:before="2" w:line="234" w:lineRule="auto"/>
              <w:ind w:left="471" w:right="6519" w:hanging="5"/>
              <w:rPr>
                <w:sz w:val="19"/>
                <w:szCs w:val="19"/>
              </w:rPr>
            </w:pPr>
            <w:r>
              <w:pict>
                <v:shape id="_x0000_s1114" o:spid="_x0000_s1114" o:spt="202" type="#_x0000_t202" style="position:absolute;left:0pt;margin-left:330.1pt;margin-top:-28.9pt;height:12.7pt;width:19.7pt;z-index:251795456;mso-width-relative:page;mso-height-relative:page;" filled="f" stroked="f" coordsize="21600,21600">
                  <v:path/>
                  <v:fill on="f" focussize="0,0"/>
                  <v:stroke on="f"/>
                  <v:imagedata o:title=""/>
                  <o:lock v:ext="edit" aspectratio="f"/>
                  <v:textbox inset="0mm,0mm,0mm,0mm">
                    <w:txbxContent>
                      <w:p w14:paraId="0942770A">
                        <w:pPr>
                          <w:pStyle w:val="6"/>
                          <w:spacing w:before="20" w:line="219" w:lineRule="auto"/>
                          <w:ind w:left="20"/>
                          <w:rPr>
                            <w:sz w:val="18"/>
                            <w:szCs w:val="18"/>
                          </w:rPr>
                        </w:pPr>
                        <w:r>
                          <w:rPr>
                            <w:spacing w:val="-4"/>
                            <w:sz w:val="18"/>
                            <w:szCs w:val="18"/>
                          </w:rPr>
                          <w:t>粉尘</w:t>
                        </w:r>
                      </w:p>
                    </w:txbxContent>
                  </v:textbox>
                </v:shape>
              </w:pict>
            </w:r>
            <w:r>
              <w:pict>
                <v:shape id="_x0000_s1115" o:spid="_x0000_s1115" o:spt="202" type="#_x0000_t202" style="position:absolute;left:0pt;margin-left:148.2pt;margin-top:-7.55pt;height:21.15pt;width:58pt;z-index:251794432;mso-width-relative:page;mso-height-relative:page;" filled="f" stroked="f" coordsize="21600,21600">
                  <v:path/>
                  <v:fill on="f" focussize="0,0"/>
                  <v:stroke on="f"/>
                  <v:imagedata o:title=""/>
                  <o:lock v:ext="edit" aspectratio="f"/>
                  <v:textbox inset="0mm,0mm,0mm,0mm">
                    <w:txbxContent>
                      <w:p w14:paraId="0F548D73">
                        <w:pPr>
                          <w:spacing w:line="20" w:lineRule="exact"/>
                        </w:pPr>
                      </w:p>
                      <w:tbl>
                        <w:tblPr>
                          <w:tblStyle w:val="5"/>
                          <w:tblW w:w="109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99"/>
                        </w:tblGrid>
                        <w:tr w14:paraId="2C7C5D1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42" w:hRule="atLeast"/>
                          </w:trPr>
                          <w:tc>
                            <w:tcPr>
                              <w:tcW w:w="1099" w:type="dxa"/>
                              <w:vAlign w:val="top"/>
                            </w:tcPr>
                            <w:p w14:paraId="6F15A108">
                              <w:pPr>
                                <w:pStyle w:val="6"/>
                                <w:spacing w:before="85" w:line="230" w:lineRule="auto"/>
                                <w:ind w:left="248"/>
                                <w:rPr>
                                  <w:sz w:val="19"/>
                                  <w:szCs w:val="19"/>
                                </w:rPr>
                              </w:pPr>
                              <w:r>
                                <w:rPr>
                                  <w:spacing w:val="6"/>
                                  <w:sz w:val="19"/>
                                  <w:szCs w:val="19"/>
                                </w:rPr>
                                <w:t>成品仓</w:t>
                              </w:r>
                            </w:p>
                          </w:tc>
                        </w:tr>
                      </w:tbl>
                      <w:p w14:paraId="667FCD6D">
                        <w:pPr>
                          <w:rPr>
                            <w:rFonts w:ascii="Arial"/>
                            <w:sz w:val="21"/>
                          </w:rPr>
                        </w:pPr>
                      </w:p>
                    </w:txbxContent>
                  </v:textbox>
                </v:shape>
              </w:pict>
            </w:r>
            <w:r>
              <w:pict>
                <v:shape id="_x0000_s1116" o:spid="_x0000_s1116" o:spt="202" type="#_x0000_t202" style="position:absolute;left:0pt;margin-left:108.45pt;margin-top:-2.15pt;height:12.7pt;width:19.7pt;z-index:251792384;mso-width-relative:page;mso-height-relative:page;" filled="f" stroked="f" coordsize="21600,21600">
                  <v:path/>
                  <v:fill on="f" focussize="0,0"/>
                  <v:stroke on="f"/>
                  <v:imagedata o:title=""/>
                  <o:lock v:ext="edit" aspectratio="f"/>
                  <v:textbox inset="0mm,0mm,0mm,0mm">
                    <w:txbxContent>
                      <w:p w14:paraId="5564F482">
                        <w:pPr>
                          <w:pStyle w:val="6"/>
                          <w:spacing w:before="20" w:line="219" w:lineRule="auto"/>
                          <w:ind w:left="20"/>
                          <w:rPr>
                            <w:sz w:val="18"/>
                            <w:szCs w:val="18"/>
                          </w:rPr>
                        </w:pPr>
                        <w:r>
                          <w:rPr>
                            <w:spacing w:val="-4"/>
                            <w:sz w:val="18"/>
                            <w:szCs w:val="18"/>
                          </w:rPr>
                          <w:t>粉尘</w:t>
                        </w:r>
                      </w:p>
                    </w:txbxContent>
                  </v:textbox>
                </v:shape>
              </w:pict>
            </w:r>
            <w:r>
              <w:pict>
                <v:shape id="_x0000_s1117" o:spid="_x0000_s1117" o:spt="202" type="#_x0000_t202" style="position:absolute;left:0pt;margin-left:262.2pt;margin-top:-28.45pt;height:37.65pt;width:42.35pt;z-index:251793408;mso-width-relative:page;mso-height-relative:page;" filled="f" stroked="f" coordsize="21600,21600">
                  <v:path/>
                  <v:fill on="f" focussize="0,0"/>
                  <v:stroke on="f"/>
                  <v:imagedata o:title=""/>
                  <o:lock v:ext="edit" aspectratio="f"/>
                  <v:textbox inset="0mm,0mm,0mm,0mm">
                    <w:txbxContent>
                      <w:p w14:paraId="7801989F">
                        <w:pPr>
                          <w:pStyle w:val="6"/>
                          <w:spacing w:before="19" w:line="366" w:lineRule="auto"/>
                          <w:ind w:left="20" w:right="20" w:firstLine="457"/>
                          <w:rPr>
                            <w:sz w:val="19"/>
                            <w:szCs w:val="19"/>
                          </w:rPr>
                        </w:pPr>
                        <w:r>
                          <w:rPr>
                            <w:spacing w:val="-6"/>
                            <w:sz w:val="18"/>
                            <w:szCs w:val="18"/>
                          </w:rPr>
                          <w:t>卸料</w:t>
                        </w:r>
                        <w:r>
                          <w:rPr>
                            <w:sz w:val="18"/>
                            <w:szCs w:val="18"/>
                          </w:rPr>
                          <w:t xml:space="preserve"> </w:t>
                        </w:r>
                        <w:r>
                          <w:rPr>
                            <w:spacing w:val="8"/>
                            <w:sz w:val="19"/>
                            <w:szCs w:val="19"/>
                          </w:rPr>
                          <w:t>散装罐车</w:t>
                        </w:r>
                      </w:p>
                    </w:txbxContent>
                  </v:textbox>
                </v:shape>
              </w:pict>
            </w:r>
            <w:r>
              <w:rPr>
                <w:b/>
                <w:bCs/>
                <w:color w:val="E36C09"/>
                <w:spacing w:val="7"/>
                <w:sz w:val="19"/>
                <w:szCs w:val="19"/>
              </w:rPr>
              <w:t>胶粉、玻璃</w:t>
            </w:r>
            <w:r>
              <w:rPr>
                <w:color w:val="E36C09"/>
                <w:sz w:val="19"/>
                <w:szCs w:val="19"/>
              </w:rPr>
              <w:t xml:space="preserve"> </w:t>
            </w:r>
            <w:r>
              <w:rPr>
                <w:b/>
                <w:bCs/>
                <w:color w:val="E36C09"/>
                <w:spacing w:val="6"/>
                <w:sz w:val="19"/>
                <w:szCs w:val="19"/>
              </w:rPr>
              <w:t>纤维等小料</w:t>
            </w:r>
          </w:p>
          <w:p w14:paraId="4C62D550">
            <w:pPr>
              <w:pStyle w:val="6"/>
              <w:spacing w:before="82" w:line="220" w:lineRule="auto"/>
              <w:ind w:left="5354"/>
              <w:rPr>
                <w:sz w:val="18"/>
                <w:szCs w:val="18"/>
              </w:rPr>
            </w:pPr>
            <w:r>
              <w:rPr>
                <w:spacing w:val="-3"/>
                <w:sz w:val="18"/>
                <w:szCs w:val="18"/>
              </w:rPr>
              <w:t>外运出售</w:t>
            </w:r>
          </w:p>
          <w:p w14:paraId="0BC28559">
            <w:pPr>
              <w:spacing w:before="117" w:line="283" w:lineRule="exact"/>
              <w:ind w:firstLine="3505"/>
            </w:pPr>
            <w:r>
              <w:rPr>
                <w:position w:val="-5"/>
              </w:rPr>
              <w:drawing>
                <wp:inline distT="0" distB="0" distL="0" distR="0">
                  <wp:extent cx="76200" cy="179705"/>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256"/>
                          <a:stretch>
                            <a:fillRect/>
                          </a:stretch>
                        </pic:blipFill>
                        <pic:spPr>
                          <a:xfrm>
                            <a:off x="0" y="0"/>
                            <a:ext cx="76200" cy="179730"/>
                          </a:xfrm>
                          <a:prstGeom prst="rect">
                            <a:avLst/>
                          </a:prstGeom>
                        </pic:spPr>
                      </pic:pic>
                    </a:graphicData>
                  </a:graphic>
                </wp:inline>
              </w:drawing>
            </w:r>
          </w:p>
          <w:p w14:paraId="5E66D4DD">
            <w:pPr>
              <w:pStyle w:val="6"/>
              <w:spacing w:before="69" w:line="219" w:lineRule="auto"/>
              <w:ind w:left="3049"/>
              <w:rPr>
                <w:sz w:val="18"/>
                <w:szCs w:val="18"/>
              </w:rPr>
            </w:pPr>
            <w:r>
              <w:rPr>
                <w:spacing w:val="-2"/>
                <w:sz w:val="18"/>
                <w:szCs w:val="18"/>
              </w:rPr>
              <w:t>袋装堆存出售</w:t>
            </w:r>
          </w:p>
          <w:p w14:paraId="6A36357D">
            <w:pPr>
              <w:pStyle w:val="6"/>
              <w:spacing w:before="206" w:line="219" w:lineRule="auto"/>
              <w:ind w:left="1828"/>
              <w:rPr>
                <w:sz w:val="18"/>
                <w:szCs w:val="18"/>
              </w:rPr>
            </w:pPr>
            <w:r>
              <w:rPr>
                <w:b/>
                <w:bCs/>
                <w:spacing w:val="-3"/>
                <w:sz w:val="18"/>
                <w:szCs w:val="18"/>
              </w:rPr>
              <w:t>图</w:t>
            </w:r>
            <w:r>
              <w:rPr>
                <w:spacing w:val="-27"/>
                <w:sz w:val="18"/>
                <w:szCs w:val="18"/>
              </w:rPr>
              <w:t xml:space="preserve"> </w:t>
            </w:r>
            <w:r>
              <w:rPr>
                <w:rFonts w:ascii="Times New Roman" w:hAnsi="Times New Roman" w:eastAsia="Times New Roman" w:cs="Times New Roman"/>
                <w:b/>
                <w:bCs/>
                <w:spacing w:val="-3"/>
                <w:sz w:val="18"/>
                <w:szCs w:val="18"/>
              </w:rPr>
              <w:t>2-5</w:t>
            </w:r>
            <w:r>
              <w:rPr>
                <w:b/>
                <w:bCs/>
                <w:spacing w:val="-3"/>
                <w:sz w:val="18"/>
                <w:szCs w:val="18"/>
              </w:rPr>
              <w:t>：项目干混砂浆生产工艺流程及产污环节图</w:t>
            </w:r>
          </w:p>
          <w:p w14:paraId="06F5EC9A">
            <w:pPr>
              <w:pStyle w:val="6"/>
              <w:spacing w:before="283" w:line="227" w:lineRule="auto"/>
              <w:ind w:left="513"/>
              <w:rPr>
                <w:sz w:val="20"/>
                <w:szCs w:val="20"/>
              </w:rPr>
            </w:pPr>
            <w:r>
              <w:rPr>
                <w:b/>
                <w:bCs/>
                <w:spacing w:val="4"/>
                <w:sz w:val="20"/>
                <w:szCs w:val="20"/>
              </w:rPr>
              <w:t>工艺简介</w:t>
            </w:r>
            <w:r>
              <w:rPr>
                <w:spacing w:val="4"/>
                <w:sz w:val="20"/>
                <w:szCs w:val="20"/>
              </w:rPr>
              <w:t>：</w:t>
            </w:r>
          </w:p>
          <w:p w14:paraId="59653C4C">
            <w:pPr>
              <w:pStyle w:val="6"/>
              <w:spacing w:before="155" w:line="359" w:lineRule="auto"/>
              <w:ind w:left="92" w:right="87" w:firstLine="420"/>
              <w:rPr>
                <w:sz w:val="20"/>
                <w:szCs w:val="20"/>
              </w:rPr>
            </w:pPr>
            <w:r>
              <w:rPr>
                <w:spacing w:val="11"/>
                <w:sz w:val="20"/>
                <w:szCs w:val="20"/>
              </w:rPr>
              <w:t>本项目干混砂浆产品包括普通干混砂浆和特种干混砂浆。其中特种干混</w:t>
            </w:r>
            <w:r>
              <w:rPr>
                <w:spacing w:val="10"/>
                <w:sz w:val="20"/>
                <w:szCs w:val="20"/>
              </w:rPr>
              <w:t>砂浆主要</w:t>
            </w:r>
            <w:r>
              <w:rPr>
                <w:sz w:val="20"/>
                <w:szCs w:val="20"/>
              </w:rPr>
              <w:t xml:space="preserve"> </w:t>
            </w:r>
            <w:r>
              <w:rPr>
                <w:spacing w:val="11"/>
                <w:sz w:val="20"/>
                <w:szCs w:val="20"/>
              </w:rPr>
              <w:t>有玻化微珠防火保温砂浆等。特种干混砂浆与普通干混砂浆生产工艺一</w:t>
            </w:r>
            <w:r>
              <w:rPr>
                <w:spacing w:val="10"/>
                <w:sz w:val="20"/>
                <w:szCs w:val="20"/>
              </w:rPr>
              <w:t>致，唯一不同</w:t>
            </w:r>
            <w:r>
              <w:rPr>
                <w:sz w:val="20"/>
                <w:szCs w:val="20"/>
              </w:rPr>
              <w:t xml:space="preserve"> </w:t>
            </w:r>
            <w:r>
              <w:rPr>
                <w:spacing w:val="8"/>
                <w:sz w:val="20"/>
                <w:szCs w:val="20"/>
              </w:rPr>
              <w:t>之处在于原料种类和配比方案不同。</w:t>
            </w:r>
          </w:p>
          <w:p w14:paraId="10EA0108">
            <w:pPr>
              <w:pStyle w:val="6"/>
              <w:spacing w:before="34" w:line="225" w:lineRule="auto"/>
              <w:ind w:left="527"/>
              <w:rPr>
                <w:sz w:val="20"/>
                <w:szCs w:val="20"/>
              </w:rPr>
            </w:pPr>
            <w:r>
              <w:rPr>
                <w:b/>
                <w:bCs/>
                <w:spacing w:val="7"/>
                <w:sz w:val="20"/>
                <w:szCs w:val="20"/>
              </w:rPr>
              <w:t>①建筑垃圾原料的预处理</w:t>
            </w:r>
          </w:p>
        </w:tc>
      </w:tr>
    </w:tbl>
    <w:p w14:paraId="029BA108">
      <w:pPr>
        <w:pStyle w:val="2"/>
      </w:pPr>
    </w:p>
    <w:p w14:paraId="7876D447">
      <w:pPr>
        <w:sectPr>
          <w:footerReference r:id="rId51" w:type="default"/>
          <w:pgSz w:w="11906" w:h="16839"/>
          <w:pgMar w:top="1431" w:right="1532" w:bottom="1259" w:left="1533" w:header="0" w:footer="1080" w:gutter="0"/>
          <w:cols w:space="720" w:num="1"/>
        </w:sectPr>
      </w:pPr>
    </w:p>
    <w:p w14:paraId="5EE3E95E">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1DB33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14:paraId="1B7F84DE">
            <w:pPr>
              <w:rPr>
                <w:rFonts w:ascii="Arial"/>
                <w:sz w:val="21"/>
              </w:rPr>
            </w:pPr>
          </w:p>
        </w:tc>
        <w:tc>
          <w:tcPr>
            <w:tcW w:w="7992" w:type="dxa"/>
            <w:tcBorders>
              <w:right w:val="single" w:color="000000" w:sz="6" w:space="0"/>
            </w:tcBorders>
            <w:vAlign w:val="top"/>
          </w:tcPr>
          <w:p w14:paraId="6E1337FA">
            <w:pPr>
              <w:pStyle w:val="6"/>
              <w:spacing w:before="145" w:line="363" w:lineRule="auto"/>
              <w:ind w:left="91" w:right="87" w:firstLine="422"/>
              <w:jc w:val="both"/>
              <w:rPr>
                <w:sz w:val="20"/>
                <w:szCs w:val="20"/>
              </w:rPr>
            </w:pPr>
            <w:r>
              <w:rPr>
                <w:spacing w:val="11"/>
                <w:sz w:val="20"/>
                <w:szCs w:val="20"/>
              </w:rPr>
              <w:t>建筑垃圾通过汽车运至厂区后，于卸料口卸料至地下原料堆场。卸料</w:t>
            </w:r>
            <w:r>
              <w:rPr>
                <w:spacing w:val="10"/>
                <w:sz w:val="20"/>
                <w:szCs w:val="20"/>
              </w:rPr>
              <w:t>口设置于砌</w:t>
            </w:r>
            <w:r>
              <w:rPr>
                <w:sz w:val="20"/>
                <w:szCs w:val="20"/>
              </w:rPr>
              <w:t xml:space="preserve"> </w:t>
            </w:r>
            <w:r>
              <w:rPr>
                <w:spacing w:val="11"/>
                <w:sz w:val="20"/>
                <w:szCs w:val="20"/>
              </w:rPr>
              <w:t>块和板材车间的西侧。建筑垃圾通过溜槽进入地下原料堆场。堆场内采用</w:t>
            </w:r>
            <w:r>
              <w:rPr>
                <w:spacing w:val="10"/>
                <w:sz w:val="20"/>
                <w:szCs w:val="20"/>
              </w:rPr>
              <w:t>装载机进行</w:t>
            </w:r>
            <w:r>
              <w:rPr>
                <w:sz w:val="20"/>
                <w:szCs w:val="20"/>
              </w:rPr>
              <w:t xml:space="preserve"> </w:t>
            </w:r>
            <w:r>
              <w:rPr>
                <w:spacing w:val="11"/>
                <w:sz w:val="20"/>
                <w:szCs w:val="20"/>
              </w:rPr>
              <w:t>原料的分类堆放。堆场内设置有颚破机和振动筛及料斗等生产设施。建筑</w:t>
            </w:r>
            <w:r>
              <w:rPr>
                <w:spacing w:val="10"/>
                <w:sz w:val="20"/>
                <w:szCs w:val="20"/>
              </w:rPr>
              <w:t>垃圾需要首</w:t>
            </w:r>
            <w:r>
              <w:rPr>
                <w:sz w:val="20"/>
                <w:szCs w:val="20"/>
              </w:rPr>
              <w:t xml:space="preserve"> </w:t>
            </w:r>
            <w:r>
              <w:rPr>
                <w:spacing w:val="11"/>
                <w:sz w:val="20"/>
                <w:szCs w:val="20"/>
              </w:rPr>
              <w:t>先进行破碎筛分成为小块物料，才能通过封闭式皮带输送装置，输送至干</w:t>
            </w:r>
            <w:r>
              <w:rPr>
                <w:spacing w:val="10"/>
                <w:sz w:val="20"/>
                <w:szCs w:val="20"/>
              </w:rPr>
              <w:t>混砂浆生产</w:t>
            </w:r>
            <w:r>
              <w:rPr>
                <w:sz w:val="20"/>
                <w:szCs w:val="20"/>
              </w:rPr>
              <w:t xml:space="preserve"> </w:t>
            </w:r>
            <w:r>
              <w:rPr>
                <w:spacing w:val="3"/>
                <w:sz w:val="20"/>
                <w:szCs w:val="20"/>
              </w:rPr>
              <w:t>车间。</w:t>
            </w:r>
          </w:p>
          <w:p w14:paraId="185CC856">
            <w:pPr>
              <w:pStyle w:val="6"/>
              <w:spacing w:before="31" w:line="362" w:lineRule="auto"/>
              <w:ind w:left="91" w:right="87" w:firstLine="421"/>
              <w:jc w:val="both"/>
              <w:rPr>
                <w:sz w:val="20"/>
                <w:szCs w:val="20"/>
              </w:rPr>
            </w:pPr>
            <w:r>
              <w:rPr>
                <w:spacing w:val="11"/>
                <w:sz w:val="20"/>
                <w:szCs w:val="20"/>
              </w:rPr>
              <w:t>车间内料头进料后，经皮带输送至球磨机研磨成粉状。球磨机为密闭</w:t>
            </w:r>
            <w:r>
              <w:rPr>
                <w:spacing w:val="10"/>
                <w:sz w:val="20"/>
                <w:szCs w:val="20"/>
              </w:rPr>
              <w:t>型设备，生</w:t>
            </w:r>
            <w:r>
              <w:rPr>
                <w:sz w:val="20"/>
                <w:szCs w:val="20"/>
              </w:rPr>
              <w:t xml:space="preserve"> </w:t>
            </w:r>
            <w:r>
              <w:rPr>
                <w:spacing w:val="11"/>
                <w:sz w:val="20"/>
                <w:szCs w:val="20"/>
              </w:rPr>
              <w:t>产过程仅在进料出料口有少量粉尘产生。球磨后的建筑垃圾成为砂状，然</w:t>
            </w:r>
            <w:r>
              <w:rPr>
                <w:spacing w:val="10"/>
                <w:sz w:val="20"/>
                <w:szCs w:val="20"/>
              </w:rPr>
              <w:t>后经皮带送</w:t>
            </w:r>
            <w:r>
              <w:rPr>
                <w:sz w:val="20"/>
                <w:szCs w:val="20"/>
              </w:rPr>
              <w:t xml:space="preserve"> </w:t>
            </w:r>
            <w:r>
              <w:rPr>
                <w:spacing w:val="11"/>
                <w:sz w:val="20"/>
                <w:szCs w:val="20"/>
              </w:rPr>
              <w:t>至振动筛筛分，无法通过筛网的大颗粒物质再返回球磨机二次磨粉，能够</w:t>
            </w:r>
            <w:r>
              <w:rPr>
                <w:spacing w:val="10"/>
                <w:sz w:val="20"/>
                <w:szCs w:val="20"/>
              </w:rPr>
              <w:t>通过筛网的</w:t>
            </w:r>
            <w:r>
              <w:rPr>
                <w:sz w:val="20"/>
                <w:szCs w:val="20"/>
              </w:rPr>
              <w:t xml:space="preserve"> </w:t>
            </w:r>
            <w:r>
              <w:rPr>
                <w:spacing w:val="9"/>
                <w:sz w:val="20"/>
                <w:szCs w:val="20"/>
              </w:rPr>
              <w:t>物料经提升机和输送管道密闭输送至筒仓贮存。</w:t>
            </w:r>
          </w:p>
          <w:p w14:paraId="686639C9">
            <w:pPr>
              <w:pStyle w:val="6"/>
              <w:spacing w:before="33" w:line="225" w:lineRule="auto"/>
              <w:ind w:left="509"/>
              <w:rPr>
                <w:sz w:val="20"/>
                <w:szCs w:val="20"/>
              </w:rPr>
            </w:pPr>
            <w:r>
              <w:rPr>
                <w:b/>
                <w:bCs/>
                <w:spacing w:val="7"/>
                <w:sz w:val="20"/>
                <w:szCs w:val="20"/>
              </w:rPr>
              <w:t>②黄沙原料的预处理</w:t>
            </w:r>
          </w:p>
          <w:p w14:paraId="49E8A64D">
            <w:pPr>
              <w:pStyle w:val="6"/>
              <w:spacing w:before="149" w:line="367" w:lineRule="auto"/>
              <w:ind w:left="90" w:right="15" w:firstLine="424"/>
              <w:jc w:val="both"/>
              <w:rPr>
                <w:sz w:val="20"/>
                <w:szCs w:val="20"/>
              </w:rPr>
            </w:pPr>
            <w:r>
              <w:rPr>
                <w:spacing w:val="7"/>
                <w:sz w:val="20"/>
                <w:szCs w:val="20"/>
              </w:rPr>
              <w:t>项目外购的黄沙有一定的含水率（约</w:t>
            </w:r>
            <w:r>
              <w:rPr>
                <w:spacing w:val="-23"/>
                <w:sz w:val="20"/>
                <w:szCs w:val="20"/>
              </w:rPr>
              <w:t xml:space="preserve"> </w:t>
            </w:r>
            <w:r>
              <w:rPr>
                <w:spacing w:val="7"/>
                <w:sz w:val="20"/>
                <w:szCs w:val="20"/>
              </w:rPr>
              <w:t>15%左右</w:t>
            </w:r>
            <w:r>
              <w:rPr>
                <w:spacing w:val="14"/>
                <w:sz w:val="20"/>
                <w:szCs w:val="20"/>
              </w:rPr>
              <w:t>），</w:t>
            </w:r>
            <w:r>
              <w:rPr>
                <w:spacing w:val="7"/>
                <w:sz w:val="20"/>
                <w:szCs w:val="20"/>
              </w:rPr>
              <w:t>在投入生产前需进行烘干处理。</w:t>
            </w:r>
            <w:r>
              <w:rPr>
                <w:sz w:val="20"/>
                <w:szCs w:val="20"/>
              </w:rPr>
              <w:t xml:space="preserve"> </w:t>
            </w:r>
            <w:r>
              <w:rPr>
                <w:spacing w:val="11"/>
                <w:sz w:val="20"/>
                <w:szCs w:val="20"/>
              </w:rPr>
              <w:t>黄沙经汽车运输至厂区后，为了规范管理统一进入地下原料堆场贮存。生产</w:t>
            </w:r>
            <w:r>
              <w:rPr>
                <w:spacing w:val="10"/>
                <w:sz w:val="20"/>
                <w:szCs w:val="20"/>
              </w:rPr>
              <w:t>时经封闭</w:t>
            </w:r>
            <w:r>
              <w:rPr>
                <w:sz w:val="20"/>
                <w:szCs w:val="20"/>
              </w:rPr>
              <w:t xml:space="preserve"> </w:t>
            </w:r>
            <w:r>
              <w:rPr>
                <w:spacing w:val="10"/>
                <w:sz w:val="20"/>
                <w:szCs w:val="20"/>
              </w:rPr>
              <w:t>式输送系统输送至干混砂浆车间堆存。生产时由装载机械把黄沙</w:t>
            </w:r>
            <w:r>
              <w:rPr>
                <w:spacing w:val="9"/>
                <w:sz w:val="20"/>
                <w:szCs w:val="20"/>
              </w:rPr>
              <w:t>上料至进料斗，</w:t>
            </w:r>
            <w:r>
              <w:rPr>
                <w:spacing w:val="-58"/>
                <w:sz w:val="20"/>
                <w:szCs w:val="20"/>
              </w:rPr>
              <w:t xml:space="preserve"> </w:t>
            </w:r>
            <w:r>
              <w:rPr>
                <w:spacing w:val="9"/>
                <w:sz w:val="20"/>
                <w:szCs w:val="20"/>
              </w:rPr>
              <w:t>由进</w:t>
            </w:r>
            <w:r>
              <w:rPr>
                <w:sz w:val="20"/>
                <w:szCs w:val="20"/>
              </w:rPr>
              <w:t xml:space="preserve"> </w:t>
            </w:r>
            <w:r>
              <w:rPr>
                <w:spacing w:val="11"/>
                <w:sz w:val="20"/>
                <w:szCs w:val="20"/>
              </w:rPr>
              <w:t>料斗通过皮带输送机进入三回程筒式烘干机进行密闭烘干。此烘干机的热源</w:t>
            </w:r>
            <w:r>
              <w:rPr>
                <w:spacing w:val="10"/>
                <w:sz w:val="20"/>
                <w:szCs w:val="20"/>
              </w:rPr>
              <w:t>来自东岳</w:t>
            </w:r>
            <w:r>
              <w:rPr>
                <w:sz w:val="20"/>
                <w:szCs w:val="20"/>
              </w:rPr>
              <w:t xml:space="preserve"> </w:t>
            </w:r>
            <w:r>
              <w:rPr>
                <w:spacing w:val="11"/>
                <w:sz w:val="20"/>
                <w:szCs w:val="20"/>
              </w:rPr>
              <w:t>电厂的热蒸汽，烘干方式采用间接烘干（即热蒸汽通入烘干机的夹套中，间</w:t>
            </w:r>
            <w:r>
              <w:rPr>
                <w:spacing w:val="10"/>
                <w:sz w:val="20"/>
                <w:szCs w:val="20"/>
              </w:rPr>
              <w:t>接升温烘</w:t>
            </w:r>
            <w:r>
              <w:rPr>
                <w:sz w:val="20"/>
                <w:szCs w:val="20"/>
              </w:rPr>
              <w:t xml:space="preserve"> </w:t>
            </w:r>
            <w:r>
              <w:rPr>
                <w:spacing w:val="9"/>
                <w:sz w:val="20"/>
                <w:szCs w:val="20"/>
              </w:rPr>
              <w:t>干黄沙）</w:t>
            </w:r>
            <w:r>
              <w:rPr>
                <w:spacing w:val="-58"/>
                <w:sz w:val="20"/>
                <w:szCs w:val="20"/>
              </w:rPr>
              <w:t xml:space="preserve"> </w:t>
            </w:r>
            <w:r>
              <w:rPr>
                <w:spacing w:val="9"/>
                <w:sz w:val="20"/>
                <w:szCs w:val="20"/>
              </w:rPr>
              <w:t>。烘干机的烘干原理：湿黄沙从进料箱进入</w:t>
            </w:r>
            <w:r>
              <w:rPr>
                <w:spacing w:val="8"/>
                <w:sz w:val="20"/>
                <w:szCs w:val="20"/>
              </w:rPr>
              <w:t>筒体。</w:t>
            </w:r>
            <w:r>
              <w:rPr>
                <w:spacing w:val="-58"/>
                <w:sz w:val="20"/>
                <w:szCs w:val="20"/>
              </w:rPr>
              <w:t xml:space="preserve"> </w:t>
            </w:r>
            <w:r>
              <w:rPr>
                <w:spacing w:val="8"/>
                <w:sz w:val="20"/>
                <w:szCs w:val="20"/>
              </w:rPr>
              <w:t>由于烘干机倾斜放置，物</w:t>
            </w:r>
            <w:r>
              <w:rPr>
                <w:sz w:val="20"/>
                <w:szCs w:val="20"/>
              </w:rPr>
              <w:t xml:space="preserve"> </w:t>
            </w:r>
            <w:r>
              <w:rPr>
                <w:spacing w:val="11"/>
                <w:sz w:val="20"/>
                <w:szCs w:val="20"/>
              </w:rPr>
              <w:t>料一方面在重力和回转作用下流向后端，另一方面物料被抄板反复抄起，带</w:t>
            </w:r>
            <w:r>
              <w:rPr>
                <w:spacing w:val="10"/>
                <w:sz w:val="20"/>
                <w:szCs w:val="20"/>
              </w:rPr>
              <w:t>至上端再</w:t>
            </w:r>
            <w:r>
              <w:rPr>
                <w:sz w:val="20"/>
                <w:szCs w:val="20"/>
              </w:rPr>
              <w:t xml:space="preserve"> </w:t>
            </w:r>
            <w:r>
              <w:rPr>
                <w:spacing w:val="7"/>
                <w:sz w:val="20"/>
                <w:szCs w:val="20"/>
              </w:rPr>
              <w:t>不断地扬撒下来，使物料在筒内形成均匀的幕帘，充分与夹套内的热气流进行热交换，</w:t>
            </w:r>
            <w:r>
              <w:rPr>
                <w:spacing w:val="8"/>
                <w:sz w:val="20"/>
                <w:szCs w:val="20"/>
              </w:rPr>
              <w:t xml:space="preserve"> </w:t>
            </w:r>
            <w:r>
              <w:rPr>
                <w:spacing w:val="11"/>
                <w:sz w:val="20"/>
                <w:szCs w:val="20"/>
              </w:rPr>
              <w:t>由于物料反复扬撒，所含的水分逐渐被烘干，从而达到烘干的目的。烘干后</w:t>
            </w:r>
            <w:r>
              <w:rPr>
                <w:spacing w:val="10"/>
                <w:sz w:val="20"/>
                <w:szCs w:val="20"/>
              </w:rPr>
              <w:t>的干燥黄</w:t>
            </w:r>
            <w:r>
              <w:rPr>
                <w:sz w:val="20"/>
                <w:szCs w:val="20"/>
              </w:rPr>
              <w:t xml:space="preserve"> </w:t>
            </w:r>
            <w:r>
              <w:rPr>
                <w:spacing w:val="9"/>
                <w:sz w:val="20"/>
                <w:szCs w:val="20"/>
              </w:rPr>
              <w:t>沙含水率约</w:t>
            </w:r>
            <w:r>
              <w:rPr>
                <w:spacing w:val="-35"/>
                <w:sz w:val="20"/>
                <w:szCs w:val="20"/>
              </w:rPr>
              <w:t xml:space="preserve"> </w:t>
            </w:r>
            <w:r>
              <w:rPr>
                <w:spacing w:val="9"/>
                <w:sz w:val="20"/>
                <w:szCs w:val="20"/>
              </w:rPr>
              <w:t>3%左右。干燥的黄沙从烘干机尾部直接落入封闭式输送皮带，输</w:t>
            </w:r>
            <w:r>
              <w:rPr>
                <w:spacing w:val="8"/>
                <w:sz w:val="20"/>
                <w:szCs w:val="20"/>
              </w:rPr>
              <w:t>送至斗式</w:t>
            </w:r>
            <w:r>
              <w:rPr>
                <w:sz w:val="20"/>
                <w:szCs w:val="20"/>
              </w:rPr>
              <w:t xml:space="preserve"> </w:t>
            </w:r>
            <w:r>
              <w:rPr>
                <w:spacing w:val="8"/>
                <w:sz w:val="20"/>
                <w:szCs w:val="20"/>
              </w:rPr>
              <w:t>提升机提升至筒仓贮存。</w:t>
            </w:r>
          </w:p>
          <w:p w14:paraId="44B18AD9">
            <w:pPr>
              <w:pStyle w:val="6"/>
              <w:spacing w:before="34" w:line="225" w:lineRule="auto"/>
              <w:ind w:left="509"/>
              <w:rPr>
                <w:sz w:val="20"/>
                <w:szCs w:val="20"/>
              </w:rPr>
            </w:pPr>
            <w:r>
              <w:rPr>
                <w:b/>
                <w:bCs/>
                <w:spacing w:val="7"/>
                <w:sz w:val="20"/>
                <w:szCs w:val="20"/>
              </w:rPr>
              <w:t>③粉料或小料的准备</w:t>
            </w:r>
          </w:p>
          <w:p w14:paraId="765350B6">
            <w:pPr>
              <w:pStyle w:val="6"/>
              <w:spacing w:before="153" w:line="362" w:lineRule="auto"/>
              <w:ind w:left="90" w:right="86" w:firstLine="424"/>
              <w:jc w:val="both"/>
              <w:rPr>
                <w:sz w:val="20"/>
                <w:szCs w:val="20"/>
              </w:rPr>
            </w:pPr>
            <w:r>
              <w:rPr>
                <w:spacing w:val="11"/>
                <w:sz w:val="20"/>
                <w:szCs w:val="20"/>
              </w:rPr>
              <w:t>项目生产时外购的水泥、石灰石膏、粉煤灰、玻化微珠等原料，通</w:t>
            </w:r>
            <w:r>
              <w:rPr>
                <w:spacing w:val="10"/>
                <w:sz w:val="20"/>
                <w:szCs w:val="20"/>
              </w:rPr>
              <w:t>过散装罐车运</w:t>
            </w:r>
            <w:r>
              <w:rPr>
                <w:sz w:val="20"/>
                <w:szCs w:val="20"/>
              </w:rPr>
              <w:t xml:space="preserve"> </w:t>
            </w:r>
            <w:r>
              <w:rPr>
                <w:spacing w:val="11"/>
                <w:sz w:val="20"/>
                <w:szCs w:val="20"/>
              </w:rPr>
              <w:t>至厂区后，通过气力输送至相应筒仓贮存。可再分散乳胶粉、玻璃纤维等小</w:t>
            </w:r>
            <w:r>
              <w:rPr>
                <w:spacing w:val="10"/>
                <w:sz w:val="20"/>
                <w:szCs w:val="20"/>
              </w:rPr>
              <w:t>料直接通</w:t>
            </w:r>
            <w:r>
              <w:rPr>
                <w:sz w:val="20"/>
                <w:szCs w:val="20"/>
              </w:rPr>
              <w:t xml:space="preserve"> </w:t>
            </w:r>
            <w:r>
              <w:rPr>
                <w:spacing w:val="6"/>
                <w:sz w:val="20"/>
                <w:szCs w:val="20"/>
              </w:rPr>
              <w:t>过小料上料平台上料。上料平台配套设备包括小料料仓（容积约</w:t>
            </w:r>
            <w:r>
              <w:rPr>
                <w:spacing w:val="-17"/>
                <w:sz w:val="20"/>
                <w:szCs w:val="20"/>
              </w:rPr>
              <w:t xml:space="preserve"> </w:t>
            </w:r>
            <w:r>
              <w:rPr>
                <w:spacing w:val="6"/>
                <w:sz w:val="20"/>
                <w:szCs w:val="20"/>
              </w:rPr>
              <w:t>0.5m</w:t>
            </w:r>
            <w:r>
              <w:rPr>
                <w:spacing w:val="6"/>
                <w:position w:val="10"/>
                <w:sz w:val="10"/>
                <w:szCs w:val="10"/>
              </w:rPr>
              <w:t>3</w:t>
            </w:r>
            <w:r>
              <w:rPr>
                <w:spacing w:val="-20"/>
                <w:position w:val="10"/>
                <w:sz w:val="10"/>
                <w:szCs w:val="10"/>
              </w:rPr>
              <w:t xml:space="preserve"> </w:t>
            </w:r>
            <w:r>
              <w:rPr>
                <w:spacing w:val="6"/>
                <w:sz w:val="20"/>
                <w:szCs w:val="20"/>
              </w:rPr>
              <w:t>）、螺旋输送机</w:t>
            </w:r>
            <w:r>
              <w:rPr>
                <w:sz w:val="20"/>
                <w:szCs w:val="20"/>
              </w:rPr>
              <w:t xml:space="preserve"> </w:t>
            </w:r>
            <w:r>
              <w:rPr>
                <w:spacing w:val="6"/>
                <w:sz w:val="20"/>
                <w:szCs w:val="20"/>
              </w:rPr>
              <w:t>及蝶阀等。</w:t>
            </w:r>
          </w:p>
          <w:p w14:paraId="21BD9110">
            <w:pPr>
              <w:pStyle w:val="6"/>
              <w:spacing w:before="34" w:line="225" w:lineRule="auto"/>
              <w:ind w:left="509"/>
              <w:rPr>
                <w:sz w:val="20"/>
                <w:szCs w:val="20"/>
              </w:rPr>
            </w:pPr>
            <w:r>
              <w:rPr>
                <w:b/>
                <w:bCs/>
                <w:spacing w:val="6"/>
                <w:sz w:val="20"/>
                <w:szCs w:val="20"/>
              </w:rPr>
              <w:t>④搅拌混合</w:t>
            </w:r>
          </w:p>
          <w:p w14:paraId="70644181">
            <w:pPr>
              <w:pStyle w:val="6"/>
              <w:spacing w:before="156" w:line="359" w:lineRule="auto"/>
              <w:ind w:left="90" w:right="87" w:firstLine="422"/>
              <w:rPr>
                <w:sz w:val="20"/>
                <w:szCs w:val="20"/>
              </w:rPr>
            </w:pPr>
            <w:r>
              <w:rPr>
                <w:spacing w:val="11"/>
                <w:sz w:val="20"/>
                <w:szCs w:val="20"/>
              </w:rPr>
              <w:t>生产时，各物料通过筒仓的计量装置计量后，经螺旋输送装置送入搅</w:t>
            </w:r>
            <w:r>
              <w:rPr>
                <w:spacing w:val="10"/>
                <w:sz w:val="20"/>
                <w:szCs w:val="20"/>
              </w:rPr>
              <w:t>拌机。输送</w:t>
            </w:r>
            <w:r>
              <w:rPr>
                <w:sz w:val="20"/>
                <w:szCs w:val="20"/>
              </w:rPr>
              <w:t xml:space="preserve"> </w:t>
            </w:r>
            <w:r>
              <w:rPr>
                <w:spacing w:val="11"/>
                <w:sz w:val="20"/>
                <w:szCs w:val="20"/>
              </w:rPr>
              <w:t>入料装置与搅拌机密闭式连接，能够杜绝入料粉尘的产生。搅拌机也叫双轴</w:t>
            </w:r>
            <w:r>
              <w:rPr>
                <w:spacing w:val="10"/>
                <w:sz w:val="20"/>
                <w:szCs w:val="20"/>
              </w:rPr>
              <w:t>混合机，</w:t>
            </w:r>
            <w:r>
              <w:rPr>
                <w:sz w:val="20"/>
                <w:szCs w:val="20"/>
              </w:rPr>
              <w:t xml:space="preserve"> </w:t>
            </w:r>
            <w:r>
              <w:rPr>
                <w:spacing w:val="9"/>
                <w:sz w:val="20"/>
                <w:szCs w:val="20"/>
              </w:rPr>
              <w:t>通过内部搅拌叶片的翻动，将物料充分混合均匀，即成为干混砂浆成品。</w:t>
            </w:r>
          </w:p>
          <w:p w14:paraId="74D2FDB5">
            <w:pPr>
              <w:pStyle w:val="6"/>
              <w:spacing w:before="34" w:line="225" w:lineRule="auto"/>
              <w:ind w:left="509"/>
              <w:rPr>
                <w:sz w:val="20"/>
                <w:szCs w:val="20"/>
              </w:rPr>
            </w:pPr>
            <w:r>
              <w:rPr>
                <w:b/>
                <w:bCs/>
                <w:spacing w:val="8"/>
                <w:sz w:val="20"/>
                <w:szCs w:val="20"/>
              </w:rPr>
              <w:t>⑤成品包装外售或者罐车散装外售</w:t>
            </w:r>
          </w:p>
          <w:p w14:paraId="2956510F">
            <w:pPr>
              <w:pStyle w:val="6"/>
              <w:spacing w:before="154" w:line="227" w:lineRule="auto"/>
              <w:ind w:left="512"/>
              <w:rPr>
                <w:sz w:val="20"/>
                <w:szCs w:val="20"/>
              </w:rPr>
            </w:pPr>
            <w:r>
              <w:rPr>
                <w:spacing w:val="9"/>
                <w:sz w:val="20"/>
                <w:szCs w:val="20"/>
              </w:rPr>
              <w:t>本项目的干混砂浆有两种外售方式，即袋装出售和散装出售。</w:t>
            </w:r>
          </w:p>
          <w:p w14:paraId="1E2695AD">
            <w:pPr>
              <w:pStyle w:val="6"/>
              <w:spacing w:before="155" w:line="227" w:lineRule="auto"/>
              <w:ind w:left="513"/>
              <w:rPr>
                <w:sz w:val="20"/>
                <w:szCs w:val="20"/>
              </w:rPr>
            </w:pPr>
            <w:r>
              <w:rPr>
                <w:spacing w:val="11"/>
                <w:sz w:val="20"/>
                <w:szCs w:val="20"/>
              </w:rPr>
              <w:t>生产好干混砂浆产品卸料至搅拌机下部的底斗仓，再从底斗仓中通过</w:t>
            </w:r>
            <w:r>
              <w:rPr>
                <w:spacing w:val="10"/>
                <w:sz w:val="20"/>
                <w:szCs w:val="20"/>
              </w:rPr>
              <w:t>圆形卸料接</w:t>
            </w:r>
          </w:p>
        </w:tc>
      </w:tr>
    </w:tbl>
    <w:p w14:paraId="58A2745B">
      <w:pPr>
        <w:pStyle w:val="2"/>
      </w:pPr>
    </w:p>
    <w:p w14:paraId="2697792A">
      <w:pPr>
        <w:sectPr>
          <w:footerReference r:id="rId52" w:type="default"/>
          <w:pgSz w:w="11906" w:h="16839"/>
          <w:pgMar w:top="1431" w:right="1534" w:bottom="1260" w:left="1533" w:header="0" w:footer="1080" w:gutter="0"/>
          <w:cols w:space="720" w:num="1"/>
        </w:sectPr>
      </w:pPr>
    </w:p>
    <w:p w14:paraId="4D34AC3E">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6CAC2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6" w:hRule="atLeast"/>
        </w:trPr>
        <w:tc>
          <w:tcPr>
            <w:tcW w:w="831" w:type="dxa"/>
            <w:tcBorders>
              <w:left w:val="single" w:color="000000" w:sz="6" w:space="0"/>
            </w:tcBorders>
            <w:vAlign w:val="top"/>
          </w:tcPr>
          <w:p w14:paraId="68488299">
            <w:pPr>
              <w:rPr>
                <w:rFonts w:ascii="Arial"/>
                <w:sz w:val="21"/>
              </w:rPr>
            </w:pPr>
          </w:p>
        </w:tc>
        <w:tc>
          <w:tcPr>
            <w:tcW w:w="7992" w:type="dxa"/>
            <w:tcBorders>
              <w:right w:val="single" w:color="000000" w:sz="6" w:space="0"/>
            </w:tcBorders>
            <w:vAlign w:val="top"/>
          </w:tcPr>
          <w:p w14:paraId="5A535644">
            <w:pPr>
              <w:pStyle w:val="6"/>
              <w:spacing w:before="145" w:line="359" w:lineRule="auto"/>
              <w:ind w:left="91" w:right="86" w:firstLine="31"/>
              <w:jc w:val="both"/>
              <w:rPr>
                <w:sz w:val="20"/>
                <w:szCs w:val="20"/>
              </w:rPr>
            </w:pPr>
            <w:r>
              <w:rPr>
                <w:spacing w:val="10"/>
                <w:sz w:val="20"/>
                <w:szCs w:val="20"/>
              </w:rPr>
              <w:t>口与散装罐车顶部的入料口封闭式连接，完成卸料后外运出售。需要包装的干混砂浆</w:t>
            </w:r>
            <w:r>
              <w:rPr>
                <w:sz w:val="20"/>
                <w:szCs w:val="20"/>
              </w:rPr>
              <w:t xml:space="preserve"> </w:t>
            </w:r>
            <w:r>
              <w:rPr>
                <w:spacing w:val="8"/>
                <w:sz w:val="20"/>
                <w:szCs w:val="20"/>
              </w:rPr>
              <w:t>通过气动快开门，从底斗仓迅速放到成品仓（1个，容积</w:t>
            </w:r>
            <w:r>
              <w:rPr>
                <w:spacing w:val="-35"/>
                <w:sz w:val="20"/>
                <w:szCs w:val="20"/>
              </w:rPr>
              <w:t xml:space="preserve"> </w:t>
            </w:r>
            <w:r>
              <w:rPr>
                <w:spacing w:val="8"/>
                <w:sz w:val="20"/>
                <w:szCs w:val="20"/>
              </w:rPr>
              <w:t>5</w:t>
            </w:r>
            <w:r>
              <w:rPr>
                <w:spacing w:val="7"/>
                <w:sz w:val="20"/>
                <w:szCs w:val="20"/>
              </w:rPr>
              <w:t>m³</w:t>
            </w:r>
            <w:r>
              <w:rPr>
                <w:spacing w:val="-68"/>
                <w:sz w:val="20"/>
                <w:szCs w:val="20"/>
              </w:rPr>
              <w:t xml:space="preserve"> </w:t>
            </w:r>
            <w:r>
              <w:rPr>
                <w:spacing w:val="7"/>
                <w:sz w:val="20"/>
                <w:szCs w:val="20"/>
              </w:rPr>
              <w:t>) 进行缓冲、储存，然后</w:t>
            </w:r>
            <w:r>
              <w:rPr>
                <w:sz w:val="20"/>
                <w:szCs w:val="20"/>
              </w:rPr>
              <w:t xml:space="preserve"> </w:t>
            </w:r>
            <w:r>
              <w:rPr>
                <w:spacing w:val="8"/>
                <w:sz w:val="20"/>
                <w:szCs w:val="20"/>
              </w:rPr>
              <w:t>通过软连接进入包装机计量、打包。</w:t>
            </w:r>
          </w:p>
          <w:p w14:paraId="6D053D3A">
            <w:pPr>
              <w:pStyle w:val="6"/>
              <w:spacing w:before="33" w:line="228" w:lineRule="auto"/>
              <w:ind w:left="521"/>
              <w:rPr>
                <w:sz w:val="20"/>
                <w:szCs w:val="20"/>
              </w:rPr>
            </w:pPr>
            <w:r>
              <w:rPr>
                <w:b/>
                <w:bCs/>
                <w:spacing w:val="4"/>
                <w:sz w:val="20"/>
                <w:szCs w:val="20"/>
              </w:rPr>
              <w:t>（3）产污环节</w:t>
            </w:r>
          </w:p>
          <w:p w14:paraId="11FF21EF">
            <w:pPr>
              <w:pStyle w:val="6"/>
              <w:spacing w:before="152" w:line="342" w:lineRule="auto"/>
              <w:ind w:left="92" w:right="86" w:firstLine="418"/>
              <w:rPr>
                <w:sz w:val="20"/>
                <w:szCs w:val="20"/>
              </w:rPr>
            </w:pPr>
            <w:r>
              <w:rPr>
                <w:spacing w:val="11"/>
                <w:sz w:val="20"/>
                <w:szCs w:val="20"/>
              </w:rPr>
              <w:t>废气：主要为生产过程多个环节产生的粉（烟</w:t>
            </w:r>
            <w:r>
              <w:rPr>
                <w:spacing w:val="10"/>
                <w:sz w:val="20"/>
                <w:szCs w:val="20"/>
              </w:rPr>
              <w:t>）尘、钢筋网加工的</w:t>
            </w:r>
            <w:r>
              <w:rPr>
                <w:spacing w:val="-42"/>
                <w:sz w:val="20"/>
                <w:szCs w:val="20"/>
              </w:rPr>
              <w:t xml:space="preserve"> </w:t>
            </w:r>
            <w:r>
              <w:rPr>
                <w:sz w:val="20"/>
                <w:szCs w:val="20"/>
              </w:rPr>
              <w:t>VOC</w:t>
            </w:r>
            <w:r>
              <w:rPr>
                <w:position w:val="-3"/>
                <w:sz w:val="10"/>
                <w:szCs w:val="10"/>
              </w:rPr>
              <w:t>s</w:t>
            </w:r>
            <w:r>
              <w:rPr>
                <w:spacing w:val="-25"/>
                <w:position w:val="-3"/>
                <w:sz w:val="10"/>
                <w:szCs w:val="10"/>
              </w:rPr>
              <w:t xml:space="preserve"> </w:t>
            </w:r>
            <w:r>
              <w:rPr>
                <w:spacing w:val="10"/>
                <w:sz w:val="20"/>
                <w:szCs w:val="20"/>
              </w:rPr>
              <w:t>、备用燃</w:t>
            </w:r>
            <w:r>
              <w:rPr>
                <w:sz w:val="20"/>
                <w:szCs w:val="20"/>
              </w:rPr>
              <w:t xml:space="preserve"> </w:t>
            </w:r>
            <w:r>
              <w:rPr>
                <w:spacing w:val="8"/>
                <w:sz w:val="20"/>
                <w:szCs w:val="20"/>
              </w:rPr>
              <w:t>气锅炉产生的废烟气等。具体产污环节如下：</w:t>
            </w:r>
          </w:p>
          <w:p w14:paraId="0325416F">
            <w:pPr>
              <w:spacing w:before="83" w:line="221" w:lineRule="auto"/>
              <w:ind w:left="268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7"/>
                <w:sz w:val="18"/>
                <w:szCs w:val="18"/>
              </w:rPr>
              <w:t xml:space="preserve"> </w:t>
            </w:r>
            <w:r>
              <w:rPr>
                <w:rFonts w:ascii="Times New Roman" w:hAnsi="Times New Roman" w:eastAsia="Times New Roman" w:cs="Times New Roman"/>
                <w:spacing w:val="-1"/>
                <w:sz w:val="18"/>
                <w:szCs w:val="18"/>
              </w:rPr>
              <w:t xml:space="preserve">2-8    </w:t>
            </w:r>
            <w:r>
              <w:rPr>
                <w:rFonts w:ascii="黑体" w:hAnsi="黑体" w:eastAsia="黑体" w:cs="黑体"/>
                <w:spacing w:val="-1"/>
                <w:sz w:val="18"/>
                <w:szCs w:val="18"/>
              </w:rPr>
              <w:t>项目废气污染物种类产生环节</w:t>
            </w:r>
          </w:p>
          <w:p w14:paraId="10690A0A">
            <w:pPr>
              <w:spacing w:line="18" w:lineRule="exact"/>
            </w:pPr>
          </w:p>
          <w:tbl>
            <w:tblPr>
              <w:tblStyle w:val="5"/>
              <w:tblW w:w="7782"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671"/>
              <w:gridCol w:w="2426"/>
              <w:gridCol w:w="1160"/>
              <w:gridCol w:w="1936"/>
            </w:tblGrid>
            <w:tr w14:paraId="4FC26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89" w:type="dxa"/>
                  <w:vAlign w:val="top"/>
                </w:tcPr>
                <w:p w14:paraId="52890D24">
                  <w:pPr>
                    <w:spacing w:before="58" w:line="206" w:lineRule="auto"/>
                    <w:ind w:left="119"/>
                    <w:rPr>
                      <w:rFonts w:ascii="黑体" w:hAnsi="黑体" w:eastAsia="黑体" w:cs="黑体"/>
                      <w:sz w:val="18"/>
                      <w:szCs w:val="18"/>
                    </w:rPr>
                  </w:pPr>
                  <w:r>
                    <w:rPr>
                      <w:rFonts w:ascii="黑体" w:hAnsi="黑体" w:eastAsia="黑体" w:cs="黑体"/>
                      <w:spacing w:val="-4"/>
                      <w:sz w:val="18"/>
                      <w:szCs w:val="18"/>
                    </w:rPr>
                    <w:t>序号</w:t>
                  </w:r>
                </w:p>
              </w:tc>
              <w:tc>
                <w:tcPr>
                  <w:tcW w:w="1671" w:type="dxa"/>
                  <w:vAlign w:val="top"/>
                </w:tcPr>
                <w:p w14:paraId="31170393">
                  <w:pPr>
                    <w:spacing w:before="58" w:line="206" w:lineRule="auto"/>
                    <w:ind w:left="478"/>
                    <w:rPr>
                      <w:rFonts w:ascii="黑体" w:hAnsi="黑体" w:eastAsia="黑体" w:cs="黑体"/>
                      <w:sz w:val="18"/>
                      <w:szCs w:val="18"/>
                    </w:rPr>
                  </w:pPr>
                  <w:r>
                    <w:rPr>
                      <w:rFonts w:ascii="黑体" w:hAnsi="黑体" w:eastAsia="黑体" w:cs="黑体"/>
                      <w:spacing w:val="-2"/>
                      <w:sz w:val="18"/>
                      <w:szCs w:val="18"/>
                    </w:rPr>
                    <w:t>工艺环节</w:t>
                  </w:r>
                </w:p>
              </w:tc>
              <w:tc>
                <w:tcPr>
                  <w:tcW w:w="2426" w:type="dxa"/>
                  <w:vAlign w:val="top"/>
                </w:tcPr>
                <w:p w14:paraId="6D165F27">
                  <w:pPr>
                    <w:spacing w:before="58" w:line="206" w:lineRule="auto"/>
                    <w:ind w:left="586"/>
                    <w:rPr>
                      <w:rFonts w:ascii="黑体" w:hAnsi="黑体" w:eastAsia="黑体" w:cs="黑体"/>
                      <w:sz w:val="18"/>
                      <w:szCs w:val="18"/>
                    </w:rPr>
                  </w:pPr>
                  <w:r>
                    <w:rPr>
                      <w:rFonts w:ascii="黑体" w:hAnsi="黑体" w:eastAsia="黑体" w:cs="黑体"/>
                      <w:spacing w:val="-1"/>
                      <w:sz w:val="18"/>
                      <w:szCs w:val="18"/>
                    </w:rPr>
                    <w:t>产污设施或设备</w:t>
                  </w:r>
                </w:p>
              </w:tc>
              <w:tc>
                <w:tcPr>
                  <w:tcW w:w="1160" w:type="dxa"/>
                  <w:vAlign w:val="top"/>
                </w:tcPr>
                <w:p w14:paraId="1C29E19D">
                  <w:pPr>
                    <w:spacing w:before="58" w:line="206" w:lineRule="auto"/>
                    <w:ind w:left="138"/>
                    <w:rPr>
                      <w:rFonts w:ascii="黑体" w:hAnsi="黑体" w:eastAsia="黑体" w:cs="黑体"/>
                      <w:sz w:val="18"/>
                      <w:szCs w:val="18"/>
                    </w:rPr>
                  </w:pPr>
                  <w:r>
                    <w:rPr>
                      <w:rFonts w:ascii="黑体" w:hAnsi="黑体" w:eastAsia="黑体" w:cs="黑体"/>
                      <w:spacing w:val="-3"/>
                      <w:sz w:val="18"/>
                      <w:szCs w:val="18"/>
                    </w:rPr>
                    <w:t>污染物种类</w:t>
                  </w:r>
                </w:p>
              </w:tc>
              <w:tc>
                <w:tcPr>
                  <w:tcW w:w="1936" w:type="dxa"/>
                  <w:vAlign w:val="top"/>
                </w:tcPr>
                <w:p w14:paraId="0D8191D7">
                  <w:pPr>
                    <w:spacing w:before="58" w:line="206" w:lineRule="auto"/>
                    <w:ind w:left="162"/>
                    <w:rPr>
                      <w:rFonts w:ascii="黑体" w:hAnsi="黑体" w:eastAsia="黑体" w:cs="黑体"/>
                      <w:sz w:val="18"/>
                      <w:szCs w:val="18"/>
                    </w:rPr>
                  </w:pPr>
                  <w:r>
                    <w:rPr>
                      <w:rFonts w:ascii="黑体" w:hAnsi="黑体" w:eastAsia="黑体" w:cs="黑体"/>
                      <w:spacing w:val="-1"/>
                      <w:sz w:val="18"/>
                      <w:szCs w:val="18"/>
                    </w:rPr>
                    <w:t>拟治理后的排放形式</w:t>
                  </w:r>
                </w:p>
              </w:tc>
            </w:tr>
            <w:tr w14:paraId="558F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49FDE41F">
                  <w:pPr>
                    <w:pStyle w:val="6"/>
                    <w:spacing w:before="83" w:line="176" w:lineRule="auto"/>
                    <w:ind w:left="266"/>
                    <w:rPr>
                      <w:sz w:val="18"/>
                      <w:szCs w:val="18"/>
                    </w:rPr>
                  </w:pPr>
                  <w:r>
                    <w:rPr>
                      <w:sz w:val="18"/>
                      <w:szCs w:val="18"/>
                    </w:rPr>
                    <w:t>1</w:t>
                  </w:r>
                </w:p>
              </w:tc>
              <w:tc>
                <w:tcPr>
                  <w:tcW w:w="1671" w:type="dxa"/>
                  <w:vAlign w:val="top"/>
                </w:tcPr>
                <w:p w14:paraId="5F587E54">
                  <w:pPr>
                    <w:pStyle w:val="6"/>
                    <w:spacing w:before="55" w:line="205" w:lineRule="auto"/>
                    <w:ind w:left="120"/>
                    <w:rPr>
                      <w:sz w:val="18"/>
                      <w:szCs w:val="18"/>
                    </w:rPr>
                  </w:pPr>
                  <w:r>
                    <w:rPr>
                      <w:spacing w:val="-2"/>
                      <w:sz w:val="18"/>
                      <w:szCs w:val="18"/>
                    </w:rPr>
                    <w:t>建筑垃圾原料卸料</w:t>
                  </w:r>
                </w:p>
              </w:tc>
              <w:tc>
                <w:tcPr>
                  <w:tcW w:w="2426" w:type="dxa"/>
                  <w:vAlign w:val="top"/>
                </w:tcPr>
                <w:p w14:paraId="382BA7C2">
                  <w:pPr>
                    <w:pStyle w:val="6"/>
                    <w:spacing w:before="55" w:line="205" w:lineRule="auto"/>
                    <w:ind w:left="407"/>
                    <w:rPr>
                      <w:sz w:val="18"/>
                      <w:szCs w:val="18"/>
                    </w:rPr>
                  </w:pPr>
                  <w:r>
                    <w:rPr>
                      <w:spacing w:val="-1"/>
                      <w:sz w:val="18"/>
                      <w:szCs w:val="18"/>
                    </w:rPr>
                    <w:t>地下原料堆场卸料口</w:t>
                  </w:r>
                </w:p>
              </w:tc>
              <w:tc>
                <w:tcPr>
                  <w:tcW w:w="1160" w:type="dxa"/>
                  <w:vAlign w:val="top"/>
                </w:tcPr>
                <w:p w14:paraId="297E7B4B">
                  <w:pPr>
                    <w:pStyle w:val="6"/>
                    <w:spacing w:before="55" w:line="205" w:lineRule="auto"/>
                    <w:ind w:left="405"/>
                    <w:rPr>
                      <w:sz w:val="18"/>
                      <w:szCs w:val="18"/>
                    </w:rPr>
                  </w:pPr>
                  <w:r>
                    <w:rPr>
                      <w:spacing w:val="-4"/>
                      <w:sz w:val="18"/>
                      <w:szCs w:val="18"/>
                    </w:rPr>
                    <w:t>粉尘</w:t>
                  </w:r>
                </w:p>
              </w:tc>
              <w:tc>
                <w:tcPr>
                  <w:tcW w:w="1936" w:type="dxa"/>
                  <w:vAlign w:val="top"/>
                </w:tcPr>
                <w:p w14:paraId="1E3F2ABA">
                  <w:pPr>
                    <w:pStyle w:val="6"/>
                    <w:spacing w:before="55" w:line="205" w:lineRule="auto"/>
                    <w:ind w:left="704"/>
                    <w:rPr>
                      <w:sz w:val="18"/>
                      <w:szCs w:val="18"/>
                    </w:rPr>
                  </w:pPr>
                  <w:r>
                    <w:rPr>
                      <w:spacing w:val="-3"/>
                      <w:sz w:val="18"/>
                      <w:szCs w:val="18"/>
                    </w:rPr>
                    <w:t>无组织</w:t>
                  </w:r>
                </w:p>
              </w:tc>
            </w:tr>
            <w:tr w14:paraId="1809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76745F65">
                  <w:pPr>
                    <w:pStyle w:val="6"/>
                    <w:spacing w:before="82" w:line="177" w:lineRule="auto"/>
                    <w:ind w:left="255"/>
                    <w:rPr>
                      <w:sz w:val="18"/>
                      <w:szCs w:val="18"/>
                    </w:rPr>
                  </w:pPr>
                  <w:r>
                    <w:rPr>
                      <w:sz w:val="18"/>
                      <w:szCs w:val="18"/>
                    </w:rPr>
                    <w:t>2</w:t>
                  </w:r>
                </w:p>
              </w:tc>
              <w:tc>
                <w:tcPr>
                  <w:tcW w:w="1671" w:type="dxa"/>
                  <w:vAlign w:val="top"/>
                </w:tcPr>
                <w:p w14:paraId="3B7E8568">
                  <w:pPr>
                    <w:pStyle w:val="6"/>
                    <w:spacing w:before="54" w:line="206" w:lineRule="auto"/>
                    <w:ind w:left="120"/>
                    <w:rPr>
                      <w:sz w:val="18"/>
                      <w:szCs w:val="18"/>
                    </w:rPr>
                  </w:pPr>
                  <w:r>
                    <w:rPr>
                      <w:spacing w:val="-2"/>
                      <w:sz w:val="18"/>
                      <w:szCs w:val="18"/>
                    </w:rPr>
                    <w:t>建筑垃圾破碎筛分</w:t>
                  </w:r>
                </w:p>
              </w:tc>
              <w:tc>
                <w:tcPr>
                  <w:tcW w:w="2426" w:type="dxa"/>
                  <w:vAlign w:val="top"/>
                </w:tcPr>
                <w:p w14:paraId="53B5539D">
                  <w:pPr>
                    <w:pStyle w:val="6"/>
                    <w:spacing w:before="54" w:line="206" w:lineRule="auto"/>
                    <w:ind w:left="136"/>
                    <w:rPr>
                      <w:sz w:val="18"/>
                      <w:szCs w:val="18"/>
                    </w:rPr>
                  </w:pPr>
                  <w:r>
                    <w:rPr>
                      <w:spacing w:val="-1"/>
                      <w:sz w:val="18"/>
                      <w:szCs w:val="18"/>
                    </w:rPr>
                    <w:t>地下原料堆场颚破及筛分机</w:t>
                  </w:r>
                </w:p>
              </w:tc>
              <w:tc>
                <w:tcPr>
                  <w:tcW w:w="1160" w:type="dxa"/>
                  <w:vAlign w:val="top"/>
                </w:tcPr>
                <w:p w14:paraId="79D41653">
                  <w:pPr>
                    <w:pStyle w:val="6"/>
                    <w:spacing w:before="54" w:line="206" w:lineRule="auto"/>
                    <w:ind w:left="405"/>
                    <w:rPr>
                      <w:sz w:val="18"/>
                      <w:szCs w:val="18"/>
                    </w:rPr>
                  </w:pPr>
                  <w:r>
                    <w:rPr>
                      <w:spacing w:val="-4"/>
                      <w:sz w:val="18"/>
                      <w:szCs w:val="18"/>
                    </w:rPr>
                    <w:t>粉尘</w:t>
                  </w:r>
                </w:p>
              </w:tc>
              <w:tc>
                <w:tcPr>
                  <w:tcW w:w="1936" w:type="dxa"/>
                  <w:vAlign w:val="top"/>
                </w:tcPr>
                <w:p w14:paraId="38890E4B">
                  <w:pPr>
                    <w:pStyle w:val="6"/>
                    <w:spacing w:before="54" w:line="206" w:lineRule="auto"/>
                    <w:ind w:left="704"/>
                    <w:rPr>
                      <w:sz w:val="18"/>
                      <w:szCs w:val="18"/>
                    </w:rPr>
                  </w:pPr>
                  <w:r>
                    <w:rPr>
                      <w:spacing w:val="-3"/>
                      <w:sz w:val="18"/>
                      <w:szCs w:val="18"/>
                    </w:rPr>
                    <w:t>无组织</w:t>
                  </w:r>
                </w:p>
              </w:tc>
            </w:tr>
            <w:tr w14:paraId="646D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14DEB0AD">
                  <w:pPr>
                    <w:pStyle w:val="6"/>
                    <w:spacing w:before="84" w:line="175" w:lineRule="auto"/>
                    <w:ind w:left="257"/>
                    <w:rPr>
                      <w:sz w:val="18"/>
                      <w:szCs w:val="18"/>
                    </w:rPr>
                  </w:pPr>
                  <w:r>
                    <w:rPr>
                      <w:sz w:val="18"/>
                      <w:szCs w:val="18"/>
                    </w:rPr>
                    <w:t>3</w:t>
                  </w:r>
                </w:p>
              </w:tc>
              <w:tc>
                <w:tcPr>
                  <w:tcW w:w="1671" w:type="dxa"/>
                  <w:vAlign w:val="top"/>
                </w:tcPr>
                <w:p w14:paraId="5ACA39A0">
                  <w:pPr>
                    <w:pStyle w:val="6"/>
                    <w:spacing w:before="55" w:line="205" w:lineRule="auto"/>
                    <w:ind w:left="300"/>
                    <w:rPr>
                      <w:sz w:val="18"/>
                      <w:szCs w:val="18"/>
                    </w:rPr>
                  </w:pPr>
                  <w:r>
                    <w:rPr>
                      <w:spacing w:val="-2"/>
                      <w:sz w:val="18"/>
                      <w:szCs w:val="18"/>
                    </w:rPr>
                    <w:t>建筑垃圾上料</w:t>
                  </w:r>
                </w:p>
              </w:tc>
              <w:tc>
                <w:tcPr>
                  <w:tcW w:w="2426" w:type="dxa"/>
                  <w:vAlign w:val="top"/>
                </w:tcPr>
                <w:p w14:paraId="0744AF24">
                  <w:pPr>
                    <w:pStyle w:val="6"/>
                    <w:spacing w:before="55" w:line="205" w:lineRule="auto"/>
                    <w:ind w:left="496"/>
                    <w:rPr>
                      <w:sz w:val="18"/>
                      <w:szCs w:val="18"/>
                    </w:rPr>
                  </w:pPr>
                  <w:r>
                    <w:rPr>
                      <w:spacing w:val="-1"/>
                      <w:sz w:val="18"/>
                      <w:szCs w:val="18"/>
                    </w:rPr>
                    <w:t>地下原料堆场料斗</w:t>
                  </w:r>
                </w:p>
              </w:tc>
              <w:tc>
                <w:tcPr>
                  <w:tcW w:w="1160" w:type="dxa"/>
                  <w:vAlign w:val="top"/>
                </w:tcPr>
                <w:p w14:paraId="70B70D28">
                  <w:pPr>
                    <w:pStyle w:val="6"/>
                    <w:spacing w:before="55" w:line="205" w:lineRule="auto"/>
                    <w:ind w:left="405"/>
                    <w:rPr>
                      <w:sz w:val="18"/>
                      <w:szCs w:val="18"/>
                    </w:rPr>
                  </w:pPr>
                  <w:r>
                    <w:rPr>
                      <w:spacing w:val="-4"/>
                      <w:sz w:val="18"/>
                      <w:szCs w:val="18"/>
                    </w:rPr>
                    <w:t>粉尘</w:t>
                  </w:r>
                </w:p>
              </w:tc>
              <w:tc>
                <w:tcPr>
                  <w:tcW w:w="1936" w:type="dxa"/>
                  <w:vAlign w:val="top"/>
                </w:tcPr>
                <w:p w14:paraId="5A731414">
                  <w:pPr>
                    <w:pStyle w:val="6"/>
                    <w:spacing w:before="55" w:line="205" w:lineRule="auto"/>
                    <w:ind w:left="704"/>
                    <w:rPr>
                      <w:sz w:val="18"/>
                      <w:szCs w:val="18"/>
                    </w:rPr>
                  </w:pPr>
                  <w:r>
                    <w:rPr>
                      <w:spacing w:val="-3"/>
                      <w:sz w:val="18"/>
                      <w:szCs w:val="18"/>
                    </w:rPr>
                    <w:t>无组织</w:t>
                  </w:r>
                </w:p>
              </w:tc>
            </w:tr>
            <w:tr w14:paraId="07990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89" w:type="dxa"/>
                  <w:vAlign w:val="top"/>
                </w:tcPr>
                <w:p w14:paraId="1ACE04C4">
                  <w:pPr>
                    <w:pStyle w:val="6"/>
                    <w:spacing w:before="214" w:line="183" w:lineRule="auto"/>
                    <w:ind w:left="252"/>
                    <w:rPr>
                      <w:sz w:val="18"/>
                      <w:szCs w:val="18"/>
                    </w:rPr>
                  </w:pPr>
                  <w:r>
                    <w:rPr>
                      <w:sz w:val="18"/>
                      <w:szCs w:val="18"/>
                    </w:rPr>
                    <w:t>4</w:t>
                  </w:r>
                </w:p>
              </w:tc>
              <w:tc>
                <w:tcPr>
                  <w:tcW w:w="1671" w:type="dxa"/>
                  <w:vAlign w:val="top"/>
                </w:tcPr>
                <w:p w14:paraId="7334126A">
                  <w:pPr>
                    <w:pStyle w:val="6"/>
                    <w:spacing w:before="53" w:line="236" w:lineRule="auto"/>
                    <w:ind w:left="210" w:right="115" w:hanging="90"/>
                    <w:rPr>
                      <w:sz w:val="18"/>
                      <w:szCs w:val="18"/>
                    </w:rPr>
                  </w:pPr>
                  <w:r>
                    <w:rPr>
                      <w:spacing w:val="-2"/>
                      <w:sz w:val="18"/>
                      <w:szCs w:val="18"/>
                    </w:rPr>
                    <w:t>水泥、粉煤灰、石</w:t>
                  </w:r>
                  <w:r>
                    <w:rPr>
                      <w:spacing w:val="5"/>
                      <w:sz w:val="18"/>
                      <w:szCs w:val="18"/>
                    </w:rPr>
                    <w:t xml:space="preserve"> </w:t>
                  </w:r>
                  <w:r>
                    <w:rPr>
                      <w:spacing w:val="-2"/>
                      <w:sz w:val="18"/>
                      <w:szCs w:val="18"/>
                    </w:rPr>
                    <w:t>灰等上料至筒仓</w:t>
                  </w:r>
                </w:p>
              </w:tc>
              <w:tc>
                <w:tcPr>
                  <w:tcW w:w="2426" w:type="dxa"/>
                  <w:vAlign w:val="top"/>
                </w:tcPr>
                <w:p w14:paraId="2032744D">
                  <w:pPr>
                    <w:pStyle w:val="6"/>
                    <w:spacing w:before="53" w:line="236" w:lineRule="auto"/>
                    <w:ind w:left="766" w:right="131" w:hanging="626"/>
                    <w:rPr>
                      <w:sz w:val="18"/>
                      <w:szCs w:val="18"/>
                    </w:rPr>
                  </w:pPr>
                  <w:r>
                    <w:rPr>
                      <w:spacing w:val="-1"/>
                      <w:sz w:val="18"/>
                      <w:szCs w:val="18"/>
                    </w:rPr>
                    <w:t>原料筒仓（砌块车间或干混</w:t>
                  </w:r>
                  <w:r>
                    <w:rPr>
                      <w:sz w:val="18"/>
                      <w:szCs w:val="18"/>
                    </w:rPr>
                    <w:t xml:space="preserve"> </w:t>
                  </w:r>
                  <w:r>
                    <w:rPr>
                      <w:spacing w:val="-2"/>
                      <w:sz w:val="18"/>
                      <w:szCs w:val="18"/>
                    </w:rPr>
                    <w:t>砂浆车间）</w:t>
                  </w:r>
                </w:p>
              </w:tc>
              <w:tc>
                <w:tcPr>
                  <w:tcW w:w="1160" w:type="dxa"/>
                  <w:vAlign w:val="top"/>
                </w:tcPr>
                <w:p w14:paraId="2DA3E5CC">
                  <w:pPr>
                    <w:pStyle w:val="6"/>
                    <w:spacing w:before="186" w:line="219" w:lineRule="auto"/>
                    <w:ind w:left="405"/>
                    <w:rPr>
                      <w:sz w:val="18"/>
                      <w:szCs w:val="18"/>
                    </w:rPr>
                  </w:pPr>
                  <w:r>
                    <w:rPr>
                      <w:spacing w:val="-4"/>
                      <w:sz w:val="18"/>
                      <w:szCs w:val="18"/>
                    </w:rPr>
                    <w:t>粉尘</w:t>
                  </w:r>
                </w:p>
              </w:tc>
              <w:tc>
                <w:tcPr>
                  <w:tcW w:w="1936" w:type="dxa"/>
                  <w:vAlign w:val="top"/>
                </w:tcPr>
                <w:p w14:paraId="3DA50B3D">
                  <w:pPr>
                    <w:pStyle w:val="6"/>
                    <w:spacing w:before="186" w:line="220" w:lineRule="auto"/>
                    <w:ind w:left="704"/>
                    <w:rPr>
                      <w:sz w:val="18"/>
                      <w:szCs w:val="18"/>
                    </w:rPr>
                  </w:pPr>
                  <w:r>
                    <w:rPr>
                      <w:spacing w:val="-3"/>
                      <w:sz w:val="18"/>
                      <w:szCs w:val="18"/>
                    </w:rPr>
                    <w:t>无组织</w:t>
                  </w:r>
                </w:p>
              </w:tc>
            </w:tr>
            <w:tr w14:paraId="079B4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1C02DDBE">
                  <w:pPr>
                    <w:pStyle w:val="6"/>
                    <w:spacing w:before="85" w:line="174" w:lineRule="auto"/>
                    <w:ind w:left="257"/>
                    <w:rPr>
                      <w:sz w:val="18"/>
                      <w:szCs w:val="18"/>
                    </w:rPr>
                  </w:pPr>
                  <w:r>
                    <w:rPr>
                      <w:sz w:val="18"/>
                      <w:szCs w:val="18"/>
                    </w:rPr>
                    <w:t>5</w:t>
                  </w:r>
                </w:p>
              </w:tc>
              <w:tc>
                <w:tcPr>
                  <w:tcW w:w="1671" w:type="dxa"/>
                  <w:vAlign w:val="top"/>
                </w:tcPr>
                <w:p w14:paraId="60F35751">
                  <w:pPr>
                    <w:pStyle w:val="6"/>
                    <w:spacing w:before="56" w:line="204" w:lineRule="auto"/>
                    <w:ind w:left="119"/>
                    <w:rPr>
                      <w:sz w:val="18"/>
                      <w:szCs w:val="18"/>
                    </w:rPr>
                  </w:pPr>
                  <w:r>
                    <w:rPr>
                      <w:spacing w:val="-2"/>
                      <w:sz w:val="18"/>
                      <w:szCs w:val="18"/>
                    </w:rPr>
                    <w:t>乳胶粉等小料上料</w:t>
                  </w:r>
                </w:p>
              </w:tc>
              <w:tc>
                <w:tcPr>
                  <w:tcW w:w="2426" w:type="dxa"/>
                  <w:vAlign w:val="top"/>
                </w:tcPr>
                <w:p w14:paraId="2EF34F22">
                  <w:pPr>
                    <w:pStyle w:val="6"/>
                    <w:spacing w:before="56" w:line="204" w:lineRule="auto"/>
                    <w:ind w:left="138"/>
                    <w:rPr>
                      <w:sz w:val="18"/>
                      <w:szCs w:val="18"/>
                    </w:rPr>
                  </w:pPr>
                  <w:r>
                    <w:rPr>
                      <w:spacing w:val="-1"/>
                      <w:sz w:val="18"/>
                      <w:szCs w:val="18"/>
                    </w:rPr>
                    <w:t>上料平台（干混砂浆车间）</w:t>
                  </w:r>
                </w:p>
              </w:tc>
              <w:tc>
                <w:tcPr>
                  <w:tcW w:w="1160" w:type="dxa"/>
                  <w:vAlign w:val="top"/>
                </w:tcPr>
                <w:p w14:paraId="75EB6CE6">
                  <w:pPr>
                    <w:pStyle w:val="6"/>
                    <w:spacing w:before="56" w:line="204" w:lineRule="auto"/>
                    <w:ind w:left="405"/>
                    <w:rPr>
                      <w:sz w:val="18"/>
                      <w:szCs w:val="18"/>
                    </w:rPr>
                  </w:pPr>
                  <w:r>
                    <w:rPr>
                      <w:spacing w:val="-4"/>
                      <w:sz w:val="18"/>
                      <w:szCs w:val="18"/>
                    </w:rPr>
                    <w:t>粉尘</w:t>
                  </w:r>
                </w:p>
              </w:tc>
              <w:tc>
                <w:tcPr>
                  <w:tcW w:w="1936" w:type="dxa"/>
                  <w:vAlign w:val="top"/>
                </w:tcPr>
                <w:p w14:paraId="0A3C3C7B">
                  <w:pPr>
                    <w:pStyle w:val="6"/>
                    <w:spacing w:before="56" w:line="204" w:lineRule="auto"/>
                    <w:ind w:left="704"/>
                    <w:rPr>
                      <w:sz w:val="18"/>
                      <w:szCs w:val="18"/>
                    </w:rPr>
                  </w:pPr>
                  <w:r>
                    <w:rPr>
                      <w:spacing w:val="-3"/>
                      <w:sz w:val="18"/>
                      <w:szCs w:val="18"/>
                    </w:rPr>
                    <w:t>无组织</w:t>
                  </w:r>
                </w:p>
              </w:tc>
            </w:tr>
            <w:tr w14:paraId="78E1B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89" w:type="dxa"/>
                  <w:vAlign w:val="top"/>
                </w:tcPr>
                <w:p w14:paraId="4A7A7073">
                  <w:pPr>
                    <w:pStyle w:val="6"/>
                    <w:spacing w:before="85" w:line="173" w:lineRule="auto"/>
                    <w:ind w:left="254"/>
                    <w:rPr>
                      <w:sz w:val="18"/>
                      <w:szCs w:val="18"/>
                    </w:rPr>
                  </w:pPr>
                  <w:r>
                    <w:rPr>
                      <w:sz w:val="18"/>
                      <w:szCs w:val="18"/>
                    </w:rPr>
                    <w:t>6</w:t>
                  </w:r>
                </w:p>
              </w:tc>
              <w:tc>
                <w:tcPr>
                  <w:tcW w:w="1671" w:type="dxa"/>
                  <w:vMerge w:val="restart"/>
                  <w:tcBorders>
                    <w:bottom w:val="nil"/>
                  </w:tcBorders>
                  <w:vAlign w:val="top"/>
                </w:tcPr>
                <w:p w14:paraId="0609CC42">
                  <w:pPr>
                    <w:spacing w:line="265" w:lineRule="auto"/>
                    <w:rPr>
                      <w:rFonts w:ascii="Arial"/>
                      <w:sz w:val="21"/>
                    </w:rPr>
                  </w:pPr>
                </w:p>
                <w:p w14:paraId="5FFB7DB0">
                  <w:pPr>
                    <w:pStyle w:val="6"/>
                    <w:spacing w:before="59" w:line="219" w:lineRule="auto"/>
                    <w:ind w:left="387"/>
                    <w:rPr>
                      <w:sz w:val="18"/>
                      <w:szCs w:val="18"/>
                    </w:rPr>
                  </w:pPr>
                  <w:r>
                    <w:rPr>
                      <w:spacing w:val="-2"/>
                      <w:sz w:val="18"/>
                      <w:szCs w:val="18"/>
                    </w:rPr>
                    <w:t>钢筋网加工</w:t>
                  </w:r>
                </w:p>
              </w:tc>
              <w:tc>
                <w:tcPr>
                  <w:tcW w:w="2426" w:type="dxa"/>
                  <w:vAlign w:val="top"/>
                </w:tcPr>
                <w:p w14:paraId="24FA5031">
                  <w:pPr>
                    <w:pStyle w:val="6"/>
                    <w:spacing w:before="57" w:line="202" w:lineRule="auto"/>
                    <w:ind w:left="226"/>
                    <w:rPr>
                      <w:sz w:val="18"/>
                      <w:szCs w:val="18"/>
                    </w:rPr>
                  </w:pPr>
                  <w:r>
                    <w:rPr>
                      <w:spacing w:val="-1"/>
                      <w:sz w:val="18"/>
                      <w:szCs w:val="18"/>
                    </w:rPr>
                    <w:t>钢筋切割机（砌块车间）</w:t>
                  </w:r>
                </w:p>
              </w:tc>
              <w:tc>
                <w:tcPr>
                  <w:tcW w:w="1160" w:type="dxa"/>
                  <w:vAlign w:val="top"/>
                </w:tcPr>
                <w:p w14:paraId="61489160">
                  <w:pPr>
                    <w:pStyle w:val="6"/>
                    <w:spacing w:before="57" w:line="202" w:lineRule="auto"/>
                    <w:ind w:left="405"/>
                    <w:rPr>
                      <w:sz w:val="18"/>
                      <w:szCs w:val="18"/>
                    </w:rPr>
                  </w:pPr>
                  <w:r>
                    <w:rPr>
                      <w:spacing w:val="-4"/>
                      <w:sz w:val="18"/>
                      <w:szCs w:val="18"/>
                    </w:rPr>
                    <w:t>粉尘</w:t>
                  </w:r>
                </w:p>
              </w:tc>
              <w:tc>
                <w:tcPr>
                  <w:tcW w:w="1936" w:type="dxa"/>
                  <w:vAlign w:val="top"/>
                </w:tcPr>
                <w:p w14:paraId="33110498">
                  <w:pPr>
                    <w:pStyle w:val="6"/>
                    <w:spacing w:before="57" w:line="202" w:lineRule="auto"/>
                    <w:ind w:left="704"/>
                    <w:rPr>
                      <w:sz w:val="18"/>
                      <w:szCs w:val="18"/>
                    </w:rPr>
                  </w:pPr>
                  <w:r>
                    <w:rPr>
                      <w:spacing w:val="-3"/>
                      <w:sz w:val="18"/>
                      <w:szCs w:val="18"/>
                    </w:rPr>
                    <w:t>无组织</w:t>
                  </w:r>
                </w:p>
              </w:tc>
            </w:tr>
            <w:tr w14:paraId="201B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56DA0993">
                  <w:pPr>
                    <w:pStyle w:val="6"/>
                    <w:spacing w:before="86" w:line="173" w:lineRule="auto"/>
                    <w:ind w:left="257"/>
                    <w:rPr>
                      <w:sz w:val="18"/>
                      <w:szCs w:val="18"/>
                    </w:rPr>
                  </w:pPr>
                  <w:r>
                    <w:rPr>
                      <w:sz w:val="18"/>
                      <w:szCs w:val="18"/>
                    </w:rPr>
                    <w:t>7</w:t>
                  </w:r>
                </w:p>
              </w:tc>
              <w:tc>
                <w:tcPr>
                  <w:tcW w:w="1671" w:type="dxa"/>
                  <w:vMerge w:val="continue"/>
                  <w:tcBorders>
                    <w:top w:val="nil"/>
                    <w:bottom w:val="nil"/>
                  </w:tcBorders>
                  <w:vAlign w:val="top"/>
                </w:tcPr>
                <w:p w14:paraId="2F1685C4">
                  <w:pPr>
                    <w:rPr>
                      <w:rFonts w:ascii="Arial"/>
                      <w:sz w:val="21"/>
                    </w:rPr>
                  </w:pPr>
                </w:p>
              </w:tc>
              <w:tc>
                <w:tcPr>
                  <w:tcW w:w="2426" w:type="dxa"/>
                  <w:vAlign w:val="top"/>
                </w:tcPr>
                <w:p w14:paraId="118C1DDF">
                  <w:pPr>
                    <w:pStyle w:val="6"/>
                    <w:spacing w:before="57" w:line="203" w:lineRule="auto"/>
                    <w:ind w:left="226"/>
                    <w:rPr>
                      <w:sz w:val="18"/>
                      <w:szCs w:val="18"/>
                    </w:rPr>
                  </w:pPr>
                  <w:r>
                    <w:rPr>
                      <w:spacing w:val="-1"/>
                      <w:sz w:val="18"/>
                      <w:szCs w:val="18"/>
                    </w:rPr>
                    <w:t>钢筋碰焊机（砌块车间）</w:t>
                  </w:r>
                </w:p>
              </w:tc>
              <w:tc>
                <w:tcPr>
                  <w:tcW w:w="1160" w:type="dxa"/>
                  <w:vAlign w:val="top"/>
                </w:tcPr>
                <w:p w14:paraId="34695980">
                  <w:pPr>
                    <w:pStyle w:val="6"/>
                    <w:spacing w:before="57" w:line="203" w:lineRule="auto"/>
                    <w:ind w:left="406"/>
                    <w:rPr>
                      <w:sz w:val="18"/>
                      <w:szCs w:val="18"/>
                    </w:rPr>
                  </w:pPr>
                  <w:r>
                    <w:rPr>
                      <w:spacing w:val="-4"/>
                      <w:sz w:val="18"/>
                      <w:szCs w:val="18"/>
                    </w:rPr>
                    <w:t>烟尘</w:t>
                  </w:r>
                </w:p>
              </w:tc>
              <w:tc>
                <w:tcPr>
                  <w:tcW w:w="1936" w:type="dxa"/>
                  <w:vAlign w:val="top"/>
                </w:tcPr>
                <w:p w14:paraId="5FF264E2">
                  <w:pPr>
                    <w:pStyle w:val="6"/>
                    <w:spacing w:before="57" w:line="203" w:lineRule="auto"/>
                    <w:ind w:left="704"/>
                    <w:rPr>
                      <w:sz w:val="18"/>
                      <w:szCs w:val="18"/>
                    </w:rPr>
                  </w:pPr>
                  <w:r>
                    <w:rPr>
                      <w:spacing w:val="-3"/>
                      <w:sz w:val="18"/>
                      <w:szCs w:val="18"/>
                    </w:rPr>
                    <w:t>无组织</w:t>
                  </w:r>
                </w:p>
              </w:tc>
            </w:tr>
            <w:tr w14:paraId="5906E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1672DC46">
                  <w:pPr>
                    <w:pStyle w:val="6"/>
                    <w:spacing w:before="86" w:line="173" w:lineRule="auto"/>
                    <w:ind w:left="254"/>
                    <w:rPr>
                      <w:sz w:val="18"/>
                      <w:szCs w:val="18"/>
                    </w:rPr>
                  </w:pPr>
                  <w:r>
                    <w:rPr>
                      <w:sz w:val="18"/>
                      <w:szCs w:val="18"/>
                    </w:rPr>
                    <w:t>8</w:t>
                  </w:r>
                </w:p>
              </w:tc>
              <w:tc>
                <w:tcPr>
                  <w:tcW w:w="1671" w:type="dxa"/>
                  <w:vMerge w:val="continue"/>
                  <w:tcBorders>
                    <w:top w:val="nil"/>
                  </w:tcBorders>
                  <w:vAlign w:val="top"/>
                </w:tcPr>
                <w:p w14:paraId="7D294151">
                  <w:pPr>
                    <w:rPr>
                      <w:rFonts w:ascii="Arial"/>
                      <w:sz w:val="21"/>
                    </w:rPr>
                  </w:pPr>
                </w:p>
              </w:tc>
              <w:tc>
                <w:tcPr>
                  <w:tcW w:w="2426" w:type="dxa"/>
                  <w:vAlign w:val="top"/>
                </w:tcPr>
                <w:p w14:paraId="61974E68">
                  <w:pPr>
                    <w:pStyle w:val="6"/>
                    <w:spacing w:before="58" w:line="202" w:lineRule="auto"/>
                    <w:ind w:left="227"/>
                    <w:rPr>
                      <w:sz w:val="18"/>
                      <w:szCs w:val="18"/>
                    </w:rPr>
                  </w:pPr>
                  <w:r>
                    <w:rPr>
                      <w:spacing w:val="-1"/>
                      <w:sz w:val="18"/>
                      <w:szCs w:val="18"/>
                    </w:rPr>
                    <w:t>浸漆和烘干（砌块车间）</w:t>
                  </w:r>
                </w:p>
              </w:tc>
              <w:tc>
                <w:tcPr>
                  <w:tcW w:w="1160" w:type="dxa"/>
                  <w:vAlign w:val="top"/>
                </w:tcPr>
                <w:p w14:paraId="7433CE3A">
                  <w:pPr>
                    <w:pStyle w:val="6"/>
                    <w:spacing w:before="86" w:line="173" w:lineRule="auto"/>
                    <w:ind w:left="425"/>
                    <w:rPr>
                      <w:sz w:val="8"/>
                      <w:szCs w:val="8"/>
                    </w:rPr>
                  </w:pPr>
                  <w:r>
                    <w:rPr>
                      <w:sz w:val="18"/>
                      <w:szCs w:val="18"/>
                    </w:rPr>
                    <w:t>VOC</w:t>
                  </w:r>
                  <w:r>
                    <w:rPr>
                      <w:position w:val="-2"/>
                      <w:sz w:val="8"/>
                      <w:szCs w:val="8"/>
                    </w:rPr>
                    <w:t>s</w:t>
                  </w:r>
                </w:p>
              </w:tc>
              <w:tc>
                <w:tcPr>
                  <w:tcW w:w="1936" w:type="dxa"/>
                  <w:vAlign w:val="top"/>
                </w:tcPr>
                <w:p w14:paraId="3C35B374">
                  <w:pPr>
                    <w:pStyle w:val="6"/>
                    <w:spacing w:before="58" w:line="202" w:lineRule="auto"/>
                    <w:ind w:left="703"/>
                    <w:rPr>
                      <w:sz w:val="18"/>
                      <w:szCs w:val="18"/>
                    </w:rPr>
                  </w:pPr>
                  <w:r>
                    <w:rPr>
                      <w:spacing w:val="-3"/>
                      <w:sz w:val="18"/>
                      <w:szCs w:val="18"/>
                    </w:rPr>
                    <w:t>有组织</w:t>
                  </w:r>
                </w:p>
              </w:tc>
            </w:tr>
            <w:tr w14:paraId="70DC9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89" w:type="dxa"/>
                  <w:vAlign w:val="top"/>
                </w:tcPr>
                <w:p w14:paraId="7AC1CC87">
                  <w:pPr>
                    <w:pStyle w:val="6"/>
                    <w:spacing w:before="214" w:line="183" w:lineRule="auto"/>
                    <w:ind w:left="254"/>
                    <w:rPr>
                      <w:sz w:val="18"/>
                      <w:szCs w:val="18"/>
                    </w:rPr>
                  </w:pPr>
                  <w:r>
                    <w:rPr>
                      <w:sz w:val="18"/>
                      <w:szCs w:val="18"/>
                    </w:rPr>
                    <w:t>9</w:t>
                  </w:r>
                </w:p>
              </w:tc>
              <w:tc>
                <w:tcPr>
                  <w:tcW w:w="1671" w:type="dxa"/>
                  <w:vMerge w:val="restart"/>
                  <w:tcBorders>
                    <w:bottom w:val="nil"/>
                  </w:tcBorders>
                  <w:vAlign w:val="top"/>
                </w:tcPr>
                <w:p w14:paraId="19371E9F">
                  <w:pPr>
                    <w:spacing w:line="262" w:lineRule="auto"/>
                    <w:rPr>
                      <w:rFonts w:ascii="Arial"/>
                      <w:sz w:val="21"/>
                    </w:rPr>
                  </w:pPr>
                </w:p>
                <w:p w14:paraId="043120C4">
                  <w:pPr>
                    <w:pStyle w:val="6"/>
                    <w:spacing w:before="59" w:line="219" w:lineRule="auto"/>
                    <w:ind w:left="208"/>
                    <w:rPr>
                      <w:sz w:val="18"/>
                      <w:szCs w:val="18"/>
                    </w:rPr>
                  </w:pPr>
                  <w:r>
                    <w:rPr>
                      <w:spacing w:val="-1"/>
                      <w:sz w:val="18"/>
                      <w:szCs w:val="18"/>
                    </w:rPr>
                    <w:t>黄沙烘干、贮存</w:t>
                  </w:r>
                </w:p>
              </w:tc>
              <w:tc>
                <w:tcPr>
                  <w:tcW w:w="2426" w:type="dxa"/>
                  <w:vAlign w:val="top"/>
                </w:tcPr>
                <w:p w14:paraId="3D5B644C">
                  <w:pPr>
                    <w:pStyle w:val="6"/>
                    <w:spacing w:before="57" w:line="234" w:lineRule="auto"/>
                    <w:ind w:left="856" w:right="131" w:hanging="720"/>
                    <w:rPr>
                      <w:sz w:val="18"/>
                      <w:szCs w:val="18"/>
                    </w:rPr>
                  </w:pPr>
                  <w:r>
                    <w:rPr>
                      <w:spacing w:val="-1"/>
                      <w:sz w:val="18"/>
                      <w:szCs w:val="18"/>
                    </w:rPr>
                    <w:t>三回程筒式烘干机（干混砂</w:t>
                  </w:r>
                  <w:r>
                    <w:rPr>
                      <w:spacing w:val="3"/>
                      <w:sz w:val="18"/>
                      <w:szCs w:val="18"/>
                    </w:rPr>
                    <w:t xml:space="preserve"> </w:t>
                  </w:r>
                  <w:r>
                    <w:rPr>
                      <w:spacing w:val="-2"/>
                      <w:sz w:val="18"/>
                      <w:szCs w:val="18"/>
                    </w:rPr>
                    <w:t>浆车间）</w:t>
                  </w:r>
                </w:p>
              </w:tc>
              <w:tc>
                <w:tcPr>
                  <w:tcW w:w="1160" w:type="dxa"/>
                  <w:vAlign w:val="top"/>
                </w:tcPr>
                <w:p w14:paraId="380E6DA8">
                  <w:pPr>
                    <w:pStyle w:val="6"/>
                    <w:spacing w:before="186" w:line="219" w:lineRule="auto"/>
                    <w:ind w:left="405"/>
                    <w:rPr>
                      <w:sz w:val="18"/>
                      <w:szCs w:val="18"/>
                    </w:rPr>
                  </w:pPr>
                  <w:r>
                    <w:rPr>
                      <w:spacing w:val="-4"/>
                      <w:sz w:val="18"/>
                      <w:szCs w:val="18"/>
                    </w:rPr>
                    <w:t>粉尘</w:t>
                  </w:r>
                </w:p>
              </w:tc>
              <w:tc>
                <w:tcPr>
                  <w:tcW w:w="1936" w:type="dxa"/>
                  <w:vAlign w:val="top"/>
                </w:tcPr>
                <w:p w14:paraId="7DF34556">
                  <w:pPr>
                    <w:pStyle w:val="6"/>
                    <w:spacing w:before="186" w:line="220" w:lineRule="auto"/>
                    <w:ind w:left="704"/>
                    <w:rPr>
                      <w:sz w:val="18"/>
                      <w:szCs w:val="18"/>
                    </w:rPr>
                  </w:pPr>
                  <w:r>
                    <w:rPr>
                      <w:spacing w:val="-3"/>
                      <w:sz w:val="18"/>
                      <w:szCs w:val="18"/>
                    </w:rPr>
                    <w:t>无组织</w:t>
                  </w:r>
                </w:p>
              </w:tc>
            </w:tr>
            <w:tr w14:paraId="65403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7D4BE016">
                  <w:pPr>
                    <w:pStyle w:val="6"/>
                    <w:spacing w:before="86" w:line="173" w:lineRule="auto"/>
                    <w:ind w:left="221"/>
                    <w:rPr>
                      <w:sz w:val="18"/>
                      <w:szCs w:val="18"/>
                    </w:rPr>
                  </w:pPr>
                  <w:r>
                    <w:rPr>
                      <w:spacing w:val="-10"/>
                      <w:sz w:val="18"/>
                      <w:szCs w:val="18"/>
                    </w:rPr>
                    <w:t>10</w:t>
                  </w:r>
                </w:p>
              </w:tc>
              <w:tc>
                <w:tcPr>
                  <w:tcW w:w="1671" w:type="dxa"/>
                  <w:vMerge w:val="continue"/>
                  <w:tcBorders>
                    <w:top w:val="nil"/>
                  </w:tcBorders>
                  <w:vAlign w:val="top"/>
                </w:tcPr>
                <w:p w14:paraId="68411E66">
                  <w:pPr>
                    <w:rPr>
                      <w:rFonts w:ascii="Arial"/>
                      <w:sz w:val="21"/>
                    </w:rPr>
                  </w:pPr>
                </w:p>
              </w:tc>
              <w:tc>
                <w:tcPr>
                  <w:tcW w:w="2426" w:type="dxa"/>
                  <w:vAlign w:val="top"/>
                </w:tcPr>
                <w:p w14:paraId="4EBCE308">
                  <w:pPr>
                    <w:pStyle w:val="6"/>
                    <w:spacing w:before="58" w:line="202" w:lineRule="auto"/>
                    <w:jc w:val="right"/>
                    <w:rPr>
                      <w:sz w:val="18"/>
                      <w:szCs w:val="18"/>
                    </w:rPr>
                  </w:pPr>
                  <w:r>
                    <w:rPr>
                      <w:spacing w:val="-3"/>
                      <w:sz w:val="18"/>
                      <w:szCs w:val="18"/>
                    </w:rPr>
                    <w:t>提升至筒仓（干混砂浆车间）</w:t>
                  </w:r>
                </w:p>
              </w:tc>
              <w:tc>
                <w:tcPr>
                  <w:tcW w:w="1160" w:type="dxa"/>
                  <w:vAlign w:val="top"/>
                </w:tcPr>
                <w:p w14:paraId="2AB01964">
                  <w:pPr>
                    <w:pStyle w:val="6"/>
                    <w:spacing w:before="58" w:line="202" w:lineRule="auto"/>
                    <w:ind w:left="405"/>
                    <w:rPr>
                      <w:sz w:val="18"/>
                      <w:szCs w:val="18"/>
                    </w:rPr>
                  </w:pPr>
                  <w:r>
                    <w:rPr>
                      <w:spacing w:val="-4"/>
                      <w:sz w:val="18"/>
                      <w:szCs w:val="18"/>
                    </w:rPr>
                    <w:t>粉尘</w:t>
                  </w:r>
                </w:p>
              </w:tc>
              <w:tc>
                <w:tcPr>
                  <w:tcW w:w="1936" w:type="dxa"/>
                  <w:vAlign w:val="top"/>
                </w:tcPr>
                <w:p w14:paraId="3C361D0E">
                  <w:pPr>
                    <w:pStyle w:val="6"/>
                    <w:spacing w:before="58" w:line="202" w:lineRule="auto"/>
                    <w:ind w:left="704"/>
                    <w:rPr>
                      <w:sz w:val="18"/>
                      <w:szCs w:val="18"/>
                    </w:rPr>
                  </w:pPr>
                  <w:r>
                    <w:rPr>
                      <w:spacing w:val="-3"/>
                      <w:sz w:val="18"/>
                      <w:szCs w:val="18"/>
                    </w:rPr>
                    <w:t>无组织</w:t>
                  </w:r>
                </w:p>
              </w:tc>
            </w:tr>
            <w:tr w14:paraId="5A6B5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0416FAD6">
                  <w:pPr>
                    <w:pStyle w:val="6"/>
                    <w:spacing w:before="87" w:line="172" w:lineRule="auto"/>
                    <w:ind w:left="221"/>
                    <w:rPr>
                      <w:sz w:val="18"/>
                      <w:szCs w:val="18"/>
                    </w:rPr>
                  </w:pPr>
                  <w:r>
                    <w:rPr>
                      <w:spacing w:val="-10"/>
                      <w:sz w:val="18"/>
                      <w:szCs w:val="18"/>
                    </w:rPr>
                    <w:t>11</w:t>
                  </w:r>
                </w:p>
              </w:tc>
              <w:tc>
                <w:tcPr>
                  <w:tcW w:w="1671" w:type="dxa"/>
                  <w:vAlign w:val="top"/>
                </w:tcPr>
                <w:p w14:paraId="1D3C050D">
                  <w:pPr>
                    <w:pStyle w:val="6"/>
                    <w:spacing w:before="59" w:line="201" w:lineRule="auto"/>
                    <w:ind w:left="297"/>
                    <w:rPr>
                      <w:sz w:val="18"/>
                      <w:szCs w:val="18"/>
                    </w:rPr>
                  </w:pPr>
                  <w:r>
                    <w:rPr>
                      <w:spacing w:val="-2"/>
                      <w:sz w:val="18"/>
                      <w:szCs w:val="18"/>
                    </w:rPr>
                    <w:t>干混砂浆搅拌</w:t>
                  </w:r>
                </w:p>
              </w:tc>
              <w:tc>
                <w:tcPr>
                  <w:tcW w:w="2426" w:type="dxa"/>
                  <w:vAlign w:val="top"/>
                </w:tcPr>
                <w:p w14:paraId="64693935">
                  <w:pPr>
                    <w:pStyle w:val="6"/>
                    <w:spacing w:before="59" w:line="201" w:lineRule="auto"/>
                    <w:jc w:val="right"/>
                    <w:rPr>
                      <w:sz w:val="18"/>
                      <w:szCs w:val="18"/>
                    </w:rPr>
                  </w:pPr>
                  <w:r>
                    <w:rPr>
                      <w:spacing w:val="-3"/>
                      <w:sz w:val="18"/>
                      <w:szCs w:val="18"/>
                    </w:rPr>
                    <w:t>双轴混合机（干混砂浆车间）</w:t>
                  </w:r>
                </w:p>
              </w:tc>
              <w:tc>
                <w:tcPr>
                  <w:tcW w:w="1160" w:type="dxa"/>
                  <w:vAlign w:val="top"/>
                </w:tcPr>
                <w:p w14:paraId="12D72A24">
                  <w:pPr>
                    <w:pStyle w:val="6"/>
                    <w:spacing w:before="59" w:line="201" w:lineRule="auto"/>
                    <w:ind w:left="405"/>
                    <w:rPr>
                      <w:sz w:val="18"/>
                      <w:szCs w:val="18"/>
                    </w:rPr>
                  </w:pPr>
                  <w:r>
                    <w:rPr>
                      <w:spacing w:val="-4"/>
                      <w:sz w:val="18"/>
                      <w:szCs w:val="18"/>
                    </w:rPr>
                    <w:t>粉尘</w:t>
                  </w:r>
                </w:p>
              </w:tc>
              <w:tc>
                <w:tcPr>
                  <w:tcW w:w="1936" w:type="dxa"/>
                  <w:vAlign w:val="top"/>
                </w:tcPr>
                <w:p w14:paraId="6C9B569A">
                  <w:pPr>
                    <w:pStyle w:val="6"/>
                    <w:spacing w:before="59" w:line="201" w:lineRule="auto"/>
                    <w:ind w:left="703"/>
                    <w:rPr>
                      <w:sz w:val="18"/>
                      <w:szCs w:val="18"/>
                    </w:rPr>
                  </w:pPr>
                  <w:r>
                    <w:rPr>
                      <w:spacing w:val="-3"/>
                      <w:sz w:val="18"/>
                      <w:szCs w:val="18"/>
                    </w:rPr>
                    <w:t>有组织</w:t>
                  </w:r>
                </w:p>
              </w:tc>
            </w:tr>
            <w:tr w14:paraId="0D015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6D98B793">
                  <w:pPr>
                    <w:pStyle w:val="6"/>
                    <w:spacing w:before="86" w:line="173" w:lineRule="auto"/>
                    <w:ind w:left="221"/>
                    <w:rPr>
                      <w:sz w:val="18"/>
                      <w:szCs w:val="18"/>
                    </w:rPr>
                  </w:pPr>
                  <w:r>
                    <w:rPr>
                      <w:spacing w:val="-10"/>
                      <w:sz w:val="18"/>
                      <w:szCs w:val="18"/>
                    </w:rPr>
                    <w:t>12</w:t>
                  </w:r>
                </w:p>
              </w:tc>
              <w:tc>
                <w:tcPr>
                  <w:tcW w:w="1671" w:type="dxa"/>
                  <w:vMerge w:val="restart"/>
                  <w:tcBorders>
                    <w:bottom w:val="nil"/>
                  </w:tcBorders>
                  <w:vAlign w:val="top"/>
                </w:tcPr>
                <w:p w14:paraId="4858F883">
                  <w:pPr>
                    <w:pStyle w:val="6"/>
                    <w:spacing w:before="192" w:line="219" w:lineRule="auto"/>
                    <w:ind w:left="120"/>
                    <w:rPr>
                      <w:sz w:val="18"/>
                      <w:szCs w:val="18"/>
                    </w:rPr>
                  </w:pPr>
                  <w:r>
                    <w:rPr>
                      <w:spacing w:val="-2"/>
                      <w:sz w:val="18"/>
                      <w:szCs w:val="18"/>
                    </w:rPr>
                    <w:t>建筑垃圾研磨筛分</w:t>
                  </w:r>
                </w:p>
              </w:tc>
              <w:tc>
                <w:tcPr>
                  <w:tcW w:w="2426" w:type="dxa"/>
                  <w:vAlign w:val="top"/>
                </w:tcPr>
                <w:p w14:paraId="699CCD76">
                  <w:pPr>
                    <w:pStyle w:val="6"/>
                    <w:spacing w:before="58" w:line="202" w:lineRule="auto"/>
                    <w:ind w:left="227"/>
                    <w:rPr>
                      <w:sz w:val="18"/>
                      <w:szCs w:val="18"/>
                    </w:rPr>
                  </w:pPr>
                  <w:r>
                    <w:rPr>
                      <w:spacing w:val="-1"/>
                      <w:sz w:val="18"/>
                      <w:szCs w:val="18"/>
                    </w:rPr>
                    <w:t>球磨机（干混砂浆车间）</w:t>
                  </w:r>
                </w:p>
              </w:tc>
              <w:tc>
                <w:tcPr>
                  <w:tcW w:w="1160" w:type="dxa"/>
                  <w:vAlign w:val="top"/>
                </w:tcPr>
                <w:p w14:paraId="6671381E">
                  <w:pPr>
                    <w:pStyle w:val="6"/>
                    <w:spacing w:before="58" w:line="202" w:lineRule="auto"/>
                    <w:ind w:left="405"/>
                    <w:rPr>
                      <w:sz w:val="18"/>
                      <w:szCs w:val="18"/>
                    </w:rPr>
                  </w:pPr>
                  <w:r>
                    <w:rPr>
                      <w:spacing w:val="-4"/>
                      <w:sz w:val="18"/>
                      <w:szCs w:val="18"/>
                    </w:rPr>
                    <w:t>粉尘</w:t>
                  </w:r>
                </w:p>
              </w:tc>
              <w:tc>
                <w:tcPr>
                  <w:tcW w:w="1936" w:type="dxa"/>
                  <w:vAlign w:val="top"/>
                </w:tcPr>
                <w:p w14:paraId="27F01DEB">
                  <w:pPr>
                    <w:pStyle w:val="6"/>
                    <w:spacing w:before="58" w:line="202" w:lineRule="auto"/>
                    <w:ind w:left="703"/>
                    <w:rPr>
                      <w:sz w:val="18"/>
                      <w:szCs w:val="18"/>
                    </w:rPr>
                  </w:pPr>
                  <w:r>
                    <w:rPr>
                      <w:spacing w:val="-3"/>
                      <w:sz w:val="18"/>
                      <w:szCs w:val="18"/>
                    </w:rPr>
                    <w:t>有组织</w:t>
                  </w:r>
                </w:p>
              </w:tc>
            </w:tr>
            <w:tr w14:paraId="250C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9" w:type="dxa"/>
                  <w:vAlign w:val="top"/>
                </w:tcPr>
                <w:p w14:paraId="4A4304FD">
                  <w:pPr>
                    <w:pStyle w:val="6"/>
                    <w:spacing w:before="87" w:line="172" w:lineRule="auto"/>
                    <w:ind w:left="221"/>
                    <w:rPr>
                      <w:sz w:val="18"/>
                      <w:szCs w:val="18"/>
                    </w:rPr>
                  </w:pPr>
                  <w:r>
                    <w:rPr>
                      <w:spacing w:val="-10"/>
                      <w:sz w:val="18"/>
                      <w:szCs w:val="18"/>
                    </w:rPr>
                    <w:t>13</w:t>
                  </w:r>
                </w:p>
              </w:tc>
              <w:tc>
                <w:tcPr>
                  <w:tcW w:w="1671" w:type="dxa"/>
                  <w:vMerge w:val="continue"/>
                  <w:tcBorders>
                    <w:top w:val="nil"/>
                  </w:tcBorders>
                  <w:vAlign w:val="top"/>
                </w:tcPr>
                <w:p w14:paraId="4A09BD30">
                  <w:pPr>
                    <w:rPr>
                      <w:rFonts w:ascii="Arial"/>
                      <w:sz w:val="21"/>
                    </w:rPr>
                  </w:pPr>
                </w:p>
              </w:tc>
              <w:tc>
                <w:tcPr>
                  <w:tcW w:w="2426" w:type="dxa"/>
                  <w:vAlign w:val="top"/>
                </w:tcPr>
                <w:p w14:paraId="58E5C073">
                  <w:pPr>
                    <w:pStyle w:val="6"/>
                    <w:spacing w:before="59" w:line="201" w:lineRule="auto"/>
                    <w:ind w:left="229"/>
                    <w:rPr>
                      <w:sz w:val="18"/>
                      <w:szCs w:val="18"/>
                    </w:rPr>
                  </w:pPr>
                  <w:r>
                    <w:rPr>
                      <w:spacing w:val="-1"/>
                      <w:sz w:val="18"/>
                      <w:szCs w:val="18"/>
                    </w:rPr>
                    <w:t>筛分机（干混砂浆车间）</w:t>
                  </w:r>
                </w:p>
              </w:tc>
              <w:tc>
                <w:tcPr>
                  <w:tcW w:w="1160" w:type="dxa"/>
                  <w:vAlign w:val="top"/>
                </w:tcPr>
                <w:p w14:paraId="71D64AAD">
                  <w:pPr>
                    <w:pStyle w:val="6"/>
                    <w:spacing w:before="59" w:line="201" w:lineRule="auto"/>
                    <w:ind w:left="405"/>
                    <w:rPr>
                      <w:sz w:val="18"/>
                      <w:szCs w:val="18"/>
                    </w:rPr>
                  </w:pPr>
                  <w:r>
                    <w:rPr>
                      <w:spacing w:val="-4"/>
                      <w:sz w:val="18"/>
                      <w:szCs w:val="18"/>
                    </w:rPr>
                    <w:t>粉尘</w:t>
                  </w:r>
                </w:p>
              </w:tc>
              <w:tc>
                <w:tcPr>
                  <w:tcW w:w="1936" w:type="dxa"/>
                  <w:vAlign w:val="top"/>
                </w:tcPr>
                <w:p w14:paraId="2F52A349">
                  <w:pPr>
                    <w:pStyle w:val="6"/>
                    <w:spacing w:before="59" w:line="201" w:lineRule="auto"/>
                    <w:ind w:left="703"/>
                    <w:rPr>
                      <w:sz w:val="18"/>
                      <w:szCs w:val="18"/>
                    </w:rPr>
                  </w:pPr>
                  <w:r>
                    <w:rPr>
                      <w:spacing w:val="-3"/>
                      <w:sz w:val="18"/>
                      <w:szCs w:val="18"/>
                    </w:rPr>
                    <w:t>有组织</w:t>
                  </w:r>
                </w:p>
              </w:tc>
            </w:tr>
            <w:tr w14:paraId="0213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89" w:type="dxa"/>
                  <w:vAlign w:val="top"/>
                </w:tcPr>
                <w:p w14:paraId="2756C598">
                  <w:pPr>
                    <w:pStyle w:val="6"/>
                    <w:spacing w:before="215" w:line="184" w:lineRule="auto"/>
                    <w:ind w:left="221"/>
                    <w:rPr>
                      <w:sz w:val="18"/>
                      <w:szCs w:val="18"/>
                    </w:rPr>
                  </w:pPr>
                  <w:r>
                    <w:rPr>
                      <w:spacing w:val="-10"/>
                      <w:sz w:val="18"/>
                      <w:szCs w:val="18"/>
                    </w:rPr>
                    <w:t>14</w:t>
                  </w:r>
                </w:p>
              </w:tc>
              <w:tc>
                <w:tcPr>
                  <w:tcW w:w="1671" w:type="dxa"/>
                  <w:vAlign w:val="top"/>
                </w:tcPr>
                <w:p w14:paraId="2FF6C9F1">
                  <w:pPr>
                    <w:pStyle w:val="6"/>
                    <w:spacing w:before="57" w:line="234" w:lineRule="auto"/>
                    <w:ind w:left="492" w:right="115" w:hanging="375"/>
                    <w:rPr>
                      <w:sz w:val="18"/>
                      <w:szCs w:val="18"/>
                    </w:rPr>
                  </w:pPr>
                  <w:r>
                    <w:rPr>
                      <w:spacing w:val="-1"/>
                      <w:sz w:val="18"/>
                      <w:szCs w:val="18"/>
                    </w:rPr>
                    <w:t>干混砂浆放料至成</w:t>
                  </w:r>
                  <w:r>
                    <w:rPr>
                      <w:sz w:val="18"/>
                      <w:szCs w:val="18"/>
                    </w:rPr>
                    <w:t xml:space="preserve"> </w:t>
                  </w:r>
                  <w:r>
                    <w:rPr>
                      <w:spacing w:val="-6"/>
                      <w:sz w:val="18"/>
                      <w:szCs w:val="18"/>
                    </w:rPr>
                    <w:t>品仓包装</w:t>
                  </w:r>
                </w:p>
              </w:tc>
              <w:tc>
                <w:tcPr>
                  <w:tcW w:w="2426" w:type="dxa"/>
                  <w:vAlign w:val="top"/>
                </w:tcPr>
                <w:p w14:paraId="5824440A">
                  <w:pPr>
                    <w:pStyle w:val="6"/>
                    <w:spacing w:before="187" w:line="221" w:lineRule="auto"/>
                    <w:ind w:left="949"/>
                    <w:rPr>
                      <w:sz w:val="18"/>
                      <w:szCs w:val="18"/>
                    </w:rPr>
                  </w:pPr>
                  <w:r>
                    <w:rPr>
                      <w:spacing w:val="-3"/>
                      <w:sz w:val="18"/>
                      <w:szCs w:val="18"/>
                    </w:rPr>
                    <w:t>成品仓</w:t>
                  </w:r>
                </w:p>
              </w:tc>
              <w:tc>
                <w:tcPr>
                  <w:tcW w:w="1160" w:type="dxa"/>
                  <w:vAlign w:val="top"/>
                </w:tcPr>
                <w:p w14:paraId="5E5DF6A2">
                  <w:pPr>
                    <w:pStyle w:val="6"/>
                    <w:spacing w:before="188" w:line="219" w:lineRule="auto"/>
                    <w:ind w:left="405"/>
                    <w:rPr>
                      <w:sz w:val="18"/>
                      <w:szCs w:val="18"/>
                    </w:rPr>
                  </w:pPr>
                  <w:r>
                    <w:rPr>
                      <w:spacing w:val="-4"/>
                      <w:sz w:val="18"/>
                      <w:szCs w:val="18"/>
                    </w:rPr>
                    <w:t>粉尘</w:t>
                  </w:r>
                </w:p>
              </w:tc>
              <w:tc>
                <w:tcPr>
                  <w:tcW w:w="1936" w:type="dxa"/>
                  <w:vAlign w:val="top"/>
                </w:tcPr>
                <w:p w14:paraId="7B5B0DBF">
                  <w:pPr>
                    <w:pStyle w:val="6"/>
                    <w:spacing w:before="187" w:line="220" w:lineRule="auto"/>
                    <w:ind w:left="703"/>
                    <w:rPr>
                      <w:sz w:val="18"/>
                      <w:szCs w:val="18"/>
                    </w:rPr>
                  </w:pPr>
                  <w:r>
                    <w:rPr>
                      <w:spacing w:val="-3"/>
                      <w:sz w:val="18"/>
                      <w:szCs w:val="18"/>
                    </w:rPr>
                    <w:t>有组织</w:t>
                  </w:r>
                </w:p>
              </w:tc>
            </w:tr>
            <w:tr w14:paraId="19443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89" w:type="dxa"/>
                  <w:vAlign w:val="top"/>
                </w:tcPr>
                <w:p w14:paraId="575ED1F4">
                  <w:pPr>
                    <w:pStyle w:val="6"/>
                    <w:spacing w:before="216" w:line="184" w:lineRule="auto"/>
                    <w:ind w:left="221"/>
                    <w:rPr>
                      <w:sz w:val="18"/>
                      <w:szCs w:val="18"/>
                    </w:rPr>
                  </w:pPr>
                  <w:r>
                    <w:rPr>
                      <w:spacing w:val="-10"/>
                      <w:sz w:val="18"/>
                      <w:szCs w:val="18"/>
                    </w:rPr>
                    <w:t>15</w:t>
                  </w:r>
                </w:p>
              </w:tc>
              <w:tc>
                <w:tcPr>
                  <w:tcW w:w="1671" w:type="dxa"/>
                  <w:vAlign w:val="top"/>
                </w:tcPr>
                <w:p w14:paraId="7512C872">
                  <w:pPr>
                    <w:pStyle w:val="6"/>
                    <w:spacing w:before="189" w:line="220" w:lineRule="auto"/>
                    <w:ind w:left="300"/>
                    <w:rPr>
                      <w:sz w:val="18"/>
                      <w:szCs w:val="18"/>
                    </w:rPr>
                  </w:pPr>
                  <w:r>
                    <w:rPr>
                      <w:spacing w:val="-2"/>
                      <w:sz w:val="18"/>
                      <w:szCs w:val="18"/>
                    </w:rPr>
                    <w:t>备用燃气锅炉</w:t>
                  </w:r>
                </w:p>
              </w:tc>
              <w:tc>
                <w:tcPr>
                  <w:tcW w:w="2426" w:type="dxa"/>
                  <w:vAlign w:val="top"/>
                </w:tcPr>
                <w:p w14:paraId="361D1D74">
                  <w:pPr>
                    <w:pStyle w:val="6"/>
                    <w:spacing w:before="189" w:line="220" w:lineRule="auto"/>
                    <w:ind w:left="857"/>
                    <w:rPr>
                      <w:sz w:val="18"/>
                      <w:szCs w:val="18"/>
                    </w:rPr>
                  </w:pPr>
                  <w:r>
                    <w:rPr>
                      <w:spacing w:val="-2"/>
                      <w:sz w:val="18"/>
                      <w:szCs w:val="18"/>
                    </w:rPr>
                    <w:t>燃气锅炉</w:t>
                  </w:r>
                </w:p>
              </w:tc>
              <w:tc>
                <w:tcPr>
                  <w:tcW w:w="1160" w:type="dxa"/>
                  <w:vAlign w:val="top"/>
                </w:tcPr>
                <w:p w14:paraId="77285C1C">
                  <w:pPr>
                    <w:pStyle w:val="6"/>
                    <w:spacing w:before="58" w:line="236" w:lineRule="auto"/>
                    <w:ind w:left="404" w:right="86" w:hanging="308"/>
                    <w:rPr>
                      <w:sz w:val="18"/>
                      <w:szCs w:val="18"/>
                    </w:rPr>
                  </w:pPr>
                  <w:r>
                    <w:rPr>
                      <w:spacing w:val="-4"/>
                      <w:sz w:val="18"/>
                      <w:szCs w:val="18"/>
                    </w:rPr>
                    <w:t>SO</w:t>
                  </w:r>
                  <w:r>
                    <w:rPr>
                      <w:spacing w:val="-4"/>
                      <w:position w:val="-2"/>
                      <w:sz w:val="8"/>
                      <w:szCs w:val="8"/>
                    </w:rPr>
                    <w:t>2</w:t>
                  </w:r>
                  <w:r>
                    <w:rPr>
                      <w:spacing w:val="-19"/>
                      <w:position w:val="-2"/>
                      <w:sz w:val="8"/>
                      <w:szCs w:val="8"/>
                    </w:rPr>
                    <w:t xml:space="preserve"> </w:t>
                  </w:r>
                  <w:r>
                    <w:rPr>
                      <w:spacing w:val="-4"/>
                      <w:sz w:val="18"/>
                      <w:szCs w:val="18"/>
                    </w:rPr>
                    <w:t>、NO</w:t>
                  </w:r>
                  <w:r>
                    <w:rPr>
                      <w:spacing w:val="-4"/>
                      <w:position w:val="-2"/>
                      <w:sz w:val="8"/>
                      <w:szCs w:val="8"/>
                    </w:rPr>
                    <w:t>x</w:t>
                  </w:r>
                  <w:r>
                    <w:rPr>
                      <w:spacing w:val="-19"/>
                      <w:position w:val="-2"/>
                      <w:sz w:val="8"/>
                      <w:szCs w:val="8"/>
                    </w:rPr>
                    <w:t xml:space="preserve"> </w:t>
                  </w:r>
                  <w:r>
                    <w:rPr>
                      <w:spacing w:val="-12"/>
                      <w:sz w:val="18"/>
                      <w:szCs w:val="18"/>
                    </w:rPr>
                    <w:t>、颗</w:t>
                  </w:r>
                  <w:r>
                    <w:rPr>
                      <w:sz w:val="18"/>
                      <w:szCs w:val="18"/>
                    </w:rPr>
                    <w:t xml:space="preserve"> </w:t>
                  </w:r>
                  <w:r>
                    <w:rPr>
                      <w:spacing w:val="-4"/>
                      <w:sz w:val="18"/>
                      <w:szCs w:val="18"/>
                    </w:rPr>
                    <w:t>粒物</w:t>
                  </w:r>
                </w:p>
              </w:tc>
              <w:tc>
                <w:tcPr>
                  <w:tcW w:w="1936" w:type="dxa"/>
                  <w:vAlign w:val="top"/>
                </w:tcPr>
                <w:p w14:paraId="70B121B4">
                  <w:pPr>
                    <w:pStyle w:val="6"/>
                    <w:spacing w:before="189" w:line="220" w:lineRule="auto"/>
                    <w:ind w:left="703"/>
                    <w:rPr>
                      <w:sz w:val="18"/>
                      <w:szCs w:val="18"/>
                    </w:rPr>
                  </w:pPr>
                  <w:r>
                    <w:rPr>
                      <w:spacing w:val="-3"/>
                      <w:sz w:val="18"/>
                      <w:szCs w:val="18"/>
                    </w:rPr>
                    <w:t>有组织</w:t>
                  </w:r>
                </w:p>
              </w:tc>
            </w:tr>
          </w:tbl>
          <w:p w14:paraId="6D7CC939">
            <w:pPr>
              <w:pStyle w:val="6"/>
              <w:spacing w:before="141" w:line="359" w:lineRule="auto"/>
              <w:ind w:left="90" w:right="86" w:firstLine="420"/>
              <w:jc w:val="both"/>
              <w:rPr>
                <w:sz w:val="20"/>
                <w:szCs w:val="20"/>
              </w:rPr>
            </w:pPr>
            <w:r>
              <w:rPr>
                <w:spacing w:val="11"/>
                <w:sz w:val="20"/>
                <w:szCs w:val="20"/>
              </w:rPr>
              <w:t>废水：主要为砌块和板材养护过程产生的蒸汽冷凝水、切割废料冲水产生的</w:t>
            </w:r>
            <w:r>
              <w:rPr>
                <w:spacing w:val="10"/>
                <w:sz w:val="20"/>
                <w:szCs w:val="20"/>
              </w:rPr>
              <w:t>冲洗</w:t>
            </w:r>
            <w:r>
              <w:rPr>
                <w:sz w:val="20"/>
                <w:szCs w:val="20"/>
              </w:rPr>
              <w:t xml:space="preserve"> </w:t>
            </w:r>
            <w:r>
              <w:rPr>
                <w:spacing w:val="11"/>
                <w:sz w:val="20"/>
                <w:szCs w:val="20"/>
              </w:rPr>
              <w:t>废水、车间地面冲洗废水、车辆冲洗废水、备用锅炉排污水和软水装置再生</w:t>
            </w:r>
            <w:r>
              <w:rPr>
                <w:spacing w:val="10"/>
                <w:sz w:val="20"/>
                <w:szCs w:val="20"/>
              </w:rPr>
              <w:t>废水、员</w:t>
            </w:r>
            <w:r>
              <w:rPr>
                <w:sz w:val="20"/>
                <w:szCs w:val="20"/>
              </w:rPr>
              <w:t xml:space="preserve"> </w:t>
            </w:r>
            <w:r>
              <w:rPr>
                <w:spacing w:val="8"/>
                <w:sz w:val="20"/>
                <w:szCs w:val="20"/>
              </w:rPr>
              <w:t>工办公生活产生的生活污水。</w:t>
            </w:r>
          </w:p>
          <w:p w14:paraId="5F9B2A79">
            <w:pPr>
              <w:pStyle w:val="6"/>
              <w:spacing w:before="34" w:line="355" w:lineRule="auto"/>
              <w:ind w:left="90" w:right="87" w:firstLine="430"/>
              <w:rPr>
                <w:sz w:val="20"/>
                <w:szCs w:val="20"/>
              </w:rPr>
            </w:pPr>
            <w:r>
              <w:rPr>
                <w:spacing w:val="11"/>
                <w:sz w:val="20"/>
                <w:szCs w:val="20"/>
              </w:rPr>
              <w:t>噪声：主要为车间内各种生产设备运行时产生的机</w:t>
            </w:r>
            <w:r>
              <w:rPr>
                <w:spacing w:val="10"/>
                <w:sz w:val="20"/>
                <w:szCs w:val="20"/>
              </w:rPr>
              <w:t>械噪声。原料或者产品汽车运</w:t>
            </w:r>
            <w:r>
              <w:rPr>
                <w:sz w:val="20"/>
                <w:szCs w:val="20"/>
              </w:rPr>
              <w:t xml:space="preserve"> </w:t>
            </w:r>
            <w:r>
              <w:rPr>
                <w:spacing w:val="7"/>
                <w:sz w:val="20"/>
                <w:szCs w:val="20"/>
              </w:rPr>
              <w:t>输产生的交通噪声。</w:t>
            </w:r>
          </w:p>
          <w:p w14:paraId="0E630DFA">
            <w:pPr>
              <w:pStyle w:val="6"/>
              <w:spacing w:before="29" w:line="340" w:lineRule="auto"/>
              <w:ind w:left="91" w:right="32" w:firstLine="437"/>
              <w:jc w:val="both"/>
              <w:rPr>
                <w:sz w:val="20"/>
                <w:szCs w:val="20"/>
              </w:rPr>
            </w:pPr>
            <w:r>
              <w:rPr>
                <w:spacing w:val="10"/>
                <w:sz w:val="20"/>
                <w:szCs w:val="20"/>
              </w:rPr>
              <w:t>固体废物：主要有砌块和板材坯体初养后切割产生的切割废料、砌块和板材成品</w:t>
            </w:r>
            <w:r>
              <w:rPr>
                <w:spacing w:val="14"/>
                <w:sz w:val="20"/>
                <w:szCs w:val="20"/>
              </w:rPr>
              <w:t xml:space="preserve"> </w:t>
            </w:r>
            <w:r>
              <w:rPr>
                <w:spacing w:val="11"/>
                <w:sz w:val="20"/>
                <w:szCs w:val="20"/>
              </w:rPr>
              <w:t>产生的不合格产品、运板清理产生的少量混凝土固废，原辅材料使用后产</w:t>
            </w:r>
            <w:r>
              <w:rPr>
                <w:spacing w:val="10"/>
                <w:sz w:val="20"/>
                <w:szCs w:val="20"/>
              </w:rPr>
              <w:t>生的废包装</w:t>
            </w:r>
            <w:r>
              <w:rPr>
                <w:sz w:val="20"/>
                <w:szCs w:val="20"/>
              </w:rPr>
              <w:t xml:space="preserve"> </w:t>
            </w:r>
            <w:r>
              <w:rPr>
                <w:spacing w:val="12"/>
                <w:sz w:val="20"/>
                <w:szCs w:val="20"/>
              </w:rPr>
              <w:t>材料，机械设备维护保养产生的废机油、除尘器收集的收尘灰、</w:t>
            </w:r>
            <w:r>
              <w:rPr>
                <w:sz w:val="20"/>
                <w:szCs w:val="20"/>
              </w:rPr>
              <w:t>VOC</w:t>
            </w:r>
            <w:r>
              <w:rPr>
                <w:position w:val="-2"/>
                <w:sz w:val="10"/>
                <w:szCs w:val="10"/>
              </w:rPr>
              <w:t>s</w:t>
            </w:r>
            <w:r>
              <w:rPr>
                <w:spacing w:val="-15"/>
                <w:position w:val="-2"/>
                <w:sz w:val="10"/>
                <w:szCs w:val="10"/>
              </w:rPr>
              <w:t xml:space="preserve"> </w:t>
            </w:r>
            <w:r>
              <w:rPr>
                <w:spacing w:val="12"/>
                <w:sz w:val="20"/>
                <w:szCs w:val="20"/>
              </w:rPr>
              <w:t>废气治理</w:t>
            </w:r>
            <w:r>
              <w:rPr>
                <w:spacing w:val="11"/>
                <w:sz w:val="20"/>
                <w:szCs w:val="20"/>
              </w:rPr>
              <w:t>设施产</w:t>
            </w:r>
            <w:r>
              <w:rPr>
                <w:sz w:val="20"/>
                <w:szCs w:val="20"/>
              </w:rPr>
              <w:t xml:space="preserve"> </w:t>
            </w:r>
            <w:r>
              <w:rPr>
                <w:spacing w:val="4"/>
                <w:sz w:val="20"/>
                <w:szCs w:val="20"/>
              </w:rPr>
              <w:t>生的废</w:t>
            </w:r>
            <w:r>
              <w:rPr>
                <w:spacing w:val="-44"/>
                <w:sz w:val="20"/>
                <w:szCs w:val="20"/>
              </w:rPr>
              <w:t xml:space="preserve"> </w:t>
            </w:r>
            <w:r>
              <w:rPr>
                <w:sz w:val="20"/>
                <w:szCs w:val="20"/>
              </w:rPr>
              <w:t>UV</w:t>
            </w:r>
            <w:r>
              <w:rPr>
                <w:spacing w:val="-40"/>
                <w:sz w:val="20"/>
                <w:szCs w:val="20"/>
              </w:rPr>
              <w:t xml:space="preserve"> </w:t>
            </w:r>
            <w:r>
              <w:rPr>
                <w:spacing w:val="4"/>
                <w:sz w:val="20"/>
                <w:szCs w:val="20"/>
              </w:rPr>
              <w:t>灯管和废活性炭、钢筋网加工产生的废钢筋节和漆渣及废水性</w:t>
            </w:r>
            <w:r>
              <w:rPr>
                <w:spacing w:val="3"/>
                <w:sz w:val="20"/>
                <w:szCs w:val="20"/>
              </w:rPr>
              <w:t>漆漆桶。另外，</w:t>
            </w:r>
            <w:r>
              <w:rPr>
                <w:sz w:val="20"/>
                <w:szCs w:val="20"/>
              </w:rPr>
              <w:t xml:space="preserve"> </w:t>
            </w:r>
            <w:r>
              <w:rPr>
                <w:spacing w:val="8"/>
                <w:sz w:val="20"/>
                <w:szCs w:val="20"/>
              </w:rPr>
              <w:t>员工办公生活会产生少量生活垃圾。</w:t>
            </w:r>
          </w:p>
        </w:tc>
      </w:tr>
      <w:tr w14:paraId="01E8C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31" w:type="dxa"/>
            <w:tcBorders>
              <w:left w:val="single" w:color="000000" w:sz="6" w:space="0"/>
              <w:bottom w:val="single" w:color="000000" w:sz="6" w:space="0"/>
            </w:tcBorders>
            <w:vAlign w:val="top"/>
          </w:tcPr>
          <w:p w14:paraId="22653057">
            <w:pPr>
              <w:pStyle w:val="6"/>
              <w:spacing w:before="112" w:line="219" w:lineRule="auto"/>
              <w:ind w:left="196" w:right="194"/>
              <w:jc w:val="both"/>
            </w:pPr>
            <w:r>
              <w:rPr>
                <w:spacing w:val="-6"/>
              </w:rPr>
              <w:t>与项</w:t>
            </w:r>
            <w:r>
              <w:t xml:space="preserve"> </w:t>
            </w:r>
            <w:r>
              <w:rPr>
                <w:spacing w:val="-6"/>
              </w:rPr>
              <w:t>目有</w:t>
            </w:r>
            <w:r>
              <w:t xml:space="preserve"> </w:t>
            </w:r>
            <w:r>
              <w:rPr>
                <w:spacing w:val="-6"/>
              </w:rPr>
              <w:t>关的</w:t>
            </w:r>
            <w:r>
              <w:t xml:space="preserve"> </w:t>
            </w:r>
            <w:r>
              <w:rPr>
                <w:spacing w:val="-6"/>
              </w:rPr>
              <w:t>原有</w:t>
            </w:r>
          </w:p>
        </w:tc>
        <w:tc>
          <w:tcPr>
            <w:tcW w:w="7992" w:type="dxa"/>
            <w:tcBorders>
              <w:bottom w:val="single" w:color="000000" w:sz="6" w:space="0"/>
              <w:right w:val="single" w:color="000000" w:sz="6" w:space="0"/>
            </w:tcBorders>
            <w:vAlign w:val="top"/>
          </w:tcPr>
          <w:p w14:paraId="583B5B26">
            <w:pPr>
              <w:pStyle w:val="6"/>
              <w:spacing w:before="145" w:line="323" w:lineRule="auto"/>
              <w:ind w:left="90" w:right="84" w:firstLine="440"/>
            </w:pPr>
            <w:r>
              <w:rPr>
                <w:spacing w:val="-4"/>
              </w:rPr>
              <w:t>本项目为“绿色节能环保建材产业化项目</w:t>
            </w:r>
            <w:r>
              <w:rPr>
                <w:spacing w:val="-81"/>
              </w:rPr>
              <w:t xml:space="preserve"> </w:t>
            </w:r>
            <w:r>
              <w:rPr>
                <w:spacing w:val="-4"/>
              </w:rPr>
              <w:t>”的二期工程，</w:t>
            </w:r>
            <w:r>
              <w:rPr>
                <w:spacing w:val="-5"/>
              </w:rPr>
              <w:t>属于新建项目，不存</w:t>
            </w:r>
            <w:r>
              <w:t xml:space="preserve"> </w:t>
            </w:r>
            <w:r>
              <w:rPr>
                <w:spacing w:val="-1"/>
              </w:rPr>
              <w:t>在与项目有关的原有污染情况。</w:t>
            </w:r>
          </w:p>
          <w:p w14:paraId="72A031AF">
            <w:pPr>
              <w:pStyle w:val="6"/>
              <w:spacing w:before="31" w:line="221" w:lineRule="auto"/>
              <w:ind w:left="565"/>
            </w:pP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、环保手续履行情况</w:t>
            </w:r>
          </w:p>
        </w:tc>
      </w:tr>
    </w:tbl>
    <w:p w14:paraId="53BDF522">
      <w:pPr>
        <w:pStyle w:val="2"/>
      </w:pPr>
    </w:p>
    <w:p w14:paraId="3FAE0298">
      <w:pPr>
        <w:sectPr>
          <w:footerReference r:id="rId53" w:type="default"/>
          <w:pgSz w:w="11906" w:h="16839"/>
          <w:pgMar w:top="1431" w:right="1532" w:bottom="1260" w:left="1533" w:header="0" w:footer="1080" w:gutter="0"/>
          <w:cols w:space="720" w:num="1"/>
        </w:sectPr>
      </w:pPr>
    </w:p>
    <w:p w14:paraId="70A4BE8B">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59F5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82" w:hRule="atLeast"/>
        </w:trPr>
        <w:tc>
          <w:tcPr>
            <w:tcW w:w="831" w:type="dxa"/>
            <w:tcBorders>
              <w:top w:val="single" w:color="000000" w:sz="2" w:space="0"/>
              <w:right w:val="single" w:color="000000" w:sz="2" w:space="0"/>
            </w:tcBorders>
            <w:vAlign w:val="top"/>
          </w:tcPr>
          <w:p w14:paraId="2BAC3F60">
            <w:pPr>
              <w:pStyle w:val="6"/>
              <w:spacing w:before="25" w:line="219" w:lineRule="auto"/>
              <w:ind w:left="194" w:right="194" w:hanging="1"/>
              <w:jc w:val="both"/>
            </w:pPr>
            <w:r>
              <w:rPr>
                <w:spacing w:val="-4"/>
              </w:rPr>
              <w:t>环境</w:t>
            </w:r>
            <w:r>
              <w:t xml:space="preserve"> </w:t>
            </w:r>
            <w:r>
              <w:rPr>
                <w:spacing w:val="-5"/>
              </w:rPr>
              <w:t>污染</w:t>
            </w:r>
            <w:r>
              <w:t xml:space="preserve"> </w:t>
            </w:r>
            <w:r>
              <w:rPr>
                <w:spacing w:val="-5"/>
              </w:rPr>
              <w:t>问题</w:t>
            </w:r>
          </w:p>
        </w:tc>
        <w:tc>
          <w:tcPr>
            <w:tcW w:w="7992" w:type="dxa"/>
            <w:tcBorders>
              <w:top w:val="single" w:color="000000" w:sz="2" w:space="0"/>
              <w:left w:val="single" w:color="000000" w:sz="2" w:space="0"/>
            </w:tcBorders>
            <w:vAlign w:val="top"/>
          </w:tcPr>
          <w:p w14:paraId="3FB7B881">
            <w:pPr>
              <w:pStyle w:val="6"/>
              <w:spacing w:before="134" w:line="327" w:lineRule="auto"/>
              <w:ind w:left="108" w:right="101" w:firstLine="439"/>
            </w:pPr>
            <w:r>
              <w:rPr>
                <w:spacing w:val="-5"/>
              </w:rPr>
              <w:t>根据环评调查，“绿色节能环保建材产业化项目</w:t>
            </w:r>
            <w:r>
              <w:rPr>
                <w:spacing w:val="-80"/>
              </w:rPr>
              <w:t xml:space="preserve"> </w:t>
            </w:r>
            <w:r>
              <w:rPr>
                <w:spacing w:val="-5"/>
              </w:rPr>
              <w:t>”的一期工</w:t>
            </w:r>
            <w:r>
              <w:rPr>
                <w:spacing w:val="-6"/>
              </w:rPr>
              <w:t>程的环保手续履行</w:t>
            </w:r>
            <w:r>
              <w:t xml:space="preserve"> </w:t>
            </w:r>
            <w:r>
              <w:rPr>
                <w:spacing w:val="-5"/>
              </w:rPr>
              <w:t>情况如下：</w:t>
            </w:r>
            <w:r>
              <w:rPr>
                <w:rFonts w:ascii="Times New Roman" w:hAnsi="Times New Roman" w:eastAsia="Times New Roman" w:cs="Times New Roman"/>
                <w:spacing w:val="-5"/>
              </w:rPr>
              <w:t xml:space="preserve">2017 </w:t>
            </w:r>
            <w:r>
              <w:rPr>
                <w:spacing w:val="-5"/>
              </w:rPr>
              <w:t>年</w:t>
            </w:r>
            <w:r>
              <w:rPr>
                <w:spacing w:val="-39"/>
              </w:rPr>
              <w:t xml:space="preserve"> </w:t>
            </w:r>
            <w:r>
              <w:rPr>
                <w:rFonts w:ascii="Times New Roman" w:hAnsi="Times New Roman" w:eastAsia="Times New Roman" w:cs="Times New Roman"/>
                <w:spacing w:val="-5"/>
              </w:rPr>
              <w:t>7</w:t>
            </w:r>
            <w:r>
              <w:rPr>
                <w:rFonts w:ascii="Times New Roman" w:hAnsi="Times New Roman" w:eastAsia="Times New Roman" w:cs="Times New Roman"/>
                <w:spacing w:val="14"/>
              </w:rPr>
              <w:t xml:space="preserve"> </w:t>
            </w:r>
            <w:r>
              <w:rPr>
                <w:spacing w:val="-5"/>
              </w:rPr>
              <w:t>月</w:t>
            </w:r>
            <w:r>
              <w:rPr>
                <w:spacing w:val="-32"/>
              </w:rPr>
              <w:t xml:space="preserve"> </w:t>
            </w:r>
            <w:r>
              <w:rPr>
                <w:rFonts w:ascii="Times New Roman" w:hAnsi="Times New Roman" w:eastAsia="Times New Roman" w:cs="Times New Roman"/>
                <w:spacing w:val="-5"/>
              </w:rPr>
              <w:t xml:space="preserve">17  </w:t>
            </w:r>
            <w:r>
              <w:rPr>
                <w:spacing w:val="-5"/>
              </w:rPr>
              <w:t>日，原达州市通川区环境保护局出具了《关于环保节能</w:t>
            </w:r>
            <w:r>
              <w:t xml:space="preserve"> 灰渣混凝土空心轻质隔墙板新型建材生产项目环境影响报告表的批复意见》</w:t>
            </w:r>
            <w:r>
              <w:rPr>
                <w:rFonts w:ascii="Times New Roman" w:hAnsi="Times New Roman" w:eastAsia="Times New Roman" w:cs="Times New Roman"/>
              </w:rPr>
              <w:t>(</w:t>
            </w:r>
            <w:r>
              <w:rPr>
                <w:spacing w:val="-1"/>
              </w:rPr>
              <w:t>通区</w:t>
            </w:r>
            <w:r>
              <w:t xml:space="preserve"> </w:t>
            </w:r>
            <w:r>
              <w:rPr>
                <w:spacing w:val="-3"/>
              </w:rPr>
              <w:t>环审批〔</w:t>
            </w:r>
            <w:r>
              <w:rPr>
                <w:rFonts w:ascii="Times New Roman" w:hAnsi="Times New Roman" w:eastAsia="Times New Roman" w:cs="Times New Roman"/>
                <w:spacing w:val="-3"/>
              </w:rPr>
              <w:t>2017</w:t>
            </w:r>
            <w:r>
              <w:rPr>
                <w:spacing w:val="-3"/>
              </w:rPr>
              <w:t>〕</w:t>
            </w:r>
            <w:r>
              <w:rPr>
                <w:rFonts w:ascii="Times New Roman" w:hAnsi="Times New Roman" w:eastAsia="Times New Roman" w:cs="Times New Roman"/>
                <w:spacing w:val="-3"/>
              </w:rPr>
              <w:t>13</w:t>
            </w:r>
            <w:r>
              <w:rPr>
                <w:rFonts w:ascii="Times New Roman" w:hAnsi="Times New Roman" w:eastAsia="Times New Roman" w:cs="Times New Roman"/>
                <w:spacing w:val="32"/>
                <w:w w:val="101"/>
              </w:rPr>
              <w:t xml:space="preserve"> </w:t>
            </w:r>
            <w:r>
              <w:rPr>
                <w:spacing w:val="-3"/>
              </w:rPr>
              <w:t>号</w:t>
            </w:r>
            <w:r>
              <w:rPr>
                <w:rFonts w:ascii="Times New Roman" w:hAnsi="Times New Roman" w:eastAsia="Times New Roman" w:cs="Times New Roman"/>
                <w:spacing w:val="-3"/>
              </w:rPr>
              <w:t>)</w:t>
            </w:r>
            <w:r>
              <w:rPr>
                <w:rFonts w:ascii="Times New Roman" w:hAnsi="Times New Roman" w:eastAsia="Times New Roman" w:cs="Times New Roman"/>
                <w:spacing w:val="-26"/>
              </w:rPr>
              <w:t xml:space="preserve"> </w:t>
            </w:r>
            <w:r>
              <w:rPr>
                <w:spacing w:val="-3"/>
              </w:rPr>
              <w:t>。该项目于</w:t>
            </w:r>
            <w:r>
              <w:rPr>
                <w:spacing w:val="-53"/>
              </w:rPr>
              <w:t xml:space="preserve"> </w:t>
            </w:r>
            <w:r>
              <w:rPr>
                <w:rFonts w:ascii="Times New Roman" w:hAnsi="Times New Roman" w:eastAsia="Times New Roman" w:cs="Times New Roman"/>
                <w:spacing w:val="-3"/>
              </w:rPr>
              <w:t xml:space="preserve">2019 </w:t>
            </w:r>
            <w:r>
              <w:rPr>
                <w:spacing w:val="-3"/>
              </w:rPr>
              <w:t>年</w:t>
            </w:r>
            <w:r>
              <w:rPr>
                <w:spacing w:val="-49"/>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4"/>
                <w:w w:val="101"/>
              </w:rPr>
              <w:t xml:space="preserve"> </w:t>
            </w:r>
            <w:r>
              <w:rPr>
                <w:spacing w:val="-3"/>
              </w:rPr>
              <w:t>月开工建设。</w:t>
            </w:r>
          </w:p>
          <w:p w14:paraId="3EDDB667">
            <w:pPr>
              <w:pStyle w:val="6"/>
              <w:spacing w:before="44" w:line="326" w:lineRule="auto"/>
              <w:ind w:left="109" w:right="101" w:firstLine="434"/>
            </w:pPr>
            <w:r>
              <w:rPr>
                <w:rFonts w:ascii="Times New Roman" w:hAnsi="Times New Roman" w:eastAsia="Times New Roman" w:cs="Times New Roman"/>
                <w:spacing w:val="-3"/>
              </w:rPr>
              <w:t xml:space="preserve">2020 </w:t>
            </w:r>
            <w:r>
              <w:rPr>
                <w:spacing w:val="-3"/>
              </w:rPr>
              <w:t>年</w:t>
            </w:r>
            <w:r>
              <w:rPr>
                <w:spacing w:val="-42"/>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4"/>
                <w:w w:val="101"/>
              </w:rPr>
              <w:t xml:space="preserve"> </w:t>
            </w:r>
            <w:r>
              <w:rPr>
                <w:spacing w:val="-3"/>
              </w:rPr>
              <w:t>月，该一期工程已建成进入竣工调试</w:t>
            </w:r>
            <w:r>
              <w:rPr>
                <w:spacing w:val="-4"/>
              </w:rPr>
              <w:t>试运行。</w:t>
            </w:r>
            <w:r>
              <w:rPr>
                <w:rFonts w:ascii="Times New Roman" w:hAnsi="Times New Roman" w:eastAsia="Times New Roman" w:cs="Times New Roman"/>
                <w:spacing w:val="-4"/>
              </w:rPr>
              <w:t xml:space="preserve">2020 </w:t>
            </w:r>
            <w:r>
              <w:rPr>
                <w:spacing w:val="-4"/>
              </w:rPr>
              <w:t>年</w:t>
            </w:r>
            <w:r>
              <w:rPr>
                <w:spacing w:val="-30"/>
              </w:rPr>
              <w:t xml:space="preserve"> </w:t>
            </w:r>
            <w:r>
              <w:rPr>
                <w:rFonts w:ascii="Times New Roman" w:hAnsi="Times New Roman" w:eastAsia="Times New Roman" w:cs="Times New Roman"/>
                <w:spacing w:val="-4"/>
              </w:rPr>
              <w:t xml:space="preserve">11 </w:t>
            </w:r>
            <w:r>
              <w:rPr>
                <w:spacing w:val="-4"/>
              </w:rPr>
              <w:t>月</w:t>
            </w:r>
            <w:r>
              <w:rPr>
                <w:spacing w:val="-48"/>
              </w:rPr>
              <w:t xml:space="preserve"> </w:t>
            </w:r>
            <w:r>
              <w:rPr>
                <w:rFonts w:ascii="Times New Roman" w:hAnsi="Times New Roman" w:eastAsia="Times New Roman" w:cs="Times New Roman"/>
                <w:spacing w:val="-4"/>
              </w:rPr>
              <w:t xml:space="preserve">30  </w:t>
            </w:r>
            <w:r>
              <w:rPr>
                <w:spacing w:val="-4"/>
              </w:rPr>
              <w:t>日，</w:t>
            </w:r>
            <w:r>
              <w:t xml:space="preserve"> </w:t>
            </w:r>
            <w:r>
              <w:rPr>
                <w:spacing w:val="-5"/>
              </w:rPr>
              <w:t>该一期工程完成了竣工环境保护验收工作。</w:t>
            </w:r>
            <w:r>
              <w:rPr>
                <w:rFonts w:ascii="Times New Roman" w:hAnsi="Times New Roman" w:eastAsia="Times New Roman" w:cs="Times New Roman"/>
                <w:spacing w:val="-5"/>
              </w:rPr>
              <w:t xml:space="preserve">2020 </w:t>
            </w:r>
            <w:r>
              <w:rPr>
                <w:spacing w:val="-5"/>
              </w:rPr>
              <w:t>年</w:t>
            </w:r>
            <w:r>
              <w:rPr>
                <w:spacing w:val="-40"/>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4"/>
                <w:w w:val="101"/>
              </w:rPr>
              <w:t xml:space="preserve"> </w:t>
            </w:r>
            <w:r>
              <w:rPr>
                <w:spacing w:val="-5"/>
              </w:rPr>
              <w:t>月</w:t>
            </w:r>
            <w:r>
              <w:rPr>
                <w:spacing w:val="-30"/>
              </w:rPr>
              <w:t xml:space="preserve"> </w:t>
            </w:r>
            <w:r>
              <w:rPr>
                <w:rFonts w:ascii="Times New Roman" w:hAnsi="Times New Roman" w:eastAsia="Times New Roman" w:cs="Times New Roman"/>
                <w:spacing w:val="-5"/>
              </w:rPr>
              <w:t xml:space="preserve">14  </w:t>
            </w:r>
            <w:r>
              <w:rPr>
                <w:spacing w:val="-5"/>
              </w:rPr>
              <w:t>日，四川鸿丙节能建材</w:t>
            </w:r>
            <w:r>
              <w:t xml:space="preserve"> 有限公司办理排污许可登记，登记号</w:t>
            </w:r>
            <w:r>
              <w:rPr>
                <w:rFonts w:ascii="Times New Roman" w:hAnsi="Times New Roman" w:eastAsia="Times New Roman" w:cs="Times New Roman"/>
              </w:rPr>
              <w:t>:91511</w:t>
            </w:r>
            <w:r>
              <w:rPr>
                <w:rFonts w:ascii="Times New Roman" w:hAnsi="Times New Roman" w:eastAsia="Times New Roman" w:cs="Times New Roman"/>
                <w:spacing w:val="-1"/>
              </w:rPr>
              <w:t>702MA62E5P33K001W</w:t>
            </w:r>
            <w:r>
              <w:rPr>
                <w:spacing w:val="-1"/>
              </w:rPr>
              <w:t>。</w:t>
            </w:r>
          </w:p>
          <w:p w14:paraId="2411688D">
            <w:pPr>
              <w:pStyle w:val="6"/>
              <w:spacing w:before="33" w:line="220" w:lineRule="auto"/>
              <w:ind w:left="533"/>
            </w:pPr>
            <w:r>
              <w:rPr>
                <w:spacing w:val="-1"/>
              </w:rPr>
              <w:t>2、环保措施及存在的环境问题</w:t>
            </w:r>
          </w:p>
          <w:p w14:paraId="33DE52D2">
            <w:pPr>
              <w:pStyle w:val="6"/>
              <w:spacing w:before="137" w:line="322" w:lineRule="auto"/>
              <w:ind w:left="115" w:right="84" w:firstLine="432"/>
            </w:pPr>
            <w:r>
              <w:rPr>
                <w:spacing w:val="3"/>
              </w:rPr>
              <w:t>根据收集的验收资料并结合本次环评现场踏勘，一</w:t>
            </w:r>
            <w:r>
              <w:rPr>
                <w:spacing w:val="2"/>
              </w:rPr>
              <w:t>期工程的环保措施情况如</w:t>
            </w:r>
            <w:r>
              <w:t xml:space="preserve"> </w:t>
            </w:r>
            <w:r>
              <w:rPr>
                <w:spacing w:val="-8"/>
              </w:rPr>
              <w:t>下：</w:t>
            </w:r>
          </w:p>
          <w:p w14:paraId="7841FCE7">
            <w:pPr>
              <w:spacing w:before="67" w:line="222" w:lineRule="auto"/>
              <w:ind w:left="2771"/>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黑体" w:hAnsi="黑体" w:eastAsia="黑体" w:cs="黑体"/>
                <w:spacing w:val="-1"/>
                <w:sz w:val="18"/>
                <w:szCs w:val="18"/>
              </w:rPr>
              <w:t>2-9  一期工程环保措施落实情况</w:t>
            </w:r>
          </w:p>
          <w:p w14:paraId="75E498FA">
            <w:pPr>
              <w:spacing w:line="17" w:lineRule="exact"/>
            </w:pPr>
          </w:p>
          <w:tbl>
            <w:tblPr>
              <w:tblStyle w:val="5"/>
              <w:tblW w:w="766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6599"/>
            </w:tblGrid>
            <w:tr w14:paraId="3A42F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64" w:type="dxa"/>
                  <w:vAlign w:val="top"/>
                </w:tcPr>
                <w:p w14:paraId="0EBEF524">
                  <w:pPr>
                    <w:pStyle w:val="6"/>
                    <w:spacing w:before="75" w:line="212" w:lineRule="auto"/>
                    <w:ind w:left="352"/>
                    <w:rPr>
                      <w:sz w:val="18"/>
                      <w:szCs w:val="18"/>
                    </w:rPr>
                  </w:pPr>
                  <w:r>
                    <w:rPr>
                      <w:b/>
                      <w:bCs/>
                      <w:spacing w:val="-6"/>
                      <w:sz w:val="18"/>
                      <w:szCs w:val="18"/>
                    </w:rPr>
                    <w:t>类别</w:t>
                  </w:r>
                </w:p>
              </w:tc>
              <w:tc>
                <w:tcPr>
                  <w:tcW w:w="6599" w:type="dxa"/>
                  <w:vAlign w:val="top"/>
                </w:tcPr>
                <w:p w14:paraId="1713D4B9">
                  <w:pPr>
                    <w:pStyle w:val="6"/>
                    <w:spacing w:before="75" w:line="212" w:lineRule="auto"/>
                    <w:ind w:left="2938"/>
                    <w:rPr>
                      <w:sz w:val="18"/>
                      <w:szCs w:val="18"/>
                    </w:rPr>
                  </w:pPr>
                  <w:r>
                    <w:rPr>
                      <w:b/>
                      <w:bCs/>
                      <w:spacing w:val="-4"/>
                      <w:sz w:val="18"/>
                      <w:szCs w:val="18"/>
                    </w:rPr>
                    <w:t>建设内容</w:t>
                  </w:r>
                </w:p>
              </w:tc>
            </w:tr>
            <w:tr w14:paraId="752A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4" w:type="dxa"/>
                  <w:vMerge w:val="restart"/>
                  <w:tcBorders>
                    <w:bottom w:val="nil"/>
                  </w:tcBorders>
                  <w:vAlign w:val="top"/>
                </w:tcPr>
                <w:p w14:paraId="17E37BC6">
                  <w:pPr>
                    <w:spacing w:line="260" w:lineRule="auto"/>
                    <w:rPr>
                      <w:rFonts w:ascii="Arial"/>
                      <w:sz w:val="21"/>
                    </w:rPr>
                  </w:pPr>
                </w:p>
                <w:p w14:paraId="1A15BB01">
                  <w:pPr>
                    <w:spacing w:line="260" w:lineRule="auto"/>
                    <w:rPr>
                      <w:rFonts w:ascii="Arial"/>
                      <w:sz w:val="21"/>
                    </w:rPr>
                  </w:pPr>
                </w:p>
                <w:p w14:paraId="14093F96">
                  <w:pPr>
                    <w:spacing w:line="260" w:lineRule="auto"/>
                    <w:rPr>
                      <w:rFonts w:ascii="Arial"/>
                      <w:sz w:val="21"/>
                    </w:rPr>
                  </w:pPr>
                </w:p>
                <w:p w14:paraId="6C025063">
                  <w:pPr>
                    <w:pStyle w:val="6"/>
                    <w:spacing w:before="58" w:line="275" w:lineRule="auto"/>
                    <w:ind w:left="356" w:right="348" w:hanging="5"/>
                    <w:rPr>
                      <w:sz w:val="18"/>
                      <w:szCs w:val="18"/>
                    </w:rPr>
                  </w:pPr>
                  <w:r>
                    <w:rPr>
                      <w:spacing w:val="-4"/>
                      <w:sz w:val="18"/>
                      <w:szCs w:val="18"/>
                    </w:rPr>
                    <w:t>废气</w:t>
                  </w:r>
                  <w:r>
                    <w:rPr>
                      <w:sz w:val="18"/>
                      <w:szCs w:val="18"/>
                    </w:rPr>
                    <w:t xml:space="preserve"> </w:t>
                  </w:r>
                  <w:r>
                    <w:rPr>
                      <w:spacing w:val="-6"/>
                      <w:sz w:val="18"/>
                      <w:szCs w:val="18"/>
                    </w:rPr>
                    <w:t>治理</w:t>
                  </w:r>
                </w:p>
              </w:tc>
              <w:tc>
                <w:tcPr>
                  <w:tcW w:w="6599" w:type="dxa"/>
                  <w:vAlign w:val="top"/>
                </w:tcPr>
                <w:p w14:paraId="7DA237E3">
                  <w:pPr>
                    <w:pStyle w:val="6"/>
                    <w:spacing w:before="69" w:line="210" w:lineRule="auto"/>
                    <w:ind w:left="7"/>
                    <w:rPr>
                      <w:sz w:val="18"/>
                      <w:szCs w:val="18"/>
                    </w:rPr>
                  </w:pPr>
                  <w:r>
                    <w:rPr>
                      <w:spacing w:val="-1"/>
                      <w:sz w:val="18"/>
                      <w:szCs w:val="18"/>
                    </w:rPr>
                    <w:t>粉料筒仓均设置有布袋除尘器，共</w:t>
                  </w:r>
                  <w:r>
                    <w:rPr>
                      <w:spacing w:val="-35"/>
                      <w:sz w:val="18"/>
                      <w:szCs w:val="18"/>
                    </w:rPr>
                    <w:t xml:space="preserve"> </w:t>
                  </w:r>
                  <w:r>
                    <w:rPr>
                      <w:rFonts w:ascii="Times New Roman" w:hAnsi="Times New Roman" w:eastAsia="Times New Roman" w:cs="Times New Roman"/>
                      <w:spacing w:val="-1"/>
                      <w:sz w:val="18"/>
                      <w:szCs w:val="18"/>
                    </w:rPr>
                    <w:t>3</w:t>
                  </w:r>
                  <w:r>
                    <w:rPr>
                      <w:rFonts w:ascii="Times New Roman" w:hAnsi="Times New Roman" w:eastAsia="Times New Roman" w:cs="Times New Roman"/>
                      <w:spacing w:val="20"/>
                      <w:w w:val="101"/>
                      <w:sz w:val="18"/>
                      <w:szCs w:val="18"/>
                    </w:rPr>
                    <w:t xml:space="preserve"> </w:t>
                  </w:r>
                  <w:r>
                    <w:rPr>
                      <w:spacing w:val="-1"/>
                      <w:sz w:val="18"/>
                      <w:szCs w:val="18"/>
                    </w:rPr>
                    <w:t>台</w:t>
                  </w:r>
                </w:p>
              </w:tc>
            </w:tr>
            <w:tr w14:paraId="33AD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4" w:type="dxa"/>
                  <w:vMerge w:val="continue"/>
                  <w:tcBorders>
                    <w:top w:val="nil"/>
                    <w:bottom w:val="nil"/>
                  </w:tcBorders>
                  <w:vAlign w:val="top"/>
                </w:tcPr>
                <w:p w14:paraId="719D60CF">
                  <w:pPr>
                    <w:rPr>
                      <w:rFonts w:ascii="Arial"/>
                      <w:sz w:val="21"/>
                    </w:rPr>
                  </w:pPr>
                </w:p>
              </w:tc>
              <w:tc>
                <w:tcPr>
                  <w:tcW w:w="6599" w:type="dxa"/>
                  <w:vAlign w:val="top"/>
                </w:tcPr>
                <w:p w14:paraId="4041C833">
                  <w:pPr>
                    <w:pStyle w:val="6"/>
                    <w:spacing w:before="70" w:line="209" w:lineRule="auto"/>
                    <w:ind w:left="11"/>
                    <w:rPr>
                      <w:sz w:val="18"/>
                      <w:szCs w:val="18"/>
                    </w:rPr>
                  </w:pPr>
                  <w:r>
                    <w:rPr>
                      <w:spacing w:val="-1"/>
                      <w:sz w:val="18"/>
                      <w:szCs w:val="18"/>
                    </w:rPr>
                    <w:t>设置有密闭式的浇筑机，粉料均采用管道输送至浇筑机</w:t>
                  </w:r>
                </w:p>
              </w:tc>
            </w:tr>
            <w:tr w14:paraId="4513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64" w:type="dxa"/>
                  <w:vMerge w:val="continue"/>
                  <w:tcBorders>
                    <w:top w:val="nil"/>
                    <w:bottom w:val="nil"/>
                  </w:tcBorders>
                  <w:vAlign w:val="top"/>
                </w:tcPr>
                <w:p w14:paraId="51358EAF">
                  <w:pPr>
                    <w:rPr>
                      <w:rFonts w:ascii="Arial"/>
                      <w:sz w:val="21"/>
                    </w:rPr>
                  </w:pPr>
                </w:p>
              </w:tc>
              <w:tc>
                <w:tcPr>
                  <w:tcW w:w="6599" w:type="dxa"/>
                  <w:vAlign w:val="top"/>
                </w:tcPr>
                <w:p w14:paraId="7F700CC9">
                  <w:pPr>
                    <w:pStyle w:val="6"/>
                    <w:spacing w:before="71" w:line="208" w:lineRule="auto"/>
                    <w:ind w:left="10"/>
                    <w:rPr>
                      <w:sz w:val="18"/>
                      <w:szCs w:val="18"/>
                    </w:rPr>
                  </w:pPr>
                  <w:r>
                    <w:rPr>
                      <w:spacing w:val="-1"/>
                      <w:sz w:val="18"/>
                      <w:szCs w:val="18"/>
                    </w:rPr>
                    <w:t>建设封闭式钢架结构厂房</w:t>
                  </w:r>
                  <w:r>
                    <w:rPr>
                      <w:spacing w:val="-24"/>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栋，所有生产工序均位于</w:t>
                  </w:r>
                  <w:r>
                    <w:rPr>
                      <w:spacing w:val="-2"/>
                      <w:sz w:val="18"/>
                      <w:szCs w:val="18"/>
                    </w:rPr>
                    <w:t>厂房内部</w:t>
                  </w:r>
                </w:p>
              </w:tc>
            </w:tr>
            <w:tr w14:paraId="43EE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4" w:type="dxa"/>
                  <w:vMerge w:val="continue"/>
                  <w:tcBorders>
                    <w:top w:val="nil"/>
                    <w:bottom w:val="nil"/>
                  </w:tcBorders>
                  <w:vAlign w:val="top"/>
                </w:tcPr>
                <w:p w14:paraId="5322E898">
                  <w:pPr>
                    <w:rPr>
                      <w:rFonts w:ascii="Arial"/>
                      <w:sz w:val="21"/>
                    </w:rPr>
                  </w:pPr>
                </w:p>
              </w:tc>
              <w:tc>
                <w:tcPr>
                  <w:tcW w:w="6599" w:type="dxa"/>
                  <w:vAlign w:val="top"/>
                </w:tcPr>
                <w:p w14:paraId="27D4D9E1">
                  <w:pPr>
                    <w:pStyle w:val="6"/>
                    <w:spacing w:before="70" w:line="210" w:lineRule="auto"/>
                    <w:ind w:left="12"/>
                    <w:rPr>
                      <w:sz w:val="18"/>
                      <w:szCs w:val="18"/>
                    </w:rPr>
                  </w:pPr>
                  <w:r>
                    <w:rPr>
                      <w:spacing w:val="-1"/>
                      <w:sz w:val="18"/>
                      <w:szCs w:val="18"/>
                    </w:rPr>
                    <w:t>原料库地面硬化处理，三面建设围挡，顶部建设雨棚</w:t>
                  </w:r>
                </w:p>
              </w:tc>
            </w:tr>
            <w:tr w14:paraId="69D3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64" w:type="dxa"/>
                  <w:vMerge w:val="continue"/>
                  <w:tcBorders>
                    <w:top w:val="nil"/>
                    <w:bottom w:val="nil"/>
                  </w:tcBorders>
                  <w:vAlign w:val="top"/>
                </w:tcPr>
                <w:p w14:paraId="667A29FF">
                  <w:pPr>
                    <w:rPr>
                      <w:rFonts w:ascii="Arial"/>
                      <w:sz w:val="21"/>
                    </w:rPr>
                  </w:pPr>
                </w:p>
              </w:tc>
              <w:tc>
                <w:tcPr>
                  <w:tcW w:w="6599" w:type="dxa"/>
                  <w:vAlign w:val="top"/>
                </w:tcPr>
                <w:p w14:paraId="2994C077">
                  <w:pPr>
                    <w:pStyle w:val="6"/>
                    <w:spacing w:before="87" w:line="212" w:lineRule="auto"/>
                    <w:ind w:left="65"/>
                    <w:rPr>
                      <w:sz w:val="18"/>
                      <w:szCs w:val="18"/>
                    </w:rPr>
                  </w:pPr>
                  <w:r>
                    <w:rPr>
                      <w:spacing w:val="-1"/>
                      <w:sz w:val="18"/>
                      <w:szCs w:val="18"/>
                    </w:rPr>
                    <w:t>厂区地面进行了硬化处理</w:t>
                  </w:r>
                </w:p>
              </w:tc>
            </w:tr>
            <w:tr w14:paraId="376B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64" w:type="dxa"/>
                  <w:vMerge w:val="continue"/>
                  <w:tcBorders>
                    <w:top w:val="nil"/>
                    <w:bottom w:val="nil"/>
                  </w:tcBorders>
                  <w:vAlign w:val="top"/>
                </w:tcPr>
                <w:p w14:paraId="572533C5">
                  <w:pPr>
                    <w:rPr>
                      <w:rFonts w:ascii="Arial"/>
                      <w:sz w:val="21"/>
                    </w:rPr>
                  </w:pPr>
                </w:p>
              </w:tc>
              <w:tc>
                <w:tcPr>
                  <w:tcW w:w="6599" w:type="dxa"/>
                  <w:vAlign w:val="top"/>
                </w:tcPr>
                <w:p w14:paraId="3E28AE8F">
                  <w:pPr>
                    <w:pStyle w:val="6"/>
                    <w:spacing w:before="87" w:line="212" w:lineRule="auto"/>
                    <w:ind w:left="62"/>
                    <w:rPr>
                      <w:sz w:val="18"/>
                      <w:szCs w:val="18"/>
                    </w:rPr>
                  </w:pPr>
                  <w:r>
                    <w:rPr>
                      <w:spacing w:val="-1"/>
                      <w:sz w:val="18"/>
                      <w:szCs w:val="18"/>
                    </w:rPr>
                    <w:t>进出口设置车辆冲洗槽</w:t>
                  </w:r>
                </w:p>
              </w:tc>
            </w:tr>
            <w:tr w14:paraId="233F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64" w:type="dxa"/>
                  <w:vMerge w:val="continue"/>
                  <w:tcBorders>
                    <w:top w:val="nil"/>
                  </w:tcBorders>
                  <w:vAlign w:val="top"/>
                </w:tcPr>
                <w:p w14:paraId="59CB906C">
                  <w:pPr>
                    <w:rPr>
                      <w:rFonts w:ascii="Arial"/>
                      <w:sz w:val="21"/>
                    </w:rPr>
                  </w:pPr>
                </w:p>
              </w:tc>
              <w:tc>
                <w:tcPr>
                  <w:tcW w:w="6599" w:type="dxa"/>
                  <w:vAlign w:val="top"/>
                </w:tcPr>
                <w:p w14:paraId="318ECBAF">
                  <w:pPr>
                    <w:pStyle w:val="6"/>
                    <w:spacing w:before="90" w:line="209" w:lineRule="auto"/>
                    <w:ind w:left="63"/>
                    <w:rPr>
                      <w:sz w:val="18"/>
                      <w:szCs w:val="18"/>
                    </w:rPr>
                  </w:pPr>
                  <w:r>
                    <w:rPr>
                      <w:spacing w:val="-1"/>
                      <w:sz w:val="18"/>
                      <w:szCs w:val="18"/>
                    </w:rPr>
                    <w:t>食堂设置油烟净化器</w:t>
                  </w:r>
                </w:p>
              </w:tc>
            </w:tr>
            <w:tr w14:paraId="6286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64" w:type="dxa"/>
                  <w:vMerge w:val="restart"/>
                  <w:tcBorders>
                    <w:bottom w:val="nil"/>
                  </w:tcBorders>
                  <w:vAlign w:val="top"/>
                </w:tcPr>
                <w:p w14:paraId="623AA75A">
                  <w:pPr>
                    <w:spacing w:line="301" w:lineRule="auto"/>
                    <w:rPr>
                      <w:rFonts w:ascii="Arial"/>
                      <w:sz w:val="21"/>
                    </w:rPr>
                  </w:pPr>
                </w:p>
                <w:p w14:paraId="6E5C29BA">
                  <w:pPr>
                    <w:pStyle w:val="6"/>
                    <w:spacing w:before="59" w:line="219" w:lineRule="auto"/>
                    <w:ind w:left="171"/>
                    <w:rPr>
                      <w:sz w:val="18"/>
                      <w:szCs w:val="18"/>
                    </w:rPr>
                  </w:pPr>
                  <w:r>
                    <w:rPr>
                      <w:spacing w:val="-2"/>
                      <w:sz w:val="18"/>
                      <w:szCs w:val="18"/>
                    </w:rPr>
                    <w:t>废水治理</w:t>
                  </w:r>
                </w:p>
              </w:tc>
              <w:tc>
                <w:tcPr>
                  <w:tcW w:w="6599" w:type="dxa"/>
                  <w:vAlign w:val="top"/>
                </w:tcPr>
                <w:p w14:paraId="73B6828A">
                  <w:pPr>
                    <w:pStyle w:val="6"/>
                    <w:spacing w:before="74" w:line="246" w:lineRule="auto"/>
                    <w:ind w:left="10" w:right="8"/>
                    <w:rPr>
                      <w:sz w:val="18"/>
                      <w:szCs w:val="18"/>
                    </w:rPr>
                  </w:pPr>
                  <w:r>
                    <w:rPr>
                      <w:spacing w:val="-2"/>
                      <w:sz w:val="18"/>
                      <w:szCs w:val="18"/>
                    </w:rPr>
                    <w:t>厂区设收集沟和废浆池，车间冲洗废水、切</w:t>
                  </w:r>
                  <w:r>
                    <w:rPr>
                      <w:spacing w:val="-3"/>
                      <w:sz w:val="18"/>
                      <w:szCs w:val="18"/>
                    </w:rPr>
                    <w:t>割废料冲洗水收集至废浆池，然后返回球</w:t>
                  </w:r>
                  <w:r>
                    <w:rPr>
                      <w:sz w:val="18"/>
                      <w:szCs w:val="18"/>
                    </w:rPr>
                    <w:t xml:space="preserve"> </w:t>
                  </w:r>
                  <w:r>
                    <w:rPr>
                      <w:spacing w:val="-2"/>
                      <w:sz w:val="18"/>
                      <w:szCs w:val="18"/>
                    </w:rPr>
                    <w:t>磨工序回用于生产</w:t>
                  </w:r>
                </w:p>
              </w:tc>
            </w:tr>
            <w:tr w14:paraId="6712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4" w:type="dxa"/>
                  <w:vMerge w:val="continue"/>
                  <w:tcBorders>
                    <w:top w:val="nil"/>
                  </w:tcBorders>
                  <w:vAlign w:val="top"/>
                </w:tcPr>
                <w:p w14:paraId="43D06B2A">
                  <w:pPr>
                    <w:rPr>
                      <w:rFonts w:ascii="Arial"/>
                      <w:sz w:val="21"/>
                    </w:rPr>
                  </w:pPr>
                </w:p>
              </w:tc>
              <w:tc>
                <w:tcPr>
                  <w:tcW w:w="6599" w:type="dxa"/>
                  <w:vAlign w:val="top"/>
                </w:tcPr>
                <w:p w14:paraId="00011508">
                  <w:pPr>
                    <w:pStyle w:val="6"/>
                    <w:spacing w:before="76" w:line="204" w:lineRule="auto"/>
                    <w:ind w:left="10"/>
                    <w:rPr>
                      <w:sz w:val="18"/>
                      <w:szCs w:val="18"/>
                    </w:rPr>
                  </w:pPr>
                  <w:r>
                    <w:rPr>
                      <w:spacing w:val="-2"/>
                      <w:sz w:val="18"/>
                      <w:szCs w:val="18"/>
                    </w:rPr>
                    <w:t>建设化粪池，容积为</w:t>
                  </w:r>
                  <w:r>
                    <w:rPr>
                      <w:spacing w:val="-10"/>
                      <w:sz w:val="18"/>
                      <w:szCs w:val="18"/>
                    </w:rPr>
                    <w:t xml:space="preserve"> </w:t>
                  </w:r>
                  <w:r>
                    <w:rPr>
                      <w:rFonts w:ascii="Times New Roman" w:hAnsi="Times New Roman" w:eastAsia="Times New Roman" w:cs="Times New Roman"/>
                      <w:spacing w:val="-2"/>
                      <w:sz w:val="18"/>
                      <w:szCs w:val="18"/>
                    </w:rPr>
                    <w:t>130m</w:t>
                  </w:r>
                  <w:r>
                    <w:rPr>
                      <w:rFonts w:ascii="Times New Roman" w:hAnsi="Times New Roman" w:eastAsia="Times New Roman" w:cs="Times New Roman"/>
                      <w:spacing w:val="-2"/>
                      <w:position w:val="6"/>
                      <w:sz w:val="11"/>
                      <w:szCs w:val="11"/>
                    </w:rPr>
                    <w:t>3</w:t>
                  </w:r>
                  <w:r>
                    <w:rPr>
                      <w:rFonts w:ascii="Times New Roman" w:hAnsi="Times New Roman" w:eastAsia="Times New Roman" w:cs="Times New Roman"/>
                      <w:spacing w:val="-6"/>
                      <w:position w:val="6"/>
                      <w:sz w:val="11"/>
                      <w:szCs w:val="11"/>
                    </w:rPr>
                    <w:t xml:space="preserve"> </w:t>
                  </w:r>
                  <w:r>
                    <w:rPr>
                      <w:spacing w:val="-2"/>
                      <w:sz w:val="18"/>
                      <w:szCs w:val="18"/>
                    </w:rPr>
                    <w:t>，生活污水经化粪池处理后，作农肥使用</w:t>
                  </w:r>
                </w:p>
              </w:tc>
            </w:tr>
            <w:tr w14:paraId="5DDED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4" w:type="dxa"/>
                  <w:vAlign w:val="top"/>
                </w:tcPr>
                <w:p w14:paraId="7F8C9D6F">
                  <w:pPr>
                    <w:pStyle w:val="6"/>
                    <w:spacing w:before="76" w:line="204" w:lineRule="auto"/>
                    <w:ind w:left="181"/>
                    <w:rPr>
                      <w:sz w:val="18"/>
                      <w:szCs w:val="18"/>
                    </w:rPr>
                  </w:pPr>
                  <w:r>
                    <w:rPr>
                      <w:spacing w:val="-4"/>
                      <w:sz w:val="18"/>
                      <w:szCs w:val="18"/>
                    </w:rPr>
                    <w:t>噪声治理</w:t>
                  </w:r>
                </w:p>
              </w:tc>
              <w:tc>
                <w:tcPr>
                  <w:tcW w:w="6599" w:type="dxa"/>
                  <w:vAlign w:val="top"/>
                </w:tcPr>
                <w:p w14:paraId="7552E6D2">
                  <w:pPr>
                    <w:pStyle w:val="6"/>
                    <w:spacing w:before="76" w:line="204" w:lineRule="auto"/>
                    <w:ind w:left="7"/>
                    <w:rPr>
                      <w:sz w:val="18"/>
                      <w:szCs w:val="18"/>
                    </w:rPr>
                  </w:pPr>
                  <w:r>
                    <w:rPr>
                      <w:sz w:val="18"/>
                      <w:szCs w:val="18"/>
                    </w:rPr>
                    <w:t>优选设备、设备基础减震、建设封闭厂房、厂</w:t>
                  </w:r>
                  <w:r>
                    <w:rPr>
                      <w:spacing w:val="-1"/>
                      <w:sz w:val="18"/>
                      <w:szCs w:val="18"/>
                    </w:rPr>
                    <w:t>区周围建设围墙等</w:t>
                  </w:r>
                </w:p>
              </w:tc>
            </w:tr>
            <w:tr w14:paraId="092A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64" w:type="dxa"/>
                  <w:vMerge w:val="restart"/>
                  <w:tcBorders>
                    <w:bottom w:val="nil"/>
                  </w:tcBorders>
                  <w:vAlign w:val="top"/>
                </w:tcPr>
                <w:p w14:paraId="61952FF2">
                  <w:pPr>
                    <w:spacing w:line="267" w:lineRule="auto"/>
                    <w:rPr>
                      <w:rFonts w:ascii="Arial"/>
                      <w:sz w:val="21"/>
                    </w:rPr>
                  </w:pPr>
                </w:p>
                <w:p w14:paraId="765996E2">
                  <w:pPr>
                    <w:spacing w:line="268" w:lineRule="auto"/>
                    <w:rPr>
                      <w:rFonts w:ascii="Arial"/>
                      <w:sz w:val="21"/>
                    </w:rPr>
                  </w:pPr>
                </w:p>
                <w:p w14:paraId="3747B7BC">
                  <w:pPr>
                    <w:pStyle w:val="6"/>
                    <w:spacing w:before="59" w:line="277" w:lineRule="auto"/>
                    <w:ind w:left="356" w:right="348" w:firstLine="11"/>
                    <w:rPr>
                      <w:sz w:val="18"/>
                      <w:szCs w:val="18"/>
                    </w:rPr>
                  </w:pPr>
                  <w:r>
                    <w:rPr>
                      <w:spacing w:val="-12"/>
                      <w:sz w:val="18"/>
                      <w:szCs w:val="18"/>
                    </w:rPr>
                    <w:t>固废</w:t>
                  </w:r>
                  <w:r>
                    <w:rPr>
                      <w:sz w:val="18"/>
                      <w:szCs w:val="18"/>
                    </w:rPr>
                    <w:t xml:space="preserve"> </w:t>
                  </w:r>
                  <w:r>
                    <w:rPr>
                      <w:spacing w:val="-6"/>
                      <w:sz w:val="18"/>
                      <w:szCs w:val="18"/>
                    </w:rPr>
                    <w:t>治理</w:t>
                  </w:r>
                </w:p>
              </w:tc>
              <w:tc>
                <w:tcPr>
                  <w:tcW w:w="6599" w:type="dxa"/>
                  <w:vAlign w:val="top"/>
                </w:tcPr>
                <w:p w14:paraId="5DD0B611">
                  <w:pPr>
                    <w:pStyle w:val="6"/>
                    <w:spacing w:before="107" w:line="212" w:lineRule="auto"/>
                    <w:ind w:left="63"/>
                    <w:rPr>
                      <w:sz w:val="18"/>
                      <w:szCs w:val="18"/>
                    </w:rPr>
                  </w:pPr>
                  <w:r>
                    <w:rPr>
                      <w:spacing w:val="-1"/>
                      <w:sz w:val="18"/>
                      <w:szCs w:val="18"/>
                    </w:rPr>
                    <w:t>切割废料用水冲至废浆池，返回球磨工序回用于生产</w:t>
                  </w:r>
                </w:p>
              </w:tc>
            </w:tr>
            <w:tr w14:paraId="6F98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64" w:type="dxa"/>
                  <w:vMerge w:val="continue"/>
                  <w:tcBorders>
                    <w:top w:val="nil"/>
                    <w:bottom w:val="nil"/>
                  </w:tcBorders>
                  <w:vAlign w:val="top"/>
                </w:tcPr>
                <w:p w14:paraId="494EC7C3">
                  <w:pPr>
                    <w:rPr>
                      <w:rFonts w:ascii="Arial"/>
                      <w:sz w:val="21"/>
                    </w:rPr>
                  </w:pPr>
                </w:p>
              </w:tc>
              <w:tc>
                <w:tcPr>
                  <w:tcW w:w="6599" w:type="dxa"/>
                  <w:vAlign w:val="top"/>
                </w:tcPr>
                <w:p w14:paraId="4CFFB049">
                  <w:pPr>
                    <w:pStyle w:val="6"/>
                    <w:spacing w:before="107" w:line="212" w:lineRule="auto"/>
                    <w:ind w:left="66"/>
                    <w:rPr>
                      <w:sz w:val="18"/>
                      <w:szCs w:val="18"/>
                    </w:rPr>
                  </w:pPr>
                  <w:r>
                    <w:rPr>
                      <w:spacing w:val="-1"/>
                      <w:sz w:val="18"/>
                      <w:szCs w:val="18"/>
                    </w:rPr>
                    <w:t>不合格产品集中堆放置原料库，作生产原料使用</w:t>
                  </w:r>
                </w:p>
              </w:tc>
            </w:tr>
            <w:tr w14:paraId="51A6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64" w:type="dxa"/>
                  <w:vMerge w:val="continue"/>
                  <w:tcBorders>
                    <w:top w:val="nil"/>
                    <w:bottom w:val="nil"/>
                  </w:tcBorders>
                  <w:vAlign w:val="top"/>
                </w:tcPr>
                <w:p w14:paraId="6C3C8836">
                  <w:pPr>
                    <w:rPr>
                      <w:rFonts w:ascii="Arial"/>
                      <w:sz w:val="21"/>
                    </w:rPr>
                  </w:pPr>
                </w:p>
              </w:tc>
              <w:tc>
                <w:tcPr>
                  <w:tcW w:w="6599" w:type="dxa"/>
                  <w:vAlign w:val="top"/>
                </w:tcPr>
                <w:p w14:paraId="465776FE">
                  <w:pPr>
                    <w:pStyle w:val="6"/>
                    <w:spacing w:before="109" w:line="269" w:lineRule="auto"/>
                    <w:ind w:left="63" w:right="61" w:firstLine="2"/>
                    <w:rPr>
                      <w:sz w:val="18"/>
                      <w:szCs w:val="18"/>
                    </w:rPr>
                  </w:pPr>
                  <w:r>
                    <w:rPr>
                      <w:spacing w:val="-3"/>
                      <w:sz w:val="18"/>
                      <w:szCs w:val="18"/>
                    </w:rPr>
                    <w:t>危废间：设置规范的危废间一个，建筑面积约</w:t>
                  </w:r>
                  <w:r>
                    <w:rPr>
                      <w:spacing w:val="-11"/>
                      <w:sz w:val="18"/>
                      <w:szCs w:val="18"/>
                    </w:rPr>
                    <w:t xml:space="preserve"> </w:t>
                  </w:r>
                  <w:r>
                    <w:rPr>
                      <w:rFonts w:ascii="Times New Roman" w:hAnsi="Times New Roman" w:eastAsia="Times New Roman" w:cs="Times New Roman"/>
                      <w:spacing w:val="-3"/>
                      <w:sz w:val="18"/>
                      <w:szCs w:val="18"/>
                    </w:rPr>
                    <w:t>10m</w:t>
                  </w:r>
                  <w:r>
                    <w:rPr>
                      <w:rFonts w:ascii="Times New Roman" w:hAnsi="Times New Roman" w:eastAsia="Times New Roman" w:cs="Times New Roman"/>
                      <w:spacing w:val="-3"/>
                      <w:position w:val="5"/>
                      <w:sz w:val="11"/>
                      <w:szCs w:val="11"/>
                    </w:rPr>
                    <w:t>2</w:t>
                  </w:r>
                  <w:r>
                    <w:rPr>
                      <w:spacing w:val="-3"/>
                      <w:sz w:val="18"/>
                      <w:szCs w:val="18"/>
                    </w:rPr>
                    <w:t>，按照重点防渗区要求落实防渗</w:t>
                  </w:r>
                  <w:r>
                    <w:rPr>
                      <w:sz w:val="18"/>
                      <w:szCs w:val="18"/>
                    </w:rPr>
                    <w:t xml:space="preserve"> </w:t>
                  </w:r>
                  <w:r>
                    <w:rPr>
                      <w:spacing w:val="-1"/>
                      <w:sz w:val="18"/>
                      <w:szCs w:val="18"/>
                    </w:rPr>
                    <w:t>措施，设专用危废容器，委托有资质的单位回收处置</w:t>
                  </w:r>
                </w:p>
              </w:tc>
            </w:tr>
            <w:tr w14:paraId="6CF0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64" w:type="dxa"/>
                  <w:vMerge w:val="continue"/>
                  <w:tcBorders>
                    <w:top w:val="nil"/>
                  </w:tcBorders>
                  <w:vAlign w:val="top"/>
                </w:tcPr>
                <w:p w14:paraId="4D99C047">
                  <w:pPr>
                    <w:rPr>
                      <w:rFonts w:ascii="Arial"/>
                      <w:sz w:val="21"/>
                    </w:rPr>
                  </w:pPr>
                </w:p>
              </w:tc>
              <w:tc>
                <w:tcPr>
                  <w:tcW w:w="6599" w:type="dxa"/>
                  <w:vAlign w:val="top"/>
                </w:tcPr>
                <w:p w14:paraId="28EC1D37">
                  <w:pPr>
                    <w:pStyle w:val="6"/>
                    <w:spacing w:before="79" w:line="208" w:lineRule="auto"/>
                    <w:ind w:left="10"/>
                    <w:rPr>
                      <w:sz w:val="18"/>
                      <w:szCs w:val="18"/>
                    </w:rPr>
                  </w:pPr>
                  <w:r>
                    <w:rPr>
                      <w:sz w:val="18"/>
                      <w:szCs w:val="18"/>
                    </w:rPr>
                    <w:t>建设垃圾收集池并配套设置有垃圾收集桶，生活垃圾集中</w:t>
                  </w:r>
                  <w:r>
                    <w:rPr>
                      <w:spacing w:val="-1"/>
                      <w:sz w:val="18"/>
                      <w:szCs w:val="18"/>
                    </w:rPr>
                    <w:t>收集后，由环卫部门清运</w:t>
                  </w:r>
                </w:p>
              </w:tc>
            </w:tr>
          </w:tbl>
          <w:p w14:paraId="15D30B4F">
            <w:pPr>
              <w:pStyle w:val="6"/>
              <w:spacing w:before="141" w:line="228" w:lineRule="auto"/>
              <w:ind w:left="657"/>
              <w:rPr>
                <w:sz w:val="20"/>
                <w:szCs w:val="20"/>
              </w:rPr>
            </w:pPr>
            <w:r>
              <w:rPr>
                <w:spacing w:val="9"/>
                <w:sz w:val="20"/>
                <w:szCs w:val="20"/>
              </w:rPr>
              <w:t>通过上述分析，项目一期工程各项环保措施均已落实，现场无环境问题。</w:t>
            </w:r>
          </w:p>
        </w:tc>
      </w:tr>
    </w:tbl>
    <w:p w14:paraId="4D07AF38">
      <w:pPr>
        <w:pStyle w:val="2"/>
      </w:pPr>
    </w:p>
    <w:p w14:paraId="614AB044">
      <w:pPr>
        <w:sectPr>
          <w:footerReference r:id="rId54" w:type="default"/>
          <w:pgSz w:w="11906" w:h="16839"/>
          <w:pgMar w:top="1431" w:right="1534" w:bottom="1260" w:left="1533" w:header="0" w:footer="1080" w:gutter="0"/>
          <w:cols w:space="720" w:num="1"/>
        </w:sectPr>
      </w:pPr>
    </w:p>
    <w:p w14:paraId="647A8EA4">
      <w:pPr>
        <w:pStyle w:val="2"/>
        <w:spacing w:line="246" w:lineRule="auto"/>
      </w:pPr>
    </w:p>
    <w:p w14:paraId="2F1B6B7A">
      <w:pPr>
        <w:pStyle w:val="2"/>
        <w:spacing w:line="247" w:lineRule="auto"/>
      </w:pPr>
    </w:p>
    <w:p w14:paraId="212416AE">
      <w:pPr>
        <w:spacing w:before="97" w:line="222" w:lineRule="auto"/>
        <w:ind w:left="1157"/>
        <w:outlineLvl w:val="1"/>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14:paraId="6CAC229F">
      <w:pPr>
        <w:spacing w:before="22"/>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4FA4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7" w:hRule="atLeast"/>
        </w:trPr>
        <w:tc>
          <w:tcPr>
            <w:tcW w:w="808" w:type="dxa"/>
            <w:tcBorders>
              <w:bottom w:val="single" w:color="000000" w:sz="2" w:space="0"/>
              <w:right w:val="single" w:color="000000" w:sz="2" w:space="0"/>
            </w:tcBorders>
            <w:vAlign w:val="top"/>
          </w:tcPr>
          <w:p w14:paraId="4D0B1549">
            <w:pPr>
              <w:spacing w:line="242" w:lineRule="auto"/>
              <w:rPr>
                <w:rFonts w:ascii="Arial"/>
                <w:sz w:val="21"/>
              </w:rPr>
            </w:pPr>
          </w:p>
          <w:p w14:paraId="0AC6E1B4">
            <w:pPr>
              <w:spacing w:line="242" w:lineRule="auto"/>
              <w:rPr>
                <w:rFonts w:ascii="Arial"/>
                <w:sz w:val="21"/>
              </w:rPr>
            </w:pPr>
          </w:p>
          <w:p w14:paraId="3C53541C">
            <w:pPr>
              <w:spacing w:line="242" w:lineRule="auto"/>
              <w:rPr>
                <w:rFonts w:ascii="Arial"/>
                <w:sz w:val="21"/>
              </w:rPr>
            </w:pPr>
          </w:p>
          <w:p w14:paraId="2DB696C8">
            <w:pPr>
              <w:spacing w:line="242" w:lineRule="auto"/>
              <w:rPr>
                <w:rFonts w:ascii="Arial"/>
                <w:sz w:val="21"/>
              </w:rPr>
            </w:pPr>
          </w:p>
          <w:p w14:paraId="50C2D7DF">
            <w:pPr>
              <w:spacing w:line="242" w:lineRule="auto"/>
              <w:rPr>
                <w:rFonts w:ascii="Arial"/>
                <w:sz w:val="21"/>
              </w:rPr>
            </w:pPr>
          </w:p>
          <w:p w14:paraId="18C6F6D4">
            <w:pPr>
              <w:spacing w:line="242" w:lineRule="auto"/>
              <w:rPr>
                <w:rFonts w:ascii="Arial"/>
                <w:sz w:val="21"/>
              </w:rPr>
            </w:pPr>
          </w:p>
          <w:p w14:paraId="1F61828C">
            <w:pPr>
              <w:spacing w:line="242" w:lineRule="auto"/>
              <w:rPr>
                <w:rFonts w:ascii="Arial"/>
                <w:sz w:val="21"/>
              </w:rPr>
            </w:pPr>
          </w:p>
          <w:p w14:paraId="6ADF9ABA">
            <w:pPr>
              <w:spacing w:line="242" w:lineRule="auto"/>
              <w:rPr>
                <w:rFonts w:ascii="Arial"/>
                <w:sz w:val="21"/>
              </w:rPr>
            </w:pPr>
          </w:p>
          <w:p w14:paraId="009D5FD3">
            <w:pPr>
              <w:spacing w:line="242" w:lineRule="auto"/>
              <w:rPr>
                <w:rFonts w:ascii="Arial"/>
                <w:sz w:val="21"/>
              </w:rPr>
            </w:pPr>
          </w:p>
          <w:p w14:paraId="027ACBD7">
            <w:pPr>
              <w:spacing w:line="242" w:lineRule="auto"/>
              <w:rPr>
                <w:rFonts w:ascii="Arial"/>
                <w:sz w:val="21"/>
              </w:rPr>
            </w:pPr>
          </w:p>
          <w:p w14:paraId="51550116">
            <w:pPr>
              <w:spacing w:line="242" w:lineRule="auto"/>
              <w:rPr>
                <w:rFonts w:ascii="Arial"/>
                <w:sz w:val="21"/>
              </w:rPr>
            </w:pPr>
          </w:p>
          <w:p w14:paraId="69E75F08">
            <w:pPr>
              <w:spacing w:line="242" w:lineRule="auto"/>
              <w:rPr>
                <w:rFonts w:ascii="Arial"/>
                <w:sz w:val="21"/>
              </w:rPr>
            </w:pPr>
          </w:p>
          <w:p w14:paraId="0DED67D1">
            <w:pPr>
              <w:spacing w:line="242" w:lineRule="auto"/>
              <w:rPr>
                <w:rFonts w:ascii="Arial"/>
                <w:sz w:val="21"/>
              </w:rPr>
            </w:pPr>
          </w:p>
          <w:p w14:paraId="60D711CF">
            <w:pPr>
              <w:spacing w:line="242" w:lineRule="auto"/>
              <w:rPr>
                <w:rFonts w:ascii="Arial"/>
                <w:sz w:val="21"/>
              </w:rPr>
            </w:pPr>
          </w:p>
          <w:p w14:paraId="6FD26DE8">
            <w:pPr>
              <w:spacing w:line="242" w:lineRule="auto"/>
              <w:rPr>
                <w:rFonts w:ascii="Arial"/>
                <w:sz w:val="21"/>
              </w:rPr>
            </w:pPr>
          </w:p>
          <w:p w14:paraId="7A352A33">
            <w:pPr>
              <w:spacing w:line="242" w:lineRule="auto"/>
              <w:rPr>
                <w:rFonts w:ascii="Arial"/>
                <w:sz w:val="21"/>
              </w:rPr>
            </w:pPr>
          </w:p>
          <w:p w14:paraId="1144D134">
            <w:pPr>
              <w:spacing w:line="242" w:lineRule="auto"/>
              <w:rPr>
                <w:rFonts w:ascii="Arial"/>
                <w:sz w:val="21"/>
              </w:rPr>
            </w:pPr>
          </w:p>
          <w:p w14:paraId="1CAE79B0">
            <w:pPr>
              <w:spacing w:line="242" w:lineRule="auto"/>
              <w:rPr>
                <w:rFonts w:ascii="Arial"/>
                <w:sz w:val="21"/>
              </w:rPr>
            </w:pPr>
          </w:p>
          <w:p w14:paraId="3AD91DEF">
            <w:pPr>
              <w:spacing w:line="243" w:lineRule="auto"/>
              <w:rPr>
                <w:rFonts w:ascii="Arial"/>
                <w:sz w:val="21"/>
              </w:rPr>
            </w:pPr>
          </w:p>
          <w:p w14:paraId="48364A66">
            <w:pPr>
              <w:spacing w:line="243" w:lineRule="auto"/>
              <w:rPr>
                <w:rFonts w:ascii="Arial"/>
                <w:sz w:val="21"/>
              </w:rPr>
            </w:pPr>
          </w:p>
          <w:p w14:paraId="6EB9EBEF">
            <w:pPr>
              <w:spacing w:line="243" w:lineRule="auto"/>
              <w:rPr>
                <w:rFonts w:ascii="Arial"/>
                <w:sz w:val="21"/>
              </w:rPr>
            </w:pPr>
          </w:p>
          <w:p w14:paraId="2CB64745">
            <w:pPr>
              <w:spacing w:line="243" w:lineRule="auto"/>
              <w:rPr>
                <w:rFonts w:ascii="Arial"/>
                <w:sz w:val="21"/>
              </w:rPr>
            </w:pPr>
          </w:p>
          <w:p w14:paraId="51F02DFB">
            <w:pPr>
              <w:spacing w:line="243" w:lineRule="auto"/>
              <w:rPr>
                <w:rFonts w:ascii="Arial"/>
                <w:sz w:val="21"/>
              </w:rPr>
            </w:pPr>
          </w:p>
          <w:p w14:paraId="7C3FEAB6">
            <w:pPr>
              <w:pStyle w:val="6"/>
              <w:spacing w:before="71" w:line="234" w:lineRule="auto"/>
              <w:ind w:left="182" w:right="182" w:firstLine="16"/>
              <w:jc w:val="both"/>
            </w:pPr>
            <w:r>
              <w:rPr>
                <w:spacing w:val="-12"/>
              </w:rPr>
              <w:t>区域</w:t>
            </w:r>
            <w:r>
              <w:t xml:space="preserve"> </w:t>
            </w:r>
            <w:r>
              <w:rPr>
                <w:spacing w:val="-4"/>
              </w:rPr>
              <w:t>环境</w:t>
            </w:r>
            <w:r>
              <w:t xml:space="preserve"> </w:t>
            </w:r>
            <w:r>
              <w:rPr>
                <w:spacing w:val="-4"/>
              </w:rPr>
              <w:t>质量</w:t>
            </w:r>
            <w:r>
              <w:t xml:space="preserve"> </w:t>
            </w:r>
            <w:r>
              <w:rPr>
                <w:spacing w:val="-4"/>
              </w:rPr>
              <w:t>现状</w:t>
            </w:r>
          </w:p>
        </w:tc>
        <w:tc>
          <w:tcPr>
            <w:tcW w:w="8058" w:type="dxa"/>
            <w:tcBorders>
              <w:left w:val="single" w:color="000000" w:sz="2" w:space="0"/>
              <w:bottom w:val="single" w:color="000000" w:sz="2" w:space="0"/>
            </w:tcBorders>
            <w:vAlign w:val="top"/>
          </w:tcPr>
          <w:p w14:paraId="3CF1543F">
            <w:pPr>
              <w:spacing w:before="137" w:line="222" w:lineRule="auto"/>
              <w:ind w:left="101"/>
              <w:rPr>
                <w:rFonts w:ascii="黑体" w:hAnsi="黑体" w:eastAsia="黑体" w:cs="黑体"/>
                <w:sz w:val="22"/>
                <w:szCs w:val="22"/>
              </w:rPr>
            </w:pPr>
            <w:r>
              <w:rPr>
                <w:rFonts w:ascii="黑体" w:hAnsi="黑体" w:eastAsia="黑体" w:cs="黑体"/>
                <w:spacing w:val="-2"/>
                <w:sz w:val="22"/>
                <w:szCs w:val="22"/>
              </w:rPr>
              <w:t>1、环境空气质量现状及评价</w:t>
            </w:r>
          </w:p>
          <w:p w14:paraId="2632D930">
            <w:pPr>
              <w:pStyle w:val="6"/>
              <w:spacing w:before="133" w:line="221" w:lineRule="auto"/>
              <w:ind w:left="540"/>
            </w:pPr>
            <w:r>
              <w:rPr>
                <w:b/>
                <w:bCs/>
                <w:spacing w:val="-2"/>
              </w:rPr>
              <w:t>（</w:t>
            </w:r>
            <w:r>
              <w:rPr>
                <w:rFonts w:ascii="Times New Roman" w:hAnsi="Times New Roman" w:eastAsia="Times New Roman" w:cs="Times New Roman"/>
                <w:b/>
                <w:bCs/>
                <w:spacing w:val="-2"/>
              </w:rPr>
              <w:t>1</w:t>
            </w:r>
            <w:r>
              <w:rPr>
                <w:b/>
                <w:bCs/>
                <w:spacing w:val="-2"/>
              </w:rPr>
              <w:t>）达标区判定</w:t>
            </w:r>
          </w:p>
          <w:p w14:paraId="752E7428">
            <w:pPr>
              <w:pStyle w:val="6"/>
              <w:spacing w:before="137" w:line="329" w:lineRule="auto"/>
              <w:ind w:left="91" w:right="82" w:firstLine="442"/>
              <w:jc w:val="both"/>
            </w:pPr>
            <w:r>
              <w:rPr>
                <w:spacing w:val="-1"/>
              </w:rPr>
              <w:t>根据《环境影响评价技术导则 大气环境》（</w:t>
            </w:r>
            <w:r>
              <w:rPr>
                <w:rFonts w:ascii="Times New Roman" w:hAnsi="Times New Roman" w:eastAsia="Times New Roman" w:cs="Times New Roman"/>
                <w:spacing w:val="-1"/>
              </w:rPr>
              <w:t>HJ2.</w:t>
            </w:r>
            <w:r>
              <w:rPr>
                <w:rFonts w:ascii="Times New Roman" w:hAnsi="Times New Roman" w:eastAsia="Times New Roman" w:cs="Times New Roman"/>
                <w:spacing w:val="-2"/>
              </w:rPr>
              <w:t>2-2018</w:t>
            </w:r>
            <w:r>
              <w:rPr>
                <w:spacing w:val="-27"/>
              </w:rPr>
              <w:t>），</w:t>
            </w:r>
            <w:r>
              <w:rPr>
                <w:spacing w:val="-2"/>
              </w:rPr>
              <w:t>空气质量达标区判</w:t>
            </w:r>
            <w:r>
              <w:rPr>
                <w:spacing w:val="1"/>
              </w:rPr>
              <w:t xml:space="preserve"> </w:t>
            </w:r>
            <w:r>
              <w:rPr>
                <w:spacing w:val="11"/>
              </w:rPr>
              <w:t>定优先采用国家或地方生态环境主管部门公开发布的评价基准年环境质量公告</w:t>
            </w:r>
            <w:r>
              <w:rPr>
                <w:spacing w:val="9"/>
              </w:rPr>
              <w:t xml:space="preserve"> </w:t>
            </w:r>
            <w:r>
              <w:rPr>
                <w:spacing w:val="5"/>
              </w:rPr>
              <w:t>或环境质量报告中的数据或结论，包括各评价因子的浓度、标准及达标判</w:t>
            </w:r>
            <w:r>
              <w:rPr>
                <w:spacing w:val="4"/>
              </w:rPr>
              <w:t>定结果</w:t>
            </w:r>
            <w:r>
              <w:t xml:space="preserve"> </w:t>
            </w:r>
            <w:r>
              <w:rPr>
                <w:spacing w:val="-5"/>
              </w:rPr>
              <w:t>等。</w:t>
            </w:r>
          </w:p>
          <w:p w14:paraId="01EB249B">
            <w:pPr>
              <w:pStyle w:val="6"/>
              <w:spacing w:before="30" w:line="328" w:lineRule="auto"/>
              <w:ind w:left="86" w:right="24" w:firstLine="440"/>
            </w:pPr>
            <w:r>
              <w:rPr>
                <w:spacing w:val="-4"/>
              </w:rPr>
              <w:t>根据达州市生态环境局官方网站</w:t>
            </w:r>
            <w:r>
              <w:rPr>
                <w:rFonts w:ascii="Times New Roman" w:hAnsi="Times New Roman" w:eastAsia="Times New Roman" w:cs="Times New Roman"/>
                <w:spacing w:val="-4"/>
              </w:rPr>
              <w:t xml:space="preserve">2024 </w:t>
            </w:r>
            <w:r>
              <w:rPr>
                <w:spacing w:val="-4"/>
              </w:rPr>
              <w:t>年</w:t>
            </w:r>
            <w:r>
              <w:rPr>
                <w:spacing w:val="-19"/>
              </w:rPr>
              <w:t xml:space="preserve"> </w:t>
            </w:r>
            <w:r>
              <w:rPr>
                <w:rFonts w:ascii="Times New Roman" w:hAnsi="Times New Roman" w:eastAsia="Times New Roman" w:cs="Times New Roman"/>
                <w:spacing w:val="-4"/>
              </w:rPr>
              <w:t>1</w:t>
            </w:r>
            <w:r>
              <w:rPr>
                <w:spacing w:val="-4"/>
              </w:rPr>
              <w:t>月</w:t>
            </w:r>
            <w:r>
              <w:rPr>
                <w:rFonts w:ascii="Times New Roman" w:hAnsi="Times New Roman" w:eastAsia="Times New Roman" w:cs="Times New Roman"/>
                <w:spacing w:val="-4"/>
              </w:rPr>
              <w:t>18</w:t>
            </w:r>
            <w:r>
              <w:rPr>
                <w:spacing w:val="-4"/>
              </w:rPr>
              <w:t>日发布的《达州市</w:t>
            </w:r>
            <w:r>
              <w:rPr>
                <w:rFonts w:ascii="Times New Roman" w:hAnsi="Times New Roman" w:eastAsia="Times New Roman" w:cs="Times New Roman"/>
                <w:spacing w:val="-4"/>
              </w:rPr>
              <w:t>2023</w:t>
            </w:r>
            <w:r>
              <w:rPr>
                <w:rFonts w:ascii="Times New Roman" w:hAnsi="Times New Roman" w:eastAsia="Times New Roman" w:cs="Times New Roman"/>
                <w:spacing w:val="17"/>
              </w:rPr>
              <w:t xml:space="preserve"> </w:t>
            </w:r>
            <w:r>
              <w:rPr>
                <w:spacing w:val="-4"/>
              </w:rPr>
              <w:t>年环境空</w:t>
            </w:r>
            <w:r>
              <w:t xml:space="preserve"> </w:t>
            </w:r>
            <w:r>
              <w:rPr>
                <w:spacing w:val="-4"/>
              </w:rPr>
              <w:t>气质量》：达州市市辖区空气质量状况</w:t>
            </w:r>
            <w:r>
              <w:rPr>
                <w:rFonts w:ascii="Times New Roman" w:hAnsi="Times New Roman" w:eastAsia="Times New Roman" w:cs="Times New Roman"/>
                <w:spacing w:val="-4"/>
              </w:rPr>
              <w:t>——2023</w:t>
            </w:r>
            <w:r>
              <w:rPr>
                <w:rFonts w:ascii="Times New Roman" w:hAnsi="Times New Roman" w:eastAsia="Times New Roman" w:cs="Times New Roman"/>
                <w:spacing w:val="22"/>
                <w:w w:val="101"/>
              </w:rPr>
              <w:t xml:space="preserve"> </w:t>
            </w:r>
            <w:r>
              <w:rPr>
                <w:spacing w:val="-4"/>
              </w:rPr>
              <w:t>年</w:t>
            </w:r>
            <w:r>
              <w:rPr>
                <w:spacing w:val="-32"/>
              </w:rPr>
              <w:t xml:space="preserve"> </w:t>
            </w:r>
            <w:r>
              <w:rPr>
                <w:rFonts w:ascii="Times New Roman" w:hAnsi="Times New Roman" w:eastAsia="Times New Roman" w:cs="Times New Roman"/>
                <w:spacing w:val="-4"/>
              </w:rPr>
              <w:t>SO</w:t>
            </w:r>
            <w:r>
              <w:rPr>
                <w:rFonts w:ascii="Times New Roman" w:hAnsi="Times New Roman" w:eastAsia="Times New Roman" w:cs="Times New Roman"/>
                <w:spacing w:val="-4"/>
                <w:position w:val="-2"/>
                <w:sz w:val="14"/>
                <w:szCs w:val="14"/>
              </w:rPr>
              <w:t xml:space="preserve">2 </w:t>
            </w:r>
            <w:r>
              <w:rPr>
                <w:spacing w:val="-4"/>
              </w:rPr>
              <w:t>浓度达川区最高为</w:t>
            </w:r>
            <w:r>
              <w:rPr>
                <w:rFonts w:ascii="Times New Roman" w:hAnsi="Times New Roman" w:eastAsia="Times New Roman" w:cs="Times New Roman"/>
                <w:spacing w:val="-4"/>
              </w:rPr>
              <w:t>10μg/m</w:t>
            </w:r>
            <w:r>
              <w:rPr>
                <w:rFonts w:ascii="Times New Roman" w:hAnsi="Times New Roman" w:eastAsia="Times New Roman" w:cs="Times New Roman"/>
                <w:spacing w:val="-4"/>
                <w:position w:val="7"/>
                <w:sz w:val="14"/>
                <w:szCs w:val="14"/>
              </w:rPr>
              <w:t>3</w:t>
            </w:r>
            <w:r>
              <w:rPr>
                <w:spacing w:val="-4"/>
              </w:rPr>
              <w:t>，</w:t>
            </w:r>
            <w:r>
              <w:t xml:space="preserve"> </w:t>
            </w:r>
            <w:r>
              <w:rPr>
                <w:spacing w:val="-1"/>
              </w:rPr>
              <w:t>开江县最低为</w:t>
            </w:r>
            <w:r>
              <w:rPr>
                <w:spacing w:val="-31"/>
              </w:rPr>
              <w:t xml:space="preserve"> </w:t>
            </w:r>
            <w:r>
              <w:rPr>
                <w:rFonts w:ascii="Times New Roman" w:hAnsi="Times New Roman" w:eastAsia="Times New Roman" w:cs="Times New Roman"/>
                <w:spacing w:val="-1"/>
              </w:rPr>
              <w:t>4μg/m</w:t>
            </w:r>
            <w:r>
              <w:rPr>
                <w:rFonts w:ascii="Times New Roman" w:hAnsi="Times New Roman" w:eastAsia="Times New Roman" w:cs="Times New Roman"/>
                <w:spacing w:val="-1"/>
                <w:position w:val="7"/>
                <w:sz w:val="14"/>
                <w:szCs w:val="14"/>
              </w:rPr>
              <w:t xml:space="preserve">3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3"/>
                <w:w w:val="101"/>
                <w:position w:val="-1"/>
                <w:sz w:val="14"/>
                <w:szCs w:val="14"/>
              </w:rPr>
              <w:t xml:space="preserve"> </w:t>
            </w:r>
            <w:r>
              <w:rPr>
                <w:spacing w:val="-1"/>
              </w:rPr>
              <w:t>浓度达川区最高为</w:t>
            </w:r>
            <w:r>
              <w:rPr>
                <w:spacing w:val="-41"/>
              </w:rPr>
              <w:t xml:space="preserve"> </w:t>
            </w:r>
            <w:r>
              <w:rPr>
                <w:rFonts w:ascii="Times New Roman" w:hAnsi="Times New Roman" w:eastAsia="Times New Roman" w:cs="Times New Roman"/>
                <w:spacing w:val="-1"/>
              </w:rPr>
              <w:t>39μg/m</w:t>
            </w:r>
            <w:r>
              <w:rPr>
                <w:rFonts w:ascii="Times New Roman" w:hAnsi="Times New Roman" w:eastAsia="Times New Roman" w:cs="Times New Roman"/>
                <w:spacing w:val="-1"/>
                <w:position w:val="7"/>
                <w:sz w:val="14"/>
                <w:szCs w:val="14"/>
              </w:rPr>
              <w:t xml:space="preserve">3 </w:t>
            </w:r>
            <w:r>
              <w:rPr>
                <w:spacing w:val="-1"/>
              </w:rPr>
              <w:t>，宣汉县最低为</w:t>
            </w:r>
            <w:r>
              <w:rPr>
                <w:spacing w:val="-48"/>
              </w:rPr>
              <w:t xml:space="preserve"> </w:t>
            </w:r>
            <w:r>
              <w:rPr>
                <w:rFonts w:ascii="Times New Roman" w:hAnsi="Times New Roman" w:eastAsia="Times New Roman" w:cs="Times New Roman"/>
                <w:spacing w:val="-1"/>
              </w:rPr>
              <w:t>20μg/m</w:t>
            </w:r>
            <w:r>
              <w:rPr>
                <w:rFonts w:ascii="Times New Roman" w:hAnsi="Times New Roman" w:eastAsia="Times New Roman" w:cs="Times New Roman"/>
                <w:spacing w:val="-1"/>
                <w:position w:val="7"/>
                <w:sz w:val="14"/>
                <w:szCs w:val="14"/>
              </w:rPr>
              <w:t xml:space="preserve">3 </w:t>
            </w:r>
            <w:r>
              <w:rPr>
                <w:spacing w:val="-1"/>
              </w:rPr>
              <w:t>；</w:t>
            </w:r>
            <w:r>
              <w:t xml:space="preserve"> </w:t>
            </w:r>
            <w:r>
              <w:rPr>
                <w:rFonts w:ascii="Times New Roman" w:hAnsi="Times New Roman" w:eastAsia="Times New Roman" w:cs="Times New Roman"/>
              </w:rPr>
              <w:t>CO</w:t>
            </w:r>
            <w:r>
              <w:rPr>
                <w:rFonts w:ascii="Times New Roman" w:hAnsi="Times New Roman" w:eastAsia="Times New Roman" w:cs="Times New Roman"/>
                <w:spacing w:val="15"/>
                <w:w w:val="101"/>
              </w:rPr>
              <w:t xml:space="preserve"> </w:t>
            </w:r>
            <w:r>
              <w:t>浓度通川区最高为</w:t>
            </w:r>
            <w:r>
              <w:rPr>
                <w:spacing w:val="-22"/>
              </w:rPr>
              <w:t xml:space="preserve"> </w:t>
            </w:r>
            <w:r>
              <w:rPr>
                <w:rFonts w:ascii="Times New Roman" w:hAnsi="Times New Roman" w:eastAsia="Times New Roman" w:cs="Times New Roman"/>
              </w:rPr>
              <w:t>1.4mg/m</w:t>
            </w:r>
            <w:r>
              <w:rPr>
                <w:rFonts w:ascii="Times New Roman" w:hAnsi="Times New Roman" w:eastAsia="Times New Roman" w:cs="Times New Roman"/>
                <w:position w:val="7"/>
                <w:sz w:val="14"/>
                <w:szCs w:val="14"/>
              </w:rPr>
              <w:t xml:space="preserve">3 </w:t>
            </w:r>
            <w:r>
              <w:t>，开江县最低为</w:t>
            </w:r>
            <w:r>
              <w:rPr>
                <w:spacing w:val="-43"/>
              </w:rPr>
              <w:t xml:space="preserve"> </w:t>
            </w:r>
            <w:r>
              <w:rPr>
                <w:rFonts w:ascii="Times New Roman" w:hAnsi="Times New Roman" w:eastAsia="Times New Roman" w:cs="Times New Roman"/>
              </w:rPr>
              <w:t>0.9mg/m</w:t>
            </w:r>
            <w:r>
              <w:rPr>
                <w:rFonts w:ascii="Times New Roman" w:hAnsi="Times New Roman" w:eastAsia="Times New Roman" w:cs="Times New Roman"/>
                <w:position w:val="7"/>
                <w:sz w:val="14"/>
                <w:szCs w:val="14"/>
              </w:rPr>
              <w:t xml:space="preserve">3 </w:t>
            </w:r>
            <w:r>
              <w:t>；</w:t>
            </w:r>
            <w:r>
              <w:rPr>
                <w:rFonts w:ascii="Times New Roman" w:hAnsi="Times New Roman" w:eastAsia="Times New Roman" w:cs="Times New Roman"/>
              </w:rPr>
              <w:t>O</w:t>
            </w:r>
            <w:r>
              <w:rPr>
                <w:rFonts w:ascii="Times New Roman" w:hAnsi="Times New Roman" w:eastAsia="Times New Roman" w:cs="Times New Roman"/>
                <w:position w:val="-1"/>
                <w:sz w:val="14"/>
                <w:szCs w:val="14"/>
              </w:rPr>
              <w:t>3</w:t>
            </w:r>
            <w:r>
              <w:rPr>
                <w:rFonts w:ascii="Times New Roman" w:hAnsi="Times New Roman" w:eastAsia="Times New Roman" w:cs="Times New Roman"/>
                <w:spacing w:val="16"/>
                <w:w w:val="101"/>
                <w:position w:val="-1"/>
                <w:sz w:val="14"/>
                <w:szCs w:val="14"/>
              </w:rPr>
              <w:t xml:space="preserve"> </w:t>
            </w:r>
            <w:r>
              <w:t>浓度通川区最</w:t>
            </w:r>
            <w:r>
              <w:rPr>
                <w:spacing w:val="-1"/>
              </w:rPr>
              <w:t>高为</w:t>
            </w:r>
            <w:r>
              <w:t xml:space="preserve"> </w:t>
            </w:r>
            <w:r>
              <w:rPr>
                <w:rFonts w:ascii="Times New Roman" w:hAnsi="Times New Roman" w:eastAsia="Times New Roman" w:cs="Times New Roman"/>
                <w:spacing w:val="-2"/>
              </w:rPr>
              <w:t>124μg/m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9"/>
                <w:position w:val="7"/>
                <w:sz w:val="14"/>
                <w:szCs w:val="14"/>
              </w:rPr>
              <w:t xml:space="preserve"> </w:t>
            </w:r>
            <w:r>
              <w:rPr>
                <w:spacing w:val="-2"/>
              </w:rPr>
              <w:t>，宣汉县最低为</w:t>
            </w:r>
            <w:r>
              <w:rPr>
                <w:spacing w:val="-47"/>
              </w:rPr>
              <w:t xml:space="preserve"> </w:t>
            </w:r>
            <w:r>
              <w:rPr>
                <w:rFonts w:ascii="Times New Roman" w:hAnsi="Times New Roman" w:eastAsia="Times New Roman" w:cs="Times New Roman"/>
                <w:spacing w:val="-2"/>
              </w:rPr>
              <w:t>90μg/m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6"/>
                <w:position w:val="7"/>
                <w:sz w:val="14"/>
                <w:szCs w:val="14"/>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4"/>
                <w:szCs w:val="14"/>
              </w:rPr>
              <w:t>2.5</w:t>
            </w:r>
            <w:r>
              <w:rPr>
                <w:rFonts w:ascii="Times New Roman" w:hAnsi="Times New Roman" w:eastAsia="Times New Roman" w:cs="Times New Roman"/>
                <w:spacing w:val="8"/>
                <w:w w:val="102"/>
                <w:position w:val="-1"/>
                <w:sz w:val="14"/>
                <w:szCs w:val="14"/>
              </w:rPr>
              <w:t xml:space="preserve"> </w:t>
            </w:r>
            <w:r>
              <w:rPr>
                <w:spacing w:val="-2"/>
              </w:rPr>
              <w:t>浓度大竹县最高为</w:t>
            </w:r>
            <w:r>
              <w:rPr>
                <w:spacing w:val="-46"/>
              </w:rPr>
              <w:t xml:space="preserve"> </w:t>
            </w:r>
            <w:r>
              <w:rPr>
                <w:rFonts w:ascii="Times New Roman" w:hAnsi="Times New Roman" w:eastAsia="Times New Roman" w:cs="Times New Roman"/>
                <w:spacing w:val="-2"/>
              </w:rPr>
              <w:t>36μg</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8"/>
                <w:position w:val="7"/>
                <w:sz w:val="14"/>
                <w:szCs w:val="14"/>
              </w:rPr>
              <w:t xml:space="preserve"> </w:t>
            </w:r>
            <w:r>
              <w:rPr>
                <w:spacing w:val="-3"/>
              </w:rPr>
              <w:t>，万源最低为</w:t>
            </w:r>
            <w:r>
              <w:t xml:space="preserve">  </w:t>
            </w:r>
            <w:r>
              <w:rPr>
                <w:rFonts w:ascii="Times New Roman" w:hAnsi="Times New Roman" w:eastAsia="Times New Roman" w:cs="Times New Roman"/>
                <w:spacing w:val="-2"/>
              </w:rPr>
              <w:t>22μg/m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9"/>
                <w:w w:val="101"/>
                <w:position w:val="7"/>
                <w:sz w:val="14"/>
                <w:szCs w:val="14"/>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4"/>
                <w:szCs w:val="14"/>
              </w:rPr>
              <w:t xml:space="preserve">10 </w:t>
            </w:r>
            <w:r>
              <w:rPr>
                <w:spacing w:val="-2"/>
              </w:rPr>
              <w:t>浓度大竹县最高为</w:t>
            </w:r>
            <w:r>
              <w:rPr>
                <w:spacing w:val="-47"/>
              </w:rPr>
              <w:t xml:space="preserve"> </w:t>
            </w:r>
            <w:r>
              <w:rPr>
                <w:rFonts w:ascii="Times New Roman" w:hAnsi="Times New Roman" w:eastAsia="Times New Roman" w:cs="Times New Roman"/>
                <w:spacing w:val="-2"/>
              </w:rPr>
              <w:t>57μg/m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10"/>
                <w:position w:val="7"/>
                <w:sz w:val="14"/>
                <w:szCs w:val="14"/>
              </w:rPr>
              <w:t xml:space="preserve"> </w:t>
            </w:r>
            <w:r>
              <w:rPr>
                <w:spacing w:val="-2"/>
              </w:rPr>
              <w:t>，万源最低为</w:t>
            </w:r>
            <w:r>
              <w:rPr>
                <w:spacing w:val="-48"/>
              </w:rPr>
              <w:t xml:space="preserve"> </w:t>
            </w:r>
            <w:r>
              <w:rPr>
                <w:rFonts w:ascii="Times New Roman" w:hAnsi="Times New Roman" w:eastAsia="Times New Roman" w:cs="Times New Roman"/>
                <w:spacing w:val="-2"/>
              </w:rPr>
              <w:t>38μg/m</w:t>
            </w:r>
            <w:r>
              <w:rPr>
                <w:rFonts w:ascii="Times New Roman" w:hAnsi="Times New Roman" w:eastAsia="Times New Roman" w:cs="Times New Roman"/>
                <w:spacing w:val="-2"/>
                <w:position w:val="7"/>
                <w:sz w:val="14"/>
                <w:szCs w:val="14"/>
              </w:rPr>
              <w:t>3</w:t>
            </w:r>
            <w:r>
              <w:rPr>
                <w:spacing w:val="-2"/>
              </w:rPr>
              <w:t>。</w:t>
            </w:r>
          </w:p>
          <w:p w14:paraId="53F6B37F">
            <w:pPr>
              <w:pStyle w:val="6"/>
              <w:spacing w:before="56" w:line="309" w:lineRule="auto"/>
              <w:ind w:left="2202" w:right="462" w:hanging="1670"/>
              <w:rPr>
                <w:rFonts w:ascii="黑体" w:hAnsi="黑体" w:eastAsia="黑体" w:cs="黑体"/>
                <w:sz w:val="18"/>
                <w:szCs w:val="18"/>
              </w:rPr>
            </w:pPr>
            <w:r>
              <w:rPr>
                <w:spacing w:val="-1"/>
              </w:rPr>
              <w:t>本项目位于通川区东岳镇，</w:t>
            </w:r>
            <w:r>
              <w:rPr>
                <w:rFonts w:ascii="Times New Roman" w:hAnsi="Times New Roman" w:eastAsia="Times New Roman" w:cs="Times New Roman"/>
                <w:spacing w:val="-1"/>
              </w:rPr>
              <w:t xml:space="preserve">2023 </w:t>
            </w:r>
            <w:r>
              <w:rPr>
                <w:spacing w:val="-1"/>
              </w:rPr>
              <w:t>年通川区的环境空气</w:t>
            </w:r>
            <w:r>
              <w:rPr>
                <w:spacing w:val="-2"/>
              </w:rPr>
              <w:t>质量评价表见下表。</w:t>
            </w:r>
            <w:r>
              <w:t xml:space="preserve"> </w:t>
            </w:r>
            <w:r>
              <w:rPr>
                <w:rFonts w:ascii="黑体" w:hAnsi="黑体" w:eastAsia="黑体" w:cs="黑体"/>
                <w:spacing w:val="-1"/>
                <w:sz w:val="18"/>
                <w:szCs w:val="18"/>
              </w:rPr>
              <w:t>表</w:t>
            </w:r>
            <w:r>
              <w:rPr>
                <w:rFonts w:ascii="黑体" w:hAnsi="黑体" w:eastAsia="黑体" w:cs="黑体"/>
                <w:spacing w:val="-25"/>
                <w:sz w:val="18"/>
                <w:szCs w:val="18"/>
              </w:rPr>
              <w:t xml:space="preserve"> </w:t>
            </w:r>
            <w:r>
              <w:rPr>
                <w:rFonts w:ascii="Times New Roman" w:hAnsi="Times New Roman" w:eastAsia="Times New Roman" w:cs="Times New Roman"/>
                <w:spacing w:val="-1"/>
                <w:sz w:val="18"/>
                <w:szCs w:val="18"/>
              </w:rPr>
              <w:t xml:space="preserve">3-1      2023 </w:t>
            </w:r>
            <w:r>
              <w:rPr>
                <w:rFonts w:ascii="黑体" w:hAnsi="黑体" w:eastAsia="黑体" w:cs="黑体"/>
                <w:spacing w:val="-1"/>
                <w:sz w:val="18"/>
                <w:szCs w:val="18"/>
              </w:rPr>
              <w:t>年通川区环境空气污染物现状评价表</w:t>
            </w:r>
          </w:p>
          <w:tbl>
            <w:tblPr>
              <w:tblStyle w:val="5"/>
              <w:tblW w:w="788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2337"/>
              <w:gridCol w:w="1111"/>
              <w:gridCol w:w="1137"/>
              <w:gridCol w:w="899"/>
              <w:gridCol w:w="868"/>
              <w:gridCol w:w="806"/>
            </w:tblGrid>
            <w:tr w14:paraId="43AF5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2" w:type="dxa"/>
                  <w:vAlign w:val="top"/>
                </w:tcPr>
                <w:p w14:paraId="5A4099E9">
                  <w:pPr>
                    <w:pStyle w:val="6"/>
                    <w:spacing w:before="60" w:line="235" w:lineRule="auto"/>
                    <w:ind w:left="266" w:right="178" w:hanging="96"/>
                    <w:rPr>
                      <w:sz w:val="18"/>
                      <w:szCs w:val="18"/>
                    </w:rPr>
                  </w:pPr>
                  <w:r>
                    <w:rPr>
                      <w:b/>
                      <w:bCs/>
                      <w:spacing w:val="2"/>
                      <w:sz w:val="18"/>
                      <w:szCs w:val="18"/>
                    </w:rPr>
                    <w:t>污染</w:t>
                  </w:r>
                  <w:r>
                    <w:rPr>
                      <w:sz w:val="18"/>
                      <w:szCs w:val="18"/>
                    </w:rPr>
                    <w:t xml:space="preserve"> </w:t>
                  </w:r>
                  <w:r>
                    <w:rPr>
                      <w:b/>
                      <w:bCs/>
                      <w:spacing w:val="-2"/>
                      <w:sz w:val="18"/>
                      <w:szCs w:val="18"/>
                    </w:rPr>
                    <w:t>物</w:t>
                  </w:r>
                </w:p>
              </w:tc>
              <w:tc>
                <w:tcPr>
                  <w:tcW w:w="2337" w:type="dxa"/>
                  <w:vAlign w:val="top"/>
                </w:tcPr>
                <w:p w14:paraId="09DAE1F0">
                  <w:pPr>
                    <w:pStyle w:val="6"/>
                    <w:spacing w:before="189" w:line="218" w:lineRule="auto"/>
                    <w:ind w:left="680"/>
                    <w:rPr>
                      <w:sz w:val="18"/>
                      <w:szCs w:val="18"/>
                    </w:rPr>
                  </w:pPr>
                  <w:r>
                    <w:rPr>
                      <w:b/>
                      <w:bCs/>
                      <w:spacing w:val="9"/>
                      <w:sz w:val="18"/>
                      <w:szCs w:val="18"/>
                    </w:rPr>
                    <w:t>年评价指标</w:t>
                  </w:r>
                </w:p>
              </w:tc>
              <w:tc>
                <w:tcPr>
                  <w:tcW w:w="1111" w:type="dxa"/>
                  <w:vAlign w:val="top"/>
                </w:tcPr>
                <w:p w14:paraId="309BD6FB">
                  <w:pPr>
                    <w:pStyle w:val="6"/>
                    <w:spacing w:before="60" w:line="235" w:lineRule="auto"/>
                    <w:ind w:left="240" w:right="173" w:hanging="74"/>
                    <w:rPr>
                      <w:sz w:val="18"/>
                      <w:szCs w:val="18"/>
                    </w:rPr>
                  </w:pPr>
                  <w:r>
                    <w:rPr>
                      <w:b/>
                      <w:bCs/>
                      <w:spacing w:val="8"/>
                      <w:sz w:val="18"/>
                      <w:szCs w:val="18"/>
                    </w:rPr>
                    <w:t>现状浓度</w:t>
                  </w:r>
                  <w:r>
                    <w:rPr>
                      <w:spacing w:val="1"/>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μg/m</w:t>
                  </w:r>
                  <w:r>
                    <w:rPr>
                      <w:rFonts w:ascii="Times New Roman" w:hAnsi="Times New Roman" w:eastAsia="Times New Roman" w:cs="Times New Roman"/>
                      <w:b/>
                      <w:bCs/>
                      <w:spacing w:val="-5"/>
                      <w:position w:val="5"/>
                      <w:sz w:val="11"/>
                      <w:szCs w:val="11"/>
                    </w:rPr>
                    <w:t>3</w:t>
                  </w:r>
                  <w:r>
                    <w:rPr>
                      <w:b/>
                      <w:bCs/>
                      <w:spacing w:val="-5"/>
                      <w:sz w:val="18"/>
                      <w:szCs w:val="18"/>
                    </w:rPr>
                    <w:t>）</w:t>
                  </w:r>
                </w:p>
              </w:tc>
              <w:tc>
                <w:tcPr>
                  <w:tcW w:w="1137" w:type="dxa"/>
                  <w:vAlign w:val="top"/>
                </w:tcPr>
                <w:p w14:paraId="154545F5">
                  <w:pPr>
                    <w:pStyle w:val="6"/>
                    <w:spacing w:before="60" w:line="235" w:lineRule="auto"/>
                    <w:ind w:left="269" w:right="184" w:firstLine="9"/>
                    <w:rPr>
                      <w:sz w:val="18"/>
                      <w:szCs w:val="18"/>
                    </w:rPr>
                  </w:pPr>
                  <w:r>
                    <w:rPr>
                      <w:b/>
                      <w:bCs/>
                      <w:spacing w:val="6"/>
                      <w:sz w:val="18"/>
                      <w:szCs w:val="18"/>
                    </w:rPr>
                    <w:t>标准值</w:t>
                  </w:r>
                  <w:r>
                    <w:rPr>
                      <w:sz w:val="18"/>
                      <w:szCs w:val="18"/>
                    </w:rPr>
                    <w:t xml:space="preserve">  </w:t>
                  </w:r>
                  <w:r>
                    <w:rPr>
                      <w:b/>
                      <w:bCs/>
                      <w:spacing w:val="-4"/>
                      <w:sz w:val="18"/>
                      <w:szCs w:val="18"/>
                    </w:rPr>
                    <w:t>(</w:t>
                  </w:r>
                  <w:r>
                    <w:rPr>
                      <w:rFonts w:ascii="Times New Roman" w:hAnsi="Times New Roman" w:eastAsia="Times New Roman" w:cs="Times New Roman"/>
                      <w:b/>
                      <w:bCs/>
                      <w:spacing w:val="-4"/>
                      <w:sz w:val="18"/>
                      <w:szCs w:val="18"/>
                    </w:rPr>
                    <w:t>μg/m</w:t>
                  </w:r>
                  <w:r>
                    <w:rPr>
                      <w:rFonts w:ascii="Times New Roman" w:hAnsi="Times New Roman" w:eastAsia="Times New Roman" w:cs="Times New Roman"/>
                      <w:b/>
                      <w:bCs/>
                      <w:spacing w:val="-4"/>
                      <w:position w:val="5"/>
                      <w:sz w:val="11"/>
                      <w:szCs w:val="11"/>
                    </w:rPr>
                    <w:t>3</w:t>
                  </w:r>
                  <w:r>
                    <w:rPr>
                      <w:b/>
                      <w:bCs/>
                      <w:spacing w:val="-20"/>
                      <w:sz w:val="18"/>
                      <w:szCs w:val="18"/>
                    </w:rPr>
                    <w:t>）</w:t>
                  </w:r>
                </w:p>
              </w:tc>
              <w:tc>
                <w:tcPr>
                  <w:tcW w:w="899" w:type="dxa"/>
                  <w:vAlign w:val="top"/>
                </w:tcPr>
                <w:p w14:paraId="58215CEF">
                  <w:pPr>
                    <w:pStyle w:val="6"/>
                    <w:spacing w:before="60" w:line="235" w:lineRule="auto"/>
                    <w:ind w:left="180" w:right="166" w:firstLine="10"/>
                    <w:rPr>
                      <w:sz w:val="18"/>
                      <w:szCs w:val="18"/>
                    </w:rPr>
                  </w:pPr>
                  <w:r>
                    <w:rPr>
                      <w:b/>
                      <w:bCs/>
                      <w:spacing w:val="-3"/>
                      <w:sz w:val="18"/>
                      <w:szCs w:val="18"/>
                    </w:rPr>
                    <w:t>占标率</w:t>
                  </w:r>
                  <w:r>
                    <w:rPr>
                      <w:sz w:val="18"/>
                      <w:szCs w:val="18"/>
                    </w:rPr>
                    <w:t xml:space="preserve"> </w:t>
                  </w:r>
                  <w:r>
                    <w:rPr>
                      <w:b/>
                      <w:bCs/>
                      <w:spacing w:val="-3"/>
                      <w:sz w:val="18"/>
                      <w:szCs w:val="18"/>
                    </w:rPr>
                    <w:t>（</w:t>
                  </w:r>
                  <w:r>
                    <w:rPr>
                      <w:rFonts w:ascii="Times New Roman" w:hAnsi="Times New Roman" w:eastAsia="Times New Roman" w:cs="Times New Roman"/>
                      <w:b/>
                      <w:bCs/>
                      <w:spacing w:val="-3"/>
                      <w:sz w:val="18"/>
                      <w:szCs w:val="18"/>
                    </w:rPr>
                    <w:t>%</w:t>
                  </w:r>
                  <w:r>
                    <w:rPr>
                      <w:b/>
                      <w:bCs/>
                      <w:spacing w:val="-3"/>
                      <w:sz w:val="18"/>
                      <w:szCs w:val="18"/>
                    </w:rPr>
                    <w:t>）</w:t>
                  </w:r>
                </w:p>
              </w:tc>
              <w:tc>
                <w:tcPr>
                  <w:tcW w:w="868" w:type="dxa"/>
                  <w:vAlign w:val="top"/>
                </w:tcPr>
                <w:p w14:paraId="267CAC05">
                  <w:pPr>
                    <w:pStyle w:val="6"/>
                    <w:spacing w:before="60" w:line="235" w:lineRule="auto"/>
                    <w:ind w:left="342" w:right="151" w:hanging="198"/>
                    <w:rPr>
                      <w:sz w:val="18"/>
                      <w:szCs w:val="18"/>
                    </w:rPr>
                  </w:pPr>
                  <w:r>
                    <w:rPr>
                      <w:b/>
                      <w:bCs/>
                      <w:spacing w:val="7"/>
                      <w:sz w:val="18"/>
                      <w:szCs w:val="18"/>
                    </w:rPr>
                    <w:t>超标倍</w:t>
                  </w:r>
                  <w:r>
                    <w:rPr>
                      <w:sz w:val="18"/>
                      <w:szCs w:val="18"/>
                    </w:rPr>
                    <w:t xml:space="preserve"> </w:t>
                  </w:r>
                  <w:r>
                    <w:rPr>
                      <w:b/>
                      <w:bCs/>
                      <w:spacing w:val="-2"/>
                      <w:sz w:val="18"/>
                      <w:szCs w:val="18"/>
                    </w:rPr>
                    <w:t>数</w:t>
                  </w:r>
                </w:p>
              </w:tc>
              <w:tc>
                <w:tcPr>
                  <w:tcW w:w="806" w:type="dxa"/>
                  <w:vAlign w:val="top"/>
                </w:tcPr>
                <w:p w14:paraId="15E7388F">
                  <w:pPr>
                    <w:pStyle w:val="6"/>
                    <w:spacing w:before="60" w:line="235" w:lineRule="auto"/>
                    <w:ind w:left="309" w:right="122" w:hanging="198"/>
                    <w:rPr>
                      <w:sz w:val="18"/>
                      <w:szCs w:val="18"/>
                    </w:rPr>
                  </w:pPr>
                  <w:r>
                    <w:rPr>
                      <w:b/>
                      <w:bCs/>
                      <w:spacing w:val="7"/>
                      <w:sz w:val="18"/>
                      <w:szCs w:val="18"/>
                    </w:rPr>
                    <w:t>达标情</w:t>
                  </w:r>
                  <w:r>
                    <w:rPr>
                      <w:sz w:val="18"/>
                      <w:szCs w:val="18"/>
                    </w:rPr>
                    <w:t xml:space="preserve"> </w:t>
                  </w:r>
                  <w:r>
                    <w:rPr>
                      <w:b/>
                      <w:bCs/>
                      <w:spacing w:val="-2"/>
                      <w:sz w:val="18"/>
                      <w:szCs w:val="18"/>
                    </w:rPr>
                    <w:t>况</w:t>
                  </w:r>
                </w:p>
              </w:tc>
            </w:tr>
            <w:tr w14:paraId="56C96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232E3BFE">
                  <w:pPr>
                    <w:spacing w:before="85" w:line="190" w:lineRule="auto"/>
                    <w:ind w:left="225"/>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2"/>
                      <w:sz w:val="11"/>
                      <w:szCs w:val="11"/>
                    </w:rPr>
                    <w:t>2</w:t>
                  </w:r>
                </w:p>
              </w:tc>
              <w:tc>
                <w:tcPr>
                  <w:tcW w:w="2337" w:type="dxa"/>
                  <w:vMerge w:val="restart"/>
                  <w:tcBorders>
                    <w:bottom w:val="nil"/>
                  </w:tcBorders>
                  <w:vAlign w:val="top"/>
                </w:tcPr>
                <w:p w14:paraId="49ACB86A">
                  <w:pPr>
                    <w:spacing w:line="399" w:lineRule="auto"/>
                    <w:rPr>
                      <w:rFonts w:ascii="Arial"/>
                      <w:sz w:val="21"/>
                    </w:rPr>
                  </w:pPr>
                </w:p>
                <w:p w14:paraId="776F89DA">
                  <w:pPr>
                    <w:pStyle w:val="6"/>
                    <w:spacing w:before="58" w:line="219" w:lineRule="auto"/>
                    <w:ind w:left="486"/>
                    <w:rPr>
                      <w:sz w:val="18"/>
                      <w:szCs w:val="18"/>
                    </w:rPr>
                  </w:pPr>
                  <w:r>
                    <w:rPr>
                      <w:spacing w:val="12"/>
                      <w:sz w:val="18"/>
                      <w:szCs w:val="18"/>
                    </w:rPr>
                    <w:t>年平均质量浓度</w:t>
                  </w:r>
                </w:p>
              </w:tc>
              <w:tc>
                <w:tcPr>
                  <w:tcW w:w="1111" w:type="dxa"/>
                  <w:vAlign w:val="top"/>
                </w:tcPr>
                <w:p w14:paraId="392BB34B">
                  <w:pPr>
                    <w:spacing w:before="85" w:line="188" w:lineRule="auto"/>
                    <w:ind w:left="51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137" w:type="dxa"/>
                  <w:vAlign w:val="top"/>
                </w:tcPr>
                <w:p w14:paraId="2BB1D664">
                  <w:pPr>
                    <w:spacing w:before="85" w:line="188"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899" w:type="dxa"/>
                  <w:vAlign w:val="top"/>
                </w:tcPr>
                <w:p w14:paraId="4F4792D4">
                  <w:pPr>
                    <w:spacing w:before="85"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868" w:type="dxa"/>
                  <w:vAlign w:val="top"/>
                </w:tcPr>
                <w:p w14:paraId="660F2068">
                  <w:pPr>
                    <w:spacing w:before="85"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68557666">
                  <w:pPr>
                    <w:pStyle w:val="6"/>
                    <w:spacing w:before="54" w:line="205" w:lineRule="auto"/>
                    <w:ind w:left="217"/>
                    <w:rPr>
                      <w:sz w:val="18"/>
                      <w:szCs w:val="18"/>
                    </w:rPr>
                  </w:pPr>
                  <w:r>
                    <w:rPr>
                      <w:spacing w:val="1"/>
                      <w:sz w:val="18"/>
                      <w:szCs w:val="18"/>
                    </w:rPr>
                    <w:t>达标</w:t>
                  </w:r>
                </w:p>
              </w:tc>
            </w:tr>
            <w:tr w14:paraId="296F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7928E099">
                  <w:pPr>
                    <w:spacing w:before="87" w:line="193" w:lineRule="auto"/>
                    <w:ind w:left="188"/>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5"/>
                      <w:position w:val="-1"/>
                      <w:sz w:val="11"/>
                      <w:szCs w:val="11"/>
                    </w:rPr>
                    <w:t>2</w:t>
                  </w:r>
                </w:p>
              </w:tc>
              <w:tc>
                <w:tcPr>
                  <w:tcW w:w="2337" w:type="dxa"/>
                  <w:vMerge w:val="continue"/>
                  <w:tcBorders>
                    <w:top w:val="nil"/>
                    <w:bottom w:val="nil"/>
                  </w:tcBorders>
                  <w:vAlign w:val="top"/>
                </w:tcPr>
                <w:p w14:paraId="544E1564">
                  <w:pPr>
                    <w:rPr>
                      <w:rFonts w:ascii="Arial"/>
                      <w:sz w:val="21"/>
                    </w:rPr>
                  </w:pPr>
                </w:p>
              </w:tc>
              <w:tc>
                <w:tcPr>
                  <w:tcW w:w="1111" w:type="dxa"/>
                  <w:vAlign w:val="top"/>
                </w:tcPr>
                <w:p w14:paraId="48708DF1">
                  <w:pPr>
                    <w:spacing w:before="87" w:line="188" w:lineRule="auto"/>
                    <w:ind w:left="4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137" w:type="dxa"/>
                  <w:vAlign w:val="top"/>
                </w:tcPr>
                <w:p w14:paraId="27549BD2">
                  <w:pPr>
                    <w:spacing w:before="87" w:line="188" w:lineRule="auto"/>
                    <w:ind w:left="4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899" w:type="dxa"/>
                  <w:vAlign w:val="top"/>
                </w:tcPr>
                <w:p w14:paraId="28CE7F04">
                  <w:pPr>
                    <w:spacing w:before="87" w:line="188"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868" w:type="dxa"/>
                  <w:vAlign w:val="top"/>
                </w:tcPr>
                <w:p w14:paraId="644AC9AA">
                  <w:pPr>
                    <w:spacing w:before="87"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3D4B1A4D">
                  <w:pPr>
                    <w:pStyle w:val="6"/>
                    <w:spacing w:before="56" w:line="203" w:lineRule="auto"/>
                    <w:ind w:left="217"/>
                    <w:rPr>
                      <w:sz w:val="18"/>
                      <w:szCs w:val="18"/>
                    </w:rPr>
                  </w:pPr>
                  <w:r>
                    <w:rPr>
                      <w:spacing w:val="1"/>
                      <w:sz w:val="18"/>
                      <w:szCs w:val="18"/>
                    </w:rPr>
                    <w:t>达标</w:t>
                  </w:r>
                </w:p>
              </w:tc>
            </w:tr>
            <w:tr w14:paraId="4869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74AB8871">
                  <w:pPr>
                    <w:spacing w:before="90" w:line="190" w:lineRule="auto"/>
                    <w:ind w:left="164"/>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2337" w:type="dxa"/>
                  <w:vMerge w:val="continue"/>
                  <w:tcBorders>
                    <w:top w:val="nil"/>
                    <w:bottom w:val="nil"/>
                  </w:tcBorders>
                  <w:vAlign w:val="top"/>
                </w:tcPr>
                <w:p w14:paraId="05F1FE19">
                  <w:pPr>
                    <w:rPr>
                      <w:rFonts w:ascii="Arial"/>
                      <w:sz w:val="21"/>
                    </w:rPr>
                  </w:pPr>
                </w:p>
              </w:tc>
              <w:tc>
                <w:tcPr>
                  <w:tcW w:w="1111" w:type="dxa"/>
                  <w:vAlign w:val="top"/>
                </w:tcPr>
                <w:p w14:paraId="093F8ABE">
                  <w:pPr>
                    <w:spacing w:before="87" w:line="188" w:lineRule="auto"/>
                    <w:ind w:left="4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137" w:type="dxa"/>
                  <w:vAlign w:val="top"/>
                </w:tcPr>
                <w:p w14:paraId="1BBD9618">
                  <w:pPr>
                    <w:spacing w:before="87" w:line="188" w:lineRule="auto"/>
                    <w:ind w:left="4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899" w:type="dxa"/>
                  <w:vAlign w:val="top"/>
                </w:tcPr>
                <w:p w14:paraId="6D3391F6">
                  <w:pPr>
                    <w:spacing w:before="87" w:line="188"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868" w:type="dxa"/>
                  <w:vAlign w:val="top"/>
                </w:tcPr>
                <w:p w14:paraId="513CDEC1">
                  <w:pPr>
                    <w:spacing w:before="87"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620E08ED">
                  <w:pPr>
                    <w:pStyle w:val="6"/>
                    <w:spacing w:before="56" w:line="203" w:lineRule="auto"/>
                    <w:ind w:left="217"/>
                    <w:rPr>
                      <w:sz w:val="18"/>
                      <w:szCs w:val="18"/>
                    </w:rPr>
                  </w:pPr>
                  <w:r>
                    <w:rPr>
                      <w:spacing w:val="1"/>
                      <w:sz w:val="18"/>
                      <w:szCs w:val="18"/>
                    </w:rPr>
                    <w:t>达标</w:t>
                  </w:r>
                </w:p>
              </w:tc>
            </w:tr>
            <w:tr w14:paraId="52E03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15D5D0D8">
                  <w:pPr>
                    <w:spacing w:before="91" w:line="188" w:lineRule="auto"/>
                    <w:ind w:left="150"/>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3"/>
                      <w:position w:val="-1"/>
                      <w:sz w:val="11"/>
                      <w:szCs w:val="11"/>
                    </w:rPr>
                    <w:t>2.5</w:t>
                  </w:r>
                </w:p>
              </w:tc>
              <w:tc>
                <w:tcPr>
                  <w:tcW w:w="2337" w:type="dxa"/>
                  <w:vMerge w:val="continue"/>
                  <w:tcBorders>
                    <w:top w:val="nil"/>
                  </w:tcBorders>
                  <w:vAlign w:val="top"/>
                </w:tcPr>
                <w:p w14:paraId="0B12A311">
                  <w:pPr>
                    <w:rPr>
                      <w:rFonts w:ascii="Arial"/>
                      <w:sz w:val="21"/>
                    </w:rPr>
                  </w:pPr>
                </w:p>
              </w:tc>
              <w:tc>
                <w:tcPr>
                  <w:tcW w:w="1111" w:type="dxa"/>
                  <w:vAlign w:val="top"/>
                </w:tcPr>
                <w:p w14:paraId="6DB2FD0E">
                  <w:pPr>
                    <w:spacing w:before="89" w:line="188" w:lineRule="auto"/>
                    <w:ind w:left="4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137" w:type="dxa"/>
                  <w:vAlign w:val="top"/>
                </w:tcPr>
                <w:p w14:paraId="37CD549A">
                  <w:pPr>
                    <w:spacing w:before="89" w:line="188"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899" w:type="dxa"/>
                  <w:vAlign w:val="top"/>
                </w:tcPr>
                <w:p w14:paraId="01F0879F">
                  <w:pPr>
                    <w:spacing w:before="89" w:line="188"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868" w:type="dxa"/>
                  <w:vAlign w:val="top"/>
                </w:tcPr>
                <w:p w14:paraId="7446E56C">
                  <w:pPr>
                    <w:spacing w:before="89"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6E0A2AA8">
                  <w:pPr>
                    <w:pStyle w:val="6"/>
                    <w:spacing w:before="58" w:line="201" w:lineRule="auto"/>
                    <w:ind w:left="217"/>
                    <w:rPr>
                      <w:sz w:val="18"/>
                      <w:szCs w:val="18"/>
                    </w:rPr>
                  </w:pPr>
                  <w:r>
                    <w:rPr>
                      <w:spacing w:val="1"/>
                      <w:sz w:val="18"/>
                      <w:szCs w:val="18"/>
                    </w:rPr>
                    <w:t>达标</w:t>
                  </w:r>
                </w:p>
              </w:tc>
            </w:tr>
            <w:tr w14:paraId="53BF8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22" w:type="dxa"/>
                  <w:vAlign w:val="top"/>
                </w:tcPr>
                <w:p w14:paraId="3127E2BA">
                  <w:pPr>
                    <w:spacing w:before="8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2337" w:type="dxa"/>
                  <w:vAlign w:val="top"/>
                </w:tcPr>
                <w:p w14:paraId="2124C047">
                  <w:pPr>
                    <w:pStyle w:val="6"/>
                    <w:spacing w:before="58" w:line="202" w:lineRule="auto"/>
                    <w:ind w:left="149"/>
                    <w:rPr>
                      <w:sz w:val="18"/>
                      <w:szCs w:val="18"/>
                    </w:rPr>
                  </w:pPr>
                  <w:r>
                    <w:rPr>
                      <w:spacing w:val="1"/>
                      <w:sz w:val="18"/>
                      <w:szCs w:val="18"/>
                    </w:rPr>
                    <w:t>日均浓度的第</w:t>
                  </w:r>
                  <w:r>
                    <w:rPr>
                      <w:rFonts w:ascii="Times New Roman" w:hAnsi="Times New Roman" w:eastAsia="Times New Roman" w:cs="Times New Roman"/>
                      <w:spacing w:val="1"/>
                      <w:sz w:val="18"/>
                      <w:szCs w:val="18"/>
                    </w:rPr>
                    <w:t>95</w:t>
                  </w:r>
                  <w:r>
                    <w:rPr>
                      <w:rFonts w:ascii="Times New Roman" w:hAnsi="Times New Roman" w:eastAsia="Times New Roman" w:cs="Times New Roman"/>
                      <w:spacing w:val="16"/>
                      <w:w w:val="101"/>
                      <w:sz w:val="18"/>
                      <w:szCs w:val="18"/>
                    </w:rPr>
                    <w:t xml:space="preserve"> </w:t>
                  </w:r>
                  <w:r>
                    <w:rPr>
                      <w:spacing w:val="1"/>
                      <w:sz w:val="18"/>
                      <w:szCs w:val="18"/>
                    </w:rPr>
                    <w:t>百分位数</w:t>
                  </w:r>
                </w:p>
              </w:tc>
              <w:tc>
                <w:tcPr>
                  <w:tcW w:w="1111" w:type="dxa"/>
                  <w:vAlign w:val="top"/>
                </w:tcPr>
                <w:p w14:paraId="4A75A7D2">
                  <w:pPr>
                    <w:pStyle w:val="6"/>
                    <w:spacing w:before="58" w:line="202" w:lineRule="auto"/>
                    <w:jc w:val="right"/>
                    <w:rPr>
                      <w:sz w:val="18"/>
                      <w:szCs w:val="18"/>
                    </w:rPr>
                  </w:pPr>
                  <w:r>
                    <w:rPr>
                      <w:rFonts w:ascii="Times New Roman" w:hAnsi="Times New Roman" w:eastAsia="Times New Roman" w:cs="Times New Roman"/>
                      <w:spacing w:val="-8"/>
                      <w:sz w:val="18"/>
                      <w:szCs w:val="18"/>
                    </w:rPr>
                    <w:t>1.4</w:t>
                  </w:r>
                  <w:r>
                    <w:rPr>
                      <w:spacing w:val="-8"/>
                      <w:sz w:val="18"/>
                      <w:szCs w:val="18"/>
                    </w:rPr>
                    <w:t>（</w:t>
                  </w:r>
                  <w:r>
                    <w:rPr>
                      <w:rFonts w:ascii="Times New Roman" w:hAnsi="Times New Roman" w:eastAsia="Times New Roman" w:cs="Times New Roman"/>
                      <w:spacing w:val="-8"/>
                      <w:sz w:val="18"/>
                      <w:szCs w:val="18"/>
                    </w:rPr>
                    <w:t>mg/m</w:t>
                  </w:r>
                  <w:r>
                    <w:rPr>
                      <w:rFonts w:ascii="Times New Roman" w:hAnsi="Times New Roman" w:eastAsia="Times New Roman" w:cs="Times New Roman"/>
                      <w:spacing w:val="1"/>
                      <w:position w:val="5"/>
                      <w:sz w:val="11"/>
                      <w:szCs w:val="11"/>
                    </w:rPr>
                    <w:t>3</w:t>
                  </w:r>
                  <w:r>
                    <w:rPr>
                      <w:spacing w:val="-19"/>
                      <w:sz w:val="18"/>
                      <w:szCs w:val="18"/>
                    </w:rPr>
                    <w:t>）</w:t>
                  </w:r>
                </w:p>
              </w:tc>
              <w:tc>
                <w:tcPr>
                  <w:tcW w:w="1137" w:type="dxa"/>
                  <w:vAlign w:val="top"/>
                </w:tcPr>
                <w:p w14:paraId="67D595C3">
                  <w:pPr>
                    <w:pStyle w:val="6"/>
                    <w:spacing w:before="58" w:line="202" w:lineRule="auto"/>
                    <w:ind w:left="96"/>
                    <w:rPr>
                      <w:sz w:val="18"/>
                      <w:szCs w:val="18"/>
                    </w:rPr>
                  </w:pPr>
                  <w:r>
                    <w:rPr>
                      <w:rFonts w:ascii="Times New Roman" w:hAnsi="Times New Roman" w:eastAsia="Times New Roman" w:cs="Times New Roman"/>
                      <w:spacing w:val="-4"/>
                      <w:sz w:val="18"/>
                      <w:szCs w:val="18"/>
                    </w:rPr>
                    <w:t>4</w:t>
                  </w:r>
                  <w:r>
                    <w:rPr>
                      <w:spacing w:val="-4"/>
                      <w:sz w:val="18"/>
                      <w:szCs w:val="18"/>
                    </w:rPr>
                    <w:t>（</w:t>
                  </w:r>
                  <w:r>
                    <w:rPr>
                      <w:spacing w:val="-51"/>
                      <w:sz w:val="18"/>
                      <w:szCs w:val="18"/>
                    </w:rPr>
                    <w:t xml:space="preserve"> </w:t>
                  </w:r>
                  <w:r>
                    <w:rPr>
                      <w:rFonts w:ascii="Times New Roman" w:hAnsi="Times New Roman" w:eastAsia="Times New Roman" w:cs="Times New Roman"/>
                      <w:spacing w:val="-4"/>
                      <w:sz w:val="18"/>
                      <w:szCs w:val="18"/>
                    </w:rPr>
                    <w:t>mg/m</w:t>
                  </w:r>
                  <w:r>
                    <w:rPr>
                      <w:rFonts w:ascii="Times New Roman" w:hAnsi="Times New Roman" w:eastAsia="Times New Roman" w:cs="Times New Roman"/>
                      <w:spacing w:val="-4"/>
                      <w:position w:val="5"/>
                      <w:sz w:val="11"/>
                      <w:szCs w:val="11"/>
                    </w:rPr>
                    <w:t>3</w:t>
                  </w:r>
                  <w:r>
                    <w:rPr>
                      <w:spacing w:val="-4"/>
                      <w:sz w:val="18"/>
                      <w:szCs w:val="18"/>
                    </w:rPr>
                    <w:t>）</w:t>
                  </w:r>
                </w:p>
              </w:tc>
              <w:tc>
                <w:tcPr>
                  <w:tcW w:w="899" w:type="dxa"/>
                  <w:vAlign w:val="top"/>
                </w:tcPr>
                <w:p w14:paraId="7824B413">
                  <w:pPr>
                    <w:spacing w:before="89"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868" w:type="dxa"/>
                  <w:vAlign w:val="top"/>
                </w:tcPr>
                <w:p w14:paraId="3FCFDF7A">
                  <w:pPr>
                    <w:spacing w:before="89"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6D14F192">
                  <w:pPr>
                    <w:pStyle w:val="6"/>
                    <w:spacing w:before="58" w:line="202" w:lineRule="auto"/>
                    <w:ind w:left="217"/>
                    <w:rPr>
                      <w:sz w:val="18"/>
                      <w:szCs w:val="18"/>
                    </w:rPr>
                  </w:pPr>
                  <w:r>
                    <w:rPr>
                      <w:spacing w:val="1"/>
                      <w:sz w:val="18"/>
                      <w:szCs w:val="18"/>
                    </w:rPr>
                    <w:t>达标</w:t>
                  </w:r>
                </w:p>
              </w:tc>
            </w:tr>
            <w:tr w14:paraId="2577B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2" w:type="dxa"/>
                  <w:vAlign w:val="top"/>
                </w:tcPr>
                <w:p w14:paraId="4D49B6C4">
                  <w:pPr>
                    <w:spacing w:before="219" w:line="205" w:lineRule="auto"/>
                    <w:ind w:left="271"/>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p>
              </w:tc>
              <w:tc>
                <w:tcPr>
                  <w:tcW w:w="2337" w:type="dxa"/>
                  <w:vAlign w:val="top"/>
                </w:tcPr>
                <w:p w14:paraId="1D1D08ED">
                  <w:pPr>
                    <w:pStyle w:val="6"/>
                    <w:spacing w:before="58" w:line="236" w:lineRule="auto"/>
                    <w:ind w:left="894" w:right="131" w:hanging="769"/>
                    <w:rPr>
                      <w:sz w:val="18"/>
                      <w:szCs w:val="18"/>
                    </w:rPr>
                  </w:pPr>
                  <w:r>
                    <w:rPr>
                      <w:sz w:val="18"/>
                      <w:szCs w:val="18"/>
                    </w:rPr>
                    <w:t>日最大</w:t>
                  </w:r>
                  <w:r>
                    <w:rPr>
                      <w:spacing w:val="-41"/>
                      <w:sz w:val="18"/>
                      <w:szCs w:val="18"/>
                    </w:rPr>
                    <w:t xml:space="preserve"> </w:t>
                  </w:r>
                  <w:r>
                    <w:rPr>
                      <w:rFonts w:ascii="Times New Roman" w:hAnsi="Times New Roman" w:eastAsia="Times New Roman" w:cs="Times New Roman"/>
                      <w:sz w:val="18"/>
                      <w:szCs w:val="18"/>
                    </w:rPr>
                    <w:t xml:space="preserve">8h </w:t>
                  </w:r>
                  <w:r>
                    <w:rPr>
                      <w:sz w:val="18"/>
                      <w:szCs w:val="18"/>
                    </w:rPr>
                    <w:t>评价浓度的第</w:t>
                  </w:r>
                  <w:r>
                    <w:rPr>
                      <w:rFonts w:ascii="Times New Roman" w:hAnsi="Times New Roman" w:eastAsia="Times New Roman" w:cs="Times New Roman"/>
                      <w:sz w:val="18"/>
                      <w:szCs w:val="18"/>
                    </w:rPr>
                    <w:t xml:space="preserve">90 </w:t>
                  </w:r>
                  <w:r>
                    <w:rPr>
                      <w:spacing w:val="1"/>
                      <w:sz w:val="18"/>
                      <w:szCs w:val="18"/>
                    </w:rPr>
                    <w:t>百分位</w:t>
                  </w:r>
                </w:p>
              </w:tc>
              <w:tc>
                <w:tcPr>
                  <w:tcW w:w="1111" w:type="dxa"/>
                  <w:vAlign w:val="top"/>
                </w:tcPr>
                <w:p w14:paraId="28958E78">
                  <w:pPr>
                    <w:spacing w:before="220" w:line="188" w:lineRule="auto"/>
                    <w:ind w:left="44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137" w:type="dxa"/>
                  <w:vAlign w:val="top"/>
                </w:tcPr>
                <w:p w14:paraId="5429A937">
                  <w:pPr>
                    <w:spacing w:before="220" w:line="188" w:lineRule="auto"/>
                    <w:ind w:left="4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899" w:type="dxa"/>
                  <w:vAlign w:val="top"/>
                </w:tcPr>
                <w:p w14:paraId="23ECC685">
                  <w:pPr>
                    <w:spacing w:before="22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868" w:type="dxa"/>
                  <w:vAlign w:val="top"/>
                </w:tcPr>
                <w:p w14:paraId="7339900B">
                  <w:pPr>
                    <w:spacing w:before="220" w:line="188"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31DA2C9B">
                  <w:pPr>
                    <w:pStyle w:val="6"/>
                    <w:spacing w:before="189" w:line="220" w:lineRule="auto"/>
                    <w:ind w:left="217"/>
                    <w:rPr>
                      <w:sz w:val="18"/>
                      <w:szCs w:val="18"/>
                    </w:rPr>
                  </w:pPr>
                  <w:r>
                    <w:rPr>
                      <w:spacing w:val="1"/>
                      <w:sz w:val="18"/>
                      <w:szCs w:val="18"/>
                    </w:rPr>
                    <w:t>达标</w:t>
                  </w:r>
                </w:p>
              </w:tc>
            </w:tr>
          </w:tbl>
          <w:p w14:paraId="2639B32B">
            <w:pPr>
              <w:pStyle w:val="6"/>
              <w:spacing w:before="131" w:line="323" w:lineRule="auto"/>
              <w:ind w:left="91" w:right="87" w:firstLine="443"/>
            </w:pPr>
            <w:r>
              <w:rPr>
                <w:spacing w:val="1"/>
              </w:rPr>
              <w:t>根据《达州市</w:t>
            </w:r>
            <w:r>
              <w:rPr>
                <w:spacing w:val="-36"/>
              </w:rPr>
              <w:t xml:space="preserve"> </w:t>
            </w:r>
            <w:r>
              <w:rPr>
                <w:rFonts w:ascii="Times New Roman" w:hAnsi="Times New Roman" w:eastAsia="Times New Roman" w:cs="Times New Roman"/>
                <w:spacing w:val="1"/>
              </w:rPr>
              <w:t xml:space="preserve">2023 </w:t>
            </w:r>
            <w:r>
              <w:rPr>
                <w:spacing w:val="1"/>
              </w:rPr>
              <w:t>年环境空气质量状况》，项目所在区域为环境空气质量达</w:t>
            </w:r>
            <w:r>
              <w:t xml:space="preserve"> </w:t>
            </w:r>
            <w:r>
              <w:rPr>
                <w:spacing w:val="-3"/>
              </w:rPr>
              <w:t>标区。</w:t>
            </w:r>
          </w:p>
          <w:p w14:paraId="46819A65">
            <w:pPr>
              <w:pStyle w:val="6"/>
              <w:spacing w:before="31" w:line="220" w:lineRule="auto"/>
              <w:ind w:left="538"/>
            </w:pPr>
            <w:r>
              <w:rPr>
                <w:b/>
                <w:bCs/>
                <w:spacing w:val="-4"/>
              </w:rPr>
              <w:t>（</w:t>
            </w:r>
            <w:r>
              <w:rPr>
                <w:rFonts w:ascii="Times New Roman" w:hAnsi="Times New Roman" w:eastAsia="Times New Roman" w:cs="Times New Roman"/>
                <w:b/>
                <w:bCs/>
                <w:spacing w:val="-4"/>
              </w:rPr>
              <w:t>2</w:t>
            </w:r>
            <w:r>
              <w:rPr>
                <w:b/>
                <w:bCs/>
                <w:spacing w:val="-4"/>
              </w:rPr>
              <w:t>）特征污染物监测</w:t>
            </w:r>
          </w:p>
          <w:p w14:paraId="0CD808A7">
            <w:pPr>
              <w:pStyle w:val="6"/>
              <w:spacing w:before="147" w:line="355" w:lineRule="auto"/>
              <w:ind w:left="88" w:right="161" w:firstLine="421"/>
              <w:rPr>
                <w:sz w:val="20"/>
                <w:szCs w:val="20"/>
              </w:rPr>
            </w:pPr>
            <w:r>
              <w:rPr>
                <w:spacing w:val="11"/>
                <w:sz w:val="20"/>
                <w:szCs w:val="20"/>
              </w:rPr>
              <w:t>本项目大气特征污染物为</w:t>
            </w:r>
            <w:r>
              <w:rPr>
                <w:rFonts w:ascii="Times New Roman" w:hAnsi="Times New Roman" w:eastAsia="Times New Roman" w:cs="Times New Roman"/>
                <w:sz w:val="20"/>
                <w:szCs w:val="20"/>
              </w:rPr>
              <w:t>TSP</w:t>
            </w:r>
            <w:r>
              <w:rPr>
                <w:spacing w:val="11"/>
                <w:sz w:val="20"/>
                <w:szCs w:val="20"/>
              </w:rPr>
              <w:t>和</w:t>
            </w:r>
            <w:r>
              <w:rPr>
                <w:rFonts w:ascii="Times New Roman" w:hAnsi="Times New Roman" w:eastAsia="Times New Roman" w:cs="Times New Roman"/>
                <w:sz w:val="20"/>
                <w:szCs w:val="20"/>
              </w:rPr>
              <w:t>TVOC</w:t>
            </w:r>
            <w:r>
              <w:rPr>
                <w:rFonts w:ascii="Times New Roman" w:hAnsi="Times New Roman" w:eastAsia="Times New Roman" w:cs="Times New Roman"/>
                <w:spacing w:val="-19"/>
                <w:sz w:val="20"/>
                <w:szCs w:val="20"/>
              </w:rPr>
              <w:t xml:space="preserve"> </w:t>
            </w:r>
            <w:r>
              <w:rPr>
                <w:spacing w:val="11"/>
                <w:sz w:val="20"/>
                <w:szCs w:val="20"/>
              </w:rPr>
              <w:t>。</w:t>
            </w:r>
            <w:r>
              <w:rPr>
                <w:rFonts w:ascii="Times New Roman" w:hAnsi="Times New Roman" w:eastAsia="Times New Roman" w:cs="Times New Roman"/>
                <w:sz w:val="20"/>
                <w:szCs w:val="20"/>
              </w:rPr>
              <w:t>TSP</w:t>
            </w:r>
            <w:r>
              <w:rPr>
                <w:spacing w:val="11"/>
                <w:sz w:val="20"/>
                <w:szCs w:val="20"/>
              </w:rPr>
              <w:t>监测数据采用项</w:t>
            </w:r>
            <w:r>
              <w:rPr>
                <w:spacing w:val="10"/>
                <w:sz w:val="20"/>
                <w:szCs w:val="20"/>
              </w:rPr>
              <w:t>目环评的现场实测数</w:t>
            </w:r>
            <w:r>
              <w:rPr>
                <w:sz w:val="20"/>
                <w:szCs w:val="20"/>
              </w:rPr>
              <w:t xml:space="preserve"> </w:t>
            </w:r>
            <w:r>
              <w:rPr>
                <w:spacing w:val="10"/>
                <w:sz w:val="20"/>
                <w:szCs w:val="20"/>
              </w:rPr>
              <w:t>据，</w:t>
            </w:r>
            <w:r>
              <w:rPr>
                <w:rFonts w:ascii="Times New Roman" w:hAnsi="Times New Roman" w:eastAsia="Times New Roman" w:cs="Times New Roman"/>
                <w:sz w:val="20"/>
                <w:szCs w:val="20"/>
              </w:rPr>
              <w:t>TVOC</w:t>
            </w:r>
            <w:r>
              <w:rPr>
                <w:spacing w:val="10"/>
                <w:sz w:val="20"/>
                <w:szCs w:val="20"/>
              </w:rPr>
              <w:t>监测数据引用</w:t>
            </w:r>
            <w:r>
              <w:rPr>
                <w:rFonts w:ascii="Times New Roman" w:hAnsi="Times New Roman" w:eastAsia="Times New Roman" w:cs="Times New Roman"/>
                <w:spacing w:val="10"/>
                <w:sz w:val="20"/>
                <w:szCs w:val="20"/>
              </w:rPr>
              <w:t>“</w:t>
            </w:r>
            <w:r>
              <w:rPr>
                <w:spacing w:val="10"/>
                <w:sz w:val="20"/>
                <w:szCs w:val="20"/>
              </w:rPr>
              <w:t>高端门窗加工基地建设项目</w:t>
            </w:r>
            <w:r>
              <w:rPr>
                <w:rFonts w:ascii="Times New Roman" w:hAnsi="Times New Roman" w:eastAsia="Times New Roman" w:cs="Times New Roman"/>
                <w:spacing w:val="10"/>
                <w:sz w:val="20"/>
                <w:szCs w:val="20"/>
              </w:rPr>
              <w:t>”</w:t>
            </w:r>
            <w:r>
              <w:rPr>
                <w:spacing w:val="10"/>
                <w:sz w:val="20"/>
                <w:szCs w:val="20"/>
              </w:rPr>
              <w:t>的有效监测</w:t>
            </w:r>
            <w:r>
              <w:rPr>
                <w:spacing w:val="9"/>
                <w:sz w:val="20"/>
                <w:szCs w:val="20"/>
              </w:rPr>
              <w:t>数据。</w:t>
            </w:r>
          </w:p>
          <w:p w14:paraId="54994BF6">
            <w:pPr>
              <w:pStyle w:val="6"/>
              <w:spacing w:before="29" w:line="360" w:lineRule="auto"/>
              <w:ind w:left="88" w:right="190" w:firstLine="441"/>
              <w:rPr>
                <w:sz w:val="20"/>
                <w:szCs w:val="20"/>
              </w:rPr>
            </w:pPr>
            <w:r>
              <w:rPr>
                <w:spacing w:val="8"/>
                <w:sz w:val="20"/>
                <w:szCs w:val="20"/>
              </w:rPr>
              <w:t>四川融华环境检测有限公司于</w:t>
            </w:r>
            <w:r>
              <w:rPr>
                <w:rFonts w:ascii="Times New Roman" w:hAnsi="Times New Roman" w:eastAsia="Times New Roman" w:cs="Times New Roman"/>
                <w:spacing w:val="8"/>
                <w:sz w:val="20"/>
                <w:szCs w:val="20"/>
              </w:rPr>
              <w:t>2023</w:t>
            </w:r>
            <w:r>
              <w:rPr>
                <w:spacing w:val="8"/>
                <w:sz w:val="20"/>
                <w:szCs w:val="20"/>
              </w:rPr>
              <w:t>年</w:t>
            </w:r>
            <w:r>
              <w:rPr>
                <w:rFonts w:ascii="Times New Roman" w:hAnsi="Times New Roman" w:eastAsia="Times New Roman" w:cs="Times New Roman"/>
                <w:spacing w:val="8"/>
                <w:sz w:val="20"/>
                <w:szCs w:val="20"/>
              </w:rPr>
              <w:t>6</w:t>
            </w:r>
            <w:r>
              <w:rPr>
                <w:spacing w:val="8"/>
                <w:sz w:val="20"/>
                <w:szCs w:val="20"/>
              </w:rPr>
              <w:t>月</w:t>
            </w:r>
            <w:r>
              <w:rPr>
                <w:rFonts w:ascii="Times New Roman" w:hAnsi="Times New Roman" w:eastAsia="Times New Roman" w:cs="Times New Roman"/>
                <w:spacing w:val="8"/>
                <w:sz w:val="20"/>
                <w:szCs w:val="20"/>
              </w:rPr>
              <w:t>27</w:t>
            </w:r>
            <w:r>
              <w:rPr>
                <w:spacing w:val="8"/>
                <w:sz w:val="20"/>
                <w:szCs w:val="20"/>
              </w:rPr>
              <w:t>日</w:t>
            </w:r>
            <w:r>
              <w:rPr>
                <w:rFonts w:ascii="Times New Roman" w:hAnsi="Times New Roman" w:eastAsia="Times New Roman" w:cs="Times New Roman"/>
                <w:spacing w:val="8"/>
                <w:sz w:val="20"/>
                <w:szCs w:val="20"/>
              </w:rPr>
              <w:t>~29</w:t>
            </w:r>
            <w:r>
              <w:rPr>
                <w:spacing w:val="8"/>
                <w:sz w:val="20"/>
                <w:szCs w:val="20"/>
              </w:rPr>
              <w:t>日，对本项目的大气特征污染物</w:t>
            </w:r>
            <w:r>
              <w:rPr>
                <w:sz w:val="20"/>
                <w:szCs w:val="20"/>
              </w:rPr>
              <w:t xml:space="preserve"> </w:t>
            </w:r>
            <w:r>
              <w:rPr>
                <w:spacing w:val="8"/>
                <w:sz w:val="20"/>
                <w:szCs w:val="20"/>
              </w:rPr>
              <w:t>进行了现状监测。监测因子：</w:t>
            </w:r>
            <w:r>
              <w:rPr>
                <w:rFonts w:ascii="Times New Roman" w:hAnsi="Times New Roman" w:eastAsia="Times New Roman" w:cs="Times New Roman"/>
                <w:sz w:val="20"/>
                <w:szCs w:val="20"/>
              </w:rPr>
              <w:t>TSP</w:t>
            </w:r>
            <w:r>
              <w:rPr>
                <w:rFonts w:ascii="Times New Roman" w:hAnsi="Times New Roman" w:eastAsia="Times New Roman" w:cs="Times New Roman"/>
                <w:spacing w:val="-15"/>
                <w:sz w:val="20"/>
                <w:szCs w:val="20"/>
              </w:rPr>
              <w:t xml:space="preserve"> </w:t>
            </w:r>
            <w:r>
              <w:rPr>
                <w:spacing w:val="8"/>
                <w:sz w:val="20"/>
                <w:szCs w:val="20"/>
              </w:rPr>
              <w:t>。监测点位：项目区内。监测频次：连续检测</w:t>
            </w:r>
            <w:r>
              <w:rPr>
                <w:rFonts w:ascii="Times New Roman" w:hAnsi="Times New Roman" w:eastAsia="Times New Roman" w:cs="Times New Roman"/>
                <w:spacing w:val="8"/>
                <w:sz w:val="20"/>
                <w:szCs w:val="20"/>
              </w:rPr>
              <w:t>3</w:t>
            </w:r>
            <w:r>
              <w:rPr>
                <w:spacing w:val="8"/>
                <w:sz w:val="20"/>
                <w:szCs w:val="20"/>
              </w:rPr>
              <w:t>天，</w:t>
            </w:r>
            <w:r>
              <w:rPr>
                <w:sz w:val="20"/>
                <w:szCs w:val="20"/>
              </w:rPr>
              <w:t xml:space="preserve"> </w:t>
            </w:r>
            <w:r>
              <w:rPr>
                <w:spacing w:val="8"/>
                <w:sz w:val="20"/>
                <w:szCs w:val="20"/>
              </w:rPr>
              <w:t>每天采样</w:t>
            </w:r>
            <w:r>
              <w:rPr>
                <w:rFonts w:ascii="Times New Roman" w:hAnsi="Times New Roman" w:eastAsia="Times New Roman" w:cs="Times New Roman"/>
                <w:spacing w:val="8"/>
                <w:sz w:val="20"/>
                <w:szCs w:val="20"/>
              </w:rPr>
              <w:t>1</w:t>
            </w:r>
            <w:r>
              <w:rPr>
                <w:spacing w:val="8"/>
                <w:sz w:val="20"/>
                <w:szCs w:val="20"/>
              </w:rPr>
              <w:t>次，取日均值。</w:t>
            </w:r>
          </w:p>
          <w:p w14:paraId="533EA953">
            <w:pPr>
              <w:pStyle w:val="6"/>
              <w:spacing w:before="29" w:line="324" w:lineRule="auto"/>
              <w:ind w:left="91" w:right="87" w:firstLine="408"/>
              <w:jc w:val="both"/>
              <w:rPr>
                <w:sz w:val="20"/>
                <w:szCs w:val="20"/>
              </w:rPr>
            </w:pPr>
            <w:r>
              <w:rPr>
                <w:spacing w:val="8"/>
                <w:sz w:val="20"/>
                <w:szCs w:val="20"/>
              </w:rPr>
              <w:t>“高端门窗加工基地建设项目</w:t>
            </w:r>
            <w:r>
              <w:rPr>
                <w:spacing w:val="-70"/>
                <w:sz w:val="20"/>
                <w:szCs w:val="20"/>
              </w:rPr>
              <w:t xml:space="preserve"> </w:t>
            </w:r>
            <w:r>
              <w:rPr>
                <w:spacing w:val="8"/>
                <w:sz w:val="20"/>
                <w:szCs w:val="20"/>
              </w:rPr>
              <w:t>”位于本项目北面约</w:t>
            </w:r>
            <w:r>
              <w:rPr>
                <w:spacing w:val="-40"/>
                <w:sz w:val="20"/>
                <w:szCs w:val="20"/>
              </w:rPr>
              <w:t xml:space="preserve"> </w:t>
            </w:r>
            <w:r>
              <w:rPr>
                <w:rFonts w:ascii="Times New Roman" w:hAnsi="Times New Roman" w:eastAsia="Times New Roman" w:cs="Times New Roman"/>
                <w:spacing w:val="8"/>
                <w:sz w:val="20"/>
                <w:szCs w:val="20"/>
              </w:rPr>
              <w:t>280m</w:t>
            </w:r>
            <w:r>
              <w:rPr>
                <w:rFonts w:ascii="Times New Roman" w:hAnsi="Times New Roman" w:eastAsia="Times New Roman" w:cs="Times New Roman"/>
                <w:spacing w:val="-27"/>
                <w:sz w:val="20"/>
                <w:szCs w:val="20"/>
              </w:rPr>
              <w:t xml:space="preserve"> </w:t>
            </w:r>
            <w:r>
              <w:rPr>
                <w:spacing w:val="8"/>
                <w:sz w:val="20"/>
                <w:szCs w:val="20"/>
              </w:rPr>
              <w:t>，属于本项目</w:t>
            </w:r>
            <w:r>
              <w:rPr>
                <w:spacing w:val="7"/>
                <w:sz w:val="20"/>
                <w:szCs w:val="20"/>
              </w:rPr>
              <w:t>大气评价范</w:t>
            </w:r>
            <w:r>
              <w:rPr>
                <w:sz w:val="20"/>
                <w:szCs w:val="20"/>
              </w:rPr>
              <w:t xml:space="preserve"> </w:t>
            </w:r>
            <w:r>
              <w:rPr>
                <w:spacing w:val="8"/>
                <w:sz w:val="20"/>
                <w:szCs w:val="20"/>
              </w:rPr>
              <w:t>围；引用数据的监测时间为</w:t>
            </w:r>
            <w:r>
              <w:rPr>
                <w:spacing w:val="-41"/>
                <w:sz w:val="20"/>
                <w:szCs w:val="20"/>
              </w:rPr>
              <w:t xml:space="preserve"> </w:t>
            </w:r>
            <w:r>
              <w:rPr>
                <w:rFonts w:ascii="Times New Roman" w:hAnsi="Times New Roman" w:eastAsia="Times New Roman" w:cs="Times New Roman"/>
                <w:spacing w:val="8"/>
                <w:sz w:val="20"/>
                <w:szCs w:val="20"/>
              </w:rPr>
              <w:t xml:space="preserve">2022 </w:t>
            </w:r>
            <w:r>
              <w:rPr>
                <w:spacing w:val="8"/>
                <w:sz w:val="20"/>
                <w:szCs w:val="20"/>
              </w:rPr>
              <w:t>年</w:t>
            </w:r>
            <w:r>
              <w:rPr>
                <w:spacing w:val="-44"/>
                <w:sz w:val="20"/>
                <w:szCs w:val="20"/>
              </w:rPr>
              <w:t xml:space="preserve"> </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17"/>
                <w:w w:val="101"/>
                <w:sz w:val="20"/>
                <w:szCs w:val="20"/>
              </w:rPr>
              <w:t xml:space="preserve"> </w:t>
            </w:r>
            <w:r>
              <w:rPr>
                <w:spacing w:val="8"/>
                <w:sz w:val="20"/>
                <w:szCs w:val="20"/>
              </w:rPr>
              <w:t>月，在</w:t>
            </w:r>
            <w:r>
              <w:rPr>
                <w:spacing w:val="-37"/>
                <w:sz w:val="20"/>
                <w:szCs w:val="20"/>
              </w:rPr>
              <w:t xml:space="preserve"> </w:t>
            </w:r>
            <w:r>
              <w:rPr>
                <w:rFonts w:ascii="Times New Roman" w:hAnsi="Times New Roman" w:eastAsia="Times New Roman" w:cs="Times New Roman"/>
                <w:spacing w:val="8"/>
                <w:sz w:val="20"/>
                <w:szCs w:val="20"/>
              </w:rPr>
              <w:t xml:space="preserve">3 </w:t>
            </w:r>
            <w:r>
              <w:rPr>
                <w:spacing w:val="8"/>
                <w:sz w:val="20"/>
                <w:szCs w:val="20"/>
              </w:rPr>
              <w:t>年有效期范围，数据引用</w:t>
            </w:r>
            <w:r>
              <w:rPr>
                <w:spacing w:val="7"/>
                <w:sz w:val="20"/>
                <w:szCs w:val="20"/>
              </w:rPr>
              <w:t>有效。根据引</w:t>
            </w:r>
            <w:r>
              <w:rPr>
                <w:sz w:val="20"/>
                <w:szCs w:val="20"/>
              </w:rPr>
              <w:t xml:space="preserve"> </w:t>
            </w:r>
            <w:r>
              <w:rPr>
                <w:spacing w:val="4"/>
                <w:sz w:val="20"/>
                <w:szCs w:val="20"/>
              </w:rPr>
              <w:t>用监测数据资料。四川融华环境检测有限公司于</w:t>
            </w:r>
            <w:r>
              <w:rPr>
                <w:spacing w:val="-40"/>
                <w:sz w:val="20"/>
                <w:szCs w:val="20"/>
              </w:rPr>
              <w:t xml:space="preserve"> </w:t>
            </w:r>
            <w:r>
              <w:rPr>
                <w:rFonts w:ascii="Times New Roman" w:hAnsi="Times New Roman" w:eastAsia="Times New Roman" w:cs="Times New Roman"/>
                <w:spacing w:val="4"/>
                <w:sz w:val="20"/>
                <w:szCs w:val="20"/>
              </w:rPr>
              <w:t xml:space="preserve">2022 </w:t>
            </w:r>
            <w:r>
              <w:rPr>
                <w:spacing w:val="4"/>
                <w:sz w:val="20"/>
                <w:szCs w:val="20"/>
              </w:rPr>
              <w:t>年</w:t>
            </w:r>
            <w:r>
              <w:rPr>
                <w:spacing w:val="-44"/>
                <w:sz w:val="20"/>
                <w:szCs w:val="20"/>
              </w:rPr>
              <w:t xml:space="preserve"> </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17"/>
                <w:sz w:val="20"/>
                <w:szCs w:val="20"/>
              </w:rPr>
              <w:t xml:space="preserve"> </w:t>
            </w:r>
            <w:r>
              <w:rPr>
                <w:spacing w:val="4"/>
                <w:sz w:val="20"/>
                <w:szCs w:val="20"/>
              </w:rPr>
              <w:t>月</w:t>
            </w:r>
            <w:r>
              <w:rPr>
                <w:spacing w:val="-43"/>
                <w:sz w:val="20"/>
                <w:szCs w:val="20"/>
              </w:rPr>
              <w:t xml:space="preserve"> </w:t>
            </w:r>
            <w:r>
              <w:rPr>
                <w:rFonts w:ascii="Times New Roman" w:hAnsi="Times New Roman" w:eastAsia="Times New Roman" w:cs="Times New Roman"/>
                <w:spacing w:val="4"/>
                <w:sz w:val="20"/>
                <w:szCs w:val="20"/>
              </w:rPr>
              <w:t xml:space="preserve">25 </w:t>
            </w:r>
            <w:r>
              <w:rPr>
                <w:rFonts w:ascii="Times New Roman" w:hAnsi="Times New Roman" w:eastAsia="Times New Roman" w:cs="Times New Roman"/>
                <w:spacing w:val="3"/>
                <w:sz w:val="20"/>
                <w:szCs w:val="20"/>
              </w:rPr>
              <w:t xml:space="preserve"> </w:t>
            </w:r>
            <w:r>
              <w:rPr>
                <w:spacing w:val="3"/>
                <w:sz w:val="20"/>
                <w:szCs w:val="20"/>
              </w:rPr>
              <w:t>日</w:t>
            </w:r>
            <w:r>
              <w:rPr>
                <w:rFonts w:ascii="Times New Roman" w:hAnsi="Times New Roman" w:eastAsia="Times New Roman" w:cs="Times New Roman"/>
                <w:spacing w:val="3"/>
                <w:sz w:val="20"/>
                <w:szCs w:val="20"/>
              </w:rPr>
              <w:t xml:space="preserve">~27  </w:t>
            </w:r>
            <w:r>
              <w:rPr>
                <w:spacing w:val="3"/>
                <w:sz w:val="20"/>
                <w:szCs w:val="20"/>
              </w:rPr>
              <w:t>日，在“高端门</w:t>
            </w:r>
          </w:p>
        </w:tc>
      </w:tr>
    </w:tbl>
    <w:p w14:paraId="75626429">
      <w:pPr>
        <w:pStyle w:val="2"/>
      </w:pPr>
    </w:p>
    <w:p w14:paraId="1E566DBC">
      <w:pPr>
        <w:sectPr>
          <w:footerReference r:id="rId55" w:type="default"/>
          <w:pgSz w:w="11907" w:h="16840"/>
          <w:pgMar w:top="1431" w:right="1513" w:bottom="1259" w:left="1512" w:header="0" w:footer="1080" w:gutter="0"/>
          <w:cols w:space="720" w:num="1"/>
        </w:sectPr>
      </w:pPr>
    </w:p>
    <w:p w14:paraId="7F36C78D">
      <w:pPr>
        <w:spacing w:before="28"/>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38A1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1" w:hRule="atLeast"/>
        </w:trPr>
        <w:tc>
          <w:tcPr>
            <w:tcW w:w="808" w:type="dxa"/>
            <w:tcBorders>
              <w:bottom w:val="single" w:color="000000" w:sz="2" w:space="0"/>
              <w:right w:val="single" w:color="000000" w:sz="2" w:space="0"/>
            </w:tcBorders>
            <w:vAlign w:val="top"/>
          </w:tcPr>
          <w:p w14:paraId="34BF7B05">
            <w:pPr>
              <w:rPr>
                <w:rFonts w:ascii="Arial"/>
                <w:sz w:val="21"/>
              </w:rPr>
            </w:pPr>
          </w:p>
        </w:tc>
        <w:tc>
          <w:tcPr>
            <w:tcW w:w="8058" w:type="dxa"/>
            <w:tcBorders>
              <w:left w:val="single" w:color="000000" w:sz="2" w:space="0"/>
              <w:bottom w:val="single" w:color="000000" w:sz="2" w:space="0"/>
            </w:tcBorders>
            <w:vAlign w:val="top"/>
          </w:tcPr>
          <w:p w14:paraId="22B385E2">
            <w:pPr>
              <w:pStyle w:val="6"/>
              <w:spacing w:before="146" w:line="355" w:lineRule="auto"/>
              <w:ind w:left="90" w:right="89" w:firstLine="9"/>
              <w:rPr>
                <w:sz w:val="20"/>
                <w:szCs w:val="20"/>
              </w:rPr>
            </w:pPr>
            <w:r>
              <w:rPr>
                <w:spacing w:val="7"/>
                <w:sz w:val="20"/>
                <w:szCs w:val="20"/>
              </w:rPr>
              <w:t>窗加工基地建设项目</w:t>
            </w:r>
            <w:r>
              <w:rPr>
                <w:spacing w:val="-69"/>
                <w:sz w:val="20"/>
                <w:szCs w:val="20"/>
              </w:rPr>
              <w:t xml:space="preserve"> </w:t>
            </w:r>
            <w:r>
              <w:rPr>
                <w:spacing w:val="7"/>
                <w:sz w:val="20"/>
                <w:szCs w:val="20"/>
              </w:rPr>
              <w:t>”占地内设置有</w:t>
            </w:r>
            <w:r>
              <w:rPr>
                <w:spacing w:val="-21"/>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个环境空气监测点位。监测因子：</w:t>
            </w:r>
            <w:r>
              <w:rPr>
                <w:rFonts w:ascii="Times New Roman" w:hAnsi="Times New Roman" w:eastAsia="Times New Roman" w:cs="Times New Roman"/>
                <w:sz w:val="20"/>
                <w:szCs w:val="20"/>
              </w:rPr>
              <w:t>TVOC</w:t>
            </w:r>
            <w:r>
              <w:rPr>
                <w:spacing w:val="7"/>
                <w:sz w:val="20"/>
                <w:szCs w:val="20"/>
              </w:rPr>
              <w:t>；监测</w:t>
            </w:r>
            <w:r>
              <w:rPr>
                <w:sz w:val="20"/>
                <w:szCs w:val="20"/>
              </w:rPr>
              <w:t xml:space="preserve"> </w:t>
            </w:r>
            <w:r>
              <w:rPr>
                <w:spacing w:val="5"/>
                <w:sz w:val="20"/>
                <w:szCs w:val="20"/>
              </w:rPr>
              <w:t>频次为连续监测</w:t>
            </w:r>
            <w:r>
              <w:rPr>
                <w:spacing w:val="-33"/>
                <w:sz w:val="20"/>
                <w:szCs w:val="20"/>
              </w:rPr>
              <w:t xml:space="preserve"> </w:t>
            </w:r>
            <w:r>
              <w:rPr>
                <w:rFonts w:ascii="Times New Roman" w:hAnsi="Times New Roman" w:eastAsia="Times New Roman" w:cs="Times New Roman"/>
                <w:spacing w:val="5"/>
                <w:sz w:val="20"/>
                <w:szCs w:val="20"/>
              </w:rPr>
              <w:t xml:space="preserve">3 </w:t>
            </w:r>
            <w:r>
              <w:rPr>
                <w:spacing w:val="5"/>
                <w:sz w:val="20"/>
                <w:szCs w:val="20"/>
              </w:rPr>
              <w:t>天，每天监测</w:t>
            </w:r>
            <w:r>
              <w:rPr>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8"/>
                <w:sz w:val="20"/>
                <w:szCs w:val="20"/>
              </w:rPr>
              <w:t xml:space="preserve"> </w:t>
            </w:r>
            <w:r>
              <w:rPr>
                <w:spacing w:val="5"/>
                <w:sz w:val="20"/>
                <w:szCs w:val="20"/>
              </w:rPr>
              <w:t>次，取</w:t>
            </w:r>
            <w:r>
              <w:rPr>
                <w:spacing w:val="-35"/>
                <w:sz w:val="20"/>
                <w:szCs w:val="20"/>
              </w:rPr>
              <w:t xml:space="preserve"> </w:t>
            </w:r>
            <w:r>
              <w:rPr>
                <w:rFonts w:ascii="Times New Roman" w:hAnsi="Times New Roman" w:eastAsia="Times New Roman" w:cs="Times New Roman"/>
                <w:spacing w:val="5"/>
                <w:sz w:val="20"/>
                <w:szCs w:val="20"/>
              </w:rPr>
              <w:t xml:space="preserve">8h </w:t>
            </w:r>
            <w:r>
              <w:rPr>
                <w:spacing w:val="5"/>
                <w:sz w:val="20"/>
                <w:szCs w:val="20"/>
              </w:rPr>
              <w:t>均值。</w:t>
            </w:r>
          </w:p>
          <w:p w14:paraId="3E358791">
            <w:pPr>
              <w:pStyle w:val="6"/>
              <w:spacing w:before="30" w:line="360" w:lineRule="auto"/>
              <w:ind w:left="87" w:right="16" w:firstLine="421"/>
              <w:jc w:val="both"/>
              <w:rPr>
                <w:sz w:val="20"/>
                <w:szCs w:val="20"/>
              </w:rPr>
            </w:pPr>
            <w:r>
              <w:rPr>
                <w:spacing w:val="3"/>
                <w:sz w:val="20"/>
                <w:szCs w:val="20"/>
              </w:rPr>
              <w:t>评价标准：</w:t>
            </w:r>
            <w:r>
              <w:rPr>
                <w:rFonts w:ascii="Times New Roman" w:hAnsi="Times New Roman" w:eastAsia="Times New Roman" w:cs="Times New Roman"/>
                <w:sz w:val="20"/>
                <w:szCs w:val="20"/>
              </w:rPr>
              <w:t>TSP</w:t>
            </w:r>
            <w:r>
              <w:rPr>
                <w:rFonts w:ascii="Times New Roman" w:hAnsi="Times New Roman" w:eastAsia="Times New Roman" w:cs="Times New Roman"/>
                <w:spacing w:val="3"/>
                <w:sz w:val="20"/>
                <w:szCs w:val="20"/>
              </w:rPr>
              <w:t xml:space="preserve"> </w:t>
            </w:r>
            <w:r>
              <w:rPr>
                <w:spacing w:val="3"/>
                <w:sz w:val="20"/>
                <w:szCs w:val="20"/>
              </w:rPr>
              <w:t>评价限值采用《环境空气质量标准》（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3"/>
                <w:sz w:val="20"/>
                <w:szCs w:val="20"/>
              </w:rPr>
              <w:t>3095-2012</w:t>
            </w:r>
            <w:r>
              <w:rPr>
                <w:spacing w:val="3"/>
                <w:sz w:val="20"/>
                <w:szCs w:val="20"/>
              </w:rPr>
              <w:t>）的限值要求。</w:t>
            </w:r>
            <w:r>
              <w:rPr>
                <w:sz w:val="20"/>
                <w:szCs w:val="20"/>
              </w:rPr>
              <w:t xml:space="preserve"> </w:t>
            </w:r>
            <w:r>
              <w:rPr>
                <w:rFonts w:ascii="Times New Roman" w:hAnsi="Times New Roman" w:eastAsia="Times New Roman" w:cs="Times New Roman"/>
                <w:sz w:val="20"/>
                <w:szCs w:val="20"/>
              </w:rPr>
              <w:t>TVOC</w:t>
            </w:r>
            <w:r>
              <w:rPr>
                <w:rFonts w:ascii="Times New Roman" w:hAnsi="Times New Roman" w:eastAsia="Times New Roman" w:cs="Times New Roman"/>
                <w:spacing w:val="8"/>
                <w:sz w:val="20"/>
                <w:szCs w:val="20"/>
              </w:rPr>
              <w:t xml:space="preserve"> </w:t>
            </w:r>
            <w:r>
              <w:rPr>
                <w:spacing w:val="8"/>
                <w:sz w:val="20"/>
                <w:szCs w:val="20"/>
              </w:rPr>
              <w:t>评价限值采用《环境影响评价技术导则 大气导则》</w:t>
            </w:r>
            <w:r>
              <w:rPr>
                <w:spacing w:val="7"/>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7"/>
                <w:sz w:val="20"/>
                <w:szCs w:val="20"/>
              </w:rPr>
              <w:t xml:space="preserve"> 2.2-2018</w:t>
            </w:r>
            <w:r>
              <w:rPr>
                <w:spacing w:val="7"/>
                <w:sz w:val="20"/>
                <w:szCs w:val="20"/>
              </w:rPr>
              <w:t>）附录</w:t>
            </w:r>
            <w:r>
              <w:rPr>
                <w:spacing w:val="-43"/>
                <w:sz w:val="20"/>
                <w:szCs w:val="20"/>
              </w:rPr>
              <w:t xml:space="preserve"> </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33"/>
                <w:sz w:val="20"/>
                <w:szCs w:val="20"/>
              </w:rPr>
              <w:t xml:space="preserve"> </w:t>
            </w:r>
            <w:r>
              <w:rPr>
                <w:spacing w:val="7"/>
                <w:sz w:val="20"/>
                <w:szCs w:val="20"/>
              </w:rPr>
              <w:t>中的</w:t>
            </w:r>
            <w:r>
              <w:rPr>
                <w:sz w:val="20"/>
                <w:szCs w:val="20"/>
              </w:rPr>
              <w:t xml:space="preserve"> </w:t>
            </w:r>
            <w:r>
              <w:rPr>
                <w:spacing w:val="7"/>
                <w:sz w:val="20"/>
                <w:szCs w:val="20"/>
              </w:rPr>
              <w:t>参考浓度限值。</w:t>
            </w:r>
          </w:p>
          <w:p w14:paraId="1BBF5396">
            <w:pPr>
              <w:pStyle w:val="6"/>
              <w:spacing w:before="29" w:line="226" w:lineRule="auto"/>
              <w:ind w:left="510"/>
              <w:rPr>
                <w:sz w:val="20"/>
                <w:szCs w:val="20"/>
              </w:rPr>
            </w:pPr>
            <w:r>
              <w:rPr>
                <w:spacing w:val="8"/>
                <w:sz w:val="20"/>
                <w:szCs w:val="20"/>
              </w:rPr>
              <w:t>监测结果及评价结果如下表：</w:t>
            </w:r>
          </w:p>
          <w:p w14:paraId="0B21DE22">
            <w:pPr>
              <w:spacing w:before="180" w:line="221" w:lineRule="auto"/>
              <w:ind w:left="2472"/>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3-2    </w:t>
            </w:r>
            <w:r>
              <w:rPr>
                <w:rFonts w:ascii="黑体" w:hAnsi="黑体" w:eastAsia="黑体" w:cs="黑体"/>
                <w:spacing w:val="-1"/>
                <w:sz w:val="18"/>
                <w:szCs w:val="18"/>
              </w:rPr>
              <w:t>项目大气特征污染物监测结果评价表</w:t>
            </w:r>
          </w:p>
          <w:p w14:paraId="01C4305F">
            <w:pPr>
              <w:spacing w:line="19" w:lineRule="exact"/>
            </w:pPr>
          </w:p>
          <w:tbl>
            <w:tblPr>
              <w:tblStyle w:val="5"/>
              <w:tblW w:w="7860"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921"/>
              <w:gridCol w:w="1016"/>
              <w:gridCol w:w="981"/>
              <w:gridCol w:w="1743"/>
              <w:gridCol w:w="961"/>
              <w:gridCol w:w="1179"/>
            </w:tblGrid>
            <w:tr w14:paraId="4BC3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59" w:type="dxa"/>
                  <w:vAlign w:val="top"/>
                </w:tcPr>
                <w:p w14:paraId="62B0DAA1">
                  <w:pPr>
                    <w:pStyle w:val="6"/>
                    <w:spacing w:before="60" w:line="204" w:lineRule="auto"/>
                    <w:ind w:left="174"/>
                    <w:rPr>
                      <w:sz w:val="18"/>
                      <w:szCs w:val="18"/>
                    </w:rPr>
                  </w:pPr>
                  <w:r>
                    <w:rPr>
                      <w:b/>
                      <w:bCs/>
                      <w:spacing w:val="-4"/>
                      <w:sz w:val="18"/>
                      <w:szCs w:val="18"/>
                    </w:rPr>
                    <w:t>监测点位</w:t>
                  </w:r>
                </w:p>
              </w:tc>
              <w:tc>
                <w:tcPr>
                  <w:tcW w:w="921" w:type="dxa"/>
                  <w:vAlign w:val="top"/>
                </w:tcPr>
                <w:p w14:paraId="3BF51F4F">
                  <w:pPr>
                    <w:pStyle w:val="6"/>
                    <w:spacing w:before="60" w:line="204" w:lineRule="auto"/>
                    <w:ind w:left="101"/>
                    <w:rPr>
                      <w:sz w:val="18"/>
                      <w:szCs w:val="18"/>
                    </w:rPr>
                  </w:pPr>
                  <w:r>
                    <w:rPr>
                      <w:b/>
                      <w:bCs/>
                      <w:spacing w:val="-4"/>
                      <w:sz w:val="18"/>
                      <w:szCs w:val="18"/>
                    </w:rPr>
                    <w:t>监测因子</w:t>
                  </w:r>
                </w:p>
              </w:tc>
              <w:tc>
                <w:tcPr>
                  <w:tcW w:w="1016" w:type="dxa"/>
                  <w:vAlign w:val="top"/>
                </w:tcPr>
                <w:p w14:paraId="18CB469B">
                  <w:pPr>
                    <w:pStyle w:val="6"/>
                    <w:spacing w:before="60" w:line="204" w:lineRule="auto"/>
                    <w:ind w:left="150"/>
                    <w:rPr>
                      <w:sz w:val="18"/>
                      <w:szCs w:val="18"/>
                    </w:rPr>
                  </w:pPr>
                  <w:r>
                    <w:rPr>
                      <w:b/>
                      <w:bCs/>
                      <w:spacing w:val="-4"/>
                      <w:sz w:val="18"/>
                      <w:szCs w:val="18"/>
                    </w:rPr>
                    <w:t>监测日期</w:t>
                  </w:r>
                </w:p>
              </w:tc>
              <w:tc>
                <w:tcPr>
                  <w:tcW w:w="981" w:type="dxa"/>
                  <w:vAlign w:val="top"/>
                </w:tcPr>
                <w:p w14:paraId="44A73C16">
                  <w:pPr>
                    <w:pStyle w:val="6"/>
                    <w:spacing w:before="60" w:line="204" w:lineRule="auto"/>
                    <w:ind w:left="132"/>
                    <w:rPr>
                      <w:sz w:val="18"/>
                      <w:szCs w:val="18"/>
                    </w:rPr>
                  </w:pPr>
                  <w:r>
                    <w:rPr>
                      <w:b/>
                      <w:bCs/>
                      <w:spacing w:val="-4"/>
                      <w:sz w:val="18"/>
                      <w:szCs w:val="18"/>
                    </w:rPr>
                    <w:t>监测结果</w:t>
                  </w:r>
                </w:p>
              </w:tc>
              <w:tc>
                <w:tcPr>
                  <w:tcW w:w="1743" w:type="dxa"/>
                  <w:vAlign w:val="top"/>
                </w:tcPr>
                <w:p w14:paraId="3D28B9A8">
                  <w:pPr>
                    <w:pStyle w:val="6"/>
                    <w:spacing w:before="60" w:line="204" w:lineRule="auto"/>
                    <w:ind w:left="606"/>
                    <w:rPr>
                      <w:sz w:val="18"/>
                      <w:szCs w:val="18"/>
                    </w:rPr>
                  </w:pPr>
                  <w:r>
                    <w:rPr>
                      <w:b/>
                      <w:bCs/>
                      <w:spacing w:val="-4"/>
                      <w:sz w:val="18"/>
                      <w:szCs w:val="18"/>
                    </w:rPr>
                    <w:t>标准值</w:t>
                  </w:r>
                </w:p>
              </w:tc>
              <w:tc>
                <w:tcPr>
                  <w:tcW w:w="961" w:type="dxa"/>
                  <w:vAlign w:val="top"/>
                </w:tcPr>
                <w:p w14:paraId="69EAE998">
                  <w:pPr>
                    <w:pStyle w:val="6"/>
                    <w:spacing w:before="60" w:line="204" w:lineRule="auto"/>
                    <w:ind w:left="245"/>
                    <w:rPr>
                      <w:sz w:val="18"/>
                      <w:szCs w:val="18"/>
                    </w:rPr>
                  </w:pPr>
                  <w:r>
                    <w:rPr>
                      <w:b/>
                      <w:bCs/>
                      <w:spacing w:val="-14"/>
                      <w:sz w:val="18"/>
                      <w:szCs w:val="18"/>
                    </w:rPr>
                    <w:t>占标率</w:t>
                  </w:r>
                </w:p>
              </w:tc>
              <w:tc>
                <w:tcPr>
                  <w:tcW w:w="1179" w:type="dxa"/>
                  <w:vAlign w:val="top"/>
                </w:tcPr>
                <w:p w14:paraId="4AAE5CF9">
                  <w:pPr>
                    <w:pStyle w:val="6"/>
                    <w:spacing w:before="60" w:line="204" w:lineRule="auto"/>
                    <w:ind w:left="51"/>
                    <w:rPr>
                      <w:sz w:val="18"/>
                      <w:szCs w:val="18"/>
                    </w:rPr>
                  </w:pPr>
                  <w:r>
                    <w:rPr>
                      <w:b/>
                      <w:bCs/>
                      <w:spacing w:val="-3"/>
                      <w:sz w:val="18"/>
                      <w:szCs w:val="18"/>
                    </w:rPr>
                    <w:t>超标率（</w:t>
                  </w:r>
                  <w:r>
                    <w:rPr>
                      <w:rFonts w:ascii="Times New Roman" w:hAnsi="Times New Roman" w:eastAsia="Times New Roman" w:cs="Times New Roman"/>
                      <w:b/>
                      <w:bCs/>
                      <w:spacing w:val="-3"/>
                      <w:sz w:val="18"/>
                      <w:szCs w:val="18"/>
                    </w:rPr>
                    <w:t>%</w:t>
                  </w:r>
                  <w:r>
                    <w:rPr>
                      <w:b/>
                      <w:bCs/>
                      <w:spacing w:val="-3"/>
                      <w:sz w:val="18"/>
                      <w:szCs w:val="18"/>
                    </w:rPr>
                    <w:t>）</w:t>
                  </w:r>
                </w:p>
              </w:tc>
            </w:tr>
            <w:tr w14:paraId="7E8DD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59" w:type="dxa"/>
                  <w:vMerge w:val="restart"/>
                  <w:tcBorders>
                    <w:bottom w:val="nil"/>
                  </w:tcBorders>
                  <w:vAlign w:val="top"/>
                </w:tcPr>
                <w:p w14:paraId="34D10037">
                  <w:pPr>
                    <w:spacing w:line="266" w:lineRule="auto"/>
                    <w:rPr>
                      <w:rFonts w:ascii="Arial"/>
                      <w:sz w:val="21"/>
                    </w:rPr>
                  </w:pPr>
                </w:p>
                <w:p w14:paraId="12D74A27">
                  <w:pPr>
                    <w:pStyle w:val="6"/>
                    <w:spacing w:before="59" w:line="219" w:lineRule="auto"/>
                    <w:ind w:left="176"/>
                    <w:rPr>
                      <w:sz w:val="18"/>
                      <w:szCs w:val="18"/>
                    </w:rPr>
                  </w:pPr>
                  <w:r>
                    <w:rPr>
                      <w:spacing w:val="-3"/>
                      <w:sz w:val="18"/>
                      <w:szCs w:val="18"/>
                    </w:rPr>
                    <w:t>项目区内</w:t>
                  </w:r>
                </w:p>
              </w:tc>
              <w:tc>
                <w:tcPr>
                  <w:tcW w:w="921" w:type="dxa"/>
                  <w:vMerge w:val="restart"/>
                  <w:tcBorders>
                    <w:bottom w:val="nil"/>
                  </w:tcBorders>
                  <w:vAlign w:val="top"/>
                </w:tcPr>
                <w:p w14:paraId="1A58ACFF">
                  <w:pPr>
                    <w:spacing w:line="301" w:lineRule="auto"/>
                    <w:rPr>
                      <w:rFonts w:ascii="Arial"/>
                      <w:sz w:val="21"/>
                    </w:rPr>
                  </w:pPr>
                </w:p>
                <w:p w14:paraId="31675AFF">
                  <w:pPr>
                    <w:spacing w:before="52"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16" w:type="dxa"/>
                  <w:vAlign w:val="top"/>
                </w:tcPr>
                <w:p w14:paraId="7700619A">
                  <w:pPr>
                    <w:spacing w:before="86"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2024.6.27</w:t>
                  </w:r>
                </w:p>
              </w:tc>
              <w:tc>
                <w:tcPr>
                  <w:tcW w:w="981" w:type="dxa"/>
                  <w:vAlign w:val="top"/>
                </w:tcPr>
                <w:p w14:paraId="6C024879">
                  <w:pPr>
                    <w:spacing w:before="70" w:line="206" w:lineRule="auto"/>
                    <w:ind w:left="160"/>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129ug/m</w:t>
                  </w:r>
                  <w:r>
                    <w:rPr>
                      <w:rFonts w:ascii="Times New Roman" w:hAnsi="Times New Roman" w:eastAsia="Times New Roman" w:cs="Times New Roman"/>
                      <w:spacing w:val="-3"/>
                      <w:position w:val="5"/>
                      <w:sz w:val="11"/>
                      <w:szCs w:val="11"/>
                    </w:rPr>
                    <w:t>3</w:t>
                  </w:r>
                </w:p>
              </w:tc>
              <w:tc>
                <w:tcPr>
                  <w:tcW w:w="1743" w:type="dxa"/>
                  <w:vAlign w:val="top"/>
                </w:tcPr>
                <w:p w14:paraId="0CB8795B">
                  <w:pPr>
                    <w:spacing w:before="70" w:line="206" w:lineRule="auto"/>
                    <w:ind w:left="52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961" w:type="dxa"/>
                  <w:vAlign w:val="top"/>
                </w:tcPr>
                <w:p w14:paraId="070B8D1D">
                  <w:pPr>
                    <w:spacing w:before="86"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179" w:type="dxa"/>
                  <w:vAlign w:val="top"/>
                </w:tcPr>
                <w:p w14:paraId="08584576">
                  <w:pPr>
                    <w:spacing w:before="86"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535D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59" w:type="dxa"/>
                  <w:vMerge w:val="continue"/>
                  <w:tcBorders>
                    <w:top w:val="nil"/>
                    <w:bottom w:val="nil"/>
                  </w:tcBorders>
                  <w:vAlign w:val="top"/>
                </w:tcPr>
                <w:p w14:paraId="725132C7">
                  <w:pPr>
                    <w:rPr>
                      <w:rFonts w:ascii="Arial"/>
                      <w:sz w:val="21"/>
                    </w:rPr>
                  </w:pPr>
                </w:p>
              </w:tc>
              <w:tc>
                <w:tcPr>
                  <w:tcW w:w="921" w:type="dxa"/>
                  <w:vMerge w:val="continue"/>
                  <w:tcBorders>
                    <w:top w:val="nil"/>
                    <w:bottom w:val="nil"/>
                  </w:tcBorders>
                  <w:vAlign w:val="top"/>
                </w:tcPr>
                <w:p w14:paraId="2A411A08">
                  <w:pPr>
                    <w:rPr>
                      <w:rFonts w:ascii="Arial"/>
                      <w:sz w:val="21"/>
                    </w:rPr>
                  </w:pPr>
                </w:p>
              </w:tc>
              <w:tc>
                <w:tcPr>
                  <w:tcW w:w="1016" w:type="dxa"/>
                  <w:vAlign w:val="top"/>
                </w:tcPr>
                <w:p w14:paraId="628FBB33">
                  <w:pPr>
                    <w:spacing w:before="86"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2024.6.28</w:t>
                  </w:r>
                </w:p>
              </w:tc>
              <w:tc>
                <w:tcPr>
                  <w:tcW w:w="981" w:type="dxa"/>
                  <w:vAlign w:val="top"/>
                </w:tcPr>
                <w:p w14:paraId="3CFCECF3">
                  <w:pPr>
                    <w:spacing w:before="70" w:line="206" w:lineRule="auto"/>
                    <w:ind w:left="160"/>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137ug/m</w:t>
                  </w:r>
                  <w:r>
                    <w:rPr>
                      <w:rFonts w:ascii="Times New Roman" w:hAnsi="Times New Roman" w:eastAsia="Times New Roman" w:cs="Times New Roman"/>
                      <w:spacing w:val="-3"/>
                      <w:position w:val="5"/>
                      <w:sz w:val="11"/>
                      <w:szCs w:val="11"/>
                    </w:rPr>
                    <w:t>3</w:t>
                  </w:r>
                </w:p>
              </w:tc>
              <w:tc>
                <w:tcPr>
                  <w:tcW w:w="1743" w:type="dxa"/>
                  <w:vAlign w:val="top"/>
                </w:tcPr>
                <w:p w14:paraId="0CDB495F">
                  <w:pPr>
                    <w:spacing w:before="70" w:line="206" w:lineRule="auto"/>
                    <w:ind w:left="52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961" w:type="dxa"/>
                  <w:vAlign w:val="top"/>
                </w:tcPr>
                <w:p w14:paraId="79DB5F49">
                  <w:pPr>
                    <w:spacing w:before="86"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45.67%</w:t>
                  </w:r>
                </w:p>
              </w:tc>
              <w:tc>
                <w:tcPr>
                  <w:tcW w:w="1179" w:type="dxa"/>
                  <w:vAlign w:val="top"/>
                </w:tcPr>
                <w:p w14:paraId="43C4DFB1">
                  <w:pPr>
                    <w:spacing w:before="86"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4647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59" w:type="dxa"/>
                  <w:vMerge w:val="continue"/>
                  <w:tcBorders>
                    <w:top w:val="nil"/>
                  </w:tcBorders>
                  <w:vAlign w:val="top"/>
                </w:tcPr>
                <w:p w14:paraId="27D2A81B">
                  <w:pPr>
                    <w:rPr>
                      <w:rFonts w:ascii="Arial"/>
                      <w:sz w:val="21"/>
                    </w:rPr>
                  </w:pPr>
                </w:p>
              </w:tc>
              <w:tc>
                <w:tcPr>
                  <w:tcW w:w="921" w:type="dxa"/>
                  <w:vMerge w:val="continue"/>
                  <w:tcBorders>
                    <w:top w:val="nil"/>
                  </w:tcBorders>
                  <w:vAlign w:val="top"/>
                </w:tcPr>
                <w:p w14:paraId="3A28601C">
                  <w:pPr>
                    <w:rPr>
                      <w:rFonts w:ascii="Arial"/>
                      <w:sz w:val="21"/>
                    </w:rPr>
                  </w:pPr>
                </w:p>
              </w:tc>
              <w:tc>
                <w:tcPr>
                  <w:tcW w:w="1016" w:type="dxa"/>
                  <w:vAlign w:val="top"/>
                </w:tcPr>
                <w:p w14:paraId="4E3B2DD1">
                  <w:pPr>
                    <w:spacing w:before="88"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2024.6.29</w:t>
                  </w:r>
                </w:p>
              </w:tc>
              <w:tc>
                <w:tcPr>
                  <w:tcW w:w="981" w:type="dxa"/>
                  <w:vAlign w:val="top"/>
                </w:tcPr>
                <w:p w14:paraId="3776C4FB">
                  <w:pPr>
                    <w:spacing w:before="72" w:line="206" w:lineRule="auto"/>
                    <w:ind w:left="160"/>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141ug/m</w:t>
                  </w:r>
                  <w:r>
                    <w:rPr>
                      <w:rFonts w:ascii="Times New Roman" w:hAnsi="Times New Roman" w:eastAsia="Times New Roman" w:cs="Times New Roman"/>
                      <w:spacing w:val="-3"/>
                      <w:position w:val="5"/>
                      <w:sz w:val="11"/>
                      <w:szCs w:val="11"/>
                    </w:rPr>
                    <w:t>3</w:t>
                  </w:r>
                </w:p>
              </w:tc>
              <w:tc>
                <w:tcPr>
                  <w:tcW w:w="1743" w:type="dxa"/>
                  <w:vAlign w:val="top"/>
                </w:tcPr>
                <w:p w14:paraId="76B63243">
                  <w:pPr>
                    <w:spacing w:before="72" w:line="206" w:lineRule="auto"/>
                    <w:ind w:left="52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961" w:type="dxa"/>
                  <w:vAlign w:val="top"/>
                </w:tcPr>
                <w:p w14:paraId="132951C6">
                  <w:pPr>
                    <w:spacing w:before="88"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47.00%</w:t>
                  </w:r>
                </w:p>
              </w:tc>
              <w:tc>
                <w:tcPr>
                  <w:tcW w:w="1179" w:type="dxa"/>
                  <w:vAlign w:val="top"/>
                </w:tcPr>
                <w:p w14:paraId="3EBCDFAA">
                  <w:pPr>
                    <w:spacing w:before="88"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42BD5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59" w:type="dxa"/>
                  <w:vAlign w:val="top"/>
                </w:tcPr>
                <w:p w14:paraId="338184A7">
                  <w:pPr>
                    <w:pStyle w:val="6"/>
                    <w:spacing w:before="59" w:line="200" w:lineRule="auto"/>
                    <w:ind w:left="174"/>
                    <w:rPr>
                      <w:sz w:val="18"/>
                      <w:szCs w:val="18"/>
                    </w:rPr>
                  </w:pPr>
                  <w:r>
                    <w:rPr>
                      <w:b/>
                      <w:bCs/>
                      <w:spacing w:val="-4"/>
                      <w:sz w:val="18"/>
                      <w:szCs w:val="18"/>
                    </w:rPr>
                    <w:t>监测点位</w:t>
                  </w:r>
                </w:p>
              </w:tc>
              <w:tc>
                <w:tcPr>
                  <w:tcW w:w="921" w:type="dxa"/>
                  <w:vAlign w:val="top"/>
                </w:tcPr>
                <w:p w14:paraId="288887F4">
                  <w:pPr>
                    <w:pStyle w:val="6"/>
                    <w:spacing w:before="59" w:line="200" w:lineRule="auto"/>
                    <w:ind w:left="101"/>
                    <w:rPr>
                      <w:sz w:val="18"/>
                      <w:szCs w:val="18"/>
                    </w:rPr>
                  </w:pPr>
                  <w:r>
                    <w:rPr>
                      <w:b/>
                      <w:bCs/>
                      <w:spacing w:val="-4"/>
                      <w:sz w:val="18"/>
                      <w:szCs w:val="18"/>
                    </w:rPr>
                    <w:t>监测因子</w:t>
                  </w:r>
                </w:p>
              </w:tc>
              <w:tc>
                <w:tcPr>
                  <w:tcW w:w="1016" w:type="dxa"/>
                  <w:vAlign w:val="top"/>
                </w:tcPr>
                <w:p w14:paraId="18D005C2">
                  <w:pPr>
                    <w:pStyle w:val="6"/>
                    <w:spacing w:before="59" w:line="200" w:lineRule="auto"/>
                    <w:ind w:left="150"/>
                    <w:rPr>
                      <w:sz w:val="18"/>
                      <w:szCs w:val="18"/>
                    </w:rPr>
                  </w:pPr>
                  <w:r>
                    <w:rPr>
                      <w:b/>
                      <w:bCs/>
                      <w:spacing w:val="-4"/>
                      <w:sz w:val="18"/>
                      <w:szCs w:val="18"/>
                    </w:rPr>
                    <w:t>监测日期</w:t>
                  </w:r>
                </w:p>
              </w:tc>
              <w:tc>
                <w:tcPr>
                  <w:tcW w:w="981" w:type="dxa"/>
                  <w:vAlign w:val="top"/>
                </w:tcPr>
                <w:p w14:paraId="464AF56F">
                  <w:pPr>
                    <w:pStyle w:val="6"/>
                    <w:spacing w:before="59" w:line="200" w:lineRule="auto"/>
                    <w:ind w:left="132"/>
                    <w:rPr>
                      <w:sz w:val="18"/>
                      <w:szCs w:val="18"/>
                    </w:rPr>
                  </w:pPr>
                  <w:r>
                    <w:rPr>
                      <w:b/>
                      <w:bCs/>
                      <w:spacing w:val="-4"/>
                      <w:sz w:val="18"/>
                      <w:szCs w:val="18"/>
                    </w:rPr>
                    <w:t>监测结果</w:t>
                  </w:r>
                </w:p>
              </w:tc>
              <w:tc>
                <w:tcPr>
                  <w:tcW w:w="1743" w:type="dxa"/>
                  <w:vAlign w:val="top"/>
                </w:tcPr>
                <w:p w14:paraId="0135A010">
                  <w:pPr>
                    <w:pStyle w:val="6"/>
                    <w:spacing w:before="59" w:line="200" w:lineRule="auto"/>
                    <w:jc w:val="right"/>
                    <w:rPr>
                      <w:sz w:val="18"/>
                      <w:szCs w:val="18"/>
                    </w:rPr>
                  </w:pPr>
                  <w:r>
                    <w:rPr>
                      <w:b/>
                      <w:bCs/>
                      <w:spacing w:val="-6"/>
                      <w:sz w:val="18"/>
                      <w:szCs w:val="18"/>
                    </w:rPr>
                    <w:t>评价标准（</w:t>
                  </w:r>
                  <w:r>
                    <w:rPr>
                      <w:rFonts w:ascii="Times New Roman" w:hAnsi="Times New Roman" w:eastAsia="Times New Roman" w:cs="Times New Roman"/>
                      <w:b/>
                      <w:bCs/>
                      <w:spacing w:val="-6"/>
                      <w:sz w:val="18"/>
                      <w:szCs w:val="18"/>
                    </w:rPr>
                    <w:t xml:space="preserve">1h </w:t>
                  </w:r>
                  <w:r>
                    <w:rPr>
                      <w:b/>
                      <w:bCs/>
                      <w:spacing w:val="-6"/>
                      <w:sz w:val="18"/>
                      <w:szCs w:val="18"/>
                    </w:rPr>
                    <w:t>均值）</w:t>
                  </w:r>
                </w:p>
              </w:tc>
              <w:tc>
                <w:tcPr>
                  <w:tcW w:w="961" w:type="dxa"/>
                  <w:vAlign w:val="top"/>
                </w:tcPr>
                <w:p w14:paraId="3782B824">
                  <w:pPr>
                    <w:pStyle w:val="6"/>
                    <w:spacing w:before="59" w:line="200" w:lineRule="auto"/>
                    <w:ind w:left="245"/>
                    <w:rPr>
                      <w:sz w:val="18"/>
                      <w:szCs w:val="18"/>
                    </w:rPr>
                  </w:pPr>
                  <w:r>
                    <w:rPr>
                      <w:b/>
                      <w:bCs/>
                      <w:spacing w:val="-14"/>
                      <w:sz w:val="18"/>
                      <w:szCs w:val="18"/>
                    </w:rPr>
                    <w:t>占标率</w:t>
                  </w:r>
                </w:p>
              </w:tc>
              <w:tc>
                <w:tcPr>
                  <w:tcW w:w="1179" w:type="dxa"/>
                  <w:vAlign w:val="top"/>
                </w:tcPr>
                <w:p w14:paraId="47EE3095">
                  <w:pPr>
                    <w:pStyle w:val="6"/>
                    <w:spacing w:before="59" w:line="200" w:lineRule="auto"/>
                    <w:ind w:right="1"/>
                    <w:jc w:val="right"/>
                    <w:rPr>
                      <w:sz w:val="18"/>
                      <w:szCs w:val="18"/>
                    </w:rPr>
                  </w:pPr>
                  <w:r>
                    <w:rPr>
                      <w:b/>
                      <w:bCs/>
                      <w:spacing w:val="-3"/>
                      <w:sz w:val="18"/>
                      <w:szCs w:val="18"/>
                    </w:rPr>
                    <w:t>超标率（</w:t>
                  </w:r>
                  <w:r>
                    <w:rPr>
                      <w:rFonts w:ascii="Times New Roman" w:hAnsi="Times New Roman" w:eastAsia="Times New Roman" w:cs="Times New Roman"/>
                      <w:b/>
                      <w:bCs/>
                      <w:spacing w:val="-3"/>
                      <w:sz w:val="18"/>
                      <w:szCs w:val="18"/>
                    </w:rPr>
                    <w:t>%</w:t>
                  </w:r>
                  <w:r>
                    <w:rPr>
                      <w:b/>
                      <w:bCs/>
                      <w:spacing w:val="-3"/>
                      <w:sz w:val="18"/>
                      <w:szCs w:val="18"/>
                    </w:rPr>
                    <w:t>）</w:t>
                  </w:r>
                </w:p>
              </w:tc>
            </w:tr>
            <w:tr w14:paraId="6926E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59" w:type="dxa"/>
                  <w:vMerge w:val="restart"/>
                  <w:tcBorders>
                    <w:bottom w:val="nil"/>
                  </w:tcBorders>
                  <w:vAlign w:val="top"/>
                </w:tcPr>
                <w:p w14:paraId="0FCF5ED6">
                  <w:pPr>
                    <w:pStyle w:val="6"/>
                    <w:spacing w:before="67" w:line="250" w:lineRule="auto"/>
                    <w:ind w:left="84" w:right="78" w:firstLine="2"/>
                    <w:jc w:val="both"/>
                    <w:rPr>
                      <w:sz w:val="18"/>
                      <w:szCs w:val="18"/>
                    </w:rPr>
                  </w:pPr>
                  <w:r>
                    <w:rPr>
                      <w:spacing w:val="-3"/>
                      <w:sz w:val="18"/>
                      <w:szCs w:val="18"/>
                    </w:rPr>
                    <w:t>高端门窗加</w:t>
                  </w:r>
                  <w:r>
                    <w:rPr>
                      <w:spacing w:val="2"/>
                      <w:sz w:val="18"/>
                      <w:szCs w:val="18"/>
                    </w:rPr>
                    <w:t xml:space="preserve"> </w:t>
                  </w:r>
                  <w:r>
                    <w:rPr>
                      <w:spacing w:val="-2"/>
                      <w:sz w:val="18"/>
                      <w:szCs w:val="18"/>
                    </w:rPr>
                    <w:t>工基地建设</w:t>
                  </w:r>
                  <w:r>
                    <w:rPr>
                      <w:sz w:val="18"/>
                      <w:szCs w:val="18"/>
                    </w:rPr>
                    <w:t xml:space="preserve"> </w:t>
                  </w:r>
                  <w:r>
                    <w:rPr>
                      <w:spacing w:val="-2"/>
                      <w:sz w:val="18"/>
                      <w:szCs w:val="18"/>
                    </w:rPr>
                    <w:t>项目占地内</w:t>
                  </w:r>
                </w:p>
              </w:tc>
              <w:tc>
                <w:tcPr>
                  <w:tcW w:w="921" w:type="dxa"/>
                  <w:vMerge w:val="restart"/>
                  <w:tcBorders>
                    <w:bottom w:val="nil"/>
                  </w:tcBorders>
                  <w:vAlign w:val="top"/>
                </w:tcPr>
                <w:p w14:paraId="39AC82DE">
                  <w:pPr>
                    <w:spacing w:line="305" w:lineRule="auto"/>
                    <w:rPr>
                      <w:rFonts w:ascii="Arial"/>
                      <w:sz w:val="21"/>
                    </w:rPr>
                  </w:pPr>
                </w:p>
                <w:p w14:paraId="12F07133">
                  <w:pPr>
                    <w:spacing w:before="52"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TVOC</w:t>
                  </w:r>
                </w:p>
              </w:tc>
              <w:tc>
                <w:tcPr>
                  <w:tcW w:w="1016" w:type="dxa"/>
                  <w:vAlign w:val="top"/>
                </w:tcPr>
                <w:p w14:paraId="4CF3A025">
                  <w:pPr>
                    <w:spacing w:before="90"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2022.4.25</w:t>
                  </w:r>
                </w:p>
              </w:tc>
              <w:tc>
                <w:tcPr>
                  <w:tcW w:w="981" w:type="dxa"/>
                  <w:vAlign w:val="top"/>
                </w:tcPr>
                <w:p w14:paraId="43B6ED5E">
                  <w:pPr>
                    <w:spacing w:before="90" w:line="188" w:lineRule="auto"/>
                    <w:ind w:left="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38.2</w:t>
                  </w:r>
                </w:p>
              </w:tc>
              <w:tc>
                <w:tcPr>
                  <w:tcW w:w="1743" w:type="dxa"/>
                  <w:vAlign w:val="top"/>
                </w:tcPr>
                <w:p w14:paraId="6B4260C8">
                  <w:pPr>
                    <w:spacing w:before="74" w:line="206" w:lineRule="auto"/>
                    <w:ind w:left="49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1200ug/m</w:t>
                  </w:r>
                  <w:r>
                    <w:rPr>
                      <w:rFonts w:ascii="Times New Roman" w:hAnsi="Times New Roman" w:eastAsia="Times New Roman" w:cs="Times New Roman"/>
                      <w:spacing w:val="-3"/>
                      <w:position w:val="5"/>
                      <w:sz w:val="11"/>
                      <w:szCs w:val="11"/>
                    </w:rPr>
                    <w:t>3</w:t>
                  </w:r>
                </w:p>
              </w:tc>
              <w:tc>
                <w:tcPr>
                  <w:tcW w:w="961" w:type="dxa"/>
                  <w:vAlign w:val="top"/>
                </w:tcPr>
                <w:p w14:paraId="424ED78B">
                  <w:pPr>
                    <w:spacing w:before="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6"/>
                      <w:sz w:val="18"/>
                      <w:szCs w:val="18"/>
                    </w:rPr>
                    <w:t>18%</w:t>
                  </w:r>
                </w:p>
              </w:tc>
              <w:tc>
                <w:tcPr>
                  <w:tcW w:w="1179" w:type="dxa"/>
                  <w:vAlign w:val="top"/>
                </w:tcPr>
                <w:p w14:paraId="679A7A86">
                  <w:pPr>
                    <w:spacing w:before="90"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31A41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59" w:type="dxa"/>
                  <w:vMerge w:val="continue"/>
                  <w:tcBorders>
                    <w:top w:val="nil"/>
                    <w:bottom w:val="nil"/>
                  </w:tcBorders>
                  <w:vAlign w:val="top"/>
                </w:tcPr>
                <w:p w14:paraId="738B82D2">
                  <w:pPr>
                    <w:rPr>
                      <w:rFonts w:ascii="Arial"/>
                      <w:sz w:val="21"/>
                    </w:rPr>
                  </w:pPr>
                </w:p>
              </w:tc>
              <w:tc>
                <w:tcPr>
                  <w:tcW w:w="921" w:type="dxa"/>
                  <w:vMerge w:val="continue"/>
                  <w:tcBorders>
                    <w:top w:val="nil"/>
                    <w:bottom w:val="nil"/>
                  </w:tcBorders>
                  <w:vAlign w:val="top"/>
                </w:tcPr>
                <w:p w14:paraId="3BB84266">
                  <w:pPr>
                    <w:rPr>
                      <w:rFonts w:ascii="Arial"/>
                      <w:sz w:val="21"/>
                    </w:rPr>
                  </w:pPr>
                </w:p>
              </w:tc>
              <w:tc>
                <w:tcPr>
                  <w:tcW w:w="1016" w:type="dxa"/>
                  <w:vAlign w:val="top"/>
                </w:tcPr>
                <w:p w14:paraId="47199076">
                  <w:pPr>
                    <w:spacing w:before="89"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2022.4.26</w:t>
                  </w:r>
                </w:p>
              </w:tc>
              <w:tc>
                <w:tcPr>
                  <w:tcW w:w="981" w:type="dxa"/>
                  <w:vAlign w:val="top"/>
                </w:tcPr>
                <w:p w14:paraId="2F456F30">
                  <w:pPr>
                    <w:spacing w:before="89"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26.0</w:t>
                  </w:r>
                </w:p>
              </w:tc>
              <w:tc>
                <w:tcPr>
                  <w:tcW w:w="1743" w:type="dxa"/>
                  <w:vAlign w:val="top"/>
                </w:tcPr>
                <w:p w14:paraId="1896CB6C">
                  <w:pPr>
                    <w:spacing w:before="73" w:line="206" w:lineRule="auto"/>
                    <w:ind w:left="49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1200ug/m</w:t>
                  </w:r>
                  <w:r>
                    <w:rPr>
                      <w:rFonts w:ascii="Times New Roman" w:hAnsi="Times New Roman" w:eastAsia="Times New Roman" w:cs="Times New Roman"/>
                      <w:spacing w:val="-3"/>
                      <w:position w:val="5"/>
                      <w:sz w:val="11"/>
                      <w:szCs w:val="11"/>
                    </w:rPr>
                    <w:t>3</w:t>
                  </w:r>
                </w:p>
              </w:tc>
              <w:tc>
                <w:tcPr>
                  <w:tcW w:w="961" w:type="dxa"/>
                  <w:vAlign w:val="top"/>
                </w:tcPr>
                <w:p w14:paraId="3DB5C3FC">
                  <w:pPr>
                    <w:spacing w:before="8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2.</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5"/>
                      <w:sz w:val="18"/>
                      <w:szCs w:val="18"/>
                    </w:rPr>
                    <w:t>17%</w:t>
                  </w:r>
                </w:p>
              </w:tc>
              <w:tc>
                <w:tcPr>
                  <w:tcW w:w="1179" w:type="dxa"/>
                  <w:vAlign w:val="top"/>
                </w:tcPr>
                <w:p w14:paraId="2C2576E5">
                  <w:pPr>
                    <w:spacing w:before="89"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4F6A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59" w:type="dxa"/>
                  <w:vMerge w:val="continue"/>
                  <w:tcBorders>
                    <w:top w:val="nil"/>
                  </w:tcBorders>
                  <w:vAlign w:val="top"/>
                </w:tcPr>
                <w:p w14:paraId="1660FA99">
                  <w:pPr>
                    <w:rPr>
                      <w:rFonts w:ascii="Arial"/>
                      <w:sz w:val="21"/>
                    </w:rPr>
                  </w:pPr>
                </w:p>
              </w:tc>
              <w:tc>
                <w:tcPr>
                  <w:tcW w:w="921" w:type="dxa"/>
                  <w:vMerge w:val="continue"/>
                  <w:tcBorders>
                    <w:top w:val="nil"/>
                  </w:tcBorders>
                  <w:vAlign w:val="top"/>
                </w:tcPr>
                <w:p w14:paraId="4B6AD0DA">
                  <w:pPr>
                    <w:rPr>
                      <w:rFonts w:ascii="Arial"/>
                      <w:sz w:val="21"/>
                    </w:rPr>
                  </w:pPr>
                </w:p>
              </w:tc>
              <w:tc>
                <w:tcPr>
                  <w:tcW w:w="1016" w:type="dxa"/>
                  <w:vAlign w:val="top"/>
                </w:tcPr>
                <w:p w14:paraId="3CABCECA">
                  <w:pPr>
                    <w:spacing w:before="90"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2022.4.27</w:t>
                  </w:r>
                </w:p>
              </w:tc>
              <w:tc>
                <w:tcPr>
                  <w:tcW w:w="981" w:type="dxa"/>
                  <w:vAlign w:val="top"/>
                </w:tcPr>
                <w:p w14:paraId="5B34FC53">
                  <w:pPr>
                    <w:spacing w:before="90" w:line="188" w:lineRule="auto"/>
                    <w:ind w:left="35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10.7</w:t>
                  </w:r>
                </w:p>
              </w:tc>
              <w:tc>
                <w:tcPr>
                  <w:tcW w:w="1743" w:type="dxa"/>
                  <w:vAlign w:val="top"/>
                </w:tcPr>
                <w:p w14:paraId="6700C55F">
                  <w:pPr>
                    <w:spacing w:before="74" w:line="206" w:lineRule="auto"/>
                    <w:ind w:left="49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1200ug/m</w:t>
                  </w:r>
                  <w:r>
                    <w:rPr>
                      <w:rFonts w:ascii="Times New Roman" w:hAnsi="Times New Roman" w:eastAsia="Times New Roman" w:cs="Times New Roman"/>
                      <w:spacing w:val="-3"/>
                      <w:position w:val="5"/>
                      <w:sz w:val="11"/>
                      <w:szCs w:val="11"/>
                    </w:rPr>
                    <w:t>3</w:t>
                  </w:r>
                </w:p>
              </w:tc>
              <w:tc>
                <w:tcPr>
                  <w:tcW w:w="961" w:type="dxa"/>
                  <w:vAlign w:val="top"/>
                </w:tcPr>
                <w:p w14:paraId="0BA8956A">
                  <w:pPr>
                    <w:spacing w:before="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0.89%</w:t>
                  </w:r>
                </w:p>
              </w:tc>
              <w:tc>
                <w:tcPr>
                  <w:tcW w:w="1179" w:type="dxa"/>
                  <w:vAlign w:val="top"/>
                </w:tcPr>
                <w:p w14:paraId="56F7A156">
                  <w:pPr>
                    <w:spacing w:before="90" w:line="188"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14:paraId="659E219D">
            <w:pPr>
              <w:pStyle w:val="6"/>
              <w:spacing w:before="141" w:line="353" w:lineRule="auto"/>
              <w:ind w:left="109" w:right="87" w:firstLine="430"/>
              <w:rPr>
                <w:sz w:val="20"/>
                <w:szCs w:val="20"/>
              </w:rPr>
            </w:pPr>
            <w:r>
              <w:rPr>
                <w:spacing w:val="7"/>
                <w:sz w:val="20"/>
                <w:szCs w:val="20"/>
              </w:rPr>
              <w:t>由上表分析，项目区大气特征污染物的评价指标占标率</w:t>
            </w:r>
            <w:r>
              <w:rPr>
                <w:spacing w:val="6"/>
                <w:sz w:val="20"/>
                <w:szCs w:val="20"/>
              </w:rPr>
              <w:t>均小于</w:t>
            </w:r>
            <w:r>
              <w:rPr>
                <w:spacing w:val="-20"/>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pacing w:val="-23"/>
                <w:sz w:val="20"/>
                <w:szCs w:val="20"/>
              </w:rPr>
              <w:t xml:space="preserve"> </w:t>
            </w:r>
            <w:r>
              <w:rPr>
                <w:spacing w:val="6"/>
                <w:sz w:val="20"/>
                <w:szCs w:val="20"/>
              </w:rPr>
              <w:t>。评价结果表</w:t>
            </w:r>
            <w:r>
              <w:rPr>
                <w:sz w:val="20"/>
                <w:szCs w:val="20"/>
              </w:rPr>
              <w:t xml:space="preserve"> </w:t>
            </w:r>
            <w:r>
              <w:rPr>
                <w:spacing w:val="8"/>
                <w:sz w:val="20"/>
                <w:szCs w:val="20"/>
              </w:rPr>
              <w:t>明，项目区所在地环境空气质量能够满足相关要求。</w:t>
            </w:r>
          </w:p>
          <w:p w14:paraId="33E31A97">
            <w:pPr>
              <w:spacing w:before="26" w:line="222" w:lineRule="auto"/>
              <w:ind w:left="88"/>
              <w:rPr>
                <w:rFonts w:ascii="黑体" w:hAnsi="黑体" w:eastAsia="黑体" w:cs="黑体"/>
                <w:sz w:val="22"/>
                <w:szCs w:val="22"/>
              </w:rPr>
            </w:pPr>
            <w:r>
              <w:rPr>
                <w:rFonts w:ascii="黑体" w:hAnsi="黑体" w:eastAsia="黑体" w:cs="黑体"/>
                <w:spacing w:val="-1"/>
                <w:sz w:val="22"/>
                <w:szCs w:val="22"/>
              </w:rPr>
              <w:t>2、地表水环境质量现状及评价</w:t>
            </w:r>
          </w:p>
          <w:p w14:paraId="5AB7937A">
            <w:pPr>
              <w:pStyle w:val="6"/>
              <w:spacing w:before="144" w:line="353" w:lineRule="auto"/>
              <w:ind w:left="89" w:right="87" w:firstLine="420"/>
              <w:rPr>
                <w:sz w:val="20"/>
                <w:szCs w:val="20"/>
              </w:rPr>
            </w:pPr>
            <w:r>
              <w:rPr>
                <w:spacing w:val="7"/>
                <w:sz w:val="20"/>
                <w:szCs w:val="20"/>
              </w:rPr>
              <w:t>本项目生产废水处理后全部回用不外排，生活污水通过定期拉运的方式进入</w:t>
            </w:r>
            <w:r>
              <w:rPr>
                <w:spacing w:val="6"/>
                <w:sz w:val="20"/>
                <w:szCs w:val="20"/>
              </w:rPr>
              <w:t>东岳场</w:t>
            </w:r>
            <w:r>
              <w:rPr>
                <w:sz w:val="20"/>
                <w:szCs w:val="20"/>
              </w:rPr>
              <w:t xml:space="preserve"> </w:t>
            </w:r>
            <w:r>
              <w:rPr>
                <w:spacing w:val="9"/>
                <w:sz w:val="20"/>
                <w:szCs w:val="20"/>
              </w:rPr>
              <w:t>镇污水处理厂处理后达标排入双龙河。因此，项目受纳水体为双龙河。</w:t>
            </w:r>
          </w:p>
          <w:p w14:paraId="04529262">
            <w:pPr>
              <w:pStyle w:val="6"/>
              <w:spacing w:before="35" w:line="362" w:lineRule="auto"/>
              <w:ind w:left="90" w:right="87" w:firstLine="419"/>
              <w:rPr>
                <w:sz w:val="20"/>
                <w:szCs w:val="20"/>
              </w:rPr>
            </w:pPr>
            <w:r>
              <w:rPr>
                <w:spacing w:val="7"/>
                <w:sz w:val="20"/>
                <w:szCs w:val="20"/>
              </w:rPr>
              <w:t>根据调查，项目附近的地表水体为东面的双龙河。根据《通川区河长制断面水</w:t>
            </w:r>
            <w:r>
              <w:rPr>
                <w:spacing w:val="6"/>
                <w:sz w:val="20"/>
                <w:szCs w:val="20"/>
              </w:rPr>
              <w:t>质检</w:t>
            </w:r>
            <w:r>
              <w:rPr>
                <w:sz w:val="20"/>
                <w:szCs w:val="20"/>
              </w:rPr>
              <w:t xml:space="preserve"> </w:t>
            </w:r>
            <w:r>
              <w:rPr>
                <w:spacing w:val="6"/>
                <w:sz w:val="20"/>
                <w:szCs w:val="20"/>
              </w:rPr>
              <w:t>测》报告（通川环监字（</w:t>
            </w:r>
            <w:r>
              <w:rPr>
                <w:rFonts w:ascii="Times New Roman" w:hAnsi="Times New Roman" w:eastAsia="Times New Roman" w:cs="Times New Roman"/>
                <w:spacing w:val="6"/>
                <w:sz w:val="20"/>
                <w:szCs w:val="20"/>
              </w:rPr>
              <w:t>2023</w:t>
            </w:r>
            <w:r>
              <w:rPr>
                <w:spacing w:val="6"/>
                <w:sz w:val="20"/>
                <w:szCs w:val="20"/>
              </w:rPr>
              <w:t>）字第</w:t>
            </w:r>
            <w:r>
              <w:rPr>
                <w:rFonts w:ascii="Times New Roman" w:hAnsi="Times New Roman" w:eastAsia="Times New Roman" w:cs="Times New Roman"/>
                <w:spacing w:val="6"/>
                <w:sz w:val="20"/>
                <w:szCs w:val="20"/>
              </w:rPr>
              <w:t>117</w:t>
            </w:r>
            <w:r>
              <w:rPr>
                <w:spacing w:val="6"/>
                <w:sz w:val="20"/>
                <w:szCs w:val="20"/>
              </w:rPr>
              <w:t>号</w:t>
            </w:r>
            <w:r>
              <w:rPr>
                <w:spacing w:val="-36"/>
                <w:sz w:val="20"/>
                <w:szCs w:val="20"/>
              </w:rPr>
              <w:t>），</w:t>
            </w:r>
            <w:r>
              <w:rPr>
                <w:spacing w:val="6"/>
                <w:sz w:val="20"/>
                <w:szCs w:val="20"/>
              </w:rPr>
              <w:t>本次环评引用该报告中“双龙河柏林口断</w:t>
            </w:r>
            <w:r>
              <w:rPr>
                <w:spacing w:val="1"/>
                <w:sz w:val="20"/>
                <w:szCs w:val="20"/>
              </w:rPr>
              <w:t xml:space="preserve"> </w:t>
            </w:r>
            <w:r>
              <w:rPr>
                <w:spacing w:val="8"/>
                <w:sz w:val="20"/>
                <w:szCs w:val="20"/>
              </w:rPr>
              <w:t>面</w:t>
            </w:r>
            <w:r>
              <w:rPr>
                <w:spacing w:val="-67"/>
                <w:sz w:val="20"/>
                <w:szCs w:val="20"/>
              </w:rPr>
              <w:t xml:space="preserve"> </w:t>
            </w:r>
            <w:r>
              <w:rPr>
                <w:spacing w:val="8"/>
                <w:sz w:val="20"/>
                <w:szCs w:val="20"/>
              </w:rPr>
              <w:t>”数据。根据调查，监测时间为</w:t>
            </w:r>
            <w:r>
              <w:rPr>
                <w:rFonts w:ascii="Times New Roman" w:hAnsi="Times New Roman" w:eastAsia="Times New Roman" w:cs="Times New Roman"/>
                <w:spacing w:val="8"/>
                <w:sz w:val="20"/>
                <w:szCs w:val="20"/>
              </w:rPr>
              <w:t>2023</w:t>
            </w:r>
            <w:r>
              <w:rPr>
                <w:spacing w:val="8"/>
                <w:sz w:val="20"/>
                <w:szCs w:val="20"/>
              </w:rPr>
              <w:t>年</w:t>
            </w:r>
            <w:r>
              <w:rPr>
                <w:rFonts w:ascii="Times New Roman" w:hAnsi="Times New Roman" w:eastAsia="Times New Roman" w:cs="Times New Roman"/>
                <w:spacing w:val="8"/>
                <w:sz w:val="20"/>
                <w:szCs w:val="20"/>
              </w:rPr>
              <w:t>12</w:t>
            </w:r>
            <w:r>
              <w:rPr>
                <w:spacing w:val="8"/>
                <w:sz w:val="20"/>
                <w:szCs w:val="20"/>
              </w:rPr>
              <w:t>月</w:t>
            </w:r>
            <w:r>
              <w:rPr>
                <w:rFonts w:ascii="Times New Roman" w:hAnsi="Times New Roman" w:eastAsia="Times New Roman" w:cs="Times New Roman"/>
                <w:spacing w:val="8"/>
                <w:sz w:val="20"/>
                <w:szCs w:val="20"/>
              </w:rPr>
              <w:t>20</w:t>
            </w:r>
            <w:r>
              <w:rPr>
                <w:spacing w:val="8"/>
                <w:sz w:val="20"/>
                <w:szCs w:val="20"/>
              </w:rPr>
              <w:t>日，距离评价时间为</w:t>
            </w:r>
            <w:r>
              <w:rPr>
                <w:rFonts w:ascii="Times New Roman" w:hAnsi="Times New Roman" w:eastAsia="Times New Roman" w:cs="Times New Roman"/>
                <w:spacing w:val="8"/>
                <w:sz w:val="20"/>
                <w:szCs w:val="20"/>
              </w:rPr>
              <w:t>1</w:t>
            </w:r>
            <w:r>
              <w:rPr>
                <w:spacing w:val="8"/>
                <w:sz w:val="20"/>
                <w:szCs w:val="20"/>
              </w:rPr>
              <w:t>年，在引用的时</w:t>
            </w:r>
            <w:r>
              <w:rPr>
                <w:sz w:val="20"/>
                <w:szCs w:val="20"/>
              </w:rPr>
              <w:t xml:space="preserve"> </w:t>
            </w:r>
            <w:r>
              <w:rPr>
                <w:spacing w:val="4"/>
                <w:sz w:val="20"/>
                <w:szCs w:val="20"/>
              </w:rPr>
              <w:t>效范围。</w:t>
            </w:r>
          </w:p>
          <w:p w14:paraId="495E0C09">
            <w:pPr>
              <w:pStyle w:val="6"/>
              <w:spacing w:before="32" w:line="281" w:lineRule="auto"/>
              <w:ind w:left="2337" w:right="2121" w:hanging="1828"/>
              <w:rPr>
                <w:rFonts w:ascii="黑体" w:hAnsi="黑体" w:eastAsia="黑体" w:cs="黑体"/>
                <w:sz w:val="18"/>
                <w:szCs w:val="18"/>
              </w:rPr>
            </w:pPr>
            <w:r>
              <w:rPr>
                <w:spacing w:val="8"/>
                <w:sz w:val="20"/>
                <w:szCs w:val="20"/>
              </w:rPr>
              <w:t xml:space="preserve">根据该检测报告，项目所在区域双龙河水质监测结果如下。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3-3      </w:t>
            </w:r>
            <w:r>
              <w:rPr>
                <w:rFonts w:ascii="黑体" w:hAnsi="黑体" w:eastAsia="黑体" w:cs="黑体"/>
                <w:spacing w:val="-1"/>
                <w:sz w:val="18"/>
                <w:szCs w:val="18"/>
              </w:rPr>
              <w:t>双龙河柏林口断面水质监测结果表</w:t>
            </w:r>
          </w:p>
          <w:tbl>
            <w:tblPr>
              <w:tblStyle w:val="5"/>
              <w:tblW w:w="7540"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760"/>
              <w:gridCol w:w="761"/>
              <w:gridCol w:w="760"/>
              <w:gridCol w:w="760"/>
              <w:gridCol w:w="761"/>
              <w:gridCol w:w="641"/>
              <w:gridCol w:w="880"/>
              <w:gridCol w:w="765"/>
            </w:tblGrid>
            <w:tr w14:paraId="4F480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452" w:type="dxa"/>
                  <w:vMerge w:val="restart"/>
                  <w:tcBorders>
                    <w:bottom w:val="nil"/>
                  </w:tcBorders>
                  <w:vAlign w:val="top"/>
                </w:tcPr>
                <w:p w14:paraId="3530E032">
                  <w:pPr>
                    <w:spacing w:line="302" w:lineRule="auto"/>
                    <w:rPr>
                      <w:rFonts w:ascii="Arial"/>
                      <w:sz w:val="21"/>
                    </w:rPr>
                  </w:pPr>
                </w:p>
                <w:p w14:paraId="5273A072">
                  <w:pPr>
                    <w:pStyle w:val="6"/>
                    <w:spacing w:before="58" w:line="219" w:lineRule="auto"/>
                    <w:ind w:left="369"/>
                    <w:rPr>
                      <w:sz w:val="18"/>
                      <w:szCs w:val="18"/>
                    </w:rPr>
                  </w:pPr>
                  <w:r>
                    <w:rPr>
                      <w:b/>
                      <w:bCs/>
                      <w:spacing w:val="-4"/>
                      <w:sz w:val="18"/>
                      <w:szCs w:val="18"/>
                    </w:rPr>
                    <w:t>监测断面</w:t>
                  </w:r>
                </w:p>
              </w:tc>
              <w:tc>
                <w:tcPr>
                  <w:tcW w:w="6088" w:type="dxa"/>
                  <w:gridSpan w:val="8"/>
                  <w:vAlign w:val="top"/>
                </w:tcPr>
                <w:p w14:paraId="584065B6">
                  <w:pPr>
                    <w:pStyle w:val="6"/>
                    <w:spacing w:before="77" w:line="209" w:lineRule="auto"/>
                    <w:ind w:left="2298"/>
                    <w:rPr>
                      <w:sz w:val="18"/>
                      <w:szCs w:val="18"/>
                    </w:rPr>
                  </w:pPr>
                  <w:r>
                    <w:rPr>
                      <w:b/>
                      <w:bCs/>
                      <w:spacing w:val="-2"/>
                      <w:sz w:val="18"/>
                      <w:szCs w:val="18"/>
                    </w:rPr>
                    <w:t>检测结果（</w:t>
                  </w:r>
                  <w:r>
                    <w:rPr>
                      <w:rFonts w:ascii="Times New Roman" w:hAnsi="Times New Roman" w:eastAsia="Times New Roman" w:cs="Times New Roman"/>
                      <w:b/>
                      <w:bCs/>
                      <w:spacing w:val="-2"/>
                      <w:sz w:val="18"/>
                      <w:szCs w:val="18"/>
                    </w:rPr>
                    <w:t>mg/L</w:t>
                  </w:r>
                  <w:r>
                    <w:rPr>
                      <w:b/>
                      <w:bCs/>
                      <w:spacing w:val="-2"/>
                      <w:sz w:val="18"/>
                      <w:szCs w:val="18"/>
                    </w:rPr>
                    <w:t>）</w:t>
                  </w:r>
                </w:p>
              </w:tc>
            </w:tr>
            <w:tr w14:paraId="5692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452" w:type="dxa"/>
                  <w:vMerge w:val="continue"/>
                  <w:tcBorders>
                    <w:top w:val="nil"/>
                  </w:tcBorders>
                  <w:vAlign w:val="top"/>
                </w:tcPr>
                <w:p w14:paraId="10015752">
                  <w:pPr>
                    <w:rPr>
                      <w:rFonts w:ascii="Arial"/>
                      <w:sz w:val="21"/>
                    </w:rPr>
                  </w:pPr>
                </w:p>
              </w:tc>
              <w:tc>
                <w:tcPr>
                  <w:tcW w:w="760" w:type="dxa"/>
                  <w:vAlign w:val="top"/>
                </w:tcPr>
                <w:p w14:paraId="04456B14">
                  <w:pPr>
                    <w:spacing w:before="244" w:line="185" w:lineRule="auto"/>
                    <w:ind w:left="25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pH</w:t>
                  </w:r>
                </w:p>
              </w:tc>
              <w:tc>
                <w:tcPr>
                  <w:tcW w:w="761" w:type="dxa"/>
                  <w:vAlign w:val="top"/>
                </w:tcPr>
                <w:p w14:paraId="2E0227A2">
                  <w:pPr>
                    <w:pStyle w:val="6"/>
                    <w:spacing w:before="212" w:line="219" w:lineRule="auto"/>
                    <w:ind w:left="115"/>
                    <w:rPr>
                      <w:sz w:val="18"/>
                      <w:szCs w:val="18"/>
                    </w:rPr>
                  </w:pPr>
                  <w:r>
                    <w:rPr>
                      <w:b/>
                      <w:bCs/>
                      <w:spacing w:val="-5"/>
                      <w:sz w:val="18"/>
                      <w:szCs w:val="18"/>
                    </w:rPr>
                    <w:t>溶解氧</w:t>
                  </w:r>
                </w:p>
              </w:tc>
              <w:tc>
                <w:tcPr>
                  <w:tcW w:w="760" w:type="dxa"/>
                  <w:vAlign w:val="top"/>
                </w:tcPr>
                <w:p w14:paraId="533FB54B">
                  <w:pPr>
                    <w:pStyle w:val="6"/>
                    <w:spacing w:before="71" w:line="247" w:lineRule="auto"/>
                    <w:ind w:left="114" w:right="106" w:firstLine="3"/>
                    <w:rPr>
                      <w:sz w:val="18"/>
                      <w:szCs w:val="18"/>
                    </w:rPr>
                  </w:pPr>
                  <w:r>
                    <w:rPr>
                      <w:b/>
                      <w:bCs/>
                      <w:spacing w:val="-6"/>
                      <w:sz w:val="18"/>
                      <w:szCs w:val="18"/>
                    </w:rPr>
                    <w:t>高锰酸</w:t>
                  </w:r>
                  <w:r>
                    <w:rPr>
                      <w:spacing w:val="1"/>
                      <w:sz w:val="18"/>
                      <w:szCs w:val="18"/>
                    </w:rPr>
                    <w:t xml:space="preserve"> </w:t>
                  </w:r>
                  <w:r>
                    <w:rPr>
                      <w:b/>
                      <w:bCs/>
                      <w:spacing w:val="-4"/>
                      <w:sz w:val="18"/>
                      <w:szCs w:val="18"/>
                    </w:rPr>
                    <w:t>盐指数</w:t>
                  </w:r>
                </w:p>
              </w:tc>
              <w:tc>
                <w:tcPr>
                  <w:tcW w:w="760" w:type="dxa"/>
                  <w:vAlign w:val="top"/>
                </w:tcPr>
                <w:p w14:paraId="2F01DA44">
                  <w:pPr>
                    <w:pStyle w:val="6"/>
                    <w:spacing w:before="71" w:line="247" w:lineRule="auto"/>
                    <w:ind w:left="205" w:right="106" w:hanging="91"/>
                    <w:rPr>
                      <w:sz w:val="18"/>
                      <w:szCs w:val="18"/>
                    </w:rPr>
                  </w:pPr>
                  <w:r>
                    <w:rPr>
                      <w:b/>
                      <w:bCs/>
                      <w:spacing w:val="-4"/>
                      <w:sz w:val="18"/>
                      <w:szCs w:val="18"/>
                    </w:rPr>
                    <w:t>化学需</w:t>
                  </w:r>
                  <w:r>
                    <w:rPr>
                      <w:sz w:val="18"/>
                      <w:szCs w:val="18"/>
                    </w:rPr>
                    <w:t xml:space="preserve"> </w:t>
                  </w:r>
                  <w:r>
                    <w:rPr>
                      <w:b/>
                      <w:bCs/>
                      <w:spacing w:val="-6"/>
                      <w:sz w:val="18"/>
                      <w:szCs w:val="18"/>
                    </w:rPr>
                    <w:t>氧量</w:t>
                  </w:r>
                </w:p>
              </w:tc>
              <w:tc>
                <w:tcPr>
                  <w:tcW w:w="761" w:type="dxa"/>
                  <w:vAlign w:val="top"/>
                </w:tcPr>
                <w:p w14:paraId="56889C2A">
                  <w:pPr>
                    <w:pStyle w:val="6"/>
                    <w:spacing w:before="212" w:line="219" w:lineRule="auto"/>
                    <w:ind w:left="205"/>
                    <w:rPr>
                      <w:sz w:val="18"/>
                      <w:szCs w:val="18"/>
                    </w:rPr>
                  </w:pPr>
                  <w:r>
                    <w:rPr>
                      <w:b/>
                      <w:bCs/>
                      <w:spacing w:val="-6"/>
                      <w:sz w:val="18"/>
                      <w:szCs w:val="18"/>
                    </w:rPr>
                    <w:t>氨氮</w:t>
                  </w:r>
                </w:p>
              </w:tc>
              <w:tc>
                <w:tcPr>
                  <w:tcW w:w="641" w:type="dxa"/>
                  <w:vAlign w:val="top"/>
                </w:tcPr>
                <w:p w14:paraId="28679F20">
                  <w:pPr>
                    <w:pStyle w:val="6"/>
                    <w:spacing w:before="213" w:line="219" w:lineRule="auto"/>
                    <w:ind w:left="150"/>
                    <w:rPr>
                      <w:sz w:val="18"/>
                      <w:szCs w:val="18"/>
                    </w:rPr>
                  </w:pPr>
                  <w:r>
                    <w:rPr>
                      <w:b/>
                      <w:bCs/>
                      <w:spacing w:val="-8"/>
                      <w:sz w:val="18"/>
                      <w:szCs w:val="18"/>
                    </w:rPr>
                    <w:t>总磷</w:t>
                  </w:r>
                </w:p>
              </w:tc>
              <w:tc>
                <w:tcPr>
                  <w:tcW w:w="880" w:type="dxa"/>
                  <w:vAlign w:val="top"/>
                </w:tcPr>
                <w:p w14:paraId="08829C42">
                  <w:pPr>
                    <w:pStyle w:val="6"/>
                    <w:spacing w:before="71" w:line="247" w:lineRule="auto"/>
                    <w:ind w:left="183" w:right="74" w:hanging="95"/>
                    <w:rPr>
                      <w:sz w:val="18"/>
                      <w:szCs w:val="18"/>
                    </w:rPr>
                  </w:pPr>
                  <w:r>
                    <w:rPr>
                      <w:b/>
                      <w:bCs/>
                      <w:spacing w:val="-4"/>
                      <w:sz w:val="18"/>
                      <w:szCs w:val="18"/>
                    </w:rPr>
                    <w:t>五日生化</w:t>
                  </w:r>
                  <w:r>
                    <w:rPr>
                      <w:sz w:val="18"/>
                      <w:szCs w:val="18"/>
                    </w:rPr>
                    <w:t xml:space="preserve"> </w:t>
                  </w:r>
                  <w:r>
                    <w:rPr>
                      <w:b/>
                      <w:bCs/>
                      <w:spacing w:val="-7"/>
                      <w:sz w:val="18"/>
                      <w:szCs w:val="18"/>
                    </w:rPr>
                    <w:t>需氧量</w:t>
                  </w:r>
                </w:p>
              </w:tc>
              <w:tc>
                <w:tcPr>
                  <w:tcW w:w="765" w:type="dxa"/>
                  <w:vAlign w:val="top"/>
                </w:tcPr>
                <w:p w14:paraId="6994619C">
                  <w:pPr>
                    <w:pStyle w:val="6"/>
                    <w:spacing w:before="212" w:line="220" w:lineRule="auto"/>
                    <w:ind w:left="114"/>
                    <w:rPr>
                      <w:sz w:val="18"/>
                      <w:szCs w:val="18"/>
                    </w:rPr>
                  </w:pPr>
                  <w:r>
                    <w:rPr>
                      <w:b/>
                      <w:bCs/>
                      <w:spacing w:val="-4"/>
                      <w:sz w:val="18"/>
                      <w:szCs w:val="18"/>
                    </w:rPr>
                    <w:t>挥发酚</w:t>
                  </w:r>
                </w:p>
              </w:tc>
            </w:tr>
            <w:tr w14:paraId="5E9AD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52" w:type="dxa"/>
                  <w:vAlign w:val="top"/>
                </w:tcPr>
                <w:p w14:paraId="7F20F3B7">
                  <w:pPr>
                    <w:pStyle w:val="6"/>
                    <w:spacing w:before="98" w:line="219" w:lineRule="auto"/>
                    <w:ind w:left="191"/>
                    <w:rPr>
                      <w:sz w:val="18"/>
                      <w:szCs w:val="18"/>
                    </w:rPr>
                  </w:pPr>
                  <w:r>
                    <w:rPr>
                      <w:spacing w:val="-2"/>
                      <w:sz w:val="18"/>
                      <w:szCs w:val="18"/>
                    </w:rPr>
                    <w:t>双龙河柏林口</w:t>
                  </w:r>
                </w:p>
              </w:tc>
              <w:tc>
                <w:tcPr>
                  <w:tcW w:w="760" w:type="dxa"/>
                  <w:vAlign w:val="top"/>
                </w:tcPr>
                <w:p w14:paraId="455DD87B">
                  <w:pPr>
                    <w:spacing w:before="129"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761" w:type="dxa"/>
                  <w:vAlign w:val="top"/>
                </w:tcPr>
                <w:p w14:paraId="3F62CD35">
                  <w:pPr>
                    <w:spacing w:before="129"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tc>
              <w:tc>
                <w:tcPr>
                  <w:tcW w:w="760" w:type="dxa"/>
                  <w:vAlign w:val="top"/>
                </w:tcPr>
                <w:p w14:paraId="7D871E8B">
                  <w:pPr>
                    <w:spacing w:before="129"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3.38</w:t>
                  </w:r>
                </w:p>
              </w:tc>
              <w:tc>
                <w:tcPr>
                  <w:tcW w:w="760" w:type="dxa"/>
                  <w:vAlign w:val="top"/>
                </w:tcPr>
                <w:p w14:paraId="68AFCB9B">
                  <w:pPr>
                    <w:spacing w:before="129" w:line="188"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761" w:type="dxa"/>
                  <w:vAlign w:val="top"/>
                </w:tcPr>
                <w:p w14:paraId="252FEC09">
                  <w:pPr>
                    <w:spacing w:before="129"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0.168</w:t>
                  </w:r>
                </w:p>
              </w:tc>
              <w:tc>
                <w:tcPr>
                  <w:tcW w:w="641" w:type="dxa"/>
                  <w:vAlign w:val="top"/>
                </w:tcPr>
                <w:p w14:paraId="4205CB7B">
                  <w:pPr>
                    <w:spacing w:before="129" w:line="188"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880" w:type="dxa"/>
                  <w:vAlign w:val="top"/>
                </w:tcPr>
                <w:p w14:paraId="248FEAA0">
                  <w:pPr>
                    <w:spacing w:before="129"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765" w:type="dxa"/>
                  <w:vAlign w:val="top"/>
                </w:tcPr>
                <w:p w14:paraId="581B9859">
                  <w:pPr>
                    <w:spacing w:before="129"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0.0008</w:t>
                  </w:r>
                </w:p>
              </w:tc>
            </w:tr>
          </w:tbl>
          <w:p w14:paraId="34BCD617">
            <w:pPr>
              <w:pStyle w:val="6"/>
              <w:spacing w:before="142" w:line="359" w:lineRule="auto"/>
              <w:ind w:left="91" w:right="86" w:firstLine="418"/>
              <w:jc w:val="both"/>
              <w:rPr>
                <w:sz w:val="20"/>
                <w:szCs w:val="20"/>
              </w:rPr>
            </w:pPr>
            <w:r>
              <w:rPr>
                <w:spacing w:val="7"/>
                <w:sz w:val="20"/>
                <w:szCs w:val="20"/>
              </w:rPr>
              <w:t>根据上表监测数据表明：项目所在区域地表水体双龙河柏林看断面水质单项污</w:t>
            </w:r>
            <w:r>
              <w:rPr>
                <w:spacing w:val="6"/>
                <w:sz w:val="20"/>
                <w:szCs w:val="20"/>
              </w:rPr>
              <w:t>染指</w:t>
            </w:r>
            <w:r>
              <w:rPr>
                <w:sz w:val="20"/>
                <w:szCs w:val="20"/>
              </w:rPr>
              <w:t xml:space="preserve"> </w:t>
            </w:r>
            <w:r>
              <w:rPr>
                <w:spacing w:val="5"/>
                <w:sz w:val="20"/>
                <w:szCs w:val="20"/>
              </w:rPr>
              <w:t>数计算结果均小于</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3"/>
                <w:sz w:val="20"/>
                <w:szCs w:val="20"/>
              </w:rPr>
              <w:t xml:space="preserve"> </w:t>
            </w:r>
            <w:r>
              <w:rPr>
                <w:spacing w:val="5"/>
                <w:sz w:val="20"/>
                <w:szCs w:val="20"/>
              </w:rPr>
              <w:t>，区域水质能够满足《地表水环境质量标准》（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3838-20</w:t>
            </w:r>
            <w:r>
              <w:rPr>
                <w:rFonts w:ascii="Times New Roman" w:hAnsi="Times New Roman" w:eastAsia="Times New Roman" w:cs="Times New Roman"/>
                <w:spacing w:val="4"/>
                <w:sz w:val="20"/>
                <w:szCs w:val="20"/>
              </w:rPr>
              <w:t>02</w:t>
            </w:r>
            <w:r>
              <w:rPr>
                <w:spacing w:val="4"/>
                <w:sz w:val="20"/>
                <w:szCs w:val="20"/>
              </w:rPr>
              <w:t>）</w:t>
            </w:r>
            <w:r>
              <w:rPr>
                <w:rFonts w:ascii="Times New Roman" w:hAnsi="Times New Roman" w:eastAsia="Times New Roman" w:cs="Times New Roman"/>
                <w:spacing w:val="4"/>
                <w:sz w:val="20"/>
                <w:szCs w:val="20"/>
              </w:rPr>
              <w:t>Ⅲ</w:t>
            </w:r>
            <w:r>
              <w:rPr>
                <w:spacing w:val="4"/>
                <w:sz w:val="20"/>
                <w:szCs w:val="20"/>
              </w:rPr>
              <w:t>类</w:t>
            </w:r>
            <w:r>
              <w:rPr>
                <w:sz w:val="20"/>
                <w:szCs w:val="20"/>
              </w:rPr>
              <w:t xml:space="preserve"> </w:t>
            </w:r>
            <w:r>
              <w:rPr>
                <w:spacing w:val="6"/>
                <w:sz w:val="20"/>
                <w:szCs w:val="20"/>
              </w:rPr>
              <w:t>水域水质标准。</w:t>
            </w:r>
          </w:p>
          <w:p w14:paraId="7DB6FE33">
            <w:pPr>
              <w:spacing w:before="23" w:line="222" w:lineRule="auto"/>
              <w:ind w:left="90"/>
              <w:rPr>
                <w:rFonts w:ascii="黑体" w:hAnsi="黑体" w:eastAsia="黑体" w:cs="黑体"/>
                <w:sz w:val="22"/>
                <w:szCs w:val="22"/>
              </w:rPr>
            </w:pPr>
            <w:r>
              <w:rPr>
                <w:rFonts w:ascii="黑体" w:hAnsi="黑体" w:eastAsia="黑体" w:cs="黑体"/>
                <w:spacing w:val="-1"/>
                <w:sz w:val="22"/>
                <w:szCs w:val="22"/>
              </w:rPr>
              <w:t>3、声环境质量现状监测及评价</w:t>
            </w:r>
          </w:p>
          <w:p w14:paraId="2712DB46">
            <w:pPr>
              <w:spacing w:before="134" w:line="297" w:lineRule="auto"/>
              <w:ind w:left="91" w:right="84" w:firstLine="439"/>
              <w:jc w:val="both"/>
              <w:rPr>
                <w:rFonts w:ascii="新宋体" w:hAnsi="新宋体" w:eastAsia="新宋体" w:cs="新宋体"/>
                <w:sz w:val="22"/>
                <w:szCs w:val="22"/>
              </w:rPr>
            </w:pPr>
            <w:r>
              <w:rPr>
                <w:rFonts w:ascii="新宋体" w:hAnsi="新宋体" w:eastAsia="新宋体" w:cs="新宋体"/>
                <w:spacing w:val="-5"/>
                <w:sz w:val="22"/>
                <w:szCs w:val="22"/>
              </w:rPr>
              <w:t>根据《建设项目环境影响报告表编制技术指南（污染影响类</w:t>
            </w:r>
            <w:r>
              <w:rPr>
                <w:rFonts w:ascii="新宋体" w:hAnsi="新宋体" w:eastAsia="新宋体" w:cs="新宋体"/>
                <w:spacing w:val="-49"/>
                <w:sz w:val="22"/>
                <w:szCs w:val="22"/>
              </w:rPr>
              <w:t>）（</w:t>
            </w:r>
            <w:r>
              <w:rPr>
                <w:rFonts w:ascii="新宋体" w:hAnsi="新宋体" w:eastAsia="新宋体" w:cs="新宋体"/>
                <w:spacing w:val="-6"/>
                <w:sz w:val="22"/>
                <w:szCs w:val="22"/>
              </w:rPr>
              <w:t>试行）》：“厂</w:t>
            </w:r>
            <w:r>
              <w:rPr>
                <w:rFonts w:ascii="新宋体" w:hAnsi="新宋体" w:eastAsia="新宋体" w:cs="新宋体"/>
                <w:sz w:val="22"/>
                <w:szCs w:val="22"/>
              </w:rPr>
              <w:t xml:space="preserve"> </w:t>
            </w:r>
            <w:r>
              <w:rPr>
                <w:rFonts w:ascii="新宋体" w:hAnsi="新宋体" w:eastAsia="新宋体" w:cs="新宋体"/>
                <w:spacing w:val="-1"/>
                <w:sz w:val="22"/>
                <w:szCs w:val="22"/>
              </w:rPr>
              <w:t>界外周边</w:t>
            </w:r>
            <w:r>
              <w:rPr>
                <w:rFonts w:ascii="Times New Roman" w:hAnsi="Times New Roman" w:eastAsia="Times New Roman" w:cs="Times New Roman"/>
                <w:spacing w:val="-1"/>
                <w:sz w:val="22"/>
                <w:szCs w:val="22"/>
              </w:rPr>
              <w:t>50</w:t>
            </w:r>
            <w:r>
              <w:rPr>
                <w:rFonts w:ascii="新宋体" w:hAnsi="新宋体" w:eastAsia="新宋体" w:cs="新宋体"/>
                <w:spacing w:val="-1"/>
                <w:sz w:val="22"/>
                <w:szCs w:val="22"/>
              </w:rPr>
              <w:t>米范围内存在声环境保护目标的建设项目</w:t>
            </w:r>
            <w:r>
              <w:rPr>
                <w:rFonts w:ascii="新宋体" w:hAnsi="新宋体" w:eastAsia="新宋体" w:cs="新宋体"/>
                <w:spacing w:val="-2"/>
                <w:sz w:val="22"/>
                <w:szCs w:val="22"/>
              </w:rPr>
              <w:t>，应监测保护目标声环境质量</w:t>
            </w:r>
            <w:r>
              <w:rPr>
                <w:rFonts w:ascii="新宋体" w:hAnsi="新宋体" w:eastAsia="新宋体" w:cs="新宋体"/>
                <w:sz w:val="22"/>
                <w:szCs w:val="22"/>
              </w:rPr>
              <w:t xml:space="preserve"> </w:t>
            </w:r>
            <w:r>
              <w:rPr>
                <w:rFonts w:ascii="新宋体" w:hAnsi="新宋体" w:eastAsia="新宋体" w:cs="新宋体"/>
                <w:spacing w:val="-1"/>
                <w:sz w:val="22"/>
                <w:szCs w:val="22"/>
              </w:rPr>
              <w:t>现状并评价达标情况。各点位应监测昼夜间噪声，监测</w:t>
            </w:r>
            <w:r>
              <w:rPr>
                <w:rFonts w:ascii="新宋体" w:hAnsi="新宋体" w:eastAsia="新宋体" w:cs="新宋体"/>
                <w:spacing w:val="-2"/>
                <w:sz w:val="22"/>
                <w:szCs w:val="22"/>
              </w:rPr>
              <w:t xml:space="preserve">时间不少于 </w:t>
            </w:r>
            <w:r>
              <w:rPr>
                <w:rFonts w:ascii="Times New Roman" w:hAnsi="Times New Roman" w:eastAsia="Times New Roman" w:cs="Times New Roman"/>
                <w:spacing w:val="-2"/>
                <w:sz w:val="22"/>
                <w:szCs w:val="22"/>
              </w:rPr>
              <w:t>1</w:t>
            </w:r>
            <w:r>
              <w:rPr>
                <w:rFonts w:ascii="新宋体" w:hAnsi="新宋体" w:eastAsia="新宋体" w:cs="新宋体"/>
                <w:spacing w:val="-2"/>
                <w:sz w:val="22"/>
                <w:szCs w:val="22"/>
              </w:rPr>
              <w:t>天，项目夜间</w:t>
            </w:r>
          </w:p>
        </w:tc>
      </w:tr>
    </w:tbl>
    <w:p w14:paraId="63C227E5">
      <w:pPr>
        <w:pStyle w:val="2"/>
      </w:pPr>
    </w:p>
    <w:p w14:paraId="6CBC18DB">
      <w:pPr>
        <w:sectPr>
          <w:footerReference r:id="rId56" w:type="default"/>
          <w:pgSz w:w="11907" w:h="16840"/>
          <w:pgMar w:top="1431" w:right="1513" w:bottom="1260" w:left="1512" w:header="0" w:footer="1080" w:gutter="0"/>
          <w:cols w:space="720" w:num="1"/>
        </w:sectPr>
      </w:pPr>
    </w:p>
    <w:p w14:paraId="22AAFBFF">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3E4A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808" w:type="dxa"/>
            <w:tcBorders>
              <w:top w:val="single" w:color="000000" w:sz="6" w:space="0"/>
              <w:left w:val="single" w:color="000000" w:sz="6" w:space="0"/>
            </w:tcBorders>
            <w:vAlign w:val="top"/>
          </w:tcPr>
          <w:p w14:paraId="2C1454FF">
            <w:pPr>
              <w:rPr>
                <w:rFonts w:ascii="Arial"/>
                <w:sz w:val="21"/>
              </w:rPr>
            </w:pPr>
          </w:p>
        </w:tc>
        <w:tc>
          <w:tcPr>
            <w:tcW w:w="8058" w:type="dxa"/>
            <w:tcBorders>
              <w:top w:val="single" w:color="000000" w:sz="6" w:space="0"/>
              <w:right w:val="single" w:color="000000" w:sz="6" w:space="0"/>
            </w:tcBorders>
            <w:vAlign w:val="top"/>
          </w:tcPr>
          <w:p w14:paraId="7F5E8156">
            <w:pPr>
              <w:spacing w:before="135" w:line="220" w:lineRule="auto"/>
              <w:ind w:left="93"/>
              <w:rPr>
                <w:rFonts w:ascii="新宋体" w:hAnsi="新宋体" w:eastAsia="新宋体" w:cs="新宋体"/>
                <w:sz w:val="22"/>
                <w:szCs w:val="22"/>
              </w:rPr>
            </w:pPr>
            <w:r>
              <w:rPr>
                <w:rFonts w:ascii="新宋体" w:hAnsi="新宋体" w:eastAsia="新宋体" w:cs="新宋体"/>
                <w:spacing w:val="5"/>
                <w:sz w:val="22"/>
                <w:szCs w:val="22"/>
              </w:rPr>
              <w:t>不生产则仅监测昼间噪声。</w:t>
            </w:r>
            <w:r>
              <w:rPr>
                <w:rFonts w:ascii="新宋体" w:hAnsi="新宋体" w:eastAsia="新宋体" w:cs="新宋体"/>
                <w:spacing w:val="-78"/>
                <w:sz w:val="22"/>
                <w:szCs w:val="22"/>
              </w:rPr>
              <w:t xml:space="preserve"> </w:t>
            </w:r>
            <w:r>
              <w:rPr>
                <w:rFonts w:ascii="新宋体" w:hAnsi="新宋体" w:eastAsia="新宋体" w:cs="新宋体"/>
                <w:spacing w:val="5"/>
                <w:sz w:val="22"/>
                <w:szCs w:val="22"/>
              </w:rPr>
              <w:t>”</w:t>
            </w:r>
          </w:p>
          <w:p w14:paraId="7636457A">
            <w:pPr>
              <w:spacing w:before="138" w:line="323" w:lineRule="auto"/>
              <w:ind w:left="90" w:right="84" w:firstLine="441"/>
              <w:rPr>
                <w:rFonts w:ascii="新宋体" w:hAnsi="新宋体" w:eastAsia="新宋体" w:cs="新宋体"/>
                <w:sz w:val="22"/>
                <w:szCs w:val="22"/>
              </w:rPr>
            </w:pPr>
            <w:r>
              <w:rPr>
                <w:rFonts w:ascii="新宋体" w:hAnsi="新宋体" w:eastAsia="新宋体" w:cs="新宋体"/>
                <w:sz w:val="22"/>
                <w:szCs w:val="22"/>
              </w:rPr>
              <w:t>根据环评调查，本项目厂界外周边</w:t>
            </w:r>
            <w:r>
              <w:rPr>
                <w:rFonts w:ascii="Times New Roman" w:hAnsi="Times New Roman" w:eastAsia="Times New Roman" w:cs="Times New Roman"/>
                <w:sz w:val="22"/>
                <w:szCs w:val="22"/>
              </w:rPr>
              <w:t>50m</w:t>
            </w:r>
            <w:r>
              <w:rPr>
                <w:rFonts w:ascii="新宋体" w:hAnsi="新宋体" w:eastAsia="新宋体" w:cs="新宋体"/>
                <w:sz w:val="22"/>
                <w:szCs w:val="22"/>
              </w:rPr>
              <w:t xml:space="preserve">范围内无声环境保护目标。因此，本次 </w:t>
            </w:r>
            <w:r>
              <w:rPr>
                <w:rFonts w:ascii="新宋体" w:hAnsi="新宋体" w:eastAsia="新宋体" w:cs="新宋体"/>
                <w:spacing w:val="-1"/>
                <w:sz w:val="22"/>
                <w:szCs w:val="22"/>
              </w:rPr>
              <w:t>环评不进行声环境质量现状监测。</w:t>
            </w:r>
          </w:p>
          <w:p w14:paraId="2E03420C">
            <w:pPr>
              <w:spacing w:before="30" w:line="222" w:lineRule="auto"/>
              <w:ind w:left="84"/>
              <w:rPr>
                <w:rFonts w:ascii="黑体" w:hAnsi="黑体" w:eastAsia="黑体" w:cs="黑体"/>
                <w:sz w:val="22"/>
                <w:szCs w:val="22"/>
              </w:rPr>
            </w:pPr>
            <w:r>
              <w:rPr>
                <w:rFonts w:ascii="黑体" w:hAnsi="黑体" w:eastAsia="黑体" w:cs="黑体"/>
                <w:spacing w:val="-1"/>
                <w:sz w:val="22"/>
                <w:szCs w:val="22"/>
              </w:rPr>
              <w:t>4、生态环境质量现状及评价</w:t>
            </w:r>
          </w:p>
          <w:p w14:paraId="2103BA20">
            <w:pPr>
              <w:pStyle w:val="6"/>
              <w:spacing w:before="138" w:line="316" w:lineRule="auto"/>
              <w:ind w:left="89" w:right="84" w:firstLine="443"/>
              <w:jc w:val="both"/>
            </w:pPr>
            <w:r>
              <w:rPr>
                <w:spacing w:val="-2"/>
              </w:rPr>
              <w:t>本项目所在区域位于规划的工业园区内，占地属于工业用地，周边主要为工业</w:t>
            </w:r>
            <w:r>
              <w:rPr>
                <w:spacing w:val="17"/>
              </w:rPr>
              <w:t xml:space="preserve"> </w:t>
            </w:r>
            <w:r>
              <w:rPr>
                <w:spacing w:val="-1"/>
              </w:rPr>
              <w:t>企业。受人类活动的影响，区域主要以人工绿化为主，无</w:t>
            </w:r>
            <w:r>
              <w:rPr>
                <w:spacing w:val="-2"/>
              </w:rPr>
              <w:t>各类保护植被。根据现场</w:t>
            </w:r>
            <w:r>
              <w:t xml:space="preserve"> </w:t>
            </w:r>
            <w:r>
              <w:rPr>
                <w:spacing w:val="-1"/>
              </w:rPr>
              <w:t>调查，项目区域内不涉及自然保护区、森林公园及风景名</w:t>
            </w:r>
            <w:r>
              <w:rPr>
                <w:spacing w:val="-2"/>
              </w:rPr>
              <w:t>胜区、生活饮用水水源保</w:t>
            </w:r>
            <w:r>
              <w:t xml:space="preserve"> </w:t>
            </w:r>
            <w:r>
              <w:rPr>
                <w:spacing w:val="-1"/>
              </w:rPr>
              <w:t>护区及其他需要特别保护区域，区域内无国家保护的重点</w:t>
            </w:r>
            <w:r>
              <w:rPr>
                <w:spacing w:val="-2"/>
              </w:rPr>
              <w:t>野生动植物，无名木古树</w:t>
            </w:r>
            <w:r>
              <w:t xml:space="preserve"> </w:t>
            </w:r>
            <w:r>
              <w:rPr>
                <w:spacing w:val="-1"/>
              </w:rPr>
              <w:t>及珍稀动植物等，无特殊文物保护单位等环境敏感目标。</w:t>
            </w:r>
            <w:r>
              <w:rPr>
                <w:spacing w:val="-2"/>
              </w:rPr>
              <w:t>总体来看，项目区域生态</w:t>
            </w:r>
            <w:r>
              <w:t xml:space="preserve"> </w:t>
            </w:r>
            <w:r>
              <w:rPr>
                <w:spacing w:val="-2"/>
              </w:rPr>
              <w:t>环境质量一般。</w:t>
            </w:r>
          </w:p>
        </w:tc>
      </w:tr>
      <w:tr w14:paraId="6DA3F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4" w:hRule="atLeast"/>
        </w:trPr>
        <w:tc>
          <w:tcPr>
            <w:tcW w:w="808" w:type="dxa"/>
            <w:tcBorders>
              <w:left w:val="single" w:color="000000" w:sz="6" w:space="0"/>
            </w:tcBorders>
            <w:vAlign w:val="top"/>
          </w:tcPr>
          <w:p w14:paraId="54CE2E44">
            <w:pPr>
              <w:spacing w:line="249" w:lineRule="auto"/>
              <w:rPr>
                <w:rFonts w:ascii="Arial"/>
                <w:sz w:val="21"/>
              </w:rPr>
            </w:pPr>
          </w:p>
          <w:p w14:paraId="39CE2BE6">
            <w:pPr>
              <w:spacing w:line="250" w:lineRule="auto"/>
              <w:rPr>
                <w:rFonts w:ascii="Arial"/>
                <w:sz w:val="21"/>
              </w:rPr>
            </w:pPr>
          </w:p>
          <w:p w14:paraId="5E097643">
            <w:pPr>
              <w:spacing w:line="250" w:lineRule="auto"/>
              <w:rPr>
                <w:rFonts w:ascii="Arial"/>
                <w:sz w:val="21"/>
              </w:rPr>
            </w:pPr>
          </w:p>
          <w:p w14:paraId="4D95531E">
            <w:pPr>
              <w:spacing w:line="250" w:lineRule="auto"/>
              <w:rPr>
                <w:rFonts w:ascii="Arial"/>
                <w:sz w:val="21"/>
              </w:rPr>
            </w:pPr>
          </w:p>
          <w:p w14:paraId="33A2170A">
            <w:pPr>
              <w:spacing w:line="250" w:lineRule="auto"/>
              <w:rPr>
                <w:rFonts w:ascii="Arial"/>
                <w:sz w:val="21"/>
              </w:rPr>
            </w:pPr>
          </w:p>
          <w:p w14:paraId="56D9F7F9">
            <w:pPr>
              <w:spacing w:line="250" w:lineRule="auto"/>
              <w:rPr>
                <w:rFonts w:ascii="Arial"/>
                <w:sz w:val="21"/>
              </w:rPr>
            </w:pPr>
          </w:p>
          <w:p w14:paraId="4780F773">
            <w:pPr>
              <w:spacing w:line="250" w:lineRule="auto"/>
              <w:rPr>
                <w:rFonts w:ascii="Arial"/>
                <w:sz w:val="21"/>
              </w:rPr>
            </w:pPr>
          </w:p>
          <w:p w14:paraId="533929D8">
            <w:pPr>
              <w:spacing w:line="250" w:lineRule="auto"/>
              <w:rPr>
                <w:rFonts w:ascii="Arial"/>
                <w:sz w:val="21"/>
              </w:rPr>
            </w:pPr>
          </w:p>
          <w:p w14:paraId="032A38C7">
            <w:pPr>
              <w:spacing w:line="250" w:lineRule="auto"/>
              <w:rPr>
                <w:rFonts w:ascii="Arial"/>
                <w:sz w:val="21"/>
              </w:rPr>
            </w:pPr>
          </w:p>
          <w:p w14:paraId="53108F2F">
            <w:pPr>
              <w:spacing w:line="250" w:lineRule="auto"/>
              <w:rPr>
                <w:rFonts w:ascii="Arial"/>
                <w:sz w:val="21"/>
              </w:rPr>
            </w:pPr>
          </w:p>
          <w:p w14:paraId="60950C17">
            <w:pPr>
              <w:spacing w:line="250" w:lineRule="auto"/>
              <w:rPr>
                <w:rFonts w:ascii="Arial"/>
                <w:sz w:val="21"/>
              </w:rPr>
            </w:pPr>
          </w:p>
          <w:p w14:paraId="2ADDC711">
            <w:pPr>
              <w:spacing w:line="250" w:lineRule="auto"/>
              <w:rPr>
                <w:rFonts w:ascii="Arial"/>
                <w:sz w:val="21"/>
              </w:rPr>
            </w:pPr>
          </w:p>
          <w:p w14:paraId="580184D9">
            <w:pPr>
              <w:spacing w:line="250" w:lineRule="auto"/>
              <w:rPr>
                <w:rFonts w:ascii="Arial"/>
                <w:sz w:val="21"/>
              </w:rPr>
            </w:pPr>
          </w:p>
          <w:p w14:paraId="5D00577A">
            <w:pPr>
              <w:spacing w:line="250" w:lineRule="auto"/>
              <w:rPr>
                <w:rFonts w:ascii="Arial"/>
                <w:sz w:val="21"/>
              </w:rPr>
            </w:pPr>
          </w:p>
          <w:p w14:paraId="205EFFFB">
            <w:pPr>
              <w:pStyle w:val="6"/>
              <w:spacing w:before="71" w:line="233" w:lineRule="auto"/>
              <w:ind w:left="182" w:right="182"/>
              <w:jc w:val="both"/>
            </w:pPr>
            <w:r>
              <w:rPr>
                <w:spacing w:val="-4"/>
              </w:rPr>
              <w:t>环境</w:t>
            </w:r>
            <w:r>
              <w:t xml:space="preserve"> </w:t>
            </w:r>
            <w:r>
              <w:rPr>
                <w:spacing w:val="-4"/>
              </w:rPr>
              <w:t>保护</w:t>
            </w:r>
            <w:r>
              <w:t xml:space="preserve"> </w:t>
            </w:r>
            <w:r>
              <w:rPr>
                <w:spacing w:val="-4"/>
              </w:rPr>
              <w:t>目标</w:t>
            </w:r>
          </w:p>
        </w:tc>
        <w:tc>
          <w:tcPr>
            <w:tcW w:w="8058" w:type="dxa"/>
            <w:tcBorders>
              <w:right w:val="single" w:color="000000" w:sz="6" w:space="0"/>
            </w:tcBorders>
            <w:vAlign w:val="top"/>
          </w:tcPr>
          <w:p w14:paraId="18BA2FDA">
            <w:pPr>
              <w:spacing w:before="133" w:line="222" w:lineRule="auto"/>
              <w:ind w:left="101"/>
              <w:rPr>
                <w:rFonts w:ascii="黑体" w:hAnsi="黑体" w:eastAsia="黑体" w:cs="黑体"/>
                <w:sz w:val="22"/>
                <w:szCs w:val="22"/>
              </w:rPr>
            </w:pPr>
            <w:r>
              <w:rPr>
                <w:rFonts w:ascii="黑体" w:hAnsi="黑体" w:eastAsia="黑体" w:cs="黑体"/>
                <w:spacing w:val="-3"/>
                <w:sz w:val="22"/>
                <w:szCs w:val="22"/>
              </w:rPr>
              <w:t>1、大气环境</w:t>
            </w:r>
          </w:p>
          <w:p w14:paraId="7DAD6CA4">
            <w:pPr>
              <w:pStyle w:val="6"/>
              <w:spacing w:before="135" w:line="323" w:lineRule="auto"/>
              <w:ind w:left="106" w:right="84" w:firstLine="403"/>
              <w:rPr>
                <w:sz w:val="20"/>
                <w:szCs w:val="20"/>
              </w:rPr>
            </w:pPr>
            <w:r>
              <w:rPr>
                <w:spacing w:val="8"/>
                <w:sz w:val="20"/>
                <w:szCs w:val="20"/>
              </w:rPr>
              <w:t>根据调查，项目厂界外</w:t>
            </w:r>
            <w:r>
              <w:rPr>
                <w:rFonts w:ascii="Times New Roman" w:hAnsi="Times New Roman" w:eastAsia="Times New Roman" w:cs="Times New Roman"/>
                <w:spacing w:val="8"/>
                <w:sz w:val="20"/>
                <w:szCs w:val="20"/>
              </w:rPr>
              <w:t>500m</w:t>
            </w:r>
            <w:r>
              <w:rPr>
                <w:spacing w:val="8"/>
                <w:sz w:val="20"/>
                <w:szCs w:val="20"/>
              </w:rPr>
              <w:t>范围有散居住户以及东岳场镇部分居民，</w:t>
            </w:r>
            <w:r>
              <w:rPr>
                <w:spacing w:val="8"/>
              </w:rPr>
              <w:t>无自然保护</w:t>
            </w:r>
            <w:r>
              <w:rPr>
                <w:spacing w:val="1"/>
              </w:rPr>
              <w:t xml:space="preserve"> </w:t>
            </w:r>
            <w:r>
              <w:rPr>
                <w:spacing w:val="5"/>
              </w:rPr>
              <w:t>区、风景名胜区、文化区</w:t>
            </w:r>
            <w:r>
              <w:rPr>
                <w:spacing w:val="5"/>
                <w:sz w:val="20"/>
                <w:szCs w:val="20"/>
              </w:rPr>
              <w:t>。因此，本项目的大气环境保护目标如下：</w:t>
            </w:r>
          </w:p>
          <w:p w14:paraId="316C6F91">
            <w:pPr>
              <w:spacing w:before="64" w:line="222" w:lineRule="auto"/>
              <w:ind w:left="294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3-4      </w:t>
            </w:r>
            <w:r>
              <w:rPr>
                <w:rFonts w:ascii="黑体" w:hAnsi="黑体" w:eastAsia="黑体" w:cs="黑体"/>
                <w:spacing w:val="-1"/>
                <w:sz w:val="18"/>
                <w:szCs w:val="18"/>
              </w:rPr>
              <w:t>大气环境保护目标</w:t>
            </w:r>
          </w:p>
          <w:p w14:paraId="3AB57ED5">
            <w:pPr>
              <w:spacing w:line="18" w:lineRule="exact"/>
            </w:pPr>
          </w:p>
          <w:tbl>
            <w:tblPr>
              <w:tblStyle w:val="5"/>
              <w:tblW w:w="7880"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959"/>
              <w:gridCol w:w="950"/>
              <w:gridCol w:w="1608"/>
              <w:gridCol w:w="643"/>
              <w:gridCol w:w="1238"/>
              <w:gridCol w:w="1937"/>
            </w:tblGrid>
            <w:tr w14:paraId="7229B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45" w:type="dxa"/>
                  <w:vAlign w:val="top"/>
                </w:tcPr>
                <w:p w14:paraId="0BA4DD29">
                  <w:pPr>
                    <w:pStyle w:val="6"/>
                    <w:spacing w:before="75" w:line="208" w:lineRule="auto"/>
                    <w:ind w:left="101"/>
                    <w:rPr>
                      <w:sz w:val="18"/>
                      <w:szCs w:val="18"/>
                    </w:rPr>
                  </w:pPr>
                  <w:r>
                    <w:rPr>
                      <w:b/>
                      <w:bCs/>
                      <w:spacing w:val="-6"/>
                      <w:sz w:val="18"/>
                      <w:szCs w:val="18"/>
                    </w:rPr>
                    <w:t>序号</w:t>
                  </w:r>
                </w:p>
              </w:tc>
              <w:tc>
                <w:tcPr>
                  <w:tcW w:w="959" w:type="dxa"/>
                  <w:vAlign w:val="top"/>
                </w:tcPr>
                <w:p w14:paraId="0E52D6A0">
                  <w:pPr>
                    <w:pStyle w:val="6"/>
                    <w:spacing w:before="75" w:line="208" w:lineRule="auto"/>
                    <w:ind w:left="121"/>
                    <w:rPr>
                      <w:sz w:val="18"/>
                      <w:szCs w:val="18"/>
                    </w:rPr>
                  </w:pPr>
                  <w:r>
                    <w:rPr>
                      <w:b/>
                      <w:bCs/>
                      <w:spacing w:val="-4"/>
                      <w:sz w:val="18"/>
                      <w:szCs w:val="18"/>
                    </w:rPr>
                    <w:t>环境要素</w:t>
                  </w:r>
                </w:p>
              </w:tc>
              <w:tc>
                <w:tcPr>
                  <w:tcW w:w="950" w:type="dxa"/>
                  <w:vAlign w:val="top"/>
                </w:tcPr>
                <w:p w14:paraId="6373862E">
                  <w:pPr>
                    <w:pStyle w:val="6"/>
                    <w:spacing w:before="75" w:line="208" w:lineRule="auto"/>
                    <w:ind w:left="118"/>
                    <w:rPr>
                      <w:sz w:val="18"/>
                      <w:szCs w:val="18"/>
                    </w:rPr>
                  </w:pPr>
                  <w:r>
                    <w:rPr>
                      <w:b/>
                      <w:bCs/>
                      <w:spacing w:val="-4"/>
                      <w:sz w:val="18"/>
                      <w:szCs w:val="18"/>
                    </w:rPr>
                    <w:t>保护目标</w:t>
                  </w:r>
                </w:p>
              </w:tc>
              <w:tc>
                <w:tcPr>
                  <w:tcW w:w="1608" w:type="dxa"/>
                  <w:vAlign w:val="top"/>
                </w:tcPr>
                <w:p w14:paraId="0D588D7E">
                  <w:pPr>
                    <w:pStyle w:val="6"/>
                    <w:spacing w:before="75" w:line="208" w:lineRule="auto"/>
                    <w:ind w:left="358"/>
                    <w:rPr>
                      <w:sz w:val="18"/>
                      <w:szCs w:val="18"/>
                    </w:rPr>
                  </w:pPr>
                  <w:r>
                    <w:rPr>
                      <w:b/>
                      <w:bCs/>
                      <w:spacing w:val="-3"/>
                      <w:sz w:val="18"/>
                      <w:szCs w:val="18"/>
                    </w:rPr>
                    <w:t>方位及距离</w:t>
                  </w:r>
                </w:p>
              </w:tc>
              <w:tc>
                <w:tcPr>
                  <w:tcW w:w="643" w:type="dxa"/>
                  <w:vAlign w:val="top"/>
                </w:tcPr>
                <w:p w14:paraId="0DF9AAE0">
                  <w:pPr>
                    <w:pStyle w:val="6"/>
                    <w:spacing w:before="75" w:line="208" w:lineRule="auto"/>
                    <w:ind w:left="146"/>
                    <w:rPr>
                      <w:sz w:val="18"/>
                      <w:szCs w:val="18"/>
                    </w:rPr>
                  </w:pPr>
                  <w:r>
                    <w:rPr>
                      <w:b/>
                      <w:bCs/>
                      <w:spacing w:val="-6"/>
                      <w:sz w:val="18"/>
                      <w:szCs w:val="18"/>
                    </w:rPr>
                    <w:t>类别</w:t>
                  </w:r>
                </w:p>
              </w:tc>
              <w:tc>
                <w:tcPr>
                  <w:tcW w:w="1238" w:type="dxa"/>
                  <w:vAlign w:val="top"/>
                </w:tcPr>
                <w:p w14:paraId="0E6E58F1">
                  <w:pPr>
                    <w:pStyle w:val="6"/>
                    <w:spacing w:before="75" w:line="208" w:lineRule="auto"/>
                    <w:ind w:left="445"/>
                    <w:rPr>
                      <w:sz w:val="18"/>
                      <w:szCs w:val="18"/>
                    </w:rPr>
                  </w:pPr>
                  <w:r>
                    <w:rPr>
                      <w:b/>
                      <w:bCs/>
                      <w:spacing w:val="-6"/>
                      <w:sz w:val="18"/>
                      <w:szCs w:val="18"/>
                    </w:rPr>
                    <w:t>规模</w:t>
                  </w:r>
                </w:p>
              </w:tc>
              <w:tc>
                <w:tcPr>
                  <w:tcW w:w="1937" w:type="dxa"/>
                  <w:vAlign w:val="top"/>
                </w:tcPr>
                <w:p w14:paraId="45377804">
                  <w:pPr>
                    <w:pStyle w:val="6"/>
                    <w:spacing w:before="75" w:line="208" w:lineRule="auto"/>
                    <w:ind w:left="613"/>
                    <w:rPr>
                      <w:sz w:val="18"/>
                      <w:szCs w:val="18"/>
                    </w:rPr>
                  </w:pPr>
                  <w:r>
                    <w:rPr>
                      <w:b/>
                      <w:bCs/>
                      <w:spacing w:val="-4"/>
                      <w:sz w:val="18"/>
                      <w:szCs w:val="18"/>
                    </w:rPr>
                    <w:t>保护级别</w:t>
                  </w:r>
                </w:p>
              </w:tc>
            </w:tr>
            <w:tr w14:paraId="41F41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5" w:type="dxa"/>
                  <w:vAlign w:val="top"/>
                </w:tcPr>
                <w:p w14:paraId="36C32208">
                  <w:pPr>
                    <w:spacing w:before="101"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9" w:type="dxa"/>
                  <w:vMerge w:val="restart"/>
                  <w:tcBorders>
                    <w:bottom w:val="nil"/>
                  </w:tcBorders>
                  <w:vAlign w:val="top"/>
                </w:tcPr>
                <w:p w14:paraId="6912104E">
                  <w:pPr>
                    <w:spacing w:line="302" w:lineRule="auto"/>
                    <w:rPr>
                      <w:rFonts w:ascii="Arial"/>
                      <w:sz w:val="21"/>
                    </w:rPr>
                  </w:pPr>
                </w:p>
                <w:p w14:paraId="00E7B094">
                  <w:pPr>
                    <w:pStyle w:val="6"/>
                    <w:spacing w:before="59" w:line="220" w:lineRule="auto"/>
                    <w:ind w:left="116"/>
                    <w:rPr>
                      <w:sz w:val="18"/>
                      <w:szCs w:val="18"/>
                    </w:rPr>
                  </w:pPr>
                  <w:r>
                    <w:rPr>
                      <w:spacing w:val="-2"/>
                      <w:sz w:val="18"/>
                      <w:szCs w:val="18"/>
                    </w:rPr>
                    <w:t>环境空气</w:t>
                  </w:r>
                </w:p>
              </w:tc>
              <w:tc>
                <w:tcPr>
                  <w:tcW w:w="950" w:type="dxa"/>
                  <w:vAlign w:val="top"/>
                </w:tcPr>
                <w:p w14:paraId="0CBCEA17">
                  <w:pPr>
                    <w:pStyle w:val="6"/>
                    <w:spacing w:before="72" w:line="207" w:lineRule="auto"/>
                    <w:ind w:left="126"/>
                    <w:rPr>
                      <w:sz w:val="18"/>
                      <w:szCs w:val="18"/>
                    </w:rPr>
                  </w:pPr>
                  <w:r>
                    <w:rPr>
                      <w:spacing w:val="-4"/>
                      <w:sz w:val="18"/>
                      <w:szCs w:val="18"/>
                    </w:rPr>
                    <w:t>东岳场镇</w:t>
                  </w:r>
                </w:p>
              </w:tc>
              <w:tc>
                <w:tcPr>
                  <w:tcW w:w="1608" w:type="dxa"/>
                  <w:vAlign w:val="top"/>
                </w:tcPr>
                <w:p w14:paraId="68D326E9">
                  <w:pPr>
                    <w:pStyle w:val="6"/>
                    <w:spacing w:before="72" w:line="207" w:lineRule="auto"/>
                    <w:ind w:left="102"/>
                    <w:rPr>
                      <w:rFonts w:ascii="Times New Roman" w:hAnsi="Times New Roman" w:eastAsia="Times New Roman" w:cs="Times New Roman"/>
                      <w:sz w:val="18"/>
                      <w:szCs w:val="18"/>
                    </w:rPr>
                  </w:pPr>
                  <w:r>
                    <w:rPr>
                      <w:spacing w:val="-8"/>
                      <w:sz w:val="18"/>
                      <w:szCs w:val="18"/>
                    </w:rPr>
                    <w:t>东南面、</w:t>
                  </w:r>
                  <w:r>
                    <w:rPr>
                      <w:rFonts w:ascii="Times New Roman" w:hAnsi="Times New Roman" w:eastAsia="Times New Roman" w:cs="Times New Roman"/>
                      <w:spacing w:val="-8"/>
                      <w:sz w:val="18"/>
                      <w:szCs w:val="18"/>
                    </w:rPr>
                    <w:t>115~500m</w:t>
                  </w:r>
                </w:p>
              </w:tc>
              <w:tc>
                <w:tcPr>
                  <w:tcW w:w="643" w:type="dxa"/>
                  <w:vAlign w:val="top"/>
                </w:tcPr>
                <w:p w14:paraId="6689AC12">
                  <w:pPr>
                    <w:pStyle w:val="6"/>
                    <w:spacing w:before="72" w:line="207" w:lineRule="auto"/>
                    <w:ind w:left="148"/>
                    <w:rPr>
                      <w:sz w:val="18"/>
                      <w:szCs w:val="18"/>
                    </w:rPr>
                  </w:pPr>
                  <w:r>
                    <w:rPr>
                      <w:spacing w:val="-5"/>
                      <w:sz w:val="18"/>
                      <w:szCs w:val="18"/>
                    </w:rPr>
                    <w:t>居民</w:t>
                  </w:r>
                </w:p>
              </w:tc>
              <w:tc>
                <w:tcPr>
                  <w:tcW w:w="1238" w:type="dxa"/>
                  <w:vAlign w:val="top"/>
                </w:tcPr>
                <w:p w14:paraId="66E11ADA">
                  <w:pPr>
                    <w:pStyle w:val="6"/>
                    <w:spacing w:before="72" w:line="207" w:lineRule="auto"/>
                    <w:ind w:left="327"/>
                    <w:rPr>
                      <w:sz w:val="18"/>
                      <w:szCs w:val="18"/>
                    </w:rPr>
                  </w:pPr>
                  <w:r>
                    <w:rPr>
                      <w:rFonts w:ascii="Times New Roman" w:hAnsi="Times New Roman" w:eastAsia="Times New Roman" w:cs="Times New Roman"/>
                      <w:spacing w:val="-1"/>
                      <w:sz w:val="18"/>
                      <w:szCs w:val="18"/>
                    </w:rPr>
                    <w:t>4000</w:t>
                  </w:r>
                  <w:r>
                    <w:rPr>
                      <w:rFonts w:ascii="Times New Roman" w:hAnsi="Times New Roman" w:eastAsia="Times New Roman" w:cs="Times New Roman"/>
                      <w:spacing w:val="10"/>
                      <w:sz w:val="18"/>
                      <w:szCs w:val="18"/>
                    </w:rPr>
                    <w:t xml:space="preserve"> </w:t>
                  </w:r>
                  <w:r>
                    <w:rPr>
                      <w:spacing w:val="-1"/>
                      <w:sz w:val="18"/>
                      <w:szCs w:val="18"/>
                    </w:rPr>
                    <w:t>人</w:t>
                  </w:r>
                </w:p>
              </w:tc>
              <w:tc>
                <w:tcPr>
                  <w:tcW w:w="1937" w:type="dxa"/>
                  <w:vMerge w:val="restart"/>
                  <w:tcBorders>
                    <w:bottom w:val="nil"/>
                  </w:tcBorders>
                  <w:vAlign w:val="top"/>
                </w:tcPr>
                <w:p w14:paraId="2B61BF9D">
                  <w:pPr>
                    <w:pStyle w:val="6"/>
                    <w:spacing w:before="81" w:line="276" w:lineRule="auto"/>
                    <w:ind w:left="106" w:right="32" w:firstLine="17"/>
                    <w:rPr>
                      <w:sz w:val="18"/>
                      <w:szCs w:val="18"/>
                    </w:rPr>
                  </w:pPr>
                  <w:r>
                    <w:rPr>
                      <w:spacing w:val="-3"/>
                      <w:sz w:val="18"/>
                      <w:szCs w:val="18"/>
                    </w:rPr>
                    <w:t>《环境空气质量标准》</w:t>
                  </w:r>
                  <w:r>
                    <w:rPr>
                      <w:spacing w:val="4"/>
                      <w:sz w:val="18"/>
                      <w:szCs w:val="18"/>
                    </w:rPr>
                    <w:t xml:space="preserve"> </w:t>
                  </w:r>
                  <w:r>
                    <w:rPr>
                      <w:spacing w:val="-2"/>
                      <w:sz w:val="18"/>
                      <w:szCs w:val="18"/>
                    </w:rPr>
                    <w:t>（</w:t>
                  </w:r>
                  <w:r>
                    <w:rPr>
                      <w:rFonts w:ascii="Times New Roman" w:hAnsi="Times New Roman" w:eastAsia="Times New Roman" w:cs="Times New Roman"/>
                      <w:spacing w:val="-2"/>
                      <w:sz w:val="18"/>
                      <w:szCs w:val="18"/>
                    </w:rPr>
                    <w:t>GB3095-2012</w:t>
                  </w:r>
                  <w:r>
                    <w:rPr>
                      <w:spacing w:val="-2"/>
                      <w:sz w:val="18"/>
                      <w:szCs w:val="18"/>
                    </w:rPr>
                    <w:t>）二级</w:t>
                  </w:r>
                </w:p>
                <w:p w14:paraId="56142982">
                  <w:pPr>
                    <w:pStyle w:val="6"/>
                    <w:spacing w:before="21" w:line="220" w:lineRule="auto"/>
                    <w:ind w:left="793"/>
                    <w:rPr>
                      <w:sz w:val="18"/>
                      <w:szCs w:val="18"/>
                    </w:rPr>
                  </w:pPr>
                  <w:r>
                    <w:rPr>
                      <w:spacing w:val="-4"/>
                      <w:sz w:val="18"/>
                      <w:szCs w:val="18"/>
                    </w:rPr>
                    <w:t>标准</w:t>
                  </w:r>
                </w:p>
              </w:tc>
            </w:tr>
            <w:tr w14:paraId="29792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5" w:type="dxa"/>
                  <w:vAlign w:val="top"/>
                </w:tcPr>
                <w:p w14:paraId="09D20320">
                  <w:pPr>
                    <w:spacing w:before="10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9" w:type="dxa"/>
                  <w:vMerge w:val="continue"/>
                  <w:tcBorders>
                    <w:top w:val="nil"/>
                    <w:bottom w:val="nil"/>
                  </w:tcBorders>
                  <w:vAlign w:val="top"/>
                </w:tcPr>
                <w:p w14:paraId="06581441">
                  <w:pPr>
                    <w:rPr>
                      <w:rFonts w:ascii="Arial"/>
                      <w:sz w:val="21"/>
                    </w:rPr>
                  </w:pPr>
                </w:p>
              </w:tc>
              <w:tc>
                <w:tcPr>
                  <w:tcW w:w="950" w:type="dxa"/>
                  <w:vAlign w:val="top"/>
                </w:tcPr>
                <w:p w14:paraId="0D536043">
                  <w:pPr>
                    <w:pStyle w:val="6"/>
                    <w:spacing w:before="74" w:line="205" w:lineRule="auto"/>
                    <w:ind w:left="119"/>
                    <w:rPr>
                      <w:sz w:val="18"/>
                      <w:szCs w:val="18"/>
                    </w:rPr>
                  </w:pPr>
                  <w:r>
                    <w:rPr>
                      <w:spacing w:val="-2"/>
                      <w:sz w:val="18"/>
                      <w:szCs w:val="18"/>
                    </w:rPr>
                    <w:t>散居住户</w:t>
                  </w:r>
                </w:p>
              </w:tc>
              <w:tc>
                <w:tcPr>
                  <w:tcW w:w="1608" w:type="dxa"/>
                  <w:vAlign w:val="top"/>
                </w:tcPr>
                <w:p w14:paraId="52CD056D">
                  <w:pPr>
                    <w:pStyle w:val="6"/>
                    <w:spacing w:before="74" w:line="205" w:lineRule="auto"/>
                    <w:ind w:left="340"/>
                    <w:rPr>
                      <w:rFonts w:ascii="Times New Roman" w:hAnsi="Times New Roman" w:eastAsia="Times New Roman" w:cs="Times New Roman"/>
                      <w:sz w:val="18"/>
                      <w:szCs w:val="18"/>
                    </w:rPr>
                  </w:pPr>
                  <w:r>
                    <w:rPr>
                      <w:spacing w:val="-3"/>
                      <w:sz w:val="18"/>
                      <w:szCs w:val="18"/>
                    </w:rPr>
                    <w:t>南面、</w:t>
                  </w:r>
                  <w:r>
                    <w:rPr>
                      <w:rFonts w:ascii="Times New Roman" w:hAnsi="Times New Roman" w:eastAsia="Times New Roman" w:cs="Times New Roman"/>
                      <w:spacing w:val="-3"/>
                      <w:sz w:val="18"/>
                      <w:szCs w:val="18"/>
                    </w:rPr>
                    <w:t>110m</w:t>
                  </w:r>
                </w:p>
              </w:tc>
              <w:tc>
                <w:tcPr>
                  <w:tcW w:w="643" w:type="dxa"/>
                  <w:vAlign w:val="top"/>
                </w:tcPr>
                <w:p w14:paraId="5520806B">
                  <w:pPr>
                    <w:pStyle w:val="6"/>
                    <w:spacing w:before="74" w:line="205" w:lineRule="auto"/>
                    <w:ind w:left="148"/>
                    <w:rPr>
                      <w:sz w:val="18"/>
                      <w:szCs w:val="18"/>
                    </w:rPr>
                  </w:pPr>
                  <w:r>
                    <w:rPr>
                      <w:spacing w:val="-5"/>
                      <w:sz w:val="18"/>
                      <w:szCs w:val="18"/>
                    </w:rPr>
                    <w:t>居民</w:t>
                  </w:r>
                </w:p>
              </w:tc>
              <w:tc>
                <w:tcPr>
                  <w:tcW w:w="1238" w:type="dxa"/>
                  <w:vAlign w:val="top"/>
                </w:tcPr>
                <w:p w14:paraId="625AE4EB">
                  <w:pPr>
                    <w:pStyle w:val="6"/>
                    <w:spacing w:before="74" w:line="205" w:lineRule="auto"/>
                    <w:ind w:left="232"/>
                    <w:rPr>
                      <w:sz w:val="18"/>
                      <w:szCs w:val="18"/>
                    </w:rPr>
                  </w:pPr>
                  <w:r>
                    <w:rPr>
                      <w:rFonts w:ascii="Times New Roman" w:hAnsi="Times New Roman" w:eastAsia="Times New Roman" w:cs="Times New Roman"/>
                      <w:spacing w:val="-10"/>
                      <w:sz w:val="18"/>
                      <w:szCs w:val="18"/>
                    </w:rPr>
                    <w:t>1</w:t>
                  </w:r>
                  <w:r>
                    <w:rPr>
                      <w:rFonts w:ascii="Times New Roman" w:hAnsi="Times New Roman" w:eastAsia="Times New Roman" w:cs="Times New Roman"/>
                      <w:spacing w:val="10"/>
                      <w:sz w:val="18"/>
                      <w:szCs w:val="18"/>
                    </w:rPr>
                    <w:t xml:space="preserve"> </w:t>
                  </w:r>
                  <w:r>
                    <w:rPr>
                      <w:spacing w:val="-10"/>
                      <w:sz w:val="18"/>
                      <w:szCs w:val="18"/>
                    </w:rPr>
                    <w:t>户</w:t>
                  </w:r>
                  <w:r>
                    <w:rPr>
                      <w:spacing w:val="-71"/>
                      <w:sz w:val="18"/>
                      <w:szCs w:val="18"/>
                    </w:rPr>
                    <w:t xml:space="preserve"> </w:t>
                  </w:r>
                  <w:r>
                    <w:rPr>
                      <w:spacing w:val="-10"/>
                      <w:sz w:val="18"/>
                      <w:szCs w:val="18"/>
                    </w:rPr>
                    <w:t>、</w:t>
                  </w:r>
                  <w:r>
                    <w:rPr>
                      <w:rFonts w:ascii="Times New Roman" w:hAnsi="Times New Roman" w:eastAsia="Times New Roman" w:cs="Times New Roman"/>
                      <w:spacing w:val="-10"/>
                      <w:sz w:val="18"/>
                      <w:szCs w:val="18"/>
                    </w:rPr>
                    <w:t>3</w:t>
                  </w:r>
                  <w:r>
                    <w:rPr>
                      <w:rFonts w:ascii="Times New Roman" w:hAnsi="Times New Roman" w:eastAsia="Times New Roman" w:cs="Times New Roman"/>
                      <w:spacing w:val="8"/>
                      <w:sz w:val="18"/>
                      <w:szCs w:val="18"/>
                    </w:rPr>
                    <w:t xml:space="preserve"> </w:t>
                  </w:r>
                  <w:r>
                    <w:rPr>
                      <w:spacing w:val="-10"/>
                      <w:sz w:val="18"/>
                      <w:szCs w:val="18"/>
                    </w:rPr>
                    <w:t>人</w:t>
                  </w:r>
                </w:p>
              </w:tc>
              <w:tc>
                <w:tcPr>
                  <w:tcW w:w="1937" w:type="dxa"/>
                  <w:vMerge w:val="continue"/>
                  <w:tcBorders>
                    <w:top w:val="nil"/>
                    <w:bottom w:val="nil"/>
                  </w:tcBorders>
                  <w:vAlign w:val="top"/>
                </w:tcPr>
                <w:p w14:paraId="69AD8B4D">
                  <w:pPr>
                    <w:rPr>
                      <w:rFonts w:ascii="Arial"/>
                      <w:sz w:val="21"/>
                    </w:rPr>
                  </w:pPr>
                </w:p>
              </w:tc>
            </w:tr>
            <w:tr w14:paraId="46D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545" w:type="dxa"/>
                  <w:vAlign w:val="top"/>
                </w:tcPr>
                <w:p w14:paraId="569E2BE0">
                  <w:pPr>
                    <w:spacing w:before="104" w:line="188"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9" w:type="dxa"/>
                  <w:vMerge w:val="continue"/>
                  <w:tcBorders>
                    <w:top w:val="nil"/>
                  </w:tcBorders>
                  <w:vAlign w:val="top"/>
                </w:tcPr>
                <w:p w14:paraId="6B3287E3">
                  <w:pPr>
                    <w:rPr>
                      <w:rFonts w:ascii="Arial"/>
                      <w:sz w:val="21"/>
                    </w:rPr>
                  </w:pPr>
                </w:p>
              </w:tc>
              <w:tc>
                <w:tcPr>
                  <w:tcW w:w="950" w:type="dxa"/>
                  <w:vAlign w:val="top"/>
                </w:tcPr>
                <w:p w14:paraId="44E880E8">
                  <w:pPr>
                    <w:pStyle w:val="6"/>
                    <w:spacing w:before="75" w:line="208" w:lineRule="auto"/>
                    <w:ind w:left="119"/>
                    <w:rPr>
                      <w:sz w:val="18"/>
                      <w:szCs w:val="18"/>
                    </w:rPr>
                  </w:pPr>
                  <w:r>
                    <w:rPr>
                      <w:spacing w:val="-2"/>
                      <w:sz w:val="18"/>
                      <w:szCs w:val="18"/>
                    </w:rPr>
                    <w:t>散居住户</w:t>
                  </w:r>
                </w:p>
              </w:tc>
              <w:tc>
                <w:tcPr>
                  <w:tcW w:w="1608" w:type="dxa"/>
                  <w:vAlign w:val="top"/>
                </w:tcPr>
                <w:p w14:paraId="182AD276">
                  <w:pPr>
                    <w:pStyle w:val="6"/>
                    <w:spacing w:before="75" w:line="208" w:lineRule="auto"/>
                    <w:ind w:left="102"/>
                    <w:rPr>
                      <w:rFonts w:ascii="Times New Roman" w:hAnsi="Times New Roman" w:eastAsia="Times New Roman" w:cs="Times New Roman"/>
                      <w:sz w:val="18"/>
                      <w:szCs w:val="18"/>
                    </w:rPr>
                  </w:pPr>
                  <w:r>
                    <w:rPr>
                      <w:spacing w:val="-7"/>
                      <w:sz w:val="18"/>
                      <w:szCs w:val="18"/>
                    </w:rPr>
                    <w:t>东北面、</w:t>
                  </w:r>
                  <w:r>
                    <w:rPr>
                      <w:rFonts w:ascii="Times New Roman" w:hAnsi="Times New Roman" w:eastAsia="Times New Roman" w:cs="Times New Roman"/>
                      <w:spacing w:val="-7"/>
                      <w:sz w:val="18"/>
                      <w:szCs w:val="18"/>
                    </w:rPr>
                    <w:t>230~340m</w:t>
                  </w:r>
                </w:p>
              </w:tc>
              <w:tc>
                <w:tcPr>
                  <w:tcW w:w="643" w:type="dxa"/>
                  <w:vAlign w:val="top"/>
                </w:tcPr>
                <w:p w14:paraId="06286021">
                  <w:pPr>
                    <w:pStyle w:val="6"/>
                    <w:spacing w:before="75" w:line="208" w:lineRule="auto"/>
                    <w:ind w:left="148"/>
                    <w:rPr>
                      <w:sz w:val="18"/>
                      <w:szCs w:val="18"/>
                    </w:rPr>
                  </w:pPr>
                  <w:r>
                    <w:rPr>
                      <w:spacing w:val="-5"/>
                      <w:sz w:val="18"/>
                      <w:szCs w:val="18"/>
                    </w:rPr>
                    <w:t>居民</w:t>
                  </w:r>
                </w:p>
              </w:tc>
              <w:tc>
                <w:tcPr>
                  <w:tcW w:w="1238" w:type="dxa"/>
                  <w:vAlign w:val="top"/>
                </w:tcPr>
                <w:p w14:paraId="7EBAD442">
                  <w:pPr>
                    <w:pStyle w:val="6"/>
                    <w:spacing w:before="75" w:line="208" w:lineRule="auto"/>
                    <w:ind w:left="179"/>
                    <w:rPr>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7"/>
                      <w:sz w:val="18"/>
                      <w:szCs w:val="18"/>
                    </w:rPr>
                    <w:t xml:space="preserve"> </w:t>
                  </w:r>
                  <w:r>
                    <w:rPr>
                      <w:spacing w:val="-3"/>
                      <w:sz w:val="18"/>
                      <w:szCs w:val="18"/>
                    </w:rPr>
                    <w:t>户、</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7"/>
                      <w:sz w:val="18"/>
                      <w:szCs w:val="18"/>
                    </w:rPr>
                    <w:t xml:space="preserve"> </w:t>
                  </w:r>
                  <w:r>
                    <w:rPr>
                      <w:spacing w:val="-3"/>
                      <w:sz w:val="18"/>
                      <w:szCs w:val="18"/>
                    </w:rPr>
                    <w:t>人</w:t>
                  </w:r>
                </w:p>
              </w:tc>
              <w:tc>
                <w:tcPr>
                  <w:tcW w:w="1937" w:type="dxa"/>
                  <w:vMerge w:val="continue"/>
                  <w:tcBorders>
                    <w:top w:val="nil"/>
                  </w:tcBorders>
                  <w:vAlign w:val="top"/>
                </w:tcPr>
                <w:p w14:paraId="12194710">
                  <w:pPr>
                    <w:rPr>
                      <w:rFonts w:ascii="Arial"/>
                      <w:sz w:val="21"/>
                    </w:rPr>
                  </w:pPr>
                </w:p>
              </w:tc>
            </w:tr>
          </w:tbl>
          <w:p w14:paraId="22E341E1">
            <w:pPr>
              <w:spacing w:before="131" w:line="222" w:lineRule="auto"/>
              <w:ind w:left="88"/>
              <w:rPr>
                <w:rFonts w:ascii="黑体" w:hAnsi="黑体" w:eastAsia="黑体" w:cs="黑体"/>
                <w:sz w:val="22"/>
                <w:szCs w:val="22"/>
              </w:rPr>
            </w:pPr>
            <w:r>
              <w:rPr>
                <w:rFonts w:ascii="黑体" w:hAnsi="黑体" w:eastAsia="黑体" w:cs="黑体"/>
                <w:spacing w:val="-2"/>
                <w:sz w:val="22"/>
                <w:szCs w:val="22"/>
              </w:rPr>
              <w:t>2、声环境</w:t>
            </w:r>
          </w:p>
          <w:p w14:paraId="00869E01">
            <w:pPr>
              <w:pStyle w:val="6"/>
              <w:spacing w:before="135" w:line="220" w:lineRule="auto"/>
              <w:ind w:left="531"/>
            </w:pPr>
            <w:r>
              <w:rPr>
                <w:spacing w:val="-1"/>
              </w:rPr>
              <w:t>根据调查，项目厂界外</w:t>
            </w:r>
            <w:r>
              <w:rPr>
                <w:rFonts w:ascii="Times New Roman" w:hAnsi="Times New Roman" w:eastAsia="Times New Roman" w:cs="Times New Roman"/>
                <w:spacing w:val="-1"/>
              </w:rPr>
              <w:t>50</w:t>
            </w:r>
            <w:r>
              <w:rPr>
                <w:spacing w:val="-1"/>
              </w:rPr>
              <w:t>米范围内无声环境保护目标。</w:t>
            </w:r>
          </w:p>
          <w:p w14:paraId="5A312CB6">
            <w:pPr>
              <w:spacing w:before="139" w:line="222" w:lineRule="auto"/>
              <w:ind w:left="90"/>
              <w:rPr>
                <w:rFonts w:ascii="黑体" w:hAnsi="黑体" w:eastAsia="黑体" w:cs="黑体"/>
                <w:sz w:val="22"/>
                <w:szCs w:val="22"/>
              </w:rPr>
            </w:pPr>
            <w:r>
              <w:rPr>
                <w:rFonts w:ascii="黑体" w:hAnsi="黑体" w:eastAsia="黑体" w:cs="黑体"/>
                <w:spacing w:val="-2"/>
                <w:sz w:val="22"/>
                <w:szCs w:val="22"/>
              </w:rPr>
              <w:t>3、地表水</w:t>
            </w:r>
          </w:p>
          <w:p w14:paraId="2FD3F228">
            <w:pPr>
              <w:pStyle w:val="6"/>
              <w:spacing w:before="134" w:line="327" w:lineRule="auto"/>
              <w:ind w:left="89" w:right="84" w:firstLine="446"/>
              <w:jc w:val="both"/>
            </w:pPr>
            <w:r>
              <w:rPr>
                <w:spacing w:val="-2"/>
              </w:rPr>
              <w:t>与项目有关的地表水体为双龙河，项目评价河段不涉及饮用水源保护区等水环</w:t>
            </w:r>
            <w:r>
              <w:rPr>
                <w:spacing w:val="14"/>
              </w:rPr>
              <w:t xml:space="preserve"> </w:t>
            </w:r>
            <w:r>
              <w:rPr>
                <w:spacing w:val="-1"/>
              </w:rPr>
              <w:t>境敏感区。地表水环境保护目标为双龙河评价河段的水环</w:t>
            </w:r>
            <w:r>
              <w:rPr>
                <w:spacing w:val="-2"/>
              </w:rPr>
              <w:t>境，确保其水质满足《地</w:t>
            </w:r>
            <w:r>
              <w:t xml:space="preserve"> </w:t>
            </w:r>
            <w:r>
              <w:rPr>
                <w:spacing w:val="-9"/>
              </w:rPr>
              <w:t>表水环境质量标准》（</w:t>
            </w:r>
            <w:r>
              <w:rPr>
                <w:rFonts w:ascii="Times New Roman" w:hAnsi="Times New Roman" w:eastAsia="Times New Roman" w:cs="Times New Roman"/>
                <w:spacing w:val="-9"/>
              </w:rPr>
              <w:t>GB3838-2022</w:t>
            </w:r>
            <w:r>
              <w:rPr>
                <w:spacing w:val="-9"/>
              </w:rPr>
              <w:t>）。</w:t>
            </w:r>
          </w:p>
          <w:p w14:paraId="2E65E15C">
            <w:pPr>
              <w:spacing w:before="30" w:line="222" w:lineRule="auto"/>
              <w:ind w:left="84"/>
              <w:rPr>
                <w:rFonts w:ascii="黑体" w:hAnsi="黑体" w:eastAsia="黑体" w:cs="黑体"/>
                <w:sz w:val="22"/>
                <w:szCs w:val="22"/>
              </w:rPr>
            </w:pPr>
            <w:r>
              <w:rPr>
                <w:rFonts w:ascii="黑体" w:hAnsi="黑体" w:eastAsia="黑体" w:cs="黑体"/>
                <w:spacing w:val="-1"/>
                <w:sz w:val="22"/>
                <w:szCs w:val="22"/>
              </w:rPr>
              <w:t>4、地下水环境</w:t>
            </w:r>
          </w:p>
          <w:p w14:paraId="30EB99A4">
            <w:pPr>
              <w:pStyle w:val="6"/>
              <w:spacing w:before="136" w:line="323" w:lineRule="auto"/>
              <w:ind w:left="91" w:right="154" w:firstLine="439"/>
            </w:pPr>
            <w:r>
              <w:t>根据调查，项目厂界外</w:t>
            </w:r>
            <w:r>
              <w:rPr>
                <w:rFonts w:ascii="Times New Roman" w:hAnsi="Times New Roman" w:eastAsia="Times New Roman" w:cs="Times New Roman"/>
              </w:rPr>
              <w:t>500</w:t>
            </w:r>
            <w:r>
              <w:t>米范围内的无地下水集中式</w:t>
            </w:r>
            <w:r>
              <w:rPr>
                <w:spacing w:val="-1"/>
              </w:rPr>
              <w:t>饮用水水源和热水、矿</w:t>
            </w:r>
            <w:r>
              <w:t xml:space="preserve"> </w:t>
            </w:r>
            <w:r>
              <w:rPr>
                <w:spacing w:val="-1"/>
              </w:rPr>
              <w:t>泉水、温泉等特殊地下水资源。</w:t>
            </w:r>
          </w:p>
          <w:p w14:paraId="17E7300A">
            <w:pPr>
              <w:spacing w:before="30" w:line="222" w:lineRule="auto"/>
              <w:ind w:left="85"/>
              <w:rPr>
                <w:rFonts w:ascii="黑体" w:hAnsi="黑体" w:eastAsia="黑体" w:cs="黑体"/>
                <w:sz w:val="22"/>
                <w:szCs w:val="22"/>
              </w:rPr>
            </w:pPr>
            <w:r>
              <w:rPr>
                <w:rFonts w:ascii="黑体" w:hAnsi="黑体" w:eastAsia="黑体" w:cs="黑体"/>
                <w:spacing w:val="-1"/>
                <w:sz w:val="22"/>
                <w:szCs w:val="22"/>
              </w:rPr>
              <w:t>5、生态环境</w:t>
            </w:r>
          </w:p>
          <w:p w14:paraId="0DC08488">
            <w:pPr>
              <w:pStyle w:val="6"/>
              <w:spacing w:before="135" w:line="297" w:lineRule="auto"/>
              <w:ind w:left="90" w:right="84" w:firstLine="441"/>
            </w:pPr>
            <w:r>
              <w:rPr>
                <w:spacing w:val="-2"/>
              </w:rPr>
              <w:t>根据现场调查，项目区域内不涉及自然保护区、森林公园及风景名胜区、生活</w:t>
            </w:r>
            <w:r>
              <w:rPr>
                <w:spacing w:val="18"/>
              </w:rPr>
              <w:t xml:space="preserve"> </w:t>
            </w:r>
            <w:r>
              <w:t>饮用水水源保护区及其他需要特别保护区域，区域内无国家保</w:t>
            </w:r>
            <w:r>
              <w:rPr>
                <w:spacing w:val="-1"/>
              </w:rPr>
              <w:t>护的重点野生动植</w:t>
            </w:r>
            <w:r>
              <w:t xml:space="preserve">  </w:t>
            </w:r>
            <w:r>
              <w:rPr>
                <w:spacing w:val="-1"/>
              </w:rPr>
              <w:t>物，无名木古树及珍稀动植物等，无特殊文物保护单位。</w:t>
            </w:r>
          </w:p>
        </w:tc>
      </w:tr>
    </w:tbl>
    <w:p w14:paraId="47473425">
      <w:pPr>
        <w:pStyle w:val="2"/>
      </w:pPr>
    </w:p>
    <w:p w14:paraId="697EB60C">
      <w:pPr>
        <w:sectPr>
          <w:footerReference r:id="rId57" w:type="default"/>
          <w:pgSz w:w="11907" w:h="16840"/>
          <w:pgMar w:top="1431" w:right="1513" w:bottom="1260" w:left="1512" w:header="0" w:footer="1080" w:gutter="0"/>
          <w:cols w:space="720" w:num="1"/>
        </w:sectPr>
      </w:pPr>
    </w:p>
    <w:p w14:paraId="19A558AF">
      <w:pPr>
        <w:spacing w:before="28"/>
      </w:pPr>
      <w:r>
        <w:pict>
          <v:shape id="_x0000_s1118" o:spid="_x0000_s1118" style="position:absolute;left:0pt;margin-left:515.55pt;margin-top:445.5pt;height:123.05pt;width:0.5pt;mso-position-horizontal-relative:page;mso-position-vertical-relative:page;z-index:251850752;mso-width-relative:page;mso-height-relative:page;" filled="f" stroked="t" coordsize="10,2461" o:allowincell="f" path="m4,0l4,2460e">
            <v:fill on="f" focussize="0,0"/>
            <v:stroke weight="0.48pt" color="#000000" miterlimit="2" joinstyle="bevel"/>
            <v:imagedata o:title=""/>
            <o:lock v:ext="edit"/>
          </v:shape>
        </w:pict>
      </w:r>
      <w:r>
        <w:pict>
          <v:shape id="_x0000_s1119" o:spid="_x0000_s1119" style="position:absolute;left:0pt;margin-left:514.5pt;margin-top:386pt;height:39pt;width:0.5pt;mso-position-horizontal-relative:page;mso-position-vertical-relative:page;z-index:251851776;mso-width-relative:page;mso-height-relative:page;" filled="f" stroked="t" coordsize="10,780" o:allowincell="f" path="m4,0l4,780e">
            <v:fill on="f" focussize="0,0"/>
            <v:stroke weight="0.48pt" color="#000000" miterlimit="2" joinstyle="bevel"/>
            <v:imagedata o:title=""/>
            <o:lock v:ext="edit"/>
          </v:shape>
        </w:pict>
      </w:r>
      <w:r>
        <w:pict>
          <v:shape id="_x0000_s1120" o:spid="_x0000_s1120" style="position:absolute;left:0pt;margin-left:120.3pt;margin-top:385.55pt;height:39.5pt;width:0.5pt;mso-position-horizontal-relative:page;mso-position-vertical-relative:page;z-index:251849728;mso-width-relative:page;mso-height-relative:page;" filled="f" stroked="t" coordsize="10,790" o:allowincell="f" path="m4,0l4,789e">
            <v:fill on="f" focussize="0,0"/>
            <v:stroke weight="0.48pt" color="#000000" miterlimit="2" joinstyle="bevel"/>
            <v:imagedata o:title=""/>
            <o:lock v:ext="edit"/>
          </v:shape>
        </w:pict>
      </w:r>
      <w:r>
        <w:pict>
          <v:shape id="_x0000_s1121" o:spid="_x0000_s1121" style="position:absolute;left:0pt;margin-left:123.45pt;margin-top:145.55pt;height:44pt;width:0.5pt;mso-position-horizontal-relative:page;mso-position-vertical-relative:page;z-index:251848704;mso-width-relative:page;mso-height-relative:page;" filled="f" stroked="t" coordsize="10,880" o:allowincell="f" path="m4,0l4,879e">
            <v:fill on="f" focussize="0,0"/>
            <v:stroke weight="0.48pt" color="#000000" miterlimit="2" joinstyle="bevel"/>
            <v:imagedata o:title=""/>
            <o:lock v:ext="edit"/>
          </v:shape>
        </w:pict>
      </w: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768"/>
        <w:gridCol w:w="749"/>
        <w:gridCol w:w="103"/>
        <w:gridCol w:w="616"/>
        <w:gridCol w:w="56"/>
        <w:gridCol w:w="822"/>
        <w:gridCol w:w="902"/>
        <w:gridCol w:w="499"/>
        <w:gridCol w:w="454"/>
        <w:gridCol w:w="164"/>
        <w:gridCol w:w="438"/>
        <w:gridCol w:w="209"/>
        <w:gridCol w:w="645"/>
        <w:gridCol w:w="241"/>
        <w:gridCol w:w="450"/>
        <w:gridCol w:w="814"/>
        <w:gridCol w:w="124"/>
      </w:tblGrid>
      <w:tr w14:paraId="70B0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12" w:type="dxa"/>
            <w:vMerge w:val="restart"/>
            <w:tcBorders>
              <w:left w:val="single" w:color="000000" w:sz="6" w:space="0"/>
              <w:bottom w:val="nil"/>
            </w:tcBorders>
            <w:vAlign w:val="top"/>
          </w:tcPr>
          <w:p w14:paraId="253DAC6E">
            <w:pPr>
              <w:spacing w:line="241" w:lineRule="auto"/>
              <w:rPr>
                <w:rFonts w:ascii="Arial"/>
                <w:sz w:val="21"/>
              </w:rPr>
            </w:pPr>
          </w:p>
          <w:p w14:paraId="7FFFF1C6">
            <w:pPr>
              <w:spacing w:line="241" w:lineRule="auto"/>
              <w:rPr>
                <w:rFonts w:ascii="Arial"/>
                <w:sz w:val="21"/>
              </w:rPr>
            </w:pPr>
          </w:p>
          <w:p w14:paraId="693F743A">
            <w:pPr>
              <w:spacing w:line="241" w:lineRule="auto"/>
              <w:rPr>
                <w:rFonts w:ascii="Arial"/>
                <w:sz w:val="21"/>
              </w:rPr>
            </w:pPr>
          </w:p>
          <w:p w14:paraId="73C7C76B">
            <w:pPr>
              <w:spacing w:line="241" w:lineRule="auto"/>
              <w:rPr>
                <w:rFonts w:ascii="Arial"/>
                <w:sz w:val="21"/>
              </w:rPr>
            </w:pPr>
          </w:p>
          <w:p w14:paraId="1DC91C49">
            <w:pPr>
              <w:spacing w:line="241" w:lineRule="auto"/>
              <w:rPr>
                <w:rFonts w:ascii="Arial"/>
                <w:sz w:val="21"/>
              </w:rPr>
            </w:pPr>
          </w:p>
          <w:p w14:paraId="74108C67">
            <w:pPr>
              <w:spacing w:line="241" w:lineRule="auto"/>
              <w:rPr>
                <w:rFonts w:ascii="Arial"/>
                <w:sz w:val="21"/>
              </w:rPr>
            </w:pPr>
          </w:p>
          <w:p w14:paraId="3A8E2325">
            <w:pPr>
              <w:spacing w:line="241" w:lineRule="auto"/>
              <w:rPr>
                <w:rFonts w:ascii="Arial"/>
                <w:sz w:val="21"/>
              </w:rPr>
            </w:pPr>
          </w:p>
          <w:p w14:paraId="43801B29">
            <w:pPr>
              <w:spacing w:line="241" w:lineRule="auto"/>
              <w:rPr>
                <w:rFonts w:ascii="Arial"/>
                <w:sz w:val="21"/>
              </w:rPr>
            </w:pPr>
          </w:p>
          <w:p w14:paraId="69B36FBC">
            <w:pPr>
              <w:spacing w:line="241" w:lineRule="auto"/>
              <w:rPr>
                <w:rFonts w:ascii="Arial"/>
                <w:sz w:val="21"/>
              </w:rPr>
            </w:pPr>
          </w:p>
          <w:p w14:paraId="1FD2081C">
            <w:pPr>
              <w:spacing w:line="241" w:lineRule="auto"/>
              <w:rPr>
                <w:rFonts w:ascii="Arial"/>
                <w:sz w:val="21"/>
              </w:rPr>
            </w:pPr>
          </w:p>
          <w:p w14:paraId="63DD982C">
            <w:pPr>
              <w:spacing w:line="241" w:lineRule="auto"/>
              <w:rPr>
                <w:rFonts w:ascii="Arial"/>
                <w:sz w:val="21"/>
              </w:rPr>
            </w:pPr>
          </w:p>
          <w:p w14:paraId="6E99098A">
            <w:pPr>
              <w:spacing w:line="241" w:lineRule="auto"/>
              <w:rPr>
                <w:rFonts w:ascii="Arial"/>
                <w:sz w:val="21"/>
              </w:rPr>
            </w:pPr>
          </w:p>
          <w:p w14:paraId="34F38BC9">
            <w:pPr>
              <w:spacing w:line="241" w:lineRule="auto"/>
              <w:rPr>
                <w:rFonts w:ascii="Arial"/>
                <w:sz w:val="21"/>
              </w:rPr>
            </w:pPr>
          </w:p>
          <w:p w14:paraId="45CC8F85">
            <w:pPr>
              <w:spacing w:line="241" w:lineRule="auto"/>
              <w:rPr>
                <w:rFonts w:ascii="Arial"/>
                <w:sz w:val="21"/>
              </w:rPr>
            </w:pPr>
          </w:p>
          <w:p w14:paraId="0E8F0F0B">
            <w:pPr>
              <w:spacing w:line="241" w:lineRule="auto"/>
              <w:rPr>
                <w:rFonts w:ascii="Arial"/>
                <w:sz w:val="21"/>
              </w:rPr>
            </w:pPr>
          </w:p>
          <w:p w14:paraId="73F7E9CD">
            <w:pPr>
              <w:spacing w:line="241" w:lineRule="auto"/>
              <w:rPr>
                <w:rFonts w:ascii="Arial"/>
                <w:sz w:val="21"/>
              </w:rPr>
            </w:pPr>
          </w:p>
          <w:p w14:paraId="02FCF165">
            <w:pPr>
              <w:spacing w:line="241" w:lineRule="auto"/>
              <w:rPr>
                <w:rFonts w:ascii="Arial"/>
                <w:sz w:val="21"/>
              </w:rPr>
            </w:pPr>
          </w:p>
          <w:p w14:paraId="7BBC9D27">
            <w:pPr>
              <w:spacing w:line="241" w:lineRule="auto"/>
              <w:rPr>
                <w:rFonts w:ascii="Arial"/>
                <w:sz w:val="21"/>
              </w:rPr>
            </w:pPr>
          </w:p>
          <w:p w14:paraId="2669BD8E">
            <w:pPr>
              <w:spacing w:line="242" w:lineRule="auto"/>
              <w:rPr>
                <w:rFonts w:ascii="Arial"/>
                <w:sz w:val="21"/>
              </w:rPr>
            </w:pPr>
          </w:p>
          <w:p w14:paraId="3A6FEFA2">
            <w:pPr>
              <w:spacing w:line="242" w:lineRule="auto"/>
              <w:rPr>
                <w:rFonts w:ascii="Arial"/>
                <w:sz w:val="21"/>
              </w:rPr>
            </w:pPr>
          </w:p>
          <w:p w14:paraId="4CD2D103">
            <w:pPr>
              <w:spacing w:line="242" w:lineRule="auto"/>
              <w:rPr>
                <w:rFonts w:ascii="Arial"/>
                <w:sz w:val="21"/>
              </w:rPr>
            </w:pPr>
          </w:p>
          <w:p w14:paraId="6093D990">
            <w:pPr>
              <w:spacing w:line="242" w:lineRule="auto"/>
              <w:rPr>
                <w:rFonts w:ascii="Arial"/>
                <w:sz w:val="21"/>
              </w:rPr>
            </w:pPr>
          </w:p>
          <w:p w14:paraId="701B16D0">
            <w:pPr>
              <w:spacing w:line="242" w:lineRule="auto"/>
              <w:rPr>
                <w:rFonts w:ascii="Arial"/>
                <w:sz w:val="21"/>
              </w:rPr>
            </w:pPr>
          </w:p>
          <w:p w14:paraId="372DAE2A">
            <w:pPr>
              <w:spacing w:line="242" w:lineRule="auto"/>
              <w:rPr>
                <w:rFonts w:ascii="Arial"/>
                <w:sz w:val="21"/>
              </w:rPr>
            </w:pPr>
          </w:p>
          <w:p w14:paraId="5ECD0190">
            <w:pPr>
              <w:pStyle w:val="6"/>
              <w:spacing w:before="72" w:line="221" w:lineRule="auto"/>
              <w:ind w:left="184"/>
            </w:pPr>
            <w:r>
              <w:rPr>
                <w:spacing w:val="-5"/>
              </w:rPr>
              <w:t>污染</w:t>
            </w:r>
          </w:p>
          <w:p w14:paraId="7F2B4F3D">
            <w:pPr>
              <w:pStyle w:val="6"/>
              <w:spacing w:before="21" w:line="222" w:lineRule="auto"/>
              <w:ind w:left="182"/>
            </w:pPr>
            <w:r>
              <w:rPr>
                <w:spacing w:val="-4"/>
              </w:rPr>
              <w:t>物排</w:t>
            </w:r>
          </w:p>
          <w:p w14:paraId="4B4F442C">
            <w:pPr>
              <w:pStyle w:val="6"/>
              <w:spacing w:before="21" w:line="221" w:lineRule="auto"/>
              <w:ind w:left="182"/>
            </w:pPr>
            <w:r>
              <w:rPr>
                <w:spacing w:val="-4"/>
              </w:rPr>
              <w:t>放控</w:t>
            </w:r>
          </w:p>
          <w:p w14:paraId="292C84A0">
            <w:pPr>
              <w:pStyle w:val="6"/>
              <w:spacing w:before="19" w:line="221" w:lineRule="auto"/>
              <w:ind w:left="183"/>
            </w:pPr>
            <w:r>
              <w:rPr>
                <w:spacing w:val="-4"/>
              </w:rPr>
              <w:t>制标</w:t>
            </w:r>
          </w:p>
          <w:p w14:paraId="4E5E9BCB">
            <w:pPr>
              <w:pStyle w:val="6"/>
              <w:spacing w:before="22" w:line="222" w:lineRule="auto"/>
              <w:ind w:left="294"/>
            </w:pPr>
            <w:r>
              <w:t>准</w:t>
            </w:r>
          </w:p>
        </w:tc>
        <w:tc>
          <w:tcPr>
            <w:tcW w:w="8054" w:type="dxa"/>
            <w:gridSpan w:val="17"/>
            <w:tcBorders>
              <w:right w:val="single" w:color="000000" w:sz="6" w:space="0"/>
            </w:tcBorders>
            <w:vAlign w:val="top"/>
          </w:tcPr>
          <w:p w14:paraId="0A6A2320">
            <w:pPr>
              <w:pStyle w:val="6"/>
              <w:spacing w:before="146" w:line="228" w:lineRule="auto"/>
              <w:ind w:left="522"/>
              <w:rPr>
                <w:sz w:val="20"/>
                <w:szCs w:val="20"/>
              </w:rPr>
            </w:pPr>
            <w:r>
              <w:rPr>
                <w:rFonts w:ascii="Times New Roman" w:hAnsi="Times New Roman" w:eastAsia="Times New Roman" w:cs="Times New Roman"/>
                <w:spacing w:val="4"/>
                <w:sz w:val="20"/>
                <w:szCs w:val="20"/>
              </w:rPr>
              <w:t>1.</w:t>
            </w:r>
            <w:r>
              <w:rPr>
                <w:spacing w:val="4"/>
                <w:sz w:val="20"/>
                <w:szCs w:val="20"/>
              </w:rPr>
              <w:t>大气污染物：</w:t>
            </w:r>
          </w:p>
          <w:p w14:paraId="082AB305">
            <w:pPr>
              <w:pStyle w:val="6"/>
              <w:spacing w:before="151" w:line="318" w:lineRule="auto"/>
              <w:ind w:left="2692" w:right="709" w:hanging="2188"/>
              <w:rPr>
                <w:rFonts w:ascii="黑体" w:hAnsi="黑体" w:eastAsia="黑体" w:cs="黑体"/>
                <w:sz w:val="18"/>
                <w:szCs w:val="18"/>
              </w:rPr>
            </w:pPr>
            <w:r>
              <w:rPr>
                <w:spacing w:val="2"/>
                <w:sz w:val="20"/>
                <w:szCs w:val="20"/>
              </w:rPr>
              <w:t>施工期废气排放执行《四川省施工场地扬尘排放标准》（</w:t>
            </w:r>
            <w:r>
              <w:rPr>
                <w:rFonts w:ascii="Times New Roman" w:hAnsi="Times New Roman" w:eastAsia="Times New Roman" w:cs="Times New Roman"/>
                <w:sz w:val="20"/>
                <w:szCs w:val="20"/>
              </w:rPr>
              <w:t>DB</w:t>
            </w:r>
            <w:r>
              <w:rPr>
                <w:rFonts w:ascii="Times New Roman" w:hAnsi="Times New Roman" w:eastAsia="Times New Roman" w:cs="Times New Roman"/>
                <w:spacing w:val="2"/>
                <w:sz w:val="20"/>
                <w:szCs w:val="20"/>
              </w:rPr>
              <w:t>512682-2020</w:t>
            </w:r>
            <w:r>
              <w:rPr>
                <w:spacing w:val="2"/>
                <w:sz w:val="20"/>
                <w:szCs w:val="20"/>
              </w:rPr>
              <w:t>）。</w:t>
            </w:r>
            <w:r>
              <w:rPr>
                <w:spacing w:val="7"/>
                <w:sz w:val="20"/>
                <w:szCs w:val="20"/>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3-5      </w:t>
            </w:r>
            <w:r>
              <w:rPr>
                <w:rFonts w:ascii="黑体" w:hAnsi="黑体" w:eastAsia="黑体" w:cs="黑体"/>
                <w:spacing w:val="-1"/>
                <w:sz w:val="18"/>
                <w:szCs w:val="18"/>
              </w:rPr>
              <w:t>四川省施工场地扬尘排放限值</w:t>
            </w:r>
          </w:p>
        </w:tc>
      </w:tr>
      <w:tr w14:paraId="7DFB7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12" w:type="dxa"/>
            <w:vMerge w:val="continue"/>
            <w:tcBorders>
              <w:top w:val="nil"/>
              <w:left w:val="single" w:color="000000" w:sz="6" w:space="0"/>
              <w:bottom w:val="nil"/>
            </w:tcBorders>
            <w:vAlign w:val="top"/>
          </w:tcPr>
          <w:p w14:paraId="2A539AC7">
            <w:pPr>
              <w:rPr>
                <w:rFonts w:ascii="Arial"/>
                <w:sz w:val="21"/>
              </w:rPr>
            </w:pPr>
          </w:p>
        </w:tc>
        <w:tc>
          <w:tcPr>
            <w:tcW w:w="1517" w:type="dxa"/>
            <w:gridSpan w:val="2"/>
            <w:vAlign w:val="top"/>
          </w:tcPr>
          <w:p w14:paraId="54BAE706">
            <w:pPr>
              <w:pStyle w:val="6"/>
              <w:spacing w:before="70" w:line="210" w:lineRule="auto"/>
              <w:ind w:left="466"/>
              <w:rPr>
                <w:sz w:val="18"/>
                <w:szCs w:val="18"/>
              </w:rPr>
            </w:pPr>
            <w:r>
              <w:rPr>
                <w:b/>
                <w:bCs/>
                <w:spacing w:val="-4"/>
                <w:sz w:val="18"/>
                <w:szCs w:val="18"/>
              </w:rPr>
              <w:t>监测项目</w:t>
            </w:r>
          </w:p>
        </w:tc>
        <w:tc>
          <w:tcPr>
            <w:tcW w:w="719" w:type="dxa"/>
            <w:gridSpan w:val="2"/>
            <w:vAlign w:val="top"/>
          </w:tcPr>
          <w:p w14:paraId="68EB6172">
            <w:pPr>
              <w:pStyle w:val="6"/>
              <w:spacing w:before="70" w:line="210" w:lineRule="auto"/>
              <w:ind w:left="181"/>
              <w:rPr>
                <w:sz w:val="18"/>
                <w:szCs w:val="18"/>
              </w:rPr>
            </w:pPr>
            <w:r>
              <w:rPr>
                <w:b/>
                <w:bCs/>
                <w:spacing w:val="-13"/>
                <w:sz w:val="18"/>
                <w:szCs w:val="18"/>
              </w:rPr>
              <w:t>区域</w:t>
            </w:r>
          </w:p>
        </w:tc>
        <w:tc>
          <w:tcPr>
            <w:tcW w:w="2733" w:type="dxa"/>
            <w:gridSpan w:val="5"/>
            <w:vAlign w:val="top"/>
          </w:tcPr>
          <w:p w14:paraId="595F4CDC">
            <w:pPr>
              <w:pStyle w:val="6"/>
              <w:spacing w:before="70" w:line="210" w:lineRule="auto"/>
              <w:ind w:left="989"/>
              <w:rPr>
                <w:sz w:val="18"/>
                <w:szCs w:val="18"/>
              </w:rPr>
            </w:pPr>
            <w:r>
              <w:rPr>
                <w:b/>
                <w:bCs/>
                <w:spacing w:val="-3"/>
                <w:sz w:val="18"/>
                <w:szCs w:val="18"/>
              </w:rPr>
              <w:t>施工阶段</w:t>
            </w:r>
          </w:p>
        </w:tc>
        <w:tc>
          <w:tcPr>
            <w:tcW w:w="1697" w:type="dxa"/>
            <w:gridSpan w:val="5"/>
            <w:vAlign w:val="top"/>
          </w:tcPr>
          <w:p w14:paraId="2D3D5B7A">
            <w:pPr>
              <w:pStyle w:val="6"/>
              <w:spacing w:before="70" w:line="210" w:lineRule="auto"/>
              <w:ind w:left="197"/>
              <w:rPr>
                <w:sz w:val="18"/>
                <w:szCs w:val="18"/>
              </w:rPr>
            </w:pPr>
            <w:r>
              <w:rPr>
                <w:b/>
                <w:bCs/>
                <w:spacing w:val="-3"/>
                <w:sz w:val="18"/>
                <w:szCs w:val="18"/>
              </w:rPr>
              <w:t>监测点排放限值</w:t>
            </w:r>
          </w:p>
        </w:tc>
        <w:tc>
          <w:tcPr>
            <w:tcW w:w="1264" w:type="dxa"/>
            <w:gridSpan w:val="2"/>
            <w:vAlign w:val="top"/>
          </w:tcPr>
          <w:p w14:paraId="05FD2497">
            <w:pPr>
              <w:pStyle w:val="6"/>
              <w:spacing w:before="70" w:line="210" w:lineRule="auto"/>
              <w:ind w:left="247"/>
              <w:rPr>
                <w:sz w:val="18"/>
                <w:szCs w:val="18"/>
              </w:rPr>
            </w:pPr>
            <w:r>
              <w:rPr>
                <w:b/>
                <w:bCs/>
                <w:spacing w:val="-4"/>
                <w:sz w:val="18"/>
                <w:szCs w:val="18"/>
              </w:rPr>
              <w:t>监测时间</w:t>
            </w:r>
          </w:p>
        </w:tc>
        <w:tc>
          <w:tcPr>
            <w:tcW w:w="124" w:type="dxa"/>
            <w:vMerge w:val="restart"/>
            <w:tcBorders>
              <w:top w:val="nil"/>
              <w:bottom w:val="nil"/>
              <w:right w:val="single" w:color="000000" w:sz="6" w:space="0"/>
            </w:tcBorders>
            <w:vAlign w:val="top"/>
          </w:tcPr>
          <w:p w14:paraId="2CA0BDDA">
            <w:pPr>
              <w:rPr>
                <w:rFonts w:ascii="Arial"/>
                <w:sz w:val="21"/>
              </w:rPr>
            </w:pPr>
          </w:p>
        </w:tc>
      </w:tr>
      <w:tr w14:paraId="61141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12" w:type="dxa"/>
            <w:vMerge w:val="continue"/>
            <w:tcBorders>
              <w:top w:val="nil"/>
              <w:left w:val="single" w:color="000000" w:sz="6" w:space="0"/>
              <w:bottom w:val="nil"/>
            </w:tcBorders>
            <w:vAlign w:val="top"/>
          </w:tcPr>
          <w:p w14:paraId="3121B299">
            <w:pPr>
              <w:rPr>
                <w:rFonts w:ascii="Arial"/>
                <w:sz w:val="21"/>
              </w:rPr>
            </w:pPr>
          </w:p>
        </w:tc>
        <w:tc>
          <w:tcPr>
            <w:tcW w:w="1517" w:type="dxa"/>
            <w:gridSpan w:val="2"/>
            <w:vMerge w:val="restart"/>
            <w:tcBorders>
              <w:bottom w:val="nil"/>
            </w:tcBorders>
            <w:vAlign w:val="top"/>
          </w:tcPr>
          <w:p w14:paraId="0BA673A2">
            <w:pPr>
              <w:pStyle w:val="6"/>
              <w:spacing w:before="75" w:line="220" w:lineRule="auto"/>
              <w:ind w:left="293"/>
              <w:rPr>
                <w:sz w:val="18"/>
                <w:szCs w:val="18"/>
              </w:rPr>
            </w:pPr>
            <w:r>
              <w:rPr>
                <w:spacing w:val="-2"/>
                <w:sz w:val="18"/>
                <w:szCs w:val="18"/>
              </w:rPr>
              <w:t>总悬浮颗粒物</w:t>
            </w:r>
          </w:p>
          <w:p w14:paraId="18B0FF44">
            <w:pPr>
              <w:pStyle w:val="6"/>
              <w:spacing w:before="66" w:line="214" w:lineRule="auto"/>
              <w:ind w:left="502"/>
              <w:rPr>
                <w:sz w:val="18"/>
                <w:szCs w:val="18"/>
              </w:rPr>
            </w:pPr>
            <w:r>
              <w:rPr>
                <w:spacing w:val="-4"/>
                <w:sz w:val="18"/>
                <w:szCs w:val="18"/>
              </w:rPr>
              <w:t>（</w:t>
            </w:r>
            <w:r>
              <w:rPr>
                <w:rFonts w:ascii="Times New Roman" w:hAnsi="Times New Roman" w:eastAsia="Times New Roman" w:cs="Times New Roman"/>
                <w:spacing w:val="-4"/>
                <w:sz w:val="18"/>
                <w:szCs w:val="18"/>
              </w:rPr>
              <w:t>TSP</w:t>
            </w:r>
            <w:r>
              <w:rPr>
                <w:spacing w:val="-4"/>
                <w:sz w:val="18"/>
                <w:szCs w:val="18"/>
              </w:rPr>
              <w:t>）</w:t>
            </w:r>
          </w:p>
        </w:tc>
        <w:tc>
          <w:tcPr>
            <w:tcW w:w="719" w:type="dxa"/>
            <w:gridSpan w:val="2"/>
            <w:vMerge w:val="restart"/>
            <w:tcBorders>
              <w:bottom w:val="nil"/>
            </w:tcBorders>
            <w:vAlign w:val="top"/>
          </w:tcPr>
          <w:p w14:paraId="1130EEE2">
            <w:pPr>
              <w:pStyle w:val="6"/>
              <w:spacing w:before="216" w:line="219" w:lineRule="auto"/>
              <w:ind w:left="78"/>
              <w:rPr>
                <w:sz w:val="18"/>
                <w:szCs w:val="18"/>
              </w:rPr>
            </w:pPr>
            <w:r>
              <w:rPr>
                <w:spacing w:val="-3"/>
                <w:sz w:val="18"/>
                <w:szCs w:val="18"/>
              </w:rPr>
              <w:t>达州市</w:t>
            </w:r>
          </w:p>
        </w:tc>
        <w:tc>
          <w:tcPr>
            <w:tcW w:w="2733" w:type="dxa"/>
            <w:gridSpan w:val="5"/>
            <w:vAlign w:val="top"/>
          </w:tcPr>
          <w:p w14:paraId="71B9DAC5">
            <w:pPr>
              <w:pStyle w:val="6"/>
              <w:spacing w:before="71" w:line="209" w:lineRule="auto"/>
              <w:ind w:left="42"/>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土方开挖</w:t>
            </w:r>
            <w:r>
              <w:rPr>
                <w:rFonts w:ascii="Times New Roman" w:hAnsi="Times New Roman" w:eastAsia="Times New Roman" w:cs="Times New Roman"/>
                <w:spacing w:val="-1"/>
                <w:sz w:val="18"/>
                <w:szCs w:val="18"/>
              </w:rPr>
              <w:t>/</w:t>
            </w:r>
            <w:r>
              <w:rPr>
                <w:spacing w:val="-1"/>
                <w:sz w:val="18"/>
                <w:szCs w:val="18"/>
              </w:rPr>
              <w:t>土方回填阶段</w:t>
            </w:r>
          </w:p>
        </w:tc>
        <w:tc>
          <w:tcPr>
            <w:tcW w:w="1697" w:type="dxa"/>
            <w:gridSpan w:val="5"/>
            <w:vAlign w:val="top"/>
          </w:tcPr>
          <w:p w14:paraId="5ED8E7E8">
            <w:pPr>
              <w:spacing w:before="86" w:line="206" w:lineRule="auto"/>
              <w:ind w:left="47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600μg/m</w:t>
            </w:r>
            <w:r>
              <w:rPr>
                <w:rFonts w:ascii="Times New Roman" w:hAnsi="Times New Roman" w:eastAsia="Times New Roman" w:cs="Times New Roman"/>
                <w:spacing w:val="-1"/>
                <w:position w:val="5"/>
                <w:sz w:val="11"/>
                <w:szCs w:val="11"/>
              </w:rPr>
              <w:t>3</w:t>
            </w:r>
          </w:p>
        </w:tc>
        <w:tc>
          <w:tcPr>
            <w:tcW w:w="1264" w:type="dxa"/>
            <w:gridSpan w:val="2"/>
            <w:vMerge w:val="restart"/>
            <w:tcBorders>
              <w:bottom w:val="nil"/>
            </w:tcBorders>
            <w:vAlign w:val="top"/>
          </w:tcPr>
          <w:p w14:paraId="59CA9CB0">
            <w:pPr>
              <w:pStyle w:val="6"/>
              <w:spacing w:before="75" w:line="219" w:lineRule="auto"/>
              <w:ind w:left="98"/>
              <w:rPr>
                <w:sz w:val="18"/>
                <w:szCs w:val="18"/>
              </w:rPr>
            </w:pPr>
            <w:r>
              <w:rPr>
                <w:spacing w:val="-7"/>
                <w:sz w:val="18"/>
                <w:szCs w:val="18"/>
              </w:rPr>
              <w:t>自监测起持续</w:t>
            </w:r>
          </w:p>
          <w:p w14:paraId="4BD9121B">
            <w:pPr>
              <w:pStyle w:val="6"/>
              <w:spacing w:before="66" w:line="214" w:lineRule="auto"/>
              <w:ind w:left="308"/>
              <w:rPr>
                <w:sz w:val="18"/>
                <w:szCs w:val="18"/>
              </w:rPr>
            </w:pPr>
            <w:r>
              <w:rPr>
                <w:rFonts w:ascii="Times New Roman" w:hAnsi="Times New Roman" w:eastAsia="Times New Roman" w:cs="Times New Roman"/>
                <w:spacing w:val="-8"/>
                <w:sz w:val="18"/>
                <w:szCs w:val="18"/>
              </w:rPr>
              <w:t>15</w:t>
            </w:r>
            <w:r>
              <w:rPr>
                <w:rFonts w:ascii="Times New Roman" w:hAnsi="Times New Roman" w:eastAsia="Times New Roman" w:cs="Times New Roman"/>
                <w:spacing w:val="4"/>
                <w:sz w:val="18"/>
                <w:szCs w:val="18"/>
              </w:rPr>
              <w:t xml:space="preserve">  </w:t>
            </w:r>
            <w:r>
              <w:rPr>
                <w:spacing w:val="-8"/>
                <w:sz w:val="18"/>
                <w:szCs w:val="18"/>
              </w:rPr>
              <w:t>分钟</w:t>
            </w:r>
          </w:p>
        </w:tc>
        <w:tc>
          <w:tcPr>
            <w:tcW w:w="124" w:type="dxa"/>
            <w:vMerge w:val="continue"/>
            <w:tcBorders>
              <w:top w:val="nil"/>
              <w:bottom w:val="nil"/>
              <w:right w:val="single" w:color="000000" w:sz="6" w:space="0"/>
            </w:tcBorders>
            <w:vAlign w:val="top"/>
          </w:tcPr>
          <w:p w14:paraId="7CC86B3C">
            <w:pPr>
              <w:rPr>
                <w:rFonts w:ascii="Arial"/>
                <w:sz w:val="21"/>
              </w:rPr>
            </w:pPr>
          </w:p>
        </w:tc>
      </w:tr>
      <w:tr w14:paraId="3CF1E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12" w:type="dxa"/>
            <w:vMerge w:val="continue"/>
            <w:tcBorders>
              <w:top w:val="nil"/>
              <w:left w:val="single" w:color="000000" w:sz="6" w:space="0"/>
              <w:bottom w:val="nil"/>
            </w:tcBorders>
            <w:vAlign w:val="top"/>
          </w:tcPr>
          <w:p w14:paraId="21C2DD52">
            <w:pPr>
              <w:rPr>
                <w:rFonts w:ascii="Arial"/>
                <w:sz w:val="21"/>
              </w:rPr>
            </w:pPr>
          </w:p>
        </w:tc>
        <w:tc>
          <w:tcPr>
            <w:tcW w:w="1517" w:type="dxa"/>
            <w:gridSpan w:val="2"/>
            <w:vMerge w:val="continue"/>
            <w:tcBorders>
              <w:top w:val="nil"/>
            </w:tcBorders>
            <w:vAlign w:val="top"/>
          </w:tcPr>
          <w:p w14:paraId="465CC99A">
            <w:pPr>
              <w:rPr>
                <w:rFonts w:ascii="Arial"/>
                <w:sz w:val="21"/>
              </w:rPr>
            </w:pPr>
          </w:p>
        </w:tc>
        <w:tc>
          <w:tcPr>
            <w:tcW w:w="719" w:type="dxa"/>
            <w:gridSpan w:val="2"/>
            <w:vMerge w:val="continue"/>
            <w:tcBorders>
              <w:top w:val="nil"/>
            </w:tcBorders>
            <w:vAlign w:val="top"/>
          </w:tcPr>
          <w:p w14:paraId="6D97A0ED">
            <w:pPr>
              <w:rPr>
                <w:rFonts w:ascii="Arial"/>
                <w:sz w:val="21"/>
              </w:rPr>
            </w:pPr>
          </w:p>
        </w:tc>
        <w:tc>
          <w:tcPr>
            <w:tcW w:w="2733" w:type="dxa"/>
            <w:gridSpan w:val="5"/>
            <w:vAlign w:val="top"/>
          </w:tcPr>
          <w:p w14:paraId="3317FDF3">
            <w:pPr>
              <w:pStyle w:val="6"/>
              <w:spacing w:before="71" w:line="209" w:lineRule="auto"/>
              <w:ind w:left="813"/>
              <w:rPr>
                <w:sz w:val="18"/>
                <w:szCs w:val="18"/>
              </w:rPr>
            </w:pPr>
            <w:r>
              <w:rPr>
                <w:spacing w:val="-2"/>
                <w:sz w:val="18"/>
                <w:szCs w:val="18"/>
              </w:rPr>
              <w:t>其他工程阶段</w:t>
            </w:r>
          </w:p>
        </w:tc>
        <w:tc>
          <w:tcPr>
            <w:tcW w:w="1697" w:type="dxa"/>
            <w:gridSpan w:val="5"/>
            <w:vAlign w:val="top"/>
          </w:tcPr>
          <w:p w14:paraId="4687C914">
            <w:pPr>
              <w:spacing w:before="86" w:line="206" w:lineRule="auto"/>
              <w:ind w:left="473"/>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250μg/m</w:t>
            </w:r>
            <w:r>
              <w:rPr>
                <w:rFonts w:ascii="Times New Roman" w:hAnsi="Times New Roman" w:eastAsia="Times New Roman" w:cs="Times New Roman"/>
                <w:spacing w:val="-1"/>
                <w:position w:val="5"/>
                <w:sz w:val="11"/>
                <w:szCs w:val="11"/>
              </w:rPr>
              <w:t>3</w:t>
            </w:r>
          </w:p>
        </w:tc>
        <w:tc>
          <w:tcPr>
            <w:tcW w:w="1264" w:type="dxa"/>
            <w:gridSpan w:val="2"/>
            <w:vMerge w:val="continue"/>
            <w:tcBorders>
              <w:top w:val="nil"/>
            </w:tcBorders>
            <w:vAlign w:val="top"/>
          </w:tcPr>
          <w:p w14:paraId="5CB4152D">
            <w:pPr>
              <w:rPr>
                <w:rFonts w:ascii="Arial"/>
                <w:sz w:val="21"/>
              </w:rPr>
            </w:pPr>
          </w:p>
        </w:tc>
        <w:tc>
          <w:tcPr>
            <w:tcW w:w="124" w:type="dxa"/>
            <w:vMerge w:val="continue"/>
            <w:tcBorders>
              <w:top w:val="nil"/>
              <w:bottom w:val="nil"/>
              <w:right w:val="single" w:color="000000" w:sz="6" w:space="0"/>
            </w:tcBorders>
            <w:vAlign w:val="top"/>
          </w:tcPr>
          <w:p w14:paraId="133F25E1">
            <w:pPr>
              <w:rPr>
                <w:rFonts w:ascii="Arial"/>
                <w:sz w:val="21"/>
              </w:rPr>
            </w:pPr>
          </w:p>
        </w:tc>
      </w:tr>
      <w:tr w14:paraId="03B89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3" w:hRule="atLeast"/>
        </w:trPr>
        <w:tc>
          <w:tcPr>
            <w:tcW w:w="812" w:type="dxa"/>
            <w:vMerge w:val="continue"/>
            <w:tcBorders>
              <w:top w:val="nil"/>
              <w:left w:val="single" w:color="000000" w:sz="6" w:space="0"/>
              <w:bottom w:val="nil"/>
            </w:tcBorders>
            <w:vAlign w:val="top"/>
          </w:tcPr>
          <w:p w14:paraId="7FE53A30">
            <w:pPr>
              <w:rPr>
                <w:rFonts w:ascii="Arial"/>
                <w:sz w:val="21"/>
              </w:rPr>
            </w:pPr>
          </w:p>
        </w:tc>
        <w:tc>
          <w:tcPr>
            <w:tcW w:w="8054" w:type="dxa"/>
            <w:gridSpan w:val="17"/>
            <w:tcBorders>
              <w:right w:val="single" w:color="000000" w:sz="6" w:space="0"/>
            </w:tcBorders>
            <w:vAlign w:val="top"/>
          </w:tcPr>
          <w:p w14:paraId="594EE340">
            <w:pPr>
              <w:pStyle w:val="6"/>
              <w:spacing w:before="140" w:line="355" w:lineRule="auto"/>
              <w:ind w:left="105" w:firstLine="382"/>
              <w:rPr>
                <w:sz w:val="20"/>
                <w:szCs w:val="20"/>
              </w:rPr>
            </w:pPr>
            <w:r>
              <w:rPr>
                <w:spacing w:val="3"/>
                <w:sz w:val="20"/>
                <w:szCs w:val="20"/>
              </w:rPr>
              <w:t>营运期备用燃气锅炉的烟气排放执行《锅炉大气污染物排放标准</w:t>
            </w: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13271-2014</w:t>
            </w:r>
            <w:r>
              <w:rPr>
                <w:spacing w:val="2"/>
                <w:sz w:val="20"/>
                <w:szCs w:val="20"/>
              </w:rPr>
              <w:t>）</w:t>
            </w:r>
            <w:r>
              <w:rPr>
                <w:sz w:val="20"/>
                <w:szCs w:val="20"/>
              </w:rPr>
              <w:t xml:space="preserve"> </w:t>
            </w:r>
            <w:r>
              <w:rPr>
                <w:spacing w:val="6"/>
                <w:sz w:val="20"/>
                <w:szCs w:val="20"/>
              </w:rPr>
              <w:t>中表</w:t>
            </w:r>
            <w:r>
              <w:rPr>
                <w:rFonts w:ascii="Times New Roman" w:hAnsi="Times New Roman" w:eastAsia="Times New Roman" w:cs="Times New Roman"/>
                <w:spacing w:val="6"/>
                <w:sz w:val="20"/>
                <w:szCs w:val="20"/>
              </w:rPr>
              <w:t>3</w:t>
            </w:r>
            <w:r>
              <w:rPr>
                <w:spacing w:val="6"/>
                <w:sz w:val="20"/>
                <w:szCs w:val="20"/>
              </w:rPr>
              <w:t>燃气锅炉特别排放限值。</w:t>
            </w:r>
          </w:p>
          <w:p w14:paraId="07D9B7BA">
            <w:pPr>
              <w:pStyle w:val="6"/>
              <w:spacing w:before="31" w:line="353" w:lineRule="auto"/>
              <w:ind w:left="86" w:right="156" w:firstLine="395"/>
              <w:rPr>
                <w:sz w:val="20"/>
                <w:szCs w:val="20"/>
              </w:rPr>
            </w:pPr>
            <w:r>
              <w:rPr>
                <w:spacing w:val="-2"/>
                <w:sz w:val="20"/>
                <w:szCs w:val="20"/>
              </w:rPr>
              <w:t>砌块和板材生产车间的钢筋网浸漆和烤漆环节的</w:t>
            </w:r>
            <w:r>
              <w:rPr>
                <w:rFonts w:ascii="Times New Roman" w:hAnsi="Times New Roman" w:eastAsia="Times New Roman" w:cs="Times New Roman"/>
                <w:spacing w:val="-2"/>
                <w:sz w:val="20"/>
                <w:szCs w:val="20"/>
              </w:rPr>
              <w:t>VOC</w:t>
            </w:r>
            <w:r>
              <w:rPr>
                <w:rFonts w:ascii="Times New Roman" w:hAnsi="Times New Roman" w:eastAsia="Times New Roman" w:cs="Times New Roman"/>
                <w:spacing w:val="-2"/>
                <w:position w:val="-1"/>
                <w:sz w:val="13"/>
                <w:szCs w:val="13"/>
              </w:rPr>
              <w:t>s</w:t>
            </w:r>
            <w:r>
              <w:rPr>
                <w:spacing w:val="-2"/>
                <w:sz w:val="20"/>
                <w:szCs w:val="20"/>
              </w:rPr>
              <w:t>排放执行《四川省固定污染源大</w:t>
            </w:r>
            <w:r>
              <w:rPr>
                <w:spacing w:val="9"/>
                <w:sz w:val="20"/>
                <w:szCs w:val="20"/>
              </w:rPr>
              <w:t xml:space="preserve"> </w:t>
            </w:r>
            <w:r>
              <w:rPr>
                <w:sz w:val="20"/>
                <w:szCs w:val="20"/>
              </w:rPr>
              <w:t>气挥发性有机物排放标准》（</w:t>
            </w:r>
            <w:r>
              <w:rPr>
                <w:rFonts w:ascii="Times New Roman" w:hAnsi="Times New Roman" w:eastAsia="Times New Roman" w:cs="Times New Roman"/>
                <w:sz w:val="20"/>
                <w:szCs w:val="20"/>
              </w:rPr>
              <w:t>DB51/2377-2017</w:t>
            </w:r>
            <w:r>
              <w:rPr>
                <w:sz w:val="20"/>
                <w:szCs w:val="20"/>
              </w:rPr>
              <w:t>）中排放限</w:t>
            </w:r>
            <w:r>
              <w:rPr>
                <w:spacing w:val="-1"/>
                <w:sz w:val="20"/>
                <w:szCs w:val="20"/>
              </w:rPr>
              <w:t>值。</w:t>
            </w:r>
          </w:p>
          <w:p w14:paraId="4412D05B">
            <w:pPr>
              <w:pStyle w:val="6"/>
              <w:spacing w:before="35" w:line="362" w:lineRule="auto"/>
              <w:ind w:left="100" w:right="28" w:firstLine="396"/>
              <w:rPr>
                <w:sz w:val="20"/>
                <w:szCs w:val="20"/>
              </w:rPr>
            </w:pPr>
            <w:r>
              <w:rPr>
                <w:spacing w:val="-4"/>
                <w:sz w:val="20"/>
                <w:szCs w:val="20"/>
              </w:rPr>
              <w:t>干混砂浆车间的球磨、筛分和搅拌机粉尘有组织排放执行《四川省水泥工业大气污染物</w:t>
            </w:r>
            <w:r>
              <w:rPr>
                <w:spacing w:val="5"/>
                <w:sz w:val="20"/>
                <w:szCs w:val="20"/>
              </w:rPr>
              <w:t xml:space="preserve"> </w:t>
            </w:r>
            <w:r>
              <w:rPr>
                <w:spacing w:val="-2"/>
                <w:sz w:val="20"/>
                <w:szCs w:val="20"/>
              </w:rPr>
              <w:t>排放标准》（</w:t>
            </w:r>
            <w:r>
              <w:rPr>
                <w:rFonts w:ascii="Times New Roman" w:hAnsi="Times New Roman" w:eastAsia="Times New Roman" w:cs="Times New Roman"/>
                <w:spacing w:val="-2"/>
                <w:sz w:val="20"/>
                <w:szCs w:val="20"/>
              </w:rPr>
              <w:t>DB51/2864-2021</w:t>
            </w:r>
            <w:r>
              <w:rPr>
                <w:spacing w:val="-2"/>
                <w:sz w:val="20"/>
                <w:szCs w:val="20"/>
              </w:rPr>
              <w:t>）表</w:t>
            </w:r>
            <w:r>
              <w:rPr>
                <w:rFonts w:ascii="Times New Roman" w:hAnsi="Times New Roman" w:eastAsia="Times New Roman" w:cs="Times New Roman"/>
                <w:spacing w:val="-2"/>
                <w:sz w:val="20"/>
                <w:szCs w:val="20"/>
              </w:rPr>
              <w:t>1</w:t>
            </w:r>
            <w:r>
              <w:rPr>
                <w:spacing w:val="-2"/>
                <w:sz w:val="20"/>
                <w:szCs w:val="20"/>
              </w:rPr>
              <w:t>限值要求。筒仓仓顶粉尘无动力排放、其他环节粉尘无</w:t>
            </w:r>
            <w:r>
              <w:rPr>
                <w:spacing w:val="8"/>
                <w:sz w:val="20"/>
                <w:szCs w:val="20"/>
              </w:rPr>
              <w:t xml:space="preserve">  </w:t>
            </w:r>
            <w:r>
              <w:rPr>
                <w:spacing w:val="-4"/>
                <w:sz w:val="20"/>
                <w:szCs w:val="20"/>
              </w:rPr>
              <w:t>组织排放均执行《四川省水泥工业大气污染物排放标准》（</w:t>
            </w:r>
            <w:r>
              <w:rPr>
                <w:rFonts w:ascii="Times New Roman" w:hAnsi="Times New Roman" w:eastAsia="Times New Roman" w:cs="Times New Roman"/>
                <w:spacing w:val="-4"/>
                <w:sz w:val="20"/>
                <w:szCs w:val="20"/>
              </w:rPr>
              <w:t>DB51/2864-2021</w:t>
            </w:r>
            <w:r>
              <w:rPr>
                <w:spacing w:val="-4"/>
                <w:sz w:val="20"/>
                <w:szCs w:val="20"/>
              </w:rPr>
              <w:t>）表</w:t>
            </w:r>
            <w:r>
              <w:rPr>
                <w:rFonts w:ascii="Times New Roman" w:hAnsi="Times New Roman" w:eastAsia="Times New Roman" w:cs="Times New Roman"/>
                <w:spacing w:val="-4"/>
                <w:sz w:val="20"/>
                <w:szCs w:val="20"/>
              </w:rPr>
              <w:t>2</w:t>
            </w:r>
            <w:r>
              <w:rPr>
                <w:spacing w:val="-4"/>
                <w:sz w:val="20"/>
                <w:szCs w:val="20"/>
              </w:rPr>
              <w:t>限值要求。</w:t>
            </w:r>
            <w:r>
              <w:rPr>
                <w:spacing w:val="5"/>
                <w:sz w:val="20"/>
                <w:szCs w:val="20"/>
              </w:rPr>
              <w:t xml:space="preserve"> </w:t>
            </w:r>
            <w:r>
              <w:rPr>
                <w:spacing w:val="8"/>
                <w:sz w:val="20"/>
                <w:szCs w:val="20"/>
              </w:rPr>
              <w:t>钢筋焊接烟尘和切割粉尘排放执行《大气污染物综合排放标准》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16297-1996)</w:t>
            </w:r>
            <w:r>
              <w:rPr>
                <w:spacing w:val="7"/>
                <w:sz w:val="20"/>
                <w:szCs w:val="20"/>
              </w:rPr>
              <w:t>表</w:t>
            </w:r>
            <w:r>
              <w:rPr>
                <w:rFonts w:ascii="Times New Roman" w:hAnsi="Times New Roman" w:eastAsia="Times New Roman" w:cs="Times New Roman"/>
                <w:spacing w:val="7"/>
                <w:sz w:val="20"/>
                <w:szCs w:val="20"/>
              </w:rPr>
              <w:t>2</w:t>
            </w:r>
            <w:r>
              <w:rPr>
                <w:spacing w:val="7"/>
                <w:sz w:val="20"/>
                <w:szCs w:val="20"/>
              </w:rPr>
              <w:t>新</w:t>
            </w:r>
            <w:r>
              <w:rPr>
                <w:sz w:val="20"/>
                <w:szCs w:val="20"/>
              </w:rPr>
              <w:t xml:space="preserve">  </w:t>
            </w:r>
            <w:r>
              <w:rPr>
                <w:spacing w:val="8"/>
                <w:sz w:val="20"/>
                <w:szCs w:val="20"/>
              </w:rPr>
              <w:t>污染源大气污染物排放限值。</w:t>
            </w:r>
          </w:p>
          <w:p w14:paraId="37BFF8FE">
            <w:pPr>
              <w:tabs>
                <w:tab w:val="left" w:pos="2513"/>
              </w:tabs>
              <w:spacing w:line="221" w:lineRule="auto"/>
              <w:ind w:left="71"/>
              <w:rPr>
                <w:rFonts w:ascii="黑体" w:hAnsi="黑体" w:eastAsia="黑体" w:cs="黑体"/>
                <w:sz w:val="18"/>
                <w:szCs w:val="18"/>
              </w:rPr>
            </w:pPr>
            <w:r>
              <w:rPr>
                <w:rFonts w:ascii="黑体" w:hAnsi="黑体" w:eastAsia="黑体" w:cs="黑体"/>
                <w:sz w:val="18"/>
                <w:szCs w:val="18"/>
                <w:u w:val="single" w:color="auto"/>
              </w:rPr>
              <w:tab/>
            </w:r>
            <w:r>
              <w:rPr>
                <w:rFonts w:ascii="黑体" w:hAnsi="黑体" w:eastAsia="黑体" w:cs="黑体"/>
                <w:spacing w:val="-1"/>
                <w:sz w:val="18"/>
                <w:szCs w:val="18"/>
                <w:u w:val="single" w:color="auto"/>
              </w:rPr>
              <w:t>表</w:t>
            </w:r>
            <w:r>
              <w:rPr>
                <w:rFonts w:ascii="Times New Roman" w:hAnsi="Times New Roman" w:eastAsia="Times New Roman" w:cs="Times New Roman"/>
                <w:spacing w:val="-1"/>
                <w:sz w:val="18"/>
                <w:szCs w:val="18"/>
                <w:u w:val="single" w:color="auto"/>
              </w:rPr>
              <w:t xml:space="preserve">3-6      </w:t>
            </w:r>
            <w:r>
              <w:rPr>
                <w:rFonts w:ascii="黑体" w:hAnsi="黑体" w:eastAsia="黑体" w:cs="黑体"/>
                <w:spacing w:val="-1"/>
                <w:sz w:val="18"/>
                <w:szCs w:val="18"/>
                <w:u w:val="single" w:color="auto"/>
              </w:rPr>
              <w:t>项目大气污染物排放控制标准</w:t>
            </w:r>
            <w:r>
              <w:rPr>
                <w:rFonts w:ascii="黑体" w:hAnsi="黑体" w:eastAsia="黑体" w:cs="黑体"/>
                <w:sz w:val="18"/>
                <w:szCs w:val="18"/>
                <w:u w:val="single" w:color="auto"/>
              </w:rPr>
              <w:t xml:space="preserve">                            </w:t>
            </w:r>
          </w:p>
          <w:p w14:paraId="723D0A04">
            <w:pPr>
              <w:pStyle w:val="6"/>
              <w:spacing w:before="163" w:line="219" w:lineRule="auto"/>
              <w:ind w:left="486"/>
              <w:rPr>
                <w:sz w:val="18"/>
                <w:szCs w:val="18"/>
              </w:rPr>
            </w:pPr>
            <w:r>
              <w:rPr>
                <w:b/>
                <w:bCs/>
                <w:sz w:val="18"/>
                <w:szCs w:val="18"/>
              </w:rPr>
              <w:t>污染类别</w:t>
            </w:r>
            <w:r>
              <w:rPr>
                <w:spacing w:val="2"/>
                <w:sz w:val="18"/>
                <w:szCs w:val="18"/>
              </w:rPr>
              <w:t xml:space="preserve">                   </w:t>
            </w:r>
            <w:r>
              <w:rPr>
                <w:b/>
                <w:bCs/>
                <w:sz w:val="18"/>
                <w:szCs w:val="18"/>
              </w:rPr>
              <w:t>标准名称及代号</w:t>
            </w:r>
            <w:r>
              <w:rPr>
                <w:sz w:val="18"/>
                <w:szCs w:val="18"/>
              </w:rPr>
              <w:t xml:space="preserve">             </w:t>
            </w:r>
            <w:r>
              <w:rPr>
                <w:spacing w:val="-1"/>
                <w:sz w:val="18"/>
                <w:szCs w:val="18"/>
              </w:rPr>
              <w:t xml:space="preserve">           </w:t>
            </w:r>
            <w:r>
              <w:rPr>
                <w:b/>
                <w:bCs/>
                <w:spacing w:val="-1"/>
                <w:sz w:val="18"/>
                <w:szCs w:val="18"/>
              </w:rPr>
              <w:t>标准限值</w:t>
            </w:r>
          </w:p>
        </w:tc>
      </w:tr>
      <w:tr w14:paraId="12FB9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12" w:type="dxa"/>
            <w:vMerge w:val="continue"/>
            <w:tcBorders>
              <w:top w:val="nil"/>
              <w:left w:val="single" w:color="000000" w:sz="6" w:space="0"/>
              <w:bottom w:val="nil"/>
            </w:tcBorders>
            <w:vAlign w:val="top"/>
          </w:tcPr>
          <w:p w14:paraId="01D5A4BE">
            <w:pPr>
              <w:rPr>
                <w:rFonts w:ascii="Arial"/>
                <w:sz w:val="21"/>
              </w:rPr>
            </w:pPr>
          </w:p>
        </w:tc>
        <w:tc>
          <w:tcPr>
            <w:tcW w:w="768" w:type="dxa"/>
            <w:vAlign w:val="top"/>
          </w:tcPr>
          <w:p w14:paraId="22E90704">
            <w:pPr>
              <w:pStyle w:val="6"/>
              <w:spacing w:before="152" w:line="220" w:lineRule="auto"/>
              <w:ind w:left="242"/>
              <w:rPr>
                <w:sz w:val="18"/>
                <w:szCs w:val="18"/>
              </w:rPr>
            </w:pPr>
            <w:r>
              <w:rPr>
                <w:spacing w:val="-4"/>
                <w:sz w:val="18"/>
                <w:szCs w:val="18"/>
              </w:rPr>
              <w:t>废气</w:t>
            </w:r>
          </w:p>
        </w:tc>
        <w:tc>
          <w:tcPr>
            <w:tcW w:w="852" w:type="dxa"/>
            <w:gridSpan w:val="2"/>
            <w:vAlign w:val="top"/>
          </w:tcPr>
          <w:p w14:paraId="34997BA8">
            <w:pPr>
              <w:pStyle w:val="6"/>
              <w:spacing w:before="152" w:line="220" w:lineRule="auto"/>
              <w:ind w:left="148"/>
              <w:rPr>
                <w:sz w:val="18"/>
                <w:szCs w:val="18"/>
              </w:rPr>
            </w:pPr>
            <w:r>
              <w:rPr>
                <w:spacing w:val="-3"/>
                <w:sz w:val="18"/>
                <w:szCs w:val="18"/>
              </w:rPr>
              <w:t>颗粒物</w:t>
            </w:r>
          </w:p>
        </w:tc>
        <w:tc>
          <w:tcPr>
            <w:tcW w:w="3951" w:type="dxa"/>
            <w:gridSpan w:val="8"/>
            <w:vAlign w:val="top"/>
          </w:tcPr>
          <w:p w14:paraId="3C7A26DF">
            <w:pPr>
              <w:pStyle w:val="6"/>
              <w:spacing w:before="152" w:line="212" w:lineRule="auto"/>
              <w:ind w:left="17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(GB16297-1996)</w:t>
            </w:r>
          </w:p>
        </w:tc>
        <w:tc>
          <w:tcPr>
            <w:tcW w:w="2483" w:type="dxa"/>
            <w:gridSpan w:val="6"/>
            <w:tcBorders>
              <w:right w:val="single" w:color="000000" w:sz="6" w:space="0"/>
            </w:tcBorders>
            <w:vAlign w:val="top"/>
          </w:tcPr>
          <w:p w14:paraId="0A1DCAD6">
            <w:pPr>
              <w:pStyle w:val="6"/>
              <w:spacing w:before="152" w:line="212" w:lineRule="auto"/>
              <w:ind w:left="70"/>
              <w:rPr>
                <w:rFonts w:ascii="Times New Roman" w:hAnsi="Times New Roman" w:eastAsia="Times New Roman" w:cs="Times New Roman"/>
                <w:sz w:val="11"/>
                <w:szCs w:val="11"/>
              </w:rPr>
            </w:pPr>
            <w:r>
              <w:rPr>
                <w:spacing w:val="-1"/>
                <w:sz w:val="18"/>
                <w:szCs w:val="18"/>
              </w:rPr>
              <w:t>周界外浓度最高点</w:t>
            </w:r>
            <w:r>
              <w:rPr>
                <w:rFonts w:ascii="Times New Roman" w:hAnsi="Times New Roman" w:eastAsia="Times New Roman" w:cs="Times New Roman"/>
                <w:spacing w:val="-1"/>
                <w:sz w:val="18"/>
                <w:szCs w:val="18"/>
              </w:rPr>
              <w:t>≤1.0mg/m</w:t>
            </w:r>
            <w:r>
              <w:rPr>
                <w:rFonts w:ascii="Times New Roman" w:hAnsi="Times New Roman" w:eastAsia="Times New Roman" w:cs="Times New Roman"/>
                <w:spacing w:val="-1"/>
                <w:position w:val="5"/>
                <w:sz w:val="11"/>
                <w:szCs w:val="11"/>
              </w:rPr>
              <w:t>3</w:t>
            </w:r>
          </w:p>
        </w:tc>
      </w:tr>
      <w:tr w14:paraId="63EFC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2" w:type="dxa"/>
            <w:vMerge w:val="continue"/>
            <w:tcBorders>
              <w:top w:val="nil"/>
              <w:left w:val="single" w:color="000000" w:sz="6" w:space="0"/>
              <w:bottom w:val="nil"/>
            </w:tcBorders>
            <w:vAlign w:val="top"/>
          </w:tcPr>
          <w:p w14:paraId="15D3572E">
            <w:pPr>
              <w:rPr>
                <w:rFonts w:ascii="Arial"/>
                <w:sz w:val="21"/>
              </w:rPr>
            </w:pPr>
          </w:p>
        </w:tc>
        <w:tc>
          <w:tcPr>
            <w:tcW w:w="8054" w:type="dxa"/>
            <w:gridSpan w:val="17"/>
            <w:tcBorders>
              <w:right w:val="single" w:color="000000" w:sz="6" w:space="0"/>
            </w:tcBorders>
            <w:vAlign w:val="top"/>
          </w:tcPr>
          <w:p w14:paraId="784616C3">
            <w:pPr>
              <w:spacing w:before="168" w:line="219" w:lineRule="auto"/>
              <w:ind w:left="226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项目锅炉烟气和</w:t>
            </w:r>
            <w:r>
              <w:rPr>
                <w:rFonts w:ascii="Times New Roman" w:hAnsi="Times New Roman" w:eastAsia="Times New Roman" w:cs="Times New Roman"/>
                <w:spacing w:val="-1"/>
                <w:sz w:val="18"/>
                <w:szCs w:val="18"/>
              </w:rPr>
              <w:t>VOC</w:t>
            </w:r>
            <w:r>
              <w:rPr>
                <w:rFonts w:ascii="Times New Roman" w:hAnsi="Times New Roman" w:eastAsia="Times New Roman" w:cs="Times New Roman"/>
                <w:spacing w:val="-1"/>
                <w:position w:val="-1"/>
                <w:sz w:val="11"/>
                <w:szCs w:val="11"/>
              </w:rPr>
              <w:t>s</w:t>
            </w:r>
            <w:r>
              <w:rPr>
                <w:rFonts w:ascii="黑体" w:hAnsi="黑体" w:eastAsia="黑体" w:cs="黑体"/>
                <w:spacing w:val="-1"/>
                <w:sz w:val="18"/>
                <w:szCs w:val="18"/>
              </w:rPr>
              <w:t>废气排放执行</w:t>
            </w:r>
            <w:r>
              <w:rPr>
                <w:rFonts w:ascii="黑体" w:hAnsi="黑体" w:eastAsia="黑体" w:cs="黑体"/>
                <w:spacing w:val="-2"/>
                <w:sz w:val="18"/>
                <w:szCs w:val="18"/>
              </w:rPr>
              <w:t>标准</w:t>
            </w:r>
          </w:p>
        </w:tc>
      </w:tr>
      <w:tr w14:paraId="711E0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12" w:type="dxa"/>
            <w:vMerge w:val="continue"/>
            <w:tcBorders>
              <w:top w:val="nil"/>
              <w:left w:val="single" w:color="000000" w:sz="6" w:space="0"/>
              <w:bottom w:val="nil"/>
            </w:tcBorders>
            <w:vAlign w:val="top"/>
          </w:tcPr>
          <w:p w14:paraId="5A13B680">
            <w:pPr>
              <w:rPr>
                <w:rFonts w:ascii="Arial"/>
                <w:sz w:val="21"/>
              </w:rPr>
            </w:pPr>
          </w:p>
        </w:tc>
        <w:tc>
          <w:tcPr>
            <w:tcW w:w="768" w:type="dxa"/>
            <w:vMerge w:val="restart"/>
            <w:tcBorders>
              <w:bottom w:val="nil"/>
            </w:tcBorders>
            <w:vAlign w:val="top"/>
          </w:tcPr>
          <w:p w14:paraId="71E17F85">
            <w:pPr>
              <w:spacing w:line="333" w:lineRule="auto"/>
              <w:rPr>
                <w:rFonts w:ascii="Arial"/>
                <w:sz w:val="21"/>
              </w:rPr>
            </w:pPr>
          </w:p>
          <w:p w14:paraId="7250F271">
            <w:pPr>
              <w:pStyle w:val="6"/>
              <w:spacing w:before="59" w:line="220" w:lineRule="auto"/>
              <w:ind w:left="265"/>
              <w:rPr>
                <w:sz w:val="18"/>
                <w:szCs w:val="18"/>
              </w:rPr>
            </w:pPr>
            <w:r>
              <w:rPr>
                <w:b/>
                <w:bCs/>
                <w:spacing w:val="-6"/>
                <w:sz w:val="18"/>
                <w:szCs w:val="18"/>
              </w:rPr>
              <w:t>标准</w:t>
            </w:r>
          </w:p>
        </w:tc>
        <w:tc>
          <w:tcPr>
            <w:tcW w:w="1524" w:type="dxa"/>
            <w:gridSpan w:val="4"/>
            <w:vMerge w:val="restart"/>
            <w:tcBorders>
              <w:bottom w:val="nil"/>
            </w:tcBorders>
            <w:vAlign w:val="top"/>
          </w:tcPr>
          <w:p w14:paraId="27F4EB15">
            <w:pPr>
              <w:spacing w:line="333" w:lineRule="auto"/>
              <w:rPr>
                <w:rFonts w:ascii="Arial"/>
                <w:sz w:val="21"/>
              </w:rPr>
            </w:pPr>
          </w:p>
          <w:p w14:paraId="6113A56B">
            <w:pPr>
              <w:pStyle w:val="6"/>
              <w:spacing w:before="59" w:line="220" w:lineRule="auto"/>
              <w:ind w:left="459"/>
              <w:rPr>
                <w:sz w:val="18"/>
                <w:szCs w:val="18"/>
              </w:rPr>
            </w:pPr>
            <w:r>
              <w:rPr>
                <w:b/>
                <w:bCs/>
                <w:spacing w:val="-4"/>
                <w:sz w:val="18"/>
                <w:szCs w:val="18"/>
              </w:rPr>
              <w:t>行业名称</w:t>
            </w:r>
          </w:p>
        </w:tc>
        <w:tc>
          <w:tcPr>
            <w:tcW w:w="822" w:type="dxa"/>
            <w:vMerge w:val="restart"/>
            <w:tcBorders>
              <w:bottom w:val="nil"/>
            </w:tcBorders>
            <w:vAlign w:val="top"/>
          </w:tcPr>
          <w:p w14:paraId="7E42C1C1">
            <w:pPr>
              <w:pStyle w:val="6"/>
              <w:spacing w:before="242" w:line="296" w:lineRule="auto"/>
              <w:ind w:left="408" w:hanging="303"/>
              <w:rPr>
                <w:sz w:val="18"/>
                <w:szCs w:val="18"/>
              </w:rPr>
            </w:pPr>
            <w:r>
              <w:rPr>
                <w:b/>
                <w:bCs/>
                <w:spacing w:val="-4"/>
                <w:sz w:val="18"/>
                <w:szCs w:val="18"/>
              </w:rPr>
              <w:t>污染物项</w:t>
            </w:r>
            <w:r>
              <w:rPr>
                <w:sz w:val="18"/>
                <w:szCs w:val="18"/>
              </w:rPr>
              <w:t xml:space="preserve"> </w:t>
            </w:r>
            <w:r>
              <w:rPr>
                <w:b/>
                <w:bCs/>
                <w:spacing w:val="-2"/>
                <w:sz w:val="18"/>
                <w:szCs w:val="18"/>
              </w:rPr>
              <w:t>目</w:t>
            </w:r>
          </w:p>
        </w:tc>
        <w:tc>
          <w:tcPr>
            <w:tcW w:w="902" w:type="dxa"/>
            <w:vMerge w:val="restart"/>
            <w:tcBorders>
              <w:bottom w:val="nil"/>
            </w:tcBorders>
            <w:vAlign w:val="top"/>
          </w:tcPr>
          <w:p w14:paraId="5F41A88E">
            <w:pPr>
              <w:pStyle w:val="6"/>
              <w:spacing w:before="93" w:line="277" w:lineRule="auto"/>
              <w:ind w:left="83" w:firstLine="58"/>
              <w:jc w:val="both"/>
              <w:rPr>
                <w:sz w:val="18"/>
                <w:szCs w:val="18"/>
              </w:rPr>
            </w:pPr>
            <w:r>
              <w:rPr>
                <w:b/>
                <w:bCs/>
                <w:spacing w:val="-6"/>
                <w:sz w:val="18"/>
                <w:szCs w:val="18"/>
              </w:rPr>
              <w:t>最高允许</w:t>
            </w:r>
            <w:r>
              <w:rPr>
                <w:sz w:val="18"/>
                <w:szCs w:val="18"/>
              </w:rPr>
              <w:t xml:space="preserve"> </w:t>
            </w:r>
            <w:r>
              <w:rPr>
                <w:b/>
                <w:bCs/>
                <w:spacing w:val="9"/>
                <w:sz w:val="18"/>
                <w:szCs w:val="18"/>
              </w:rPr>
              <w:t>排放浓度</w:t>
            </w:r>
            <w:r>
              <w:rPr>
                <w:sz w:val="18"/>
                <w:szCs w:val="18"/>
              </w:rPr>
              <w:t xml:space="preserve"> </w:t>
            </w:r>
            <w:r>
              <w:rPr>
                <w:b/>
                <w:bCs/>
                <w:spacing w:val="-7"/>
                <w:sz w:val="18"/>
                <w:szCs w:val="18"/>
              </w:rPr>
              <w:t>（</w:t>
            </w:r>
            <w:r>
              <w:rPr>
                <w:rFonts w:ascii="Times New Roman" w:hAnsi="Times New Roman" w:eastAsia="Times New Roman" w:cs="Times New Roman"/>
                <w:b/>
                <w:bCs/>
                <w:spacing w:val="-7"/>
                <w:sz w:val="18"/>
                <w:szCs w:val="18"/>
              </w:rPr>
              <w:t>mg/m</w:t>
            </w:r>
            <w:r>
              <w:rPr>
                <w:rFonts w:ascii="Times New Roman" w:hAnsi="Times New Roman" w:eastAsia="Times New Roman" w:cs="Times New Roman"/>
                <w:b/>
                <w:bCs/>
                <w:spacing w:val="-7"/>
                <w:position w:val="5"/>
                <w:sz w:val="11"/>
                <w:szCs w:val="11"/>
              </w:rPr>
              <w:t>3</w:t>
            </w:r>
            <w:r>
              <w:rPr>
                <w:b/>
                <w:bCs/>
                <w:spacing w:val="-7"/>
                <w:sz w:val="18"/>
                <w:szCs w:val="18"/>
              </w:rPr>
              <w:t>）</w:t>
            </w:r>
          </w:p>
        </w:tc>
        <w:tc>
          <w:tcPr>
            <w:tcW w:w="2409" w:type="dxa"/>
            <w:gridSpan w:val="6"/>
            <w:vAlign w:val="top"/>
          </w:tcPr>
          <w:p w14:paraId="2B7A84F7">
            <w:pPr>
              <w:pStyle w:val="6"/>
              <w:spacing w:before="88" w:line="259" w:lineRule="auto"/>
              <w:ind w:left="535" w:hanging="453"/>
              <w:rPr>
                <w:sz w:val="18"/>
                <w:szCs w:val="18"/>
              </w:rPr>
            </w:pPr>
            <w:r>
              <w:rPr>
                <w:b/>
                <w:bCs/>
                <w:spacing w:val="-4"/>
                <w:sz w:val="18"/>
                <w:szCs w:val="18"/>
              </w:rPr>
              <w:t>与排气筒高度对应的最高允许</w:t>
            </w:r>
            <w:r>
              <w:rPr>
                <w:spacing w:val="7"/>
                <w:sz w:val="18"/>
                <w:szCs w:val="18"/>
              </w:rPr>
              <w:t xml:space="preserve"> </w:t>
            </w:r>
            <w:r>
              <w:rPr>
                <w:b/>
                <w:bCs/>
                <w:spacing w:val="-3"/>
                <w:sz w:val="18"/>
                <w:szCs w:val="18"/>
              </w:rPr>
              <w:t>排放速率（</w:t>
            </w:r>
            <w:r>
              <w:rPr>
                <w:rFonts w:ascii="Times New Roman" w:hAnsi="Times New Roman" w:eastAsia="Times New Roman" w:cs="Times New Roman"/>
                <w:b/>
                <w:bCs/>
                <w:spacing w:val="-3"/>
                <w:sz w:val="18"/>
                <w:szCs w:val="18"/>
              </w:rPr>
              <w:t>kg/h</w:t>
            </w:r>
            <w:r>
              <w:rPr>
                <w:b/>
                <w:bCs/>
                <w:spacing w:val="-3"/>
                <w:sz w:val="18"/>
                <w:szCs w:val="18"/>
              </w:rPr>
              <w:t>）</w:t>
            </w:r>
          </w:p>
        </w:tc>
        <w:tc>
          <w:tcPr>
            <w:tcW w:w="691" w:type="dxa"/>
            <w:gridSpan w:val="2"/>
            <w:vMerge w:val="restart"/>
            <w:tcBorders>
              <w:bottom w:val="nil"/>
            </w:tcBorders>
            <w:vAlign w:val="top"/>
          </w:tcPr>
          <w:p w14:paraId="4C7B800E">
            <w:pPr>
              <w:pStyle w:val="6"/>
              <w:spacing w:before="93" w:line="277" w:lineRule="auto"/>
              <w:ind w:left="128" w:right="32" w:hanging="8"/>
              <w:jc w:val="both"/>
              <w:rPr>
                <w:sz w:val="18"/>
                <w:szCs w:val="18"/>
              </w:rPr>
            </w:pPr>
            <w:r>
              <w:rPr>
                <w:b/>
                <w:bCs/>
                <w:spacing w:val="-5"/>
                <w:sz w:val="18"/>
                <w:szCs w:val="18"/>
              </w:rPr>
              <w:t>最低去</w:t>
            </w:r>
            <w:r>
              <w:rPr>
                <w:spacing w:val="1"/>
                <w:sz w:val="18"/>
                <w:szCs w:val="18"/>
              </w:rPr>
              <w:t xml:space="preserve"> </w:t>
            </w:r>
            <w:r>
              <w:rPr>
                <w:b/>
                <w:bCs/>
                <w:spacing w:val="-7"/>
                <w:sz w:val="18"/>
                <w:szCs w:val="18"/>
              </w:rPr>
              <w:t>除效率</w:t>
            </w:r>
            <w:r>
              <w:rPr>
                <w:sz w:val="18"/>
                <w:szCs w:val="18"/>
              </w:rPr>
              <w:t xml:space="preserve"> </w:t>
            </w:r>
            <w:r>
              <w:rPr>
                <w:b/>
                <w:bCs/>
                <w:spacing w:val="-7"/>
                <w:sz w:val="18"/>
                <w:szCs w:val="18"/>
              </w:rPr>
              <w:t>（</w:t>
            </w:r>
            <w:r>
              <w:rPr>
                <w:rFonts w:ascii="Times New Roman" w:hAnsi="Times New Roman" w:eastAsia="Times New Roman" w:cs="Times New Roman"/>
                <w:b/>
                <w:bCs/>
                <w:spacing w:val="-7"/>
                <w:sz w:val="18"/>
                <w:szCs w:val="18"/>
              </w:rPr>
              <w:t>%</w:t>
            </w:r>
            <w:r>
              <w:rPr>
                <w:b/>
                <w:bCs/>
                <w:spacing w:val="-7"/>
                <w:sz w:val="18"/>
                <w:szCs w:val="18"/>
              </w:rPr>
              <w:t>）</w:t>
            </w:r>
          </w:p>
        </w:tc>
        <w:tc>
          <w:tcPr>
            <w:tcW w:w="938" w:type="dxa"/>
            <w:gridSpan w:val="2"/>
            <w:vMerge w:val="restart"/>
            <w:tcBorders>
              <w:bottom w:val="nil"/>
              <w:right w:val="single" w:color="000000" w:sz="6" w:space="0"/>
            </w:tcBorders>
            <w:vAlign w:val="top"/>
          </w:tcPr>
          <w:p w14:paraId="76EC3776">
            <w:pPr>
              <w:pStyle w:val="6"/>
              <w:spacing w:before="93" w:line="277" w:lineRule="auto"/>
              <w:ind w:left="56" w:right="46" w:firstLine="41"/>
              <w:jc w:val="both"/>
              <w:rPr>
                <w:sz w:val="18"/>
                <w:szCs w:val="18"/>
              </w:rPr>
            </w:pPr>
            <w:r>
              <w:rPr>
                <w:b/>
                <w:bCs/>
                <w:spacing w:val="-4"/>
                <w:sz w:val="18"/>
                <w:szCs w:val="18"/>
              </w:rPr>
              <w:t>无组织排</w:t>
            </w:r>
            <w:r>
              <w:rPr>
                <w:spacing w:val="1"/>
                <w:sz w:val="18"/>
                <w:szCs w:val="18"/>
              </w:rPr>
              <w:t xml:space="preserve"> </w:t>
            </w:r>
            <w:r>
              <w:rPr>
                <w:b/>
                <w:bCs/>
                <w:spacing w:val="39"/>
                <w:sz w:val="18"/>
                <w:szCs w:val="18"/>
              </w:rPr>
              <w:t>放浓度</w:t>
            </w:r>
            <w:r>
              <w:rPr>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mg/m</w:t>
            </w:r>
            <w:r>
              <w:rPr>
                <w:rFonts w:ascii="Times New Roman" w:hAnsi="Times New Roman" w:eastAsia="Times New Roman" w:cs="Times New Roman"/>
                <w:b/>
                <w:bCs/>
                <w:spacing w:val="-5"/>
                <w:position w:val="5"/>
                <w:sz w:val="11"/>
                <w:szCs w:val="11"/>
              </w:rPr>
              <w:t>3</w:t>
            </w:r>
            <w:r>
              <w:rPr>
                <w:b/>
                <w:bCs/>
                <w:spacing w:val="-5"/>
                <w:sz w:val="18"/>
                <w:szCs w:val="18"/>
              </w:rPr>
              <w:t>）</w:t>
            </w:r>
          </w:p>
        </w:tc>
      </w:tr>
      <w:tr w14:paraId="12AE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12" w:type="dxa"/>
            <w:vMerge w:val="continue"/>
            <w:tcBorders>
              <w:top w:val="nil"/>
              <w:left w:val="single" w:color="000000" w:sz="6" w:space="0"/>
              <w:bottom w:val="nil"/>
            </w:tcBorders>
            <w:vAlign w:val="top"/>
          </w:tcPr>
          <w:p w14:paraId="3F8D027C">
            <w:pPr>
              <w:rPr>
                <w:rFonts w:ascii="Arial"/>
                <w:sz w:val="21"/>
              </w:rPr>
            </w:pPr>
          </w:p>
        </w:tc>
        <w:tc>
          <w:tcPr>
            <w:tcW w:w="768" w:type="dxa"/>
            <w:vMerge w:val="continue"/>
            <w:tcBorders>
              <w:top w:val="nil"/>
            </w:tcBorders>
            <w:vAlign w:val="top"/>
          </w:tcPr>
          <w:p w14:paraId="18DF7D76">
            <w:pPr>
              <w:rPr>
                <w:rFonts w:ascii="Arial"/>
                <w:sz w:val="21"/>
              </w:rPr>
            </w:pPr>
          </w:p>
        </w:tc>
        <w:tc>
          <w:tcPr>
            <w:tcW w:w="1524" w:type="dxa"/>
            <w:gridSpan w:val="4"/>
            <w:vMerge w:val="continue"/>
            <w:tcBorders>
              <w:top w:val="nil"/>
            </w:tcBorders>
            <w:vAlign w:val="top"/>
          </w:tcPr>
          <w:p w14:paraId="3A9F9A92">
            <w:pPr>
              <w:rPr>
                <w:rFonts w:ascii="Arial"/>
                <w:sz w:val="21"/>
              </w:rPr>
            </w:pPr>
          </w:p>
        </w:tc>
        <w:tc>
          <w:tcPr>
            <w:tcW w:w="822" w:type="dxa"/>
            <w:vMerge w:val="continue"/>
            <w:tcBorders>
              <w:top w:val="nil"/>
            </w:tcBorders>
            <w:vAlign w:val="top"/>
          </w:tcPr>
          <w:p w14:paraId="212CC3B8">
            <w:pPr>
              <w:rPr>
                <w:rFonts w:ascii="Arial"/>
                <w:sz w:val="21"/>
              </w:rPr>
            </w:pPr>
          </w:p>
        </w:tc>
        <w:tc>
          <w:tcPr>
            <w:tcW w:w="902" w:type="dxa"/>
            <w:vMerge w:val="continue"/>
            <w:tcBorders>
              <w:top w:val="nil"/>
            </w:tcBorders>
            <w:vAlign w:val="top"/>
          </w:tcPr>
          <w:p w14:paraId="3D78BC00">
            <w:pPr>
              <w:rPr>
                <w:rFonts w:ascii="Arial"/>
                <w:sz w:val="21"/>
              </w:rPr>
            </w:pPr>
          </w:p>
        </w:tc>
        <w:tc>
          <w:tcPr>
            <w:tcW w:w="499" w:type="dxa"/>
            <w:tcBorders>
              <w:right w:val="single" w:color="808080" w:sz="2" w:space="0"/>
            </w:tcBorders>
            <w:vAlign w:val="top"/>
          </w:tcPr>
          <w:p w14:paraId="449F0BD7">
            <w:pPr>
              <w:spacing w:before="121" w:line="188" w:lineRule="auto"/>
              <w:ind w:left="141"/>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15m</w:t>
            </w:r>
          </w:p>
        </w:tc>
        <w:tc>
          <w:tcPr>
            <w:tcW w:w="618" w:type="dxa"/>
            <w:gridSpan w:val="2"/>
            <w:tcBorders>
              <w:left w:val="single" w:color="808080" w:sz="2" w:space="0"/>
            </w:tcBorders>
            <w:vAlign w:val="top"/>
          </w:tcPr>
          <w:p w14:paraId="102F173A">
            <w:pPr>
              <w:spacing w:before="121" w:line="188" w:lineRule="auto"/>
              <w:ind w:left="19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20m</w:t>
            </w:r>
          </w:p>
        </w:tc>
        <w:tc>
          <w:tcPr>
            <w:tcW w:w="647" w:type="dxa"/>
            <w:gridSpan w:val="2"/>
            <w:vAlign w:val="top"/>
          </w:tcPr>
          <w:p w14:paraId="24E56698">
            <w:pPr>
              <w:spacing w:before="121" w:line="188" w:lineRule="auto"/>
              <w:ind w:left="20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30m</w:t>
            </w:r>
          </w:p>
        </w:tc>
        <w:tc>
          <w:tcPr>
            <w:tcW w:w="645" w:type="dxa"/>
            <w:vAlign w:val="top"/>
          </w:tcPr>
          <w:p w14:paraId="20958FCC">
            <w:pPr>
              <w:spacing w:before="121" w:line="188" w:lineRule="auto"/>
              <w:ind w:left="20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40m</w:t>
            </w:r>
          </w:p>
        </w:tc>
        <w:tc>
          <w:tcPr>
            <w:tcW w:w="691" w:type="dxa"/>
            <w:gridSpan w:val="2"/>
            <w:vMerge w:val="continue"/>
            <w:tcBorders>
              <w:top w:val="nil"/>
            </w:tcBorders>
            <w:vAlign w:val="top"/>
          </w:tcPr>
          <w:p w14:paraId="2A1430D0">
            <w:pPr>
              <w:rPr>
                <w:rFonts w:ascii="Arial"/>
                <w:sz w:val="21"/>
              </w:rPr>
            </w:pPr>
          </w:p>
        </w:tc>
        <w:tc>
          <w:tcPr>
            <w:tcW w:w="938" w:type="dxa"/>
            <w:gridSpan w:val="2"/>
            <w:vMerge w:val="continue"/>
            <w:tcBorders>
              <w:top w:val="nil"/>
              <w:right w:val="single" w:color="000000" w:sz="6" w:space="0"/>
            </w:tcBorders>
            <w:vAlign w:val="top"/>
          </w:tcPr>
          <w:p w14:paraId="7E739936">
            <w:pPr>
              <w:rPr>
                <w:rFonts w:ascii="Arial"/>
                <w:sz w:val="21"/>
              </w:rPr>
            </w:pPr>
          </w:p>
        </w:tc>
      </w:tr>
      <w:tr w14:paraId="6F35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2" w:type="dxa"/>
            <w:vMerge w:val="continue"/>
            <w:tcBorders>
              <w:top w:val="nil"/>
              <w:left w:val="single" w:color="000000" w:sz="6" w:space="0"/>
              <w:bottom w:val="nil"/>
            </w:tcBorders>
            <w:vAlign w:val="top"/>
          </w:tcPr>
          <w:p w14:paraId="0FE6B0BF">
            <w:pPr>
              <w:rPr>
                <w:rFonts w:ascii="Arial"/>
                <w:sz w:val="21"/>
              </w:rPr>
            </w:pPr>
          </w:p>
        </w:tc>
        <w:tc>
          <w:tcPr>
            <w:tcW w:w="768" w:type="dxa"/>
            <w:vAlign w:val="top"/>
          </w:tcPr>
          <w:p w14:paraId="458860A9">
            <w:pPr>
              <w:spacing w:before="117" w:line="277" w:lineRule="auto"/>
              <w:ind w:left="181" w:hanging="1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DB51/237</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7-2017</w:t>
            </w:r>
          </w:p>
        </w:tc>
        <w:tc>
          <w:tcPr>
            <w:tcW w:w="1524" w:type="dxa"/>
            <w:gridSpan w:val="4"/>
            <w:vAlign w:val="top"/>
          </w:tcPr>
          <w:p w14:paraId="763B873A">
            <w:pPr>
              <w:pStyle w:val="6"/>
              <w:spacing w:before="241" w:line="220" w:lineRule="auto"/>
              <w:ind w:left="458"/>
              <w:rPr>
                <w:sz w:val="18"/>
                <w:szCs w:val="18"/>
              </w:rPr>
            </w:pPr>
            <w:r>
              <w:rPr>
                <w:spacing w:val="-2"/>
                <w:sz w:val="18"/>
                <w:szCs w:val="18"/>
              </w:rPr>
              <w:t>表面涂装</w:t>
            </w:r>
          </w:p>
        </w:tc>
        <w:tc>
          <w:tcPr>
            <w:tcW w:w="822" w:type="dxa"/>
            <w:vAlign w:val="top"/>
          </w:tcPr>
          <w:p w14:paraId="2E2E05FF">
            <w:pPr>
              <w:spacing w:before="26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VOCs</w:t>
            </w:r>
          </w:p>
        </w:tc>
        <w:tc>
          <w:tcPr>
            <w:tcW w:w="902" w:type="dxa"/>
            <w:vAlign w:val="top"/>
          </w:tcPr>
          <w:p w14:paraId="5DF0DEF9">
            <w:pPr>
              <w:spacing w:before="269" w:line="188" w:lineRule="auto"/>
              <w:ind w:left="4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499" w:type="dxa"/>
            <w:tcBorders>
              <w:right w:val="single" w:color="808080" w:sz="2" w:space="0"/>
            </w:tcBorders>
            <w:vAlign w:val="top"/>
          </w:tcPr>
          <w:p w14:paraId="7C7B61D6">
            <w:pPr>
              <w:spacing w:before="269" w:line="188" w:lineRule="auto"/>
              <w:ind w:left="1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618" w:type="dxa"/>
            <w:gridSpan w:val="2"/>
            <w:tcBorders>
              <w:left w:val="single" w:color="808080" w:sz="2" w:space="0"/>
            </w:tcBorders>
            <w:vAlign w:val="top"/>
          </w:tcPr>
          <w:p w14:paraId="2AE101FD">
            <w:pPr>
              <w:spacing w:before="269" w:line="188" w:lineRule="auto"/>
              <w:ind w:left="2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tc>
        <w:tc>
          <w:tcPr>
            <w:tcW w:w="647" w:type="dxa"/>
            <w:gridSpan w:val="2"/>
            <w:vAlign w:val="top"/>
          </w:tcPr>
          <w:p w14:paraId="30FA57D2">
            <w:pPr>
              <w:spacing w:before="269"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645" w:type="dxa"/>
            <w:vAlign w:val="top"/>
          </w:tcPr>
          <w:p w14:paraId="0BF0BAB6">
            <w:pPr>
              <w:spacing w:before="269"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691" w:type="dxa"/>
            <w:gridSpan w:val="2"/>
            <w:vAlign w:val="top"/>
          </w:tcPr>
          <w:p w14:paraId="492EB3AC">
            <w:pPr>
              <w:spacing w:before="269"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938" w:type="dxa"/>
            <w:gridSpan w:val="2"/>
            <w:tcBorders>
              <w:right w:val="single" w:color="000000" w:sz="6" w:space="0"/>
            </w:tcBorders>
            <w:vAlign w:val="top"/>
          </w:tcPr>
          <w:p w14:paraId="4E1CB682">
            <w:pPr>
              <w:spacing w:before="266" w:line="192"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7C4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12" w:type="dxa"/>
            <w:vMerge w:val="continue"/>
            <w:tcBorders>
              <w:top w:val="nil"/>
              <w:left w:val="single" w:color="000000" w:sz="6" w:space="0"/>
              <w:bottom w:val="nil"/>
            </w:tcBorders>
            <w:vAlign w:val="top"/>
          </w:tcPr>
          <w:p w14:paraId="6C56FFFF">
            <w:pPr>
              <w:rPr>
                <w:rFonts w:ascii="Arial"/>
                <w:sz w:val="21"/>
              </w:rPr>
            </w:pPr>
          </w:p>
        </w:tc>
        <w:tc>
          <w:tcPr>
            <w:tcW w:w="768" w:type="dxa"/>
            <w:vMerge w:val="restart"/>
            <w:tcBorders>
              <w:bottom w:val="nil"/>
            </w:tcBorders>
            <w:vAlign w:val="top"/>
          </w:tcPr>
          <w:p w14:paraId="790651FE">
            <w:pPr>
              <w:spacing w:before="281" w:line="344" w:lineRule="auto"/>
              <w:ind w:left="246" w:hanging="18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GB13271-</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2014</w:t>
            </w:r>
          </w:p>
        </w:tc>
        <w:tc>
          <w:tcPr>
            <w:tcW w:w="1524" w:type="dxa"/>
            <w:gridSpan w:val="4"/>
            <w:vMerge w:val="restart"/>
            <w:tcBorders>
              <w:bottom w:val="nil"/>
            </w:tcBorders>
            <w:vAlign w:val="top"/>
          </w:tcPr>
          <w:p w14:paraId="62E0E250">
            <w:pPr>
              <w:spacing w:line="340" w:lineRule="auto"/>
              <w:rPr>
                <w:rFonts w:ascii="Arial"/>
                <w:sz w:val="21"/>
              </w:rPr>
            </w:pPr>
          </w:p>
          <w:p w14:paraId="01E3379A">
            <w:pPr>
              <w:pStyle w:val="6"/>
              <w:spacing w:before="59" w:line="220" w:lineRule="auto"/>
              <w:ind w:left="459"/>
              <w:rPr>
                <w:sz w:val="18"/>
                <w:szCs w:val="18"/>
              </w:rPr>
            </w:pPr>
            <w:r>
              <w:rPr>
                <w:spacing w:val="-2"/>
                <w:sz w:val="18"/>
                <w:szCs w:val="18"/>
              </w:rPr>
              <w:t>燃气锅炉</w:t>
            </w:r>
          </w:p>
        </w:tc>
        <w:tc>
          <w:tcPr>
            <w:tcW w:w="822" w:type="dxa"/>
            <w:vAlign w:val="top"/>
          </w:tcPr>
          <w:p w14:paraId="4303A092">
            <w:pPr>
              <w:pStyle w:val="6"/>
              <w:spacing w:before="89" w:line="211" w:lineRule="auto"/>
              <w:ind w:left="194"/>
              <w:rPr>
                <w:sz w:val="18"/>
                <w:szCs w:val="18"/>
              </w:rPr>
            </w:pPr>
            <w:r>
              <w:rPr>
                <w:spacing w:val="-3"/>
                <w:sz w:val="18"/>
                <w:szCs w:val="18"/>
              </w:rPr>
              <w:t>颗粒物</w:t>
            </w:r>
          </w:p>
        </w:tc>
        <w:tc>
          <w:tcPr>
            <w:tcW w:w="902" w:type="dxa"/>
            <w:vAlign w:val="top"/>
          </w:tcPr>
          <w:p w14:paraId="6BB66BA2">
            <w:pPr>
              <w:spacing w:before="120" w:line="188" w:lineRule="auto"/>
              <w:ind w:left="4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499" w:type="dxa"/>
            <w:tcBorders>
              <w:right w:val="single" w:color="808080" w:sz="2" w:space="0"/>
            </w:tcBorders>
            <w:vAlign w:val="top"/>
          </w:tcPr>
          <w:p w14:paraId="4D493C8F">
            <w:pPr>
              <w:spacing w:before="117" w:line="192"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18" w:type="dxa"/>
            <w:gridSpan w:val="2"/>
            <w:tcBorders>
              <w:left w:val="single" w:color="808080" w:sz="2" w:space="0"/>
            </w:tcBorders>
            <w:vAlign w:val="top"/>
          </w:tcPr>
          <w:p w14:paraId="1AB99D3A">
            <w:pPr>
              <w:spacing w:before="117"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7" w:type="dxa"/>
            <w:gridSpan w:val="2"/>
            <w:vAlign w:val="top"/>
          </w:tcPr>
          <w:p w14:paraId="19E79BCC">
            <w:pPr>
              <w:spacing w:before="117" w:line="192" w:lineRule="auto"/>
              <w:ind w:left="33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5" w:type="dxa"/>
            <w:vAlign w:val="top"/>
          </w:tcPr>
          <w:p w14:paraId="5A6FA2AE">
            <w:pPr>
              <w:spacing w:before="117" w:line="192"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1" w:type="dxa"/>
            <w:gridSpan w:val="2"/>
            <w:vAlign w:val="top"/>
          </w:tcPr>
          <w:p w14:paraId="61E66AF8">
            <w:pPr>
              <w:spacing w:before="117" w:line="192" w:lineRule="auto"/>
              <w:ind w:left="3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gridSpan w:val="2"/>
            <w:tcBorders>
              <w:right w:val="single" w:color="000000" w:sz="6" w:space="0"/>
            </w:tcBorders>
            <w:vAlign w:val="top"/>
          </w:tcPr>
          <w:p w14:paraId="72140BC9">
            <w:pPr>
              <w:spacing w:before="117" w:line="192"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8B2E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12" w:type="dxa"/>
            <w:vMerge w:val="continue"/>
            <w:tcBorders>
              <w:top w:val="nil"/>
              <w:left w:val="single" w:color="000000" w:sz="6" w:space="0"/>
              <w:bottom w:val="nil"/>
            </w:tcBorders>
            <w:vAlign w:val="top"/>
          </w:tcPr>
          <w:p w14:paraId="6CB00B15">
            <w:pPr>
              <w:rPr>
                <w:rFonts w:ascii="Arial"/>
                <w:sz w:val="21"/>
              </w:rPr>
            </w:pPr>
          </w:p>
        </w:tc>
        <w:tc>
          <w:tcPr>
            <w:tcW w:w="768" w:type="dxa"/>
            <w:vMerge w:val="continue"/>
            <w:tcBorders>
              <w:top w:val="nil"/>
              <w:bottom w:val="nil"/>
            </w:tcBorders>
            <w:vAlign w:val="top"/>
          </w:tcPr>
          <w:p w14:paraId="6E25C5FF">
            <w:pPr>
              <w:rPr>
                <w:rFonts w:ascii="Arial"/>
                <w:sz w:val="21"/>
              </w:rPr>
            </w:pPr>
          </w:p>
        </w:tc>
        <w:tc>
          <w:tcPr>
            <w:tcW w:w="1524" w:type="dxa"/>
            <w:gridSpan w:val="4"/>
            <w:vMerge w:val="continue"/>
            <w:tcBorders>
              <w:top w:val="nil"/>
              <w:bottom w:val="nil"/>
            </w:tcBorders>
            <w:vAlign w:val="top"/>
          </w:tcPr>
          <w:p w14:paraId="7A2DE0C4">
            <w:pPr>
              <w:rPr>
                <w:rFonts w:ascii="Arial"/>
                <w:sz w:val="21"/>
              </w:rPr>
            </w:pPr>
          </w:p>
        </w:tc>
        <w:tc>
          <w:tcPr>
            <w:tcW w:w="822" w:type="dxa"/>
            <w:vAlign w:val="top"/>
          </w:tcPr>
          <w:p w14:paraId="2A9315BB">
            <w:pPr>
              <w:pStyle w:val="6"/>
              <w:spacing w:before="91" w:line="209" w:lineRule="auto"/>
              <w:jc w:val="right"/>
              <w:rPr>
                <w:sz w:val="18"/>
                <w:szCs w:val="18"/>
              </w:rPr>
            </w:pPr>
            <w:r>
              <w:rPr>
                <w:spacing w:val="-4"/>
                <w:sz w:val="18"/>
                <w:szCs w:val="18"/>
              </w:rPr>
              <w:t>二氧化硫</w:t>
            </w:r>
          </w:p>
        </w:tc>
        <w:tc>
          <w:tcPr>
            <w:tcW w:w="902" w:type="dxa"/>
            <w:vAlign w:val="top"/>
          </w:tcPr>
          <w:p w14:paraId="3D7ECB61">
            <w:pPr>
              <w:spacing w:before="120" w:line="188" w:lineRule="auto"/>
              <w:ind w:left="4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499" w:type="dxa"/>
            <w:tcBorders>
              <w:right w:val="single" w:color="808080" w:sz="2" w:space="0"/>
            </w:tcBorders>
            <w:vAlign w:val="top"/>
          </w:tcPr>
          <w:p w14:paraId="01C8C941">
            <w:pPr>
              <w:spacing w:before="116" w:line="192"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18" w:type="dxa"/>
            <w:gridSpan w:val="2"/>
            <w:tcBorders>
              <w:left w:val="single" w:color="808080" w:sz="2" w:space="0"/>
            </w:tcBorders>
            <w:vAlign w:val="top"/>
          </w:tcPr>
          <w:p w14:paraId="124B6347">
            <w:pPr>
              <w:spacing w:before="116"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7" w:type="dxa"/>
            <w:gridSpan w:val="2"/>
            <w:vAlign w:val="top"/>
          </w:tcPr>
          <w:p w14:paraId="1D631A02">
            <w:pPr>
              <w:spacing w:before="116" w:line="192" w:lineRule="auto"/>
              <w:ind w:left="33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5" w:type="dxa"/>
            <w:vAlign w:val="top"/>
          </w:tcPr>
          <w:p w14:paraId="67491E77">
            <w:pPr>
              <w:spacing w:before="116" w:line="192"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1" w:type="dxa"/>
            <w:gridSpan w:val="2"/>
            <w:vAlign w:val="top"/>
          </w:tcPr>
          <w:p w14:paraId="71253800">
            <w:pPr>
              <w:spacing w:before="116" w:line="192" w:lineRule="auto"/>
              <w:ind w:left="3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gridSpan w:val="2"/>
            <w:tcBorders>
              <w:right w:val="single" w:color="000000" w:sz="6" w:space="0"/>
            </w:tcBorders>
            <w:vAlign w:val="top"/>
          </w:tcPr>
          <w:p w14:paraId="3E5546BE">
            <w:pPr>
              <w:spacing w:before="116" w:line="192"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A45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12" w:type="dxa"/>
            <w:vMerge w:val="continue"/>
            <w:tcBorders>
              <w:top w:val="nil"/>
              <w:left w:val="single" w:color="000000" w:sz="6" w:space="0"/>
              <w:bottom w:val="nil"/>
            </w:tcBorders>
            <w:vAlign w:val="top"/>
          </w:tcPr>
          <w:p w14:paraId="0D231BF1">
            <w:pPr>
              <w:rPr>
                <w:rFonts w:ascii="Arial"/>
                <w:sz w:val="21"/>
              </w:rPr>
            </w:pPr>
          </w:p>
        </w:tc>
        <w:tc>
          <w:tcPr>
            <w:tcW w:w="768" w:type="dxa"/>
            <w:vMerge w:val="continue"/>
            <w:tcBorders>
              <w:top w:val="nil"/>
            </w:tcBorders>
            <w:vAlign w:val="top"/>
          </w:tcPr>
          <w:p w14:paraId="376B1D18">
            <w:pPr>
              <w:rPr>
                <w:rFonts w:ascii="Arial"/>
                <w:sz w:val="21"/>
              </w:rPr>
            </w:pPr>
          </w:p>
        </w:tc>
        <w:tc>
          <w:tcPr>
            <w:tcW w:w="1524" w:type="dxa"/>
            <w:gridSpan w:val="4"/>
            <w:vMerge w:val="continue"/>
            <w:tcBorders>
              <w:top w:val="nil"/>
            </w:tcBorders>
            <w:vAlign w:val="top"/>
          </w:tcPr>
          <w:p w14:paraId="187777A2">
            <w:pPr>
              <w:rPr>
                <w:rFonts w:ascii="Arial"/>
                <w:sz w:val="21"/>
              </w:rPr>
            </w:pPr>
          </w:p>
        </w:tc>
        <w:tc>
          <w:tcPr>
            <w:tcW w:w="822" w:type="dxa"/>
            <w:vAlign w:val="top"/>
          </w:tcPr>
          <w:p w14:paraId="13661706">
            <w:pPr>
              <w:pStyle w:val="6"/>
              <w:spacing w:before="91" w:line="209" w:lineRule="auto"/>
              <w:jc w:val="right"/>
              <w:rPr>
                <w:sz w:val="18"/>
                <w:szCs w:val="18"/>
              </w:rPr>
            </w:pPr>
            <w:r>
              <w:rPr>
                <w:spacing w:val="-2"/>
                <w:sz w:val="18"/>
                <w:szCs w:val="18"/>
              </w:rPr>
              <w:t>氮氧化物</w:t>
            </w:r>
          </w:p>
        </w:tc>
        <w:tc>
          <w:tcPr>
            <w:tcW w:w="902" w:type="dxa"/>
            <w:vAlign w:val="top"/>
          </w:tcPr>
          <w:p w14:paraId="4B9C4180">
            <w:pPr>
              <w:spacing w:before="11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499" w:type="dxa"/>
            <w:tcBorders>
              <w:right w:val="single" w:color="808080" w:sz="2" w:space="0"/>
            </w:tcBorders>
            <w:vAlign w:val="top"/>
          </w:tcPr>
          <w:p w14:paraId="19025D51">
            <w:pPr>
              <w:spacing w:before="116" w:line="192"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18" w:type="dxa"/>
            <w:gridSpan w:val="2"/>
            <w:tcBorders>
              <w:left w:val="single" w:color="808080" w:sz="2" w:space="0"/>
            </w:tcBorders>
            <w:vAlign w:val="top"/>
          </w:tcPr>
          <w:p w14:paraId="5E839306">
            <w:pPr>
              <w:spacing w:before="116" w:line="19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7" w:type="dxa"/>
            <w:gridSpan w:val="2"/>
            <w:vAlign w:val="top"/>
          </w:tcPr>
          <w:p w14:paraId="6FB89332">
            <w:pPr>
              <w:spacing w:before="116" w:line="192" w:lineRule="auto"/>
              <w:ind w:left="33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5" w:type="dxa"/>
            <w:vAlign w:val="top"/>
          </w:tcPr>
          <w:p w14:paraId="565ECF8B">
            <w:pPr>
              <w:spacing w:before="116" w:line="192"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1" w:type="dxa"/>
            <w:gridSpan w:val="2"/>
            <w:vAlign w:val="top"/>
          </w:tcPr>
          <w:p w14:paraId="025DD444">
            <w:pPr>
              <w:spacing w:before="116" w:line="192" w:lineRule="auto"/>
              <w:ind w:left="3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gridSpan w:val="2"/>
            <w:tcBorders>
              <w:right w:val="single" w:color="000000" w:sz="6" w:space="0"/>
            </w:tcBorders>
            <w:vAlign w:val="top"/>
          </w:tcPr>
          <w:p w14:paraId="36E27394">
            <w:pPr>
              <w:spacing w:before="116" w:line="192" w:lineRule="auto"/>
              <w:ind w:left="4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187B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6" w:hRule="atLeast"/>
        </w:trPr>
        <w:tc>
          <w:tcPr>
            <w:tcW w:w="812" w:type="dxa"/>
            <w:vMerge w:val="continue"/>
            <w:tcBorders>
              <w:top w:val="nil"/>
              <w:left w:val="single" w:color="000000" w:sz="6" w:space="0"/>
            </w:tcBorders>
            <w:vAlign w:val="top"/>
          </w:tcPr>
          <w:p w14:paraId="649FDFF1">
            <w:pPr>
              <w:rPr>
                <w:rFonts w:ascii="Arial"/>
                <w:sz w:val="21"/>
              </w:rPr>
            </w:pPr>
          </w:p>
        </w:tc>
        <w:tc>
          <w:tcPr>
            <w:tcW w:w="8054" w:type="dxa"/>
            <w:gridSpan w:val="17"/>
            <w:tcBorders>
              <w:right w:val="single" w:color="000000" w:sz="6" w:space="0"/>
            </w:tcBorders>
            <w:vAlign w:val="top"/>
          </w:tcPr>
          <w:p w14:paraId="59A0F640">
            <w:pPr>
              <w:spacing w:before="170" w:line="219" w:lineRule="auto"/>
              <w:ind w:left="1568"/>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3-8        </w:t>
            </w:r>
            <w:r>
              <w:rPr>
                <w:rFonts w:ascii="黑体" w:hAnsi="黑体" w:eastAsia="黑体" w:cs="黑体"/>
                <w:sz w:val="18"/>
                <w:szCs w:val="18"/>
              </w:rPr>
              <w:t>项目砌块、板材及干混砂浆生产</w:t>
            </w:r>
            <w:r>
              <w:rPr>
                <w:rFonts w:ascii="黑体" w:hAnsi="黑体" w:eastAsia="黑体" w:cs="黑体"/>
                <w:spacing w:val="-1"/>
                <w:sz w:val="18"/>
                <w:szCs w:val="18"/>
              </w:rPr>
              <w:t>过程的粉尘排放执行标准</w:t>
            </w:r>
          </w:p>
          <w:p w14:paraId="52FCB5BE">
            <w:pPr>
              <w:spacing w:line="20" w:lineRule="exact"/>
            </w:pPr>
          </w:p>
          <w:tbl>
            <w:tblPr>
              <w:tblStyle w:val="5"/>
              <w:tblW w:w="7702"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1542"/>
              <w:gridCol w:w="2293"/>
              <w:gridCol w:w="1353"/>
              <w:gridCol w:w="1255"/>
            </w:tblGrid>
            <w:tr w14:paraId="5AFB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259" w:type="dxa"/>
                  <w:vAlign w:val="top"/>
                </w:tcPr>
                <w:p w14:paraId="2368229B">
                  <w:pPr>
                    <w:pStyle w:val="6"/>
                    <w:spacing w:before="92" w:line="211" w:lineRule="auto"/>
                    <w:ind w:left="455"/>
                    <w:rPr>
                      <w:sz w:val="18"/>
                      <w:szCs w:val="18"/>
                    </w:rPr>
                  </w:pPr>
                  <w:r>
                    <w:rPr>
                      <w:b/>
                      <w:bCs/>
                      <w:spacing w:val="-6"/>
                      <w:sz w:val="18"/>
                      <w:szCs w:val="18"/>
                    </w:rPr>
                    <w:t>标准</w:t>
                  </w:r>
                </w:p>
              </w:tc>
              <w:tc>
                <w:tcPr>
                  <w:tcW w:w="1542" w:type="dxa"/>
                  <w:vAlign w:val="top"/>
                </w:tcPr>
                <w:p w14:paraId="5E59A505">
                  <w:pPr>
                    <w:pStyle w:val="6"/>
                    <w:spacing w:before="92" w:line="211" w:lineRule="auto"/>
                    <w:ind w:left="414"/>
                    <w:rPr>
                      <w:sz w:val="18"/>
                      <w:szCs w:val="18"/>
                    </w:rPr>
                  </w:pPr>
                  <w:r>
                    <w:rPr>
                      <w:b/>
                      <w:bCs/>
                      <w:spacing w:val="-4"/>
                      <w:sz w:val="18"/>
                      <w:szCs w:val="18"/>
                    </w:rPr>
                    <w:t>生产过程</w:t>
                  </w:r>
                </w:p>
              </w:tc>
              <w:tc>
                <w:tcPr>
                  <w:tcW w:w="2293" w:type="dxa"/>
                  <w:vAlign w:val="top"/>
                </w:tcPr>
                <w:p w14:paraId="0C1ADDB0">
                  <w:pPr>
                    <w:pStyle w:val="6"/>
                    <w:spacing w:before="92" w:line="211" w:lineRule="auto"/>
                    <w:ind w:left="792"/>
                    <w:rPr>
                      <w:sz w:val="18"/>
                      <w:szCs w:val="18"/>
                    </w:rPr>
                  </w:pPr>
                  <w:r>
                    <w:rPr>
                      <w:b/>
                      <w:bCs/>
                      <w:spacing w:val="-4"/>
                      <w:sz w:val="18"/>
                      <w:szCs w:val="18"/>
                    </w:rPr>
                    <w:t>生产设备</w:t>
                  </w:r>
                </w:p>
              </w:tc>
              <w:tc>
                <w:tcPr>
                  <w:tcW w:w="1353" w:type="dxa"/>
                  <w:vAlign w:val="top"/>
                </w:tcPr>
                <w:p w14:paraId="76AEE5F1">
                  <w:pPr>
                    <w:pStyle w:val="6"/>
                    <w:spacing w:before="92" w:line="211" w:lineRule="auto"/>
                    <w:ind w:left="514"/>
                    <w:rPr>
                      <w:sz w:val="18"/>
                      <w:szCs w:val="18"/>
                    </w:rPr>
                  </w:pPr>
                  <w:r>
                    <w:rPr>
                      <w:b/>
                      <w:bCs/>
                      <w:spacing w:val="-13"/>
                      <w:sz w:val="18"/>
                      <w:szCs w:val="18"/>
                    </w:rPr>
                    <w:t>区域</w:t>
                  </w:r>
                </w:p>
              </w:tc>
              <w:tc>
                <w:tcPr>
                  <w:tcW w:w="1255" w:type="dxa"/>
                  <w:vAlign w:val="top"/>
                </w:tcPr>
                <w:p w14:paraId="5A048E96">
                  <w:pPr>
                    <w:pStyle w:val="6"/>
                    <w:spacing w:before="92" w:line="211" w:lineRule="auto"/>
                    <w:ind w:left="359"/>
                    <w:rPr>
                      <w:sz w:val="18"/>
                      <w:szCs w:val="18"/>
                    </w:rPr>
                  </w:pPr>
                  <w:r>
                    <w:rPr>
                      <w:b/>
                      <w:bCs/>
                      <w:spacing w:val="-4"/>
                      <w:sz w:val="18"/>
                      <w:szCs w:val="18"/>
                    </w:rPr>
                    <w:t>颗粒物</w:t>
                  </w:r>
                </w:p>
              </w:tc>
            </w:tr>
            <w:tr w14:paraId="15627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59" w:type="dxa"/>
                  <w:vMerge w:val="restart"/>
                  <w:tcBorders>
                    <w:bottom w:val="nil"/>
                  </w:tcBorders>
                  <w:vAlign w:val="top"/>
                </w:tcPr>
                <w:p w14:paraId="15229135">
                  <w:pPr>
                    <w:spacing w:line="371" w:lineRule="auto"/>
                    <w:rPr>
                      <w:rFonts w:ascii="Arial"/>
                      <w:sz w:val="21"/>
                    </w:rPr>
                  </w:pPr>
                </w:p>
                <w:p w14:paraId="232A79D0">
                  <w:pPr>
                    <w:spacing w:before="52" w:line="192" w:lineRule="auto"/>
                    <w:ind w:left="4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DB51/2864-2021</w:t>
                  </w:r>
                </w:p>
              </w:tc>
              <w:tc>
                <w:tcPr>
                  <w:tcW w:w="1542" w:type="dxa"/>
                  <w:vAlign w:val="top"/>
                </w:tcPr>
                <w:p w14:paraId="33D4788E">
                  <w:pPr>
                    <w:pStyle w:val="6"/>
                    <w:spacing w:before="88" w:line="211" w:lineRule="auto"/>
                    <w:ind w:left="234"/>
                    <w:rPr>
                      <w:sz w:val="18"/>
                      <w:szCs w:val="18"/>
                    </w:rPr>
                  </w:pPr>
                  <w:r>
                    <w:rPr>
                      <w:spacing w:val="-2"/>
                      <w:sz w:val="18"/>
                      <w:szCs w:val="18"/>
                    </w:rPr>
                    <w:t>水泥制品生产</w:t>
                  </w:r>
                </w:p>
              </w:tc>
              <w:tc>
                <w:tcPr>
                  <w:tcW w:w="2293" w:type="dxa"/>
                  <w:vAlign w:val="top"/>
                </w:tcPr>
                <w:p w14:paraId="4ABE689B">
                  <w:pPr>
                    <w:pStyle w:val="6"/>
                    <w:spacing w:before="88" w:line="211" w:lineRule="auto"/>
                    <w:ind w:left="72"/>
                    <w:rPr>
                      <w:sz w:val="18"/>
                      <w:szCs w:val="18"/>
                    </w:rPr>
                  </w:pPr>
                  <w:r>
                    <w:rPr>
                      <w:spacing w:val="-1"/>
                      <w:sz w:val="18"/>
                      <w:szCs w:val="18"/>
                    </w:rPr>
                    <w:t>水泥仓及其他通风生产设备</w:t>
                  </w:r>
                </w:p>
              </w:tc>
              <w:tc>
                <w:tcPr>
                  <w:tcW w:w="1353" w:type="dxa"/>
                  <w:vAlign w:val="top"/>
                </w:tcPr>
                <w:p w14:paraId="51EBE1A3">
                  <w:pPr>
                    <w:pStyle w:val="6"/>
                    <w:spacing w:before="88" w:line="211" w:lineRule="auto"/>
                    <w:ind w:left="249"/>
                    <w:rPr>
                      <w:sz w:val="18"/>
                      <w:szCs w:val="18"/>
                    </w:rPr>
                  </w:pPr>
                  <w:r>
                    <w:rPr>
                      <w:spacing w:val="-5"/>
                      <w:sz w:val="18"/>
                      <w:szCs w:val="18"/>
                    </w:rPr>
                    <w:t>四川省全域</w:t>
                  </w:r>
                </w:p>
              </w:tc>
              <w:tc>
                <w:tcPr>
                  <w:tcW w:w="1255" w:type="dxa"/>
                  <w:vAlign w:val="top"/>
                </w:tcPr>
                <w:p w14:paraId="5EE73730">
                  <w:pPr>
                    <w:spacing w:before="101" w:line="206" w:lineRule="auto"/>
                    <w:ind w:left="31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10mg/m</w:t>
                  </w:r>
                  <w:r>
                    <w:rPr>
                      <w:rFonts w:ascii="Times New Roman" w:hAnsi="Times New Roman" w:eastAsia="Times New Roman" w:cs="Times New Roman"/>
                      <w:spacing w:val="-3"/>
                      <w:position w:val="5"/>
                      <w:sz w:val="11"/>
                      <w:szCs w:val="11"/>
                    </w:rPr>
                    <w:t>3</w:t>
                  </w:r>
                </w:p>
              </w:tc>
            </w:tr>
            <w:tr w14:paraId="2BB6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59" w:type="dxa"/>
                  <w:vMerge w:val="continue"/>
                  <w:tcBorders>
                    <w:top w:val="nil"/>
                    <w:bottom w:val="nil"/>
                  </w:tcBorders>
                  <w:vAlign w:val="top"/>
                </w:tcPr>
                <w:p w14:paraId="72E17174">
                  <w:pPr>
                    <w:rPr>
                      <w:rFonts w:ascii="Arial"/>
                      <w:sz w:val="21"/>
                    </w:rPr>
                  </w:pPr>
                </w:p>
              </w:tc>
              <w:tc>
                <w:tcPr>
                  <w:tcW w:w="1542" w:type="dxa"/>
                  <w:vAlign w:val="top"/>
                </w:tcPr>
                <w:p w14:paraId="76283B84">
                  <w:pPr>
                    <w:pStyle w:val="6"/>
                    <w:spacing w:before="89" w:line="210" w:lineRule="auto"/>
                    <w:ind w:left="322"/>
                    <w:rPr>
                      <w:sz w:val="18"/>
                      <w:szCs w:val="18"/>
                    </w:rPr>
                  </w:pPr>
                  <w:r>
                    <w:rPr>
                      <w:b/>
                      <w:bCs/>
                      <w:spacing w:val="-4"/>
                      <w:sz w:val="18"/>
                      <w:szCs w:val="18"/>
                    </w:rPr>
                    <w:t>污染物项目</w:t>
                  </w:r>
                </w:p>
              </w:tc>
              <w:tc>
                <w:tcPr>
                  <w:tcW w:w="2293" w:type="dxa"/>
                  <w:vAlign w:val="top"/>
                </w:tcPr>
                <w:p w14:paraId="0FF8CD1A">
                  <w:pPr>
                    <w:pStyle w:val="6"/>
                    <w:spacing w:before="89" w:line="210" w:lineRule="auto"/>
                    <w:ind w:left="791"/>
                    <w:rPr>
                      <w:sz w:val="18"/>
                      <w:szCs w:val="18"/>
                    </w:rPr>
                  </w:pPr>
                  <w:r>
                    <w:rPr>
                      <w:b/>
                      <w:bCs/>
                      <w:spacing w:val="-4"/>
                      <w:sz w:val="18"/>
                      <w:szCs w:val="18"/>
                    </w:rPr>
                    <w:t>监控位置</w:t>
                  </w:r>
                </w:p>
              </w:tc>
              <w:tc>
                <w:tcPr>
                  <w:tcW w:w="1353" w:type="dxa"/>
                  <w:vAlign w:val="top"/>
                </w:tcPr>
                <w:p w14:paraId="15A20CC0">
                  <w:pPr>
                    <w:pStyle w:val="6"/>
                    <w:spacing w:before="89" w:line="210" w:lineRule="auto"/>
                    <w:ind w:left="514"/>
                    <w:rPr>
                      <w:sz w:val="18"/>
                      <w:szCs w:val="18"/>
                    </w:rPr>
                  </w:pPr>
                  <w:r>
                    <w:rPr>
                      <w:b/>
                      <w:bCs/>
                      <w:spacing w:val="-13"/>
                      <w:sz w:val="18"/>
                      <w:szCs w:val="18"/>
                    </w:rPr>
                    <w:t>区域</w:t>
                  </w:r>
                </w:p>
              </w:tc>
              <w:tc>
                <w:tcPr>
                  <w:tcW w:w="1255" w:type="dxa"/>
                  <w:vAlign w:val="top"/>
                </w:tcPr>
                <w:p w14:paraId="6E1F012B">
                  <w:pPr>
                    <w:pStyle w:val="6"/>
                    <w:spacing w:before="89" w:line="210" w:lineRule="auto"/>
                    <w:ind w:left="464"/>
                    <w:rPr>
                      <w:sz w:val="18"/>
                      <w:szCs w:val="18"/>
                    </w:rPr>
                  </w:pPr>
                  <w:r>
                    <w:rPr>
                      <w:b/>
                      <w:bCs/>
                      <w:spacing w:val="-12"/>
                      <w:sz w:val="18"/>
                      <w:szCs w:val="18"/>
                    </w:rPr>
                    <w:t>限值</w:t>
                  </w:r>
                </w:p>
              </w:tc>
            </w:tr>
            <w:tr w14:paraId="6D8CC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259" w:type="dxa"/>
                  <w:vMerge w:val="continue"/>
                  <w:tcBorders>
                    <w:top w:val="nil"/>
                  </w:tcBorders>
                  <w:vAlign w:val="top"/>
                </w:tcPr>
                <w:p w14:paraId="1562B4A6">
                  <w:pPr>
                    <w:rPr>
                      <w:rFonts w:ascii="Arial"/>
                      <w:sz w:val="21"/>
                    </w:rPr>
                  </w:pPr>
                </w:p>
              </w:tc>
              <w:tc>
                <w:tcPr>
                  <w:tcW w:w="1542" w:type="dxa"/>
                  <w:vAlign w:val="top"/>
                </w:tcPr>
                <w:p w14:paraId="6B827728">
                  <w:pPr>
                    <w:pStyle w:val="6"/>
                    <w:spacing w:before="89" w:line="214" w:lineRule="auto"/>
                    <w:ind w:left="503"/>
                    <w:rPr>
                      <w:sz w:val="18"/>
                      <w:szCs w:val="18"/>
                    </w:rPr>
                  </w:pPr>
                  <w:r>
                    <w:rPr>
                      <w:spacing w:val="-3"/>
                      <w:sz w:val="18"/>
                      <w:szCs w:val="18"/>
                    </w:rPr>
                    <w:t>颗粒物</w:t>
                  </w:r>
                </w:p>
              </w:tc>
              <w:tc>
                <w:tcPr>
                  <w:tcW w:w="2293" w:type="dxa"/>
                  <w:vAlign w:val="top"/>
                </w:tcPr>
                <w:p w14:paraId="77F5D8CF">
                  <w:pPr>
                    <w:pStyle w:val="6"/>
                    <w:spacing w:before="89" w:line="214" w:lineRule="auto"/>
                    <w:ind w:left="793"/>
                    <w:rPr>
                      <w:sz w:val="18"/>
                      <w:szCs w:val="18"/>
                    </w:rPr>
                  </w:pPr>
                  <w:r>
                    <w:rPr>
                      <w:spacing w:val="-3"/>
                      <w:sz w:val="18"/>
                      <w:szCs w:val="18"/>
                    </w:rPr>
                    <w:t>企业边界</w:t>
                  </w:r>
                </w:p>
              </w:tc>
              <w:tc>
                <w:tcPr>
                  <w:tcW w:w="1353" w:type="dxa"/>
                  <w:vAlign w:val="top"/>
                </w:tcPr>
                <w:p w14:paraId="6D57767D">
                  <w:pPr>
                    <w:pStyle w:val="6"/>
                    <w:spacing w:before="89" w:line="214" w:lineRule="auto"/>
                    <w:ind w:left="412"/>
                    <w:rPr>
                      <w:sz w:val="18"/>
                      <w:szCs w:val="18"/>
                    </w:rPr>
                  </w:pPr>
                  <w:r>
                    <w:rPr>
                      <w:spacing w:val="-3"/>
                      <w:sz w:val="18"/>
                      <w:szCs w:val="18"/>
                    </w:rPr>
                    <w:t>达州市</w:t>
                  </w:r>
                </w:p>
              </w:tc>
              <w:tc>
                <w:tcPr>
                  <w:tcW w:w="1255" w:type="dxa"/>
                  <w:vAlign w:val="top"/>
                </w:tcPr>
                <w:p w14:paraId="2128D50F">
                  <w:pPr>
                    <w:spacing w:before="105" w:line="206" w:lineRule="auto"/>
                    <w:ind w:left="280"/>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0.3mg/m</w:t>
                  </w:r>
                  <w:r>
                    <w:rPr>
                      <w:rFonts w:ascii="Times New Roman" w:hAnsi="Times New Roman" w:eastAsia="Times New Roman" w:cs="Times New Roman"/>
                      <w:spacing w:val="-1"/>
                      <w:position w:val="5"/>
                      <w:sz w:val="11"/>
                      <w:szCs w:val="11"/>
                    </w:rPr>
                    <w:t>3</w:t>
                  </w:r>
                </w:p>
              </w:tc>
            </w:tr>
          </w:tbl>
          <w:p w14:paraId="678C42EB">
            <w:pPr>
              <w:pStyle w:val="6"/>
              <w:spacing w:before="132" w:line="220" w:lineRule="auto"/>
              <w:ind w:left="523"/>
            </w:pPr>
            <w:r>
              <w:rPr>
                <w:rFonts w:ascii="Times New Roman" w:hAnsi="Times New Roman" w:eastAsia="Times New Roman" w:cs="Times New Roman"/>
                <w:spacing w:val="-1"/>
              </w:rPr>
              <w:t>2.</w:t>
            </w:r>
            <w:r>
              <w:rPr>
                <w:spacing w:val="-1"/>
              </w:rPr>
              <w:t>废水污染物：</w:t>
            </w:r>
          </w:p>
          <w:p w14:paraId="1440F001">
            <w:pPr>
              <w:pStyle w:val="6"/>
              <w:spacing w:before="105" w:line="293" w:lineRule="auto"/>
              <w:ind w:left="84" w:right="84" w:firstLine="446"/>
            </w:pPr>
            <w:r>
              <w:rPr>
                <w:spacing w:val="-2"/>
              </w:rPr>
              <w:t>项目生产废水收集处理后实现循环回用不外排。生活污水通过定期拉运的方式</w:t>
            </w:r>
            <w:r>
              <w:rPr>
                <w:spacing w:val="14"/>
              </w:rPr>
              <w:t xml:space="preserve"> </w:t>
            </w:r>
            <w:r>
              <w:rPr>
                <w:spacing w:val="-1"/>
              </w:rPr>
              <w:t>进入东岳镇场镇污水处理厂，处理后达标排入双龙河。因</w:t>
            </w:r>
            <w:r>
              <w:rPr>
                <w:spacing w:val="-2"/>
              </w:rPr>
              <w:t>此，项目生活污水排放执</w:t>
            </w:r>
            <w:r>
              <w:t xml:space="preserve"> 行《污水综合排放标准》（</w:t>
            </w:r>
            <w:r>
              <w:rPr>
                <w:rFonts w:ascii="Times New Roman" w:hAnsi="Times New Roman" w:eastAsia="Times New Roman" w:cs="Times New Roman"/>
              </w:rPr>
              <w:t>GB8798-1996</w:t>
            </w:r>
            <w:r>
              <w:t>）中三级</w:t>
            </w:r>
            <w:r>
              <w:rPr>
                <w:spacing w:val="-1"/>
              </w:rPr>
              <w:t>标准限值。</w:t>
            </w:r>
          </w:p>
          <w:p w14:paraId="015A0E12">
            <w:pPr>
              <w:pStyle w:val="6"/>
              <w:spacing w:before="32" w:line="212" w:lineRule="auto"/>
              <w:ind w:left="528"/>
            </w:pPr>
            <w:r>
              <w:rPr>
                <w:rFonts w:ascii="Times New Roman" w:hAnsi="Times New Roman" w:eastAsia="Times New Roman" w:cs="Times New Roman"/>
                <w:spacing w:val="-2"/>
              </w:rPr>
              <w:t>3.</w:t>
            </w:r>
            <w:r>
              <w:rPr>
                <w:spacing w:val="-2"/>
              </w:rPr>
              <w:t>噪声：</w:t>
            </w:r>
          </w:p>
        </w:tc>
      </w:tr>
    </w:tbl>
    <w:p w14:paraId="3CEBFC03">
      <w:pPr>
        <w:pStyle w:val="2"/>
      </w:pPr>
    </w:p>
    <w:p w14:paraId="5370A431">
      <w:pPr>
        <w:sectPr>
          <w:footerReference r:id="rId58" w:type="default"/>
          <w:pgSz w:w="11907" w:h="16840"/>
          <w:pgMar w:top="1431" w:right="1513" w:bottom="1259" w:left="1512" w:header="0" w:footer="1080" w:gutter="0"/>
          <w:cols w:space="720" w:num="1"/>
        </w:sectPr>
      </w:pPr>
    </w:p>
    <w:p w14:paraId="4DBC671B">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5159C179">
        <w:tblPrEx>
          <w:tblCellMar>
            <w:top w:w="0" w:type="dxa"/>
            <w:left w:w="0" w:type="dxa"/>
            <w:bottom w:w="0" w:type="dxa"/>
            <w:right w:w="0" w:type="dxa"/>
          </w:tblCellMar>
        </w:tblPrEx>
        <w:trPr>
          <w:trHeight w:val="5451" w:hRule="atLeast"/>
        </w:trPr>
        <w:tc>
          <w:tcPr>
            <w:tcW w:w="808" w:type="dxa"/>
            <w:tcBorders>
              <w:left w:val="single" w:color="000000" w:sz="6" w:space="0"/>
            </w:tcBorders>
            <w:vAlign w:val="top"/>
          </w:tcPr>
          <w:p w14:paraId="37CBF855">
            <w:pPr>
              <w:rPr>
                <w:rFonts w:ascii="Arial"/>
                <w:sz w:val="21"/>
              </w:rPr>
            </w:pPr>
          </w:p>
        </w:tc>
        <w:tc>
          <w:tcPr>
            <w:tcW w:w="8058" w:type="dxa"/>
            <w:tcBorders>
              <w:right w:val="single" w:color="000000" w:sz="6" w:space="0"/>
            </w:tcBorders>
            <w:vAlign w:val="top"/>
          </w:tcPr>
          <w:p w14:paraId="6E9B48ED">
            <w:pPr>
              <w:pStyle w:val="6"/>
              <w:spacing w:before="103" w:line="281" w:lineRule="auto"/>
              <w:ind w:left="105" w:right="84" w:firstLine="425"/>
            </w:pPr>
            <w:r>
              <w:rPr>
                <w:spacing w:val="-3"/>
              </w:rPr>
              <w:t>施工期执行《建筑施工场界环境噪声排放标准》</w:t>
            </w:r>
            <w:r>
              <w:rPr>
                <w:rFonts w:ascii="Times New Roman" w:hAnsi="Times New Roman" w:eastAsia="Times New Roman" w:cs="Times New Roman"/>
                <w:spacing w:val="-3"/>
              </w:rPr>
              <w:t>(G</w:t>
            </w:r>
            <w:r>
              <w:rPr>
                <w:rFonts w:ascii="Times New Roman" w:hAnsi="Times New Roman" w:eastAsia="Times New Roman" w:cs="Times New Roman"/>
                <w:spacing w:val="-4"/>
              </w:rPr>
              <w:t>B</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12523</w:t>
            </w:r>
            <w:r>
              <w:rPr>
                <w:spacing w:val="-4"/>
              </w:rPr>
              <w:t>－</w:t>
            </w:r>
            <w:r>
              <w:rPr>
                <w:rFonts w:ascii="Times New Roman" w:hAnsi="Times New Roman" w:eastAsia="Times New Roman" w:cs="Times New Roman"/>
                <w:spacing w:val="-4"/>
              </w:rPr>
              <w:t>2011)</w:t>
            </w:r>
            <w:r>
              <w:rPr>
                <w:spacing w:val="-4"/>
              </w:rPr>
              <w:t>表</w:t>
            </w:r>
            <w:r>
              <w:rPr>
                <w:rFonts w:ascii="Times New Roman" w:hAnsi="Times New Roman" w:eastAsia="Times New Roman" w:cs="Times New Roman"/>
                <w:spacing w:val="-4"/>
              </w:rPr>
              <w:t>1</w:t>
            </w:r>
            <w:r>
              <w:rPr>
                <w:spacing w:val="-4"/>
              </w:rPr>
              <w:t>中的排放</w:t>
            </w:r>
            <w:r>
              <w:t xml:space="preserve"> </w:t>
            </w:r>
            <w:r>
              <w:rPr>
                <w:spacing w:val="-8"/>
              </w:rPr>
              <w:t>限值。</w:t>
            </w:r>
          </w:p>
          <w:p w14:paraId="1B0D3AB5">
            <w:pPr>
              <w:pStyle w:val="6"/>
              <w:spacing w:before="50" w:line="211" w:lineRule="auto"/>
              <w:ind w:left="2265"/>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&lt;55d</w:t>
            </w:r>
            <w:r>
              <w:rPr>
                <w:rFonts w:ascii="Times New Roman" w:hAnsi="Times New Roman" w:eastAsia="Times New Roman" w:cs="Times New Roman"/>
                <w:spacing w:val="-1"/>
              </w:rPr>
              <w:t>B(A)</w:t>
            </w:r>
          </w:p>
          <w:p w14:paraId="2237A5D2">
            <w:pPr>
              <w:pStyle w:val="6"/>
              <w:spacing w:before="107" w:line="281" w:lineRule="auto"/>
              <w:ind w:left="91" w:right="84" w:firstLine="447"/>
            </w:pPr>
            <w:r>
              <w:rPr>
                <w:spacing w:val="-1"/>
              </w:rPr>
              <w:t>营运期厂界噪声执行《工业企业厂界环境噪声排放标准》</w:t>
            </w:r>
            <w:r>
              <w:rPr>
                <w:rFonts w:ascii="Times New Roman" w:hAnsi="Times New Roman" w:eastAsia="Times New Roman" w:cs="Times New Roman"/>
                <w:spacing w:val="-1"/>
              </w:rPr>
              <w:t>(G</w:t>
            </w:r>
            <w:r>
              <w:rPr>
                <w:rFonts w:ascii="Times New Roman" w:hAnsi="Times New Roman" w:eastAsia="Times New Roman" w:cs="Times New Roman"/>
                <w:spacing w:val="-2"/>
              </w:rPr>
              <w:t>B</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12348-2008) 3</w:t>
            </w:r>
            <w:r>
              <w:rPr>
                <w:spacing w:val="-2"/>
              </w:rPr>
              <w:t>类</w:t>
            </w:r>
            <w:r>
              <w:t xml:space="preserve"> </w:t>
            </w:r>
            <w:r>
              <w:rPr>
                <w:spacing w:val="-1"/>
              </w:rPr>
              <w:t>标准。环境噪声排放限值见下表。</w:t>
            </w:r>
          </w:p>
          <w:p w14:paraId="3D12DA29">
            <w:pPr>
              <w:spacing w:before="55" w:line="221" w:lineRule="auto"/>
              <w:ind w:left="22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3-8      </w:t>
            </w:r>
            <w:r>
              <w:rPr>
                <w:rFonts w:ascii="黑体" w:hAnsi="黑体" w:eastAsia="黑体" w:cs="黑体"/>
                <w:spacing w:val="-1"/>
                <w:sz w:val="18"/>
                <w:szCs w:val="18"/>
              </w:rPr>
              <w:t>工业企业厂界环境噪声排放标准限值</w:t>
            </w:r>
          </w:p>
          <w:p w14:paraId="1ED147E3">
            <w:pPr>
              <w:spacing w:line="17" w:lineRule="auto"/>
              <w:rPr>
                <w:rFonts w:ascii="Arial"/>
                <w:sz w:val="2"/>
              </w:rPr>
            </w:pP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14:paraId="18914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14:paraId="7FF96397">
                  <w:pPr>
                    <w:pStyle w:val="6"/>
                    <w:spacing w:before="90" w:line="221" w:lineRule="auto"/>
                    <w:jc w:val="right"/>
                    <w:rPr>
                      <w:sz w:val="18"/>
                      <w:szCs w:val="18"/>
                    </w:rPr>
                  </w:pPr>
                  <w:r>
                    <w:rPr>
                      <w:spacing w:val="-10"/>
                      <w:sz w:val="18"/>
                      <w:szCs w:val="18"/>
                    </w:rPr>
                    <w:t>时</w:t>
                  </w:r>
                  <w:r>
                    <w:rPr>
                      <w:spacing w:val="-8"/>
                      <w:sz w:val="18"/>
                      <w:szCs w:val="18"/>
                    </w:rPr>
                    <w:t>段</w:t>
                  </w:r>
                </w:p>
                <w:p w14:paraId="375AA681">
                  <w:pPr>
                    <w:pStyle w:val="6"/>
                    <w:spacing w:before="84" w:line="211" w:lineRule="auto"/>
                    <w:ind w:left="7"/>
                    <w:rPr>
                      <w:sz w:val="18"/>
                      <w:szCs w:val="18"/>
                    </w:rPr>
                  </w:pPr>
                  <w:r>
                    <w:rPr>
                      <w:spacing w:val="-1"/>
                      <w:sz w:val="18"/>
                      <w:szCs w:val="18"/>
                    </w:rPr>
                    <w:t>厂界外声环境功能区类别</w:t>
                  </w:r>
                </w:p>
              </w:tc>
              <w:tc>
                <w:tcPr>
                  <w:tcW w:w="2081" w:type="dxa"/>
                  <w:vAlign w:val="top"/>
                </w:tcPr>
                <w:p w14:paraId="13B74E55">
                  <w:pPr>
                    <w:pStyle w:val="6"/>
                    <w:spacing w:before="241" w:line="210" w:lineRule="auto"/>
                    <w:ind w:left="613"/>
                    <w:rPr>
                      <w:rFonts w:ascii="Times New Roman" w:hAnsi="Times New Roman" w:eastAsia="Times New Roman" w:cs="Times New Roman"/>
                      <w:sz w:val="18"/>
                      <w:szCs w:val="18"/>
                    </w:rPr>
                  </w:pPr>
                  <w:r>
                    <w:rPr>
                      <w:spacing w:val="-2"/>
                      <w:sz w:val="18"/>
                      <w:szCs w:val="18"/>
                    </w:rPr>
                    <w:t>昼间</w:t>
                  </w:r>
                  <w:r>
                    <w:rPr>
                      <w:spacing w:val="-37"/>
                      <w:sz w:val="18"/>
                      <w:szCs w:val="18"/>
                    </w:rPr>
                    <w:t xml:space="preserve"> </w:t>
                  </w:r>
                  <w:r>
                    <w:rPr>
                      <w:rFonts w:ascii="Times New Roman" w:hAnsi="Times New Roman" w:eastAsia="Times New Roman" w:cs="Times New Roman"/>
                      <w:spacing w:val="-2"/>
                      <w:sz w:val="18"/>
                      <w:szCs w:val="18"/>
                    </w:rPr>
                    <w:t>dB(A)</w:t>
                  </w:r>
                </w:p>
              </w:tc>
              <w:tc>
                <w:tcPr>
                  <w:tcW w:w="1646" w:type="dxa"/>
                  <w:vAlign w:val="top"/>
                </w:tcPr>
                <w:p w14:paraId="5F91A796">
                  <w:pPr>
                    <w:pStyle w:val="6"/>
                    <w:spacing w:before="241" w:line="210" w:lineRule="auto"/>
                    <w:ind w:left="398"/>
                    <w:rPr>
                      <w:rFonts w:ascii="Times New Roman" w:hAnsi="Times New Roman" w:eastAsia="Times New Roman" w:cs="Times New Roman"/>
                      <w:sz w:val="18"/>
                      <w:szCs w:val="18"/>
                    </w:rPr>
                  </w:pPr>
                  <w:r>
                    <w:rPr>
                      <w:spacing w:val="-3"/>
                      <w:sz w:val="18"/>
                      <w:szCs w:val="18"/>
                    </w:rPr>
                    <w:t>夜间</w:t>
                  </w:r>
                  <w:r>
                    <w:rPr>
                      <w:spacing w:val="-36"/>
                      <w:sz w:val="18"/>
                      <w:szCs w:val="18"/>
                    </w:rPr>
                    <w:t xml:space="preserve"> </w:t>
                  </w:r>
                  <w:r>
                    <w:rPr>
                      <w:rFonts w:ascii="Times New Roman" w:hAnsi="Times New Roman" w:eastAsia="Times New Roman" w:cs="Times New Roman"/>
                      <w:spacing w:val="-3"/>
                      <w:sz w:val="18"/>
                      <w:szCs w:val="18"/>
                    </w:rPr>
                    <w:t>dB(A)</w:t>
                  </w:r>
                </w:p>
              </w:tc>
            </w:tr>
            <w:tr w14:paraId="499F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14:paraId="502FCFE2">
                  <w:pPr>
                    <w:pStyle w:val="6"/>
                    <w:spacing w:before="91" w:line="212" w:lineRule="auto"/>
                    <w:ind w:left="1849"/>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6"/>
                      <w:sz w:val="18"/>
                      <w:szCs w:val="18"/>
                    </w:rPr>
                    <w:t xml:space="preserve"> </w:t>
                  </w:r>
                  <w:r>
                    <w:rPr>
                      <w:spacing w:val="-4"/>
                      <w:sz w:val="18"/>
                      <w:szCs w:val="18"/>
                    </w:rPr>
                    <w:t>类</w:t>
                  </w:r>
                </w:p>
              </w:tc>
              <w:tc>
                <w:tcPr>
                  <w:tcW w:w="2081" w:type="dxa"/>
                  <w:vAlign w:val="top"/>
                </w:tcPr>
                <w:p w14:paraId="293AAA8A">
                  <w:pPr>
                    <w:spacing w:before="120" w:line="188" w:lineRule="auto"/>
                    <w:ind w:left="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646" w:type="dxa"/>
                  <w:vAlign w:val="top"/>
                </w:tcPr>
                <w:p w14:paraId="21AF7799">
                  <w:pPr>
                    <w:spacing w:before="122" w:line="185"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r>
          </w:tbl>
          <w:p w14:paraId="68C9BFE5">
            <w:pPr>
              <w:pStyle w:val="6"/>
              <w:spacing w:before="131" w:line="221" w:lineRule="auto"/>
              <w:ind w:left="526"/>
            </w:pPr>
            <w:r>
              <w:rPr>
                <w:rFonts w:ascii="Times New Roman" w:hAnsi="Times New Roman" w:eastAsia="Times New Roman" w:cs="Times New Roman"/>
                <w:spacing w:val="-5"/>
              </w:rPr>
              <w:t>4.</w:t>
            </w:r>
            <w:r>
              <w:rPr>
                <w:rFonts w:ascii="Times New Roman" w:hAnsi="Times New Roman" w:eastAsia="Times New Roman" w:cs="Times New Roman"/>
                <w:spacing w:val="-26"/>
              </w:rPr>
              <w:t xml:space="preserve"> </w:t>
            </w:r>
            <w:r>
              <w:rPr>
                <w:spacing w:val="-5"/>
              </w:rPr>
              <w:t>固体废物：</w:t>
            </w:r>
          </w:p>
          <w:p w14:paraId="3B2A2C3E">
            <w:pPr>
              <w:pStyle w:val="6"/>
              <w:spacing w:before="138" w:line="336" w:lineRule="auto"/>
              <w:ind w:left="93" w:right="24" w:firstLine="417"/>
              <w:rPr>
                <w:sz w:val="20"/>
                <w:szCs w:val="20"/>
              </w:rPr>
            </w:pPr>
            <w:r>
              <w:rPr>
                <w:spacing w:val="1"/>
                <w:sz w:val="20"/>
                <w:szCs w:val="20"/>
              </w:rPr>
              <w:t>本项目的不合格产品、切割废料等属于一般固废，</w:t>
            </w:r>
            <w:r>
              <w:rPr>
                <w:spacing w:val="1"/>
              </w:rPr>
              <w:t>营运过程仅临时贮存一</w:t>
            </w:r>
            <w:r>
              <w:t xml:space="preserve">般固废， </w:t>
            </w:r>
            <w:r>
              <w:rPr>
                <w:spacing w:val="9"/>
                <w:sz w:val="20"/>
                <w:szCs w:val="20"/>
              </w:rPr>
              <w:t>不涉及填埋，其贮存过程参照执行《一般工业固体废物贮存和填埋污染控制标准》</w:t>
            </w:r>
          </w:p>
          <w:p w14:paraId="21F76665">
            <w:pPr>
              <w:pStyle w:val="6"/>
              <w:spacing w:before="46" w:line="321" w:lineRule="auto"/>
              <w:ind w:left="90" w:right="87" w:firstLine="9"/>
              <w:rPr>
                <w:sz w:val="20"/>
                <w:szCs w:val="20"/>
              </w:rPr>
            </w:pPr>
            <w:r>
              <w:rPr>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18599-2020</w:t>
            </w:r>
            <w:r>
              <w:rPr>
                <w:spacing w:val="8"/>
                <w:sz w:val="20"/>
                <w:szCs w:val="20"/>
              </w:rPr>
              <w:t>）中</w:t>
            </w:r>
            <w:r>
              <w:rPr>
                <w:rFonts w:ascii="Times New Roman" w:hAnsi="Times New Roman" w:eastAsia="Times New Roman" w:cs="Times New Roman"/>
                <w:spacing w:val="8"/>
                <w:sz w:val="20"/>
                <w:szCs w:val="20"/>
              </w:rPr>
              <w:t>“</w:t>
            </w:r>
            <w:r>
              <w:rPr>
                <w:spacing w:val="8"/>
                <w:sz w:val="20"/>
                <w:szCs w:val="20"/>
              </w:rPr>
              <w:t>用库房、包装工具（罐、桶、包装袋等）</w:t>
            </w:r>
            <w:r>
              <w:rPr>
                <w:spacing w:val="7"/>
                <w:sz w:val="20"/>
                <w:szCs w:val="20"/>
              </w:rPr>
              <w:t>贮存一般工业固体废物</w:t>
            </w:r>
            <w:r>
              <w:rPr>
                <w:sz w:val="20"/>
                <w:szCs w:val="20"/>
              </w:rPr>
              <w:t xml:space="preserve"> </w:t>
            </w:r>
            <w:r>
              <w:rPr>
                <w:spacing w:val="9"/>
                <w:sz w:val="20"/>
                <w:szCs w:val="20"/>
              </w:rPr>
              <w:t>过程的污染控制，其贮存过程应满足相应防渗漏、防雨淋、防扬尘等环境保护要求</w:t>
            </w:r>
            <w:r>
              <w:rPr>
                <w:rFonts w:ascii="Times New Roman" w:hAnsi="Times New Roman" w:eastAsia="Times New Roman" w:cs="Times New Roman"/>
                <w:spacing w:val="9"/>
                <w:sz w:val="20"/>
                <w:szCs w:val="20"/>
              </w:rPr>
              <w:t>”</w:t>
            </w:r>
            <w:r>
              <w:rPr>
                <w:rFonts w:ascii="Times New Roman" w:hAnsi="Times New Roman" w:eastAsia="Times New Roman" w:cs="Times New Roman"/>
                <w:spacing w:val="-12"/>
                <w:sz w:val="20"/>
                <w:szCs w:val="20"/>
              </w:rPr>
              <w:t xml:space="preserve"> </w:t>
            </w:r>
            <w:r>
              <w:rPr>
                <w:spacing w:val="9"/>
                <w:sz w:val="20"/>
                <w:szCs w:val="20"/>
              </w:rPr>
              <w:t>。</w:t>
            </w:r>
            <w:r>
              <w:rPr>
                <w:sz w:val="20"/>
                <w:szCs w:val="20"/>
              </w:rPr>
              <w:t xml:space="preserve"> </w:t>
            </w:r>
            <w:r>
              <w:rPr>
                <w:spacing w:val="3"/>
                <w:sz w:val="20"/>
                <w:szCs w:val="20"/>
              </w:rPr>
              <w:t>危险废物执行《危险废物贮存污染控制标准》（</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1859</w:t>
            </w:r>
            <w:r>
              <w:rPr>
                <w:rFonts w:ascii="Times New Roman" w:hAnsi="Times New Roman" w:eastAsia="Times New Roman" w:cs="Times New Roman"/>
                <w:spacing w:val="2"/>
                <w:sz w:val="20"/>
                <w:szCs w:val="20"/>
              </w:rPr>
              <w:t>7-2023</w:t>
            </w:r>
            <w:r>
              <w:rPr>
                <w:spacing w:val="2"/>
                <w:sz w:val="20"/>
                <w:szCs w:val="20"/>
              </w:rPr>
              <w:t>）。</w:t>
            </w:r>
          </w:p>
        </w:tc>
      </w:tr>
      <w:tr w14:paraId="0341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3" w:hRule="atLeast"/>
        </w:trPr>
        <w:tc>
          <w:tcPr>
            <w:tcW w:w="808" w:type="dxa"/>
            <w:tcBorders>
              <w:left w:val="single" w:color="000000" w:sz="6" w:space="0"/>
              <w:bottom w:val="single" w:color="000000" w:sz="6" w:space="0"/>
            </w:tcBorders>
            <w:vAlign w:val="top"/>
          </w:tcPr>
          <w:p w14:paraId="20B9CB00">
            <w:pPr>
              <w:spacing w:line="266" w:lineRule="auto"/>
              <w:rPr>
                <w:rFonts w:ascii="Arial"/>
                <w:sz w:val="21"/>
              </w:rPr>
            </w:pPr>
          </w:p>
          <w:p w14:paraId="318ED9B0">
            <w:pPr>
              <w:spacing w:line="266" w:lineRule="auto"/>
              <w:rPr>
                <w:rFonts w:ascii="Arial"/>
                <w:sz w:val="21"/>
              </w:rPr>
            </w:pPr>
          </w:p>
          <w:p w14:paraId="48DFC4E1">
            <w:pPr>
              <w:spacing w:line="267" w:lineRule="auto"/>
              <w:rPr>
                <w:rFonts w:ascii="Arial"/>
                <w:sz w:val="21"/>
              </w:rPr>
            </w:pPr>
          </w:p>
          <w:p w14:paraId="25EBEC4D">
            <w:pPr>
              <w:spacing w:line="267" w:lineRule="auto"/>
              <w:rPr>
                <w:rFonts w:ascii="Arial"/>
                <w:sz w:val="21"/>
              </w:rPr>
            </w:pPr>
          </w:p>
          <w:p w14:paraId="37303C22">
            <w:pPr>
              <w:spacing w:line="267" w:lineRule="auto"/>
              <w:rPr>
                <w:rFonts w:ascii="Arial"/>
                <w:sz w:val="21"/>
              </w:rPr>
            </w:pPr>
          </w:p>
          <w:p w14:paraId="788C14D0">
            <w:pPr>
              <w:pStyle w:val="6"/>
              <w:spacing w:before="71" w:line="233" w:lineRule="auto"/>
              <w:ind w:left="181" w:right="182" w:firstLine="6"/>
              <w:jc w:val="both"/>
            </w:pPr>
            <w:r>
              <w:rPr>
                <w:spacing w:val="-7"/>
              </w:rPr>
              <w:t>总量</w:t>
            </w:r>
            <w:r>
              <w:t xml:space="preserve"> </w:t>
            </w:r>
            <w:r>
              <w:rPr>
                <w:spacing w:val="-3"/>
              </w:rPr>
              <w:t>控制</w:t>
            </w:r>
            <w:r>
              <w:t xml:space="preserve"> </w:t>
            </w:r>
            <w:r>
              <w:rPr>
                <w:spacing w:val="-3"/>
              </w:rPr>
              <w:t>指标</w:t>
            </w:r>
          </w:p>
        </w:tc>
        <w:tc>
          <w:tcPr>
            <w:tcW w:w="8058" w:type="dxa"/>
            <w:tcBorders>
              <w:bottom w:val="single" w:color="000000" w:sz="6" w:space="0"/>
              <w:right w:val="single" w:color="000000" w:sz="6" w:space="0"/>
            </w:tcBorders>
            <w:vAlign w:val="top"/>
          </w:tcPr>
          <w:p w14:paraId="27419F5E">
            <w:pPr>
              <w:pStyle w:val="6"/>
              <w:spacing w:before="149" w:line="364" w:lineRule="auto"/>
              <w:ind w:left="88" w:right="96" w:firstLine="502"/>
              <w:rPr>
                <w:sz w:val="20"/>
                <w:szCs w:val="20"/>
              </w:rPr>
            </w:pPr>
            <w:r>
              <w:rPr>
                <w:spacing w:val="26"/>
                <w:sz w:val="20"/>
                <w:szCs w:val="20"/>
              </w:rPr>
              <w:t>目前我</w:t>
            </w:r>
            <w:r>
              <w:rPr>
                <w:spacing w:val="-38"/>
                <w:sz w:val="20"/>
                <w:szCs w:val="20"/>
              </w:rPr>
              <w:t xml:space="preserve"> </w:t>
            </w:r>
            <w:r>
              <w:rPr>
                <w:spacing w:val="26"/>
                <w:sz w:val="20"/>
                <w:szCs w:val="20"/>
              </w:rPr>
              <w:t>国的总量控制指标为挥发性有机物</w:t>
            </w:r>
            <w:r>
              <w:rPr>
                <w:rFonts w:ascii="Times New Roman" w:hAnsi="Times New Roman" w:eastAsia="Times New Roman" w:cs="Times New Roman"/>
                <w:spacing w:val="26"/>
                <w:sz w:val="20"/>
                <w:szCs w:val="20"/>
              </w:rPr>
              <w:t>(</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26"/>
                <w:sz w:val="20"/>
                <w:szCs w:val="20"/>
              </w:rPr>
              <w:t>)</w:t>
            </w:r>
            <w:r>
              <w:rPr>
                <w:rFonts w:ascii="Times New Roman" w:hAnsi="Times New Roman" w:eastAsia="Times New Roman" w:cs="Times New Roman"/>
                <w:spacing w:val="-13"/>
                <w:sz w:val="20"/>
                <w:szCs w:val="20"/>
              </w:rPr>
              <w:t xml:space="preserve"> </w:t>
            </w:r>
            <w:r>
              <w:rPr>
                <w:spacing w:val="26"/>
                <w:sz w:val="20"/>
                <w:szCs w:val="20"/>
              </w:rPr>
              <w:t>、化学</w:t>
            </w:r>
            <w:r>
              <w:rPr>
                <w:spacing w:val="-54"/>
                <w:sz w:val="20"/>
                <w:szCs w:val="20"/>
              </w:rPr>
              <w:t xml:space="preserve"> </w:t>
            </w:r>
            <w:r>
              <w:rPr>
                <w:spacing w:val="26"/>
                <w:sz w:val="20"/>
                <w:szCs w:val="20"/>
              </w:rPr>
              <w:t>需氧量</w:t>
            </w:r>
            <w:r>
              <w:rPr>
                <w:rFonts w:ascii="Times New Roman" w:hAnsi="Times New Roman" w:eastAsia="Times New Roman" w:cs="Times New Roman"/>
                <w:spacing w:val="26"/>
                <w:sz w:val="20"/>
                <w:szCs w:val="20"/>
              </w:rPr>
              <w:t>(</w:t>
            </w:r>
            <w:r>
              <w:rPr>
                <w:rFonts w:ascii="Times New Roman" w:hAnsi="Times New Roman" w:eastAsia="Times New Roman" w:cs="Times New Roman"/>
                <w:sz w:val="20"/>
                <w:szCs w:val="20"/>
              </w:rPr>
              <w:t>COD</w:t>
            </w:r>
            <w:r>
              <w:rPr>
                <w:rFonts w:ascii="Times New Roman" w:hAnsi="Times New Roman" w:eastAsia="Times New Roman" w:cs="Times New Roman"/>
                <w:spacing w:val="26"/>
                <w:sz w:val="20"/>
                <w:szCs w:val="20"/>
              </w:rPr>
              <w:t>)</w:t>
            </w:r>
            <w:r>
              <w:rPr>
                <w:rFonts w:ascii="Times New Roman" w:hAnsi="Times New Roman" w:eastAsia="Times New Roman" w:cs="Times New Roman"/>
                <w:spacing w:val="-11"/>
                <w:sz w:val="20"/>
                <w:szCs w:val="20"/>
              </w:rPr>
              <w:t xml:space="preserve"> </w:t>
            </w:r>
            <w:r>
              <w:rPr>
                <w:spacing w:val="26"/>
                <w:sz w:val="20"/>
                <w:szCs w:val="20"/>
              </w:rPr>
              <w:t>、氨</w:t>
            </w:r>
            <w:r>
              <w:rPr>
                <w:sz w:val="20"/>
                <w:szCs w:val="20"/>
              </w:rPr>
              <w:t xml:space="preserve"> </w:t>
            </w:r>
            <w:r>
              <w:rPr>
                <w:spacing w:val="23"/>
                <w:sz w:val="20"/>
                <w:szCs w:val="20"/>
              </w:rPr>
              <w:t>氮</w:t>
            </w:r>
            <w:r>
              <w:rPr>
                <w:rFonts w:ascii="Times New Roman" w:hAnsi="Times New Roman" w:eastAsia="Times New Roman" w:cs="Times New Roman"/>
                <w:spacing w:val="23"/>
                <w:sz w:val="20"/>
                <w:szCs w:val="20"/>
              </w:rPr>
              <w:t>(</w:t>
            </w:r>
            <w:r>
              <w:rPr>
                <w:rFonts w:ascii="Times New Roman" w:hAnsi="Times New Roman" w:eastAsia="Times New Roman" w:cs="Times New Roman"/>
                <w:sz w:val="20"/>
                <w:szCs w:val="20"/>
              </w:rPr>
              <w:t>NH</w:t>
            </w:r>
            <w:r>
              <w:rPr>
                <w:rFonts w:ascii="Times New Roman" w:hAnsi="Times New Roman" w:eastAsia="Times New Roman" w:cs="Times New Roman"/>
                <w:spacing w:val="23"/>
                <w:position w:val="-1"/>
                <w:sz w:val="13"/>
                <w:szCs w:val="13"/>
              </w:rPr>
              <w:t>3</w:t>
            </w:r>
            <w:r>
              <w:rPr>
                <w:rFonts w:ascii="Times New Roman" w:hAnsi="Times New Roman" w:eastAsia="Times New Roman" w:cs="Times New Roman"/>
                <w:spacing w:val="-16"/>
                <w:position w:val="-1"/>
                <w:sz w:val="13"/>
                <w:szCs w:val="13"/>
              </w:rPr>
              <w:t xml:space="preserve"> </w:t>
            </w:r>
            <w:r>
              <w:rPr>
                <w:rFonts w:ascii="Times New Roman" w:hAnsi="Times New Roman" w:eastAsia="Times New Roman" w:cs="Times New Roman"/>
                <w:spacing w:val="23"/>
                <w:sz w:val="20"/>
                <w:szCs w:val="20"/>
              </w:rPr>
              <w:t>-N)</w:t>
            </w:r>
            <w:r>
              <w:rPr>
                <w:spacing w:val="23"/>
                <w:sz w:val="20"/>
                <w:szCs w:val="20"/>
              </w:rPr>
              <w:t>和氮氧化物</w:t>
            </w:r>
            <w:r>
              <w:rPr>
                <w:rFonts w:ascii="Times New Roman" w:hAnsi="Times New Roman" w:eastAsia="Times New Roman" w:cs="Times New Roman"/>
                <w:spacing w:val="23"/>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23"/>
                <w:sz w:val="20"/>
                <w:szCs w:val="20"/>
              </w:rPr>
              <w:t>)</w:t>
            </w:r>
            <w:r>
              <w:rPr>
                <w:rFonts w:ascii="Times New Roman" w:hAnsi="Times New Roman" w:eastAsia="Times New Roman" w:cs="Times New Roman"/>
                <w:spacing w:val="-9"/>
                <w:sz w:val="20"/>
                <w:szCs w:val="20"/>
              </w:rPr>
              <w:t xml:space="preserve"> </w:t>
            </w:r>
            <w:r>
              <w:rPr>
                <w:spacing w:val="23"/>
                <w:sz w:val="20"/>
                <w:szCs w:val="20"/>
              </w:rPr>
              <w:t>。本项</w:t>
            </w:r>
            <w:r>
              <w:rPr>
                <w:spacing w:val="-30"/>
                <w:sz w:val="20"/>
                <w:szCs w:val="20"/>
              </w:rPr>
              <w:t xml:space="preserve"> </w:t>
            </w:r>
            <w:r>
              <w:rPr>
                <w:spacing w:val="23"/>
                <w:sz w:val="20"/>
                <w:szCs w:val="20"/>
              </w:rPr>
              <w:t>目为非金</w:t>
            </w:r>
            <w:r>
              <w:rPr>
                <w:spacing w:val="22"/>
                <w:sz w:val="20"/>
                <w:szCs w:val="20"/>
              </w:rPr>
              <w:t>属矿物制品制造项</w:t>
            </w:r>
            <w:r>
              <w:rPr>
                <w:spacing w:val="-31"/>
                <w:sz w:val="20"/>
                <w:szCs w:val="20"/>
              </w:rPr>
              <w:t xml:space="preserve"> </w:t>
            </w:r>
            <w:r>
              <w:rPr>
                <w:spacing w:val="22"/>
                <w:sz w:val="20"/>
                <w:szCs w:val="20"/>
              </w:rPr>
              <w:t>目</w:t>
            </w:r>
            <w:r>
              <w:rPr>
                <w:spacing w:val="-51"/>
                <w:sz w:val="20"/>
                <w:szCs w:val="20"/>
              </w:rPr>
              <w:t xml:space="preserve"> </w:t>
            </w:r>
            <w:r>
              <w:rPr>
                <w:spacing w:val="22"/>
                <w:sz w:val="20"/>
                <w:szCs w:val="20"/>
              </w:rPr>
              <w:t>，生产过程的</w:t>
            </w:r>
            <w:r>
              <w:rPr>
                <w:sz w:val="20"/>
                <w:szCs w:val="20"/>
              </w:rPr>
              <w:t xml:space="preserve"> </w:t>
            </w:r>
            <w:r>
              <w:rPr>
                <w:spacing w:val="16"/>
                <w:sz w:val="20"/>
                <w:szCs w:val="20"/>
              </w:rPr>
              <w:t>废气主要主要有</w:t>
            </w:r>
            <w:r>
              <w:rPr>
                <w:spacing w:val="-19"/>
                <w:sz w:val="20"/>
                <w:szCs w:val="20"/>
              </w:rPr>
              <w:t xml:space="preserve"> </w:t>
            </w:r>
            <w:r>
              <w:rPr>
                <w:rFonts w:ascii="Times New Roman" w:hAnsi="Times New Roman" w:eastAsia="Times New Roman" w:cs="Times New Roman"/>
                <w:sz w:val="20"/>
                <w:szCs w:val="20"/>
              </w:rPr>
              <w:t>VOC</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16"/>
                <w:position w:val="-1"/>
                <w:sz w:val="13"/>
                <w:szCs w:val="13"/>
              </w:rPr>
              <w:t xml:space="preserve"> </w:t>
            </w:r>
            <w:r>
              <w:rPr>
                <w:spacing w:val="16"/>
                <w:sz w:val="20"/>
                <w:szCs w:val="20"/>
              </w:rPr>
              <w:t>、颗粒物以及天然气燃烧产生的烟尘、</w:t>
            </w:r>
            <w:r>
              <w:rPr>
                <w:rFonts w:ascii="Times New Roman" w:hAnsi="Times New Roman" w:eastAsia="Times New Roman" w:cs="Times New Roman"/>
                <w:sz w:val="20"/>
                <w:szCs w:val="20"/>
              </w:rPr>
              <w:t>SO</w:t>
            </w:r>
            <w:r>
              <w:rPr>
                <w:rFonts w:ascii="Times New Roman" w:hAnsi="Times New Roman" w:eastAsia="Times New Roman" w:cs="Times New Roman"/>
                <w:spacing w:val="16"/>
                <w:position w:val="-1"/>
                <w:sz w:val="13"/>
                <w:szCs w:val="13"/>
              </w:rPr>
              <w:t>2</w:t>
            </w:r>
            <w:r>
              <w:rPr>
                <w:rFonts w:ascii="Times New Roman" w:hAnsi="Times New Roman" w:eastAsia="Times New Roman" w:cs="Times New Roman"/>
                <w:spacing w:val="-11"/>
                <w:position w:val="-1"/>
                <w:sz w:val="13"/>
                <w:szCs w:val="13"/>
              </w:rPr>
              <w:t xml:space="preserve"> </w:t>
            </w:r>
            <w:r>
              <w:rPr>
                <w:spacing w:val="16"/>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16"/>
                <w:position w:val="-1"/>
                <w:sz w:val="13"/>
                <w:szCs w:val="13"/>
              </w:rPr>
              <w:t xml:space="preserve"> </w:t>
            </w:r>
            <w:r>
              <w:rPr>
                <w:spacing w:val="16"/>
                <w:sz w:val="20"/>
                <w:szCs w:val="20"/>
              </w:rPr>
              <w:t>等污染</w:t>
            </w:r>
            <w:r>
              <w:rPr>
                <w:spacing w:val="15"/>
                <w:sz w:val="20"/>
                <w:szCs w:val="20"/>
              </w:rPr>
              <w:t>物。</w:t>
            </w:r>
            <w:r>
              <w:rPr>
                <w:sz w:val="20"/>
                <w:szCs w:val="20"/>
              </w:rPr>
              <w:t xml:space="preserve"> </w:t>
            </w:r>
            <w:r>
              <w:rPr>
                <w:spacing w:val="26"/>
                <w:sz w:val="20"/>
                <w:szCs w:val="20"/>
              </w:rPr>
              <w:t>生产废水处理后循环回用不外排；</w:t>
            </w:r>
            <w:r>
              <w:rPr>
                <w:spacing w:val="-25"/>
                <w:sz w:val="20"/>
                <w:szCs w:val="20"/>
              </w:rPr>
              <w:t xml:space="preserve"> </w:t>
            </w:r>
            <w:r>
              <w:rPr>
                <w:spacing w:val="26"/>
                <w:sz w:val="20"/>
                <w:szCs w:val="20"/>
              </w:rPr>
              <w:t>生活污水经化粪池处理后</w:t>
            </w:r>
            <w:r>
              <w:rPr>
                <w:spacing w:val="-53"/>
                <w:sz w:val="20"/>
                <w:szCs w:val="20"/>
              </w:rPr>
              <w:t xml:space="preserve"> </w:t>
            </w:r>
            <w:r>
              <w:rPr>
                <w:spacing w:val="26"/>
                <w:sz w:val="20"/>
                <w:szCs w:val="20"/>
              </w:rPr>
              <w:t>，</w:t>
            </w:r>
            <w:r>
              <w:rPr>
                <w:spacing w:val="-56"/>
                <w:sz w:val="20"/>
                <w:szCs w:val="20"/>
              </w:rPr>
              <w:t xml:space="preserve"> </w:t>
            </w:r>
            <w:r>
              <w:rPr>
                <w:spacing w:val="26"/>
                <w:sz w:val="20"/>
                <w:szCs w:val="20"/>
              </w:rPr>
              <w:t>定期拉运至东岳</w:t>
            </w:r>
            <w:r>
              <w:rPr>
                <w:sz w:val="20"/>
                <w:szCs w:val="20"/>
              </w:rPr>
              <w:t xml:space="preserve"> </w:t>
            </w:r>
            <w:r>
              <w:rPr>
                <w:spacing w:val="29"/>
                <w:sz w:val="20"/>
                <w:szCs w:val="20"/>
              </w:rPr>
              <w:t>场镇生活污水处理厂处理后达标排放</w:t>
            </w:r>
            <w:r>
              <w:rPr>
                <w:spacing w:val="-36"/>
                <w:sz w:val="20"/>
                <w:szCs w:val="20"/>
              </w:rPr>
              <w:t xml:space="preserve"> </w:t>
            </w:r>
            <w:r>
              <w:rPr>
                <w:spacing w:val="29"/>
                <w:sz w:val="20"/>
                <w:szCs w:val="20"/>
              </w:rPr>
              <w:t>，其废水总量控制指标在东岳场镇生活污</w:t>
            </w:r>
            <w:r>
              <w:rPr>
                <w:sz w:val="20"/>
                <w:szCs w:val="20"/>
              </w:rPr>
              <w:t xml:space="preserve"> </w:t>
            </w:r>
            <w:r>
              <w:rPr>
                <w:spacing w:val="19"/>
                <w:sz w:val="20"/>
                <w:szCs w:val="20"/>
              </w:rPr>
              <w:t>水处理厂</w:t>
            </w:r>
            <w:r>
              <w:rPr>
                <w:spacing w:val="-43"/>
                <w:sz w:val="20"/>
                <w:szCs w:val="20"/>
              </w:rPr>
              <w:t xml:space="preserve"> </w:t>
            </w:r>
            <w:r>
              <w:rPr>
                <w:spacing w:val="19"/>
                <w:sz w:val="20"/>
                <w:szCs w:val="20"/>
              </w:rPr>
              <w:t>的</w:t>
            </w:r>
            <w:r>
              <w:rPr>
                <w:spacing w:val="-54"/>
                <w:sz w:val="20"/>
                <w:szCs w:val="20"/>
              </w:rPr>
              <w:t xml:space="preserve"> </w:t>
            </w:r>
            <w:r>
              <w:rPr>
                <w:spacing w:val="19"/>
                <w:sz w:val="20"/>
                <w:szCs w:val="20"/>
              </w:rPr>
              <w:t>既有指标</w:t>
            </w:r>
            <w:r>
              <w:rPr>
                <w:spacing w:val="-40"/>
                <w:sz w:val="20"/>
                <w:szCs w:val="20"/>
              </w:rPr>
              <w:t xml:space="preserve"> </w:t>
            </w:r>
            <w:r>
              <w:rPr>
                <w:spacing w:val="19"/>
                <w:sz w:val="20"/>
                <w:szCs w:val="20"/>
              </w:rPr>
              <w:t>内调剂</w:t>
            </w:r>
            <w:r>
              <w:rPr>
                <w:spacing w:val="-45"/>
                <w:sz w:val="20"/>
                <w:szCs w:val="20"/>
              </w:rPr>
              <w:t xml:space="preserve"> </w:t>
            </w:r>
            <w:r>
              <w:rPr>
                <w:spacing w:val="19"/>
                <w:sz w:val="20"/>
                <w:szCs w:val="20"/>
              </w:rPr>
              <w:t>。</w:t>
            </w:r>
            <w:r>
              <w:rPr>
                <w:spacing w:val="-44"/>
                <w:sz w:val="20"/>
                <w:szCs w:val="20"/>
              </w:rPr>
              <w:t xml:space="preserve"> </w:t>
            </w:r>
            <w:r>
              <w:rPr>
                <w:spacing w:val="19"/>
                <w:sz w:val="20"/>
                <w:szCs w:val="20"/>
              </w:rPr>
              <w:t>因此</w:t>
            </w:r>
            <w:r>
              <w:rPr>
                <w:spacing w:val="-48"/>
                <w:sz w:val="20"/>
                <w:szCs w:val="20"/>
              </w:rPr>
              <w:t xml:space="preserve"> </w:t>
            </w:r>
            <w:r>
              <w:rPr>
                <w:spacing w:val="19"/>
                <w:sz w:val="20"/>
                <w:szCs w:val="20"/>
              </w:rPr>
              <w:t>，</w:t>
            </w:r>
            <w:r>
              <w:rPr>
                <w:spacing w:val="-58"/>
                <w:sz w:val="20"/>
                <w:szCs w:val="20"/>
              </w:rPr>
              <w:t xml:space="preserve"> </w:t>
            </w:r>
            <w:r>
              <w:rPr>
                <w:spacing w:val="19"/>
                <w:sz w:val="20"/>
                <w:szCs w:val="20"/>
              </w:rPr>
              <w:t>本项</w:t>
            </w:r>
            <w:r>
              <w:rPr>
                <w:spacing w:val="-26"/>
                <w:sz w:val="20"/>
                <w:szCs w:val="20"/>
              </w:rPr>
              <w:t xml:space="preserve"> </w:t>
            </w:r>
            <w:r>
              <w:rPr>
                <w:spacing w:val="19"/>
                <w:sz w:val="20"/>
                <w:szCs w:val="20"/>
              </w:rPr>
              <w:t>目涉及</w:t>
            </w:r>
            <w:r>
              <w:rPr>
                <w:spacing w:val="-49"/>
                <w:sz w:val="20"/>
                <w:szCs w:val="20"/>
              </w:rPr>
              <w:t xml:space="preserve"> </w:t>
            </w:r>
            <w:r>
              <w:rPr>
                <w:spacing w:val="19"/>
                <w:sz w:val="20"/>
                <w:szCs w:val="20"/>
              </w:rPr>
              <w:t>的废气总量控制指标为</w:t>
            </w:r>
            <w:r>
              <w:rPr>
                <w:spacing w:val="-14"/>
                <w:sz w:val="20"/>
                <w:szCs w:val="20"/>
              </w:rPr>
              <w:t xml:space="preserve"> </w:t>
            </w:r>
            <w:r>
              <w:rPr>
                <w:rFonts w:ascii="Times New Roman" w:hAnsi="Times New Roman" w:eastAsia="Times New Roman" w:cs="Times New Roman"/>
                <w:sz w:val="20"/>
                <w:szCs w:val="20"/>
              </w:rPr>
              <w:t>VOC</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position w:val="-1"/>
                <w:sz w:val="13"/>
                <w:szCs w:val="13"/>
              </w:rPr>
              <w:t xml:space="preserve">s </w:t>
            </w:r>
            <w:r>
              <w:rPr>
                <w:spacing w:val="9"/>
                <w:sz w:val="20"/>
                <w:szCs w:val="20"/>
              </w:rPr>
              <w:t>和</w:t>
            </w:r>
            <w:r>
              <w:rPr>
                <w:spacing w:val="-23"/>
                <w:sz w:val="20"/>
                <w:szCs w:val="20"/>
              </w:rPr>
              <w:t xml:space="preserve"> </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9"/>
                <w:position w:val="-1"/>
                <w:sz w:val="13"/>
                <w:szCs w:val="13"/>
              </w:rPr>
              <w:t xml:space="preserve"> </w:t>
            </w:r>
            <w:r>
              <w:rPr>
                <w:spacing w:val="9"/>
                <w:sz w:val="20"/>
                <w:szCs w:val="20"/>
              </w:rPr>
              <w:t>。其中</w:t>
            </w:r>
            <w:r>
              <w:rPr>
                <w:spacing w:val="-21"/>
                <w:sz w:val="20"/>
                <w:szCs w:val="20"/>
              </w:rPr>
              <w:t xml:space="preserve"> </w:t>
            </w:r>
            <w:r>
              <w:rPr>
                <w:rFonts w:ascii="Times New Roman" w:hAnsi="Times New Roman" w:eastAsia="Times New Roman" w:cs="Times New Roman"/>
                <w:sz w:val="20"/>
                <w:szCs w:val="20"/>
              </w:rPr>
              <w:t>VOC</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9"/>
                <w:position w:val="-1"/>
                <w:sz w:val="13"/>
                <w:szCs w:val="13"/>
              </w:rPr>
              <w:t xml:space="preserve"> </w:t>
            </w:r>
            <w:r>
              <w:rPr>
                <w:spacing w:val="9"/>
                <w:sz w:val="20"/>
                <w:szCs w:val="20"/>
              </w:rPr>
              <w:t>≤</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9"/>
                <w:sz w:val="20"/>
                <w:szCs w:val="20"/>
              </w:rPr>
              <w:t>.</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9"/>
                <w:sz w:val="20"/>
                <w:szCs w:val="20"/>
              </w:rPr>
              <w:t>975t/a</w:t>
            </w:r>
            <w:r>
              <w:rPr>
                <w:rFonts w:ascii="Times New Roman" w:hAnsi="Times New Roman" w:eastAsia="Times New Roman" w:cs="Times New Roman"/>
                <w:spacing w:val="-12"/>
                <w:sz w:val="20"/>
                <w:szCs w:val="20"/>
              </w:rPr>
              <w:t xml:space="preserve"> </w:t>
            </w:r>
            <w:r>
              <w:rPr>
                <w:spacing w:val="9"/>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8"/>
                <w:position w:val="-1"/>
                <w:sz w:val="13"/>
                <w:szCs w:val="13"/>
              </w:rPr>
              <w:t xml:space="preserve"> </w:t>
            </w:r>
            <w:r>
              <w:rPr>
                <w:spacing w:val="9"/>
                <w:sz w:val="20"/>
                <w:szCs w:val="20"/>
              </w:rPr>
              <w:t>≤</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9"/>
                <w:sz w:val="20"/>
                <w:szCs w:val="20"/>
              </w:rPr>
              <w:t>.</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9"/>
                <w:sz w:val="20"/>
                <w:szCs w:val="20"/>
              </w:rPr>
              <w:t>072t/a</w:t>
            </w:r>
            <w:r>
              <w:rPr>
                <w:spacing w:val="9"/>
                <w:sz w:val="20"/>
                <w:szCs w:val="20"/>
              </w:rPr>
              <w:t>。</w:t>
            </w:r>
          </w:p>
          <w:p w14:paraId="1249AE91">
            <w:pPr>
              <w:pStyle w:val="6"/>
              <w:spacing w:before="38" w:line="226" w:lineRule="auto"/>
              <w:ind w:left="566"/>
              <w:rPr>
                <w:sz w:val="20"/>
                <w:szCs w:val="20"/>
              </w:rPr>
            </w:pPr>
            <w:r>
              <w:rPr>
                <w:spacing w:val="25"/>
                <w:sz w:val="20"/>
                <w:szCs w:val="20"/>
              </w:rPr>
              <w:t>因此</w:t>
            </w:r>
            <w:r>
              <w:rPr>
                <w:spacing w:val="-53"/>
                <w:sz w:val="20"/>
                <w:szCs w:val="20"/>
              </w:rPr>
              <w:t xml:space="preserve"> </w:t>
            </w:r>
            <w:r>
              <w:rPr>
                <w:spacing w:val="25"/>
                <w:sz w:val="20"/>
                <w:szCs w:val="20"/>
              </w:rPr>
              <w:t>，评价建议达州市通川生态环境局对本项</w:t>
            </w:r>
            <w:r>
              <w:rPr>
                <w:spacing w:val="-31"/>
                <w:sz w:val="20"/>
                <w:szCs w:val="20"/>
              </w:rPr>
              <w:t xml:space="preserve"> </w:t>
            </w:r>
            <w:r>
              <w:rPr>
                <w:spacing w:val="25"/>
                <w:sz w:val="20"/>
                <w:szCs w:val="20"/>
              </w:rPr>
              <w:t>目下达的废气总量控</w:t>
            </w:r>
            <w:r>
              <w:rPr>
                <w:spacing w:val="24"/>
                <w:sz w:val="20"/>
                <w:szCs w:val="20"/>
              </w:rPr>
              <w:t>制指标</w:t>
            </w:r>
          </w:p>
          <w:p w14:paraId="6CD43380">
            <w:pPr>
              <w:pStyle w:val="6"/>
              <w:spacing w:before="155" w:line="229" w:lineRule="auto"/>
              <w:ind w:left="92"/>
              <w:outlineLvl w:val="1"/>
              <w:rPr>
                <w:sz w:val="20"/>
                <w:szCs w:val="20"/>
              </w:rPr>
            </w:pPr>
            <w:r>
              <w:rPr>
                <w:spacing w:val="7"/>
                <w:sz w:val="20"/>
                <w:szCs w:val="20"/>
              </w:rPr>
              <w:t>为</w:t>
            </w:r>
            <w:r>
              <w:rPr>
                <w:spacing w:val="-35"/>
                <w:sz w:val="20"/>
                <w:szCs w:val="20"/>
              </w:rPr>
              <w:t xml:space="preserve"> </w:t>
            </w:r>
            <w:r>
              <w:rPr>
                <w:spacing w:val="7"/>
                <w:sz w:val="20"/>
                <w:szCs w:val="20"/>
              </w:rPr>
              <w:t>：</w:t>
            </w:r>
            <w:r>
              <w:rPr>
                <w:rFonts w:ascii="Times New Roman" w:hAnsi="Times New Roman" w:eastAsia="Times New Roman" w:cs="Times New Roman"/>
                <w:sz w:val="20"/>
                <w:szCs w:val="20"/>
              </w:rPr>
              <w:t>VOC</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7"/>
                <w:position w:val="-1"/>
                <w:sz w:val="13"/>
                <w:szCs w:val="13"/>
              </w:rPr>
              <w:t xml:space="preserve"> </w:t>
            </w:r>
            <w:r>
              <w:rPr>
                <w:spacing w:val="7"/>
                <w:sz w:val="20"/>
                <w:szCs w:val="20"/>
              </w:rPr>
              <w:t>≤</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975t/a</w:t>
            </w:r>
            <w:r>
              <w:rPr>
                <w:rFonts w:ascii="Times New Roman" w:hAnsi="Times New Roman" w:eastAsia="Times New Roman" w:cs="Times New Roman"/>
                <w:spacing w:val="-12"/>
                <w:sz w:val="20"/>
                <w:szCs w:val="20"/>
              </w:rPr>
              <w:t xml:space="preserve"> </w:t>
            </w:r>
            <w:r>
              <w:rPr>
                <w:spacing w:val="7"/>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8"/>
                <w:position w:val="-1"/>
                <w:sz w:val="13"/>
                <w:szCs w:val="13"/>
              </w:rPr>
              <w:t xml:space="preserve"> </w:t>
            </w:r>
            <w:r>
              <w:rPr>
                <w:spacing w:val="7"/>
                <w:sz w:val="20"/>
                <w:szCs w:val="20"/>
              </w:rPr>
              <w:t>≤</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072t/a</w:t>
            </w:r>
            <w:r>
              <w:rPr>
                <w:spacing w:val="7"/>
                <w:sz w:val="20"/>
                <w:szCs w:val="20"/>
              </w:rPr>
              <w:t>。</w:t>
            </w:r>
          </w:p>
        </w:tc>
      </w:tr>
    </w:tbl>
    <w:p w14:paraId="2C73FB7B">
      <w:pPr>
        <w:pStyle w:val="2"/>
      </w:pPr>
    </w:p>
    <w:p w14:paraId="39ABB860">
      <w:pPr>
        <w:sectPr>
          <w:footerReference r:id="rId59" w:type="default"/>
          <w:pgSz w:w="11907" w:h="16840"/>
          <w:pgMar w:top="1431" w:right="1513" w:bottom="1258" w:left="1512" w:header="0" w:footer="1080" w:gutter="0"/>
          <w:cols w:space="720" w:num="1"/>
        </w:sectPr>
      </w:pPr>
    </w:p>
    <w:p w14:paraId="1A5DCFA4">
      <w:pPr>
        <w:pStyle w:val="2"/>
        <w:spacing w:line="246" w:lineRule="auto"/>
      </w:pPr>
    </w:p>
    <w:p w14:paraId="3C1D1DE4">
      <w:pPr>
        <w:pStyle w:val="2"/>
        <w:spacing w:line="247" w:lineRule="auto"/>
      </w:pPr>
    </w:p>
    <w:p w14:paraId="6ED03C18">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14:paraId="7F07D78E">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F87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785" w:type="dxa"/>
            <w:tcBorders>
              <w:bottom w:val="single" w:color="000000" w:sz="2" w:space="0"/>
              <w:right w:val="single" w:color="000000" w:sz="2" w:space="0"/>
            </w:tcBorders>
            <w:vAlign w:val="top"/>
          </w:tcPr>
          <w:p w14:paraId="53A39327">
            <w:pPr>
              <w:spacing w:line="246" w:lineRule="auto"/>
              <w:rPr>
                <w:rFonts w:ascii="Arial"/>
                <w:sz w:val="21"/>
              </w:rPr>
            </w:pPr>
          </w:p>
          <w:p w14:paraId="2868CC8C">
            <w:pPr>
              <w:spacing w:line="246" w:lineRule="auto"/>
              <w:rPr>
                <w:rFonts w:ascii="Arial"/>
                <w:sz w:val="21"/>
              </w:rPr>
            </w:pPr>
          </w:p>
          <w:p w14:paraId="0515AE1A">
            <w:pPr>
              <w:spacing w:line="246" w:lineRule="auto"/>
              <w:rPr>
                <w:rFonts w:ascii="Arial"/>
                <w:sz w:val="21"/>
              </w:rPr>
            </w:pPr>
          </w:p>
          <w:p w14:paraId="0A400E74">
            <w:pPr>
              <w:spacing w:line="246" w:lineRule="auto"/>
              <w:rPr>
                <w:rFonts w:ascii="Arial"/>
                <w:sz w:val="21"/>
              </w:rPr>
            </w:pPr>
          </w:p>
          <w:p w14:paraId="31CE03CC">
            <w:pPr>
              <w:spacing w:line="246" w:lineRule="auto"/>
              <w:rPr>
                <w:rFonts w:ascii="Arial"/>
                <w:sz w:val="21"/>
              </w:rPr>
            </w:pPr>
          </w:p>
          <w:p w14:paraId="0EA3E2D6">
            <w:pPr>
              <w:spacing w:line="246" w:lineRule="auto"/>
              <w:rPr>
                <w:rFonts w:ascii="Arial"/>
                <w:sz w:val="21"/>
              </w:rPr>
            </w:pPr>
          </w:p>
          <w:p w14:paraId="749920CF">
            <w:pPr>
              <w:spacing w:line="246" w:lineRule="auto"/>
              <w:rPr>
                <w:rFonts w:ascii="Arial"/>
                <w:sz w:val="21"/>
              </w:rPr>
            </w:pPr>
          </w:p>
          <w:p w14:paraId="0D95FEA8">
            <w:pPr>
              <w:spacing w:line="246" w:lineRule="auto"/>
              <w:rPr>
                <w:rFonts w:ascii="Arial"/>
                <w:sz w:val="21"/>
              </w:rPr>
            </w:pPr>
          </w:p>
          <w:p w14:paraId="148B9CDA">
            <w:pPr>
              <w:spacing w:line="246" w:lineRule="auto"/>
              <w:rPr>
                <w:rFonts w:ascii="Arial"/>
                <w:sz w:val="21"/>
              </w:rPr>
            </w:pPr>
          </w:p>
          <w:p w14:paraId="04B27DA9">
            <w:pPr>
              <w:spacing w:line="246" w:lineRule="auto"/>
              <w:rPr>
                <w:rFonts w:ascii="Arial"/>
                <w:sz w:val="21"/>
              </w:rPr>
            </w:pPr>
          </w:p>
          <w:p w14:paraId="14E1C961">
            <w:pPr>
              <w:spacing w:line="246" w:lineRule="auto"/>
              <w:rPr>
                <w:rFonts w:ascii="Arial"/>
                <w:sz w:val="21"/>
              </w:rPr>
            </w:pPr>
          </w:p>
          <w:p w14:paraId="24416ACC">
            <w:pPr>
              <w:spacing w:line="246" w:lineRule="auto"/>
              <w:rPr>
                <w:rFonts w:ascii="Arial"/>
                <w:sz w:val="21"/>
              </w:rPr>
            </w:pPr>
          </w:p>
          <w:p w14:paraId="4BE9FCE9">
            <w:pPr>
              <w:spacing w:line="246" w:lineRule="auto"/>
              <w:rPr>
                <w:rFonts w:ascii="Arial"/>
                <w:sz w:val="21"/>
              </w:rPr>
            </w:pPr>
          </w:p>
          <w:p w14:paraId="326624EC">
            <w:pPr>
              <w:spacing w:line="246" w:lineRule="auto"/>
              <w:rPr>
                <w:rFonts w:ascii="Arial"/>
                <w:sz w:val="21"/>
              </w:rPr>
            </w:pPr>
          </w:p>
          <w:p w14:paraId="2CE6B732">
            <w:pPr>
              <w:spacing w:line="246" w:lineRule="auto"/>
              <w:rPr>
                <w:rFonts w:ascii="Arial"/>
                <w:sz w:val="21"/>
              </w:rPr>
            </w:pPr>
          </w:p>
          <w:p w14:paraId="5B0A2BE9">
            <w:pPr>
              <w:spacing w:line="247" w:lineRule="auto"/>
              <w:rPr>
                <w:rFonts w:ascii="Arial"/>
                <w:sz w:val="21"/>
              </w:rPr>
            </w:pPr>
          </w:p>
          <w:p w14:paraId="23B66954">
            <w:pPr>
              <w:spacing w:line="247" w:lineRule="auto"/>
              <w:rPr>
                <w:rFonts w:ascii="Arial"/>
                <w:sz w:val="21"/>
              </w:rPr>
            </w:pPr>
          </w:p>
          <w:p w14:paraId="0B741FDA">
            <w:pPr>
              <w:spacing w:line="247" w:lineRule="auto"/>
              <w:rPr>
                <w:rFonts w:ascii="Arial"/>
                <w:sz w:val="21"/>
              </w:rPr>
            </w:pPr>
          </w:p>
          <w:p w14:paraId="3AB0B2B1">
            <w:pPr>
              <w:spacing w:line="247" w:lineRule="auto"/>
              <w:rPr>
                <w:rFonts w:ascii="Arial"/>
                <w:sz w:val="21"/>
              </w:rPr>
            </w:pPr>
          </w:p>
          <w:p w14:paraId="55BC9AC7">
            <w:pPr>
              <w:spacing w:line="247" w:lineRule="auto"/>
              <w:rPr>
                <w:rFonts w:ascii="Arial"/>
                <w:sz w:val="21"/>
              </w:rPr>
            </w:pPr>
          </w:p>
          <w:p w14:paraId="6A81FB81">
            <w:pPr>
              <w:spacing w:line="247" w:lineRule="auto"/>
              <w:rPr>
                <w:rFonts w:ascii="Arial"/>
                <w:sz w:val="21"/>
              </w:rPr>
            </w:pPr>
          </w:p>
          <w:p w14:paraId="5EAA4309">
            <w:pPr>
              <w:spacing w:line="247" w:lineRule="auto"/>
              <w:rPr>
                <w:rFonts w:ascii="Arial"/>
                <w:sz w:val="21"/>
              </w:rPr>
            </w:pPr>
          </w:p>
          <w:p w14:paraId="2FB030F2">
            <w:pPr>
              <w:pStyle w:val="6"/>
              <w:spacing w:before="71" w:line="236" w:lineRule="auto"/>
              <w:ind w:left="172" w:right="169" w:hanging="1"/>
              <w:jc w:val="both"/>
            </w:pPr>
            <w:r>
              <w:rPr>
                <w:spacing w:val="-3"/>
              </w:rPr>
              <w:t>施工</w:t>
            </w:r>
            <w:r>
              <w:t xml:space="preserve"> </w:t>
            </w:r>
            <w:r>
              <w:rPr>
                <w:spacing w:val="-4"/>
              </w:rPr>
              <w:t>期环</w:t>
            </w:r>
            <w:r>
              <w:t xml:space="preserve"> </w:t>
            </w:r>
            <w:r>
              <w:rPr>
                <w:spacing w:val="-4"/>
              </w:rPr>
              <w:t>境保</w:t>
            </w:r>
            <w:r>
              <w:t xml:space="preserve"> </w:t>
            </w:r>
            <w:r>
              <w:rPr>
                <w:spacing w:val="-4"/>
              </w:rPr>
              <w:t>护措</w:t>
            </w:r>
            <w:r>
              <w:t xml:space="preserve"> </w:t>
            </w:r>
            <w:r>
              <w:rPr>
                <w:spacing w:val="31"/>
                <w:w w:val="131"/>
              </w:rPr>
              <w:t>施</w:t>
            </w:r>
          </w:p>
        </w:tc>
        <w:tc>
          <w:tcPr>
            <w:tcW w:w="8127" w:type="dxa"/>
            <w:tcBorders>
              <w:left w:val="single" w:color="000000" w:sz="2" w:space="0"/>
              <w:bottom w:val="single" w:color="000000" w:sz="2" w:space="0"/>
            </w:tcBorders>
            <w:vAlign w:val="top"/>
          </w:tcPr>
          <w:p w14:paraId="6626E7F3">
            <w:pPr>
              <w:spacing w:before="144" w:line="230" w:lineRule="auto"/>
              <w:ind w:left="100"/>
              <w:rPr>
                <w:rFonts w:ascii="黑体" w:hAnsi="黑体" w:eastAsia="黑体" w:cs="黑体"/>
                <w:sz w:val="20"/>
                <w:szCs w:val="20"/>
              </w:rPr>
            </w:pPr>
            <w:r>
              <w:rPr>
                <w:rFonts w:ascii="黑体" w:hAnsi="黑体" w:eastAsia="黑体" w:cs="黑体"/>
                <w:spacing w:val="3"/>
                <w:sz w:val="20"/>
                <w:szCs w:val="20"/>
              </w:rPr>
              <w:t>1、废气</w:t>
            </w:r>
          </w:p>
          <w:p w14:paraId="1DECC2FA">
            <w:pPr>
              <w:pStyle w:val="6"/>
              <w:spacing w:before="150" w:line="356" w:lineRule="auto"/>
              <w:ind w:left="96" w:right="88" w:firstLine="412"/>
              <w:rPr>
                <w:sz w:val="20"/>
                <w:szCs w:val="20"/>
              </w:rPr>
            </w:pPr>
            <w:r>
              <w:rPr>
                <w:spacing w:val="9"/>
                <w:sz w:val="20"/>
                <w:szCs w:val="20"/>
              </w:rPr>
              <w:t>施工期废气主要包括施工扬尘和燃油机械运行产生的燃油废气。建设</w:t>
            </w:r>
            <w:r>
              <w:rPr>
                <w:spacing w:val="8"/>
                <w:sz w:val="20"/>
                <w:szCs w:val="20"/>
              </w:rPr>
              <w:t>单位应采取如</w:t>
            </w:r>
            <w:r>
              <w:rPr>
                <w:sz w:val="20"/>
                <w:szCs w:val="20"/>
              </w:rPr>
              <w:t xml:space="preserve"> </w:t>
            </w:r>
            <w:r>
              <w:rPr>
                <w:spacing w:val="5"/>
                <w:sz w:val="20"/>
                <w:szCs w:val="20"/>
              </w:rPr>
              <w:t>下控制措施：</w:t>
            </w:r>
          </w:p>
          <w:p w14:paraId="7F807081">
            <w:pPr>
              <w:pStyle w:val="6"/>
              <w:spacing w:before="27" w:line="349" w:lineRule="auto"/>
              <w:ind w:left="90" w:right="15" w:firstLine="421"/>
              <w:rPr>
                <w:sz w:val="20"/>
                <w:szCs w:val="20"/>
              </w:rPr>
            </w:pPr>
            <w:r>
              <w:rPr>
                <w:spacing w:val="9"/>
                <w:sz w:val="20"/>
                <w:szCs w:val="20"/>
              </w:rPr>
              <w:t>①根据建筑施工工地扬尘治理管理制度和工程技术规程，在工地管理</w:t>
            </w:r>
            <w:r>
              <w:rPr>
                <w:spacing w:val="8"/>
                <w:sz w:val="20"/>
                <w:szCs w:val="20"/>
              </w:rPr>
              <w:t>中应落实施工</w:t>
            </w:r>
            <w:r>
              <w:rPr>
                <w:sz w:val="20"/>
                <w:szCs w:val="20"/>
              </w:rPr>
              <w:t xml:space="preserve"> </w:t>
            </w:r>
            <w:r>
              <w:rPr>
                <w:spacing w:val="6"/>
                <w:sz w:val="20"/>
                <w:szCs w:val="20"/>
              </w:rPr>
              <w:t>现场管理“六必须"、“六不准</w:t>
            </w:r>
            <w:r>
              <w:rPr>
                <w:spacing w:val="-62"/>
                <w:sz w:val="20"/>
                <w:szCs w:val="20"/>
              </w:rPr>
              <w:t xml:space="preserve"> </w:t>
            </w:r>
            <w:r>
              <w:rPr>
                <w:spacing w:val="6"/>
                <w:sz w:val="20"/>
                <w:szCs w:val="20"/>
              </w:rPr>
              <w:t>”和“六个100%</w:t>
            </w:r>
            <w:r>
              <w:rPr>
                <w:spacing w:val="-74"/>
                <w:sz w:val="20"/>
                <w:szCs w:val="20"/>
              </w:rPr>
              <w:t xml:space="preserve"> </w:t>
            </w:r>
            <w:r>
              <w:rPr>
                <w:spacing w:val="6"/>
                <w:sz w:val="20"/>
                <w:szCs w:val="20"/>
              </w:rPr>
              <w:t>”，即：必须湿法作业、必须打围作业、</w:t>
            </w:r>
            <w:r>
              <w:rPr>
                <w:sz w:val="20"/>
                <w:szCs w:val="20"/>
              </w:rPr>
              <w:t xml:space="preserve"> </w:t>
            </w:r>
            <w:r>
              <w:rPr>
                <w:spacing w:val="9"/>
                <w:sz w:val="20"/>
                <w:szCs w:val="20"/>
              </w:rPr>
              <w:t>必须硬化道路、必须设置冲洗设施、必须配齐保洁人员、必须定时清扫施工</w:t>
            </w:r>
            <w:r>
              <w:rPr>
                <w:spacing w:val="8"/>
                <w:sz w:val="20"/>
                <w:szCs w:val="20"/>
              </w:rPr>
              <w:t>现场；不准</w:t>
            </w:r>
            <w:r>
              <w:rPr>
                <w:sz w:val="20"/>
                <w:szCs w:val="20"/>
              </w:rPr>
              <w:t xml:space="preserve"> </w:t>
            </w:r>
            <w:r>
              <w:rPr>
                <w:spacing w:val="9"/>
                <w:sz w:val="20"/>
                <w:szCs w:val="20"/>
              </w:rPr>
              <w:t>车辆带泥出门、不准运渣车辆冒顶装载、不准高空抛洒建渣、不准现场搅拌</w:t>
            </w:r>
            <w:r>
              <w:rPr>
                <w:rFonts w:hint="eastAsia"/>
                <w:spacing w:val="9"/>
                <w:sz w:val="20"/>
                <w:szCs w:val="20"/>
              </w:rPr>
              <w:t>混凝土</w:t>
            </w:r>
            <w:r>
              <w:rPr>
                <w:spacing w:val="8"/>
                <w:sz w:val="20"/>
                <w:szCs w:val="20"/>
              </w:rPr>
              <w:t>、不</w:t>
            </w:r>
            <w:r>
              <w:rPr>
                <w:sz w:val="20"/>
                <w:szCs w:val="20"/>
              </w:rPr>
              <w:t xml:space="preserve"> </w:t>
            </w:r>
            <w:r>
              <w:rPr>
                <w:spacing w:val="8"/>
                <w:sz w:val="20"/>
                <w:szCs w:val="20"/>
              </w:rPr>
              <w:t>准场地积水、不准现场焚烧废弃物。施工现场要100%设立围挡、施工现场的所有物料堆</w:t>
            </w:r>
            <w:r>
              <w:rPr>
                <w:spacing w:val="17"/>
                <w:sz w:val="20"/>
                <w:szCs w:val="20"/>
              </w:rPr>
              <w:t xml:space="preserve"> </w:t>
            </w:r>
            <w:r>
              <w:rPr>
                <w:spacing w:val="8"/>
                <w:sz w:val="20"/>
                <w:szCs w:val="20"/>
              </w:rPr>
              <w:t>放要100%覆盖、施工现场裸露地面是道路的要100%绿化、进出</w:t>
            </w:r>
            <w:r>
              <w:rPr>
                <w:spacing w:val="7"/>
                <w:sz w:val="20"/>
                <w:szCs w:val="20"/>
              </w:rPr>
              <w:t>施工现场的车辆要100%喷</w:t>
            </w:r>
            <w:r>
              <w:rPr>
                <w:sz w:val="20"/>
                <w:szCs w:val="20"/>
              </w:rPr>
              <w:t xml:space="preserve"> </w:t>
            </w:r>
            <w:r>
              <w:rPr>
                <w:spacing w:val="8"/>
                <w:sz w:val="20"/>
                <w:szCs w:val="20"/>
              </w:rPr>
              <w:t>淋、拆除和土方作业时要100%喷淋、渣土运输车辆要100%封闭。</w:t>
            </w:r>
          </w:p>
          <w:p w14:paraId="2B0420D6">
            <w:pPr>
              <w:pStyle w:val="6"/>
              <w:spacing w:before="156" w:line="225" w:lineRule="auto"/>
              <w:ind w:left="510"/>
              <w:rPr>
                <w:sz w:val="20"/>
                <w:szCs w:val="20"/>
              </w:rPr>
            </w:pPr>
            <w:r>
              <w:rPr>
                <w:spacing w:val="9"/>
                <w:sz w:val="20"/>
                <w:szCs w:val="20"/>
              </w:rPr>
              <w:t>②严禁在围墙外堆放施工材料、建筑垃圾等。</w:t>
            </w:r>
          </w:p>
          <w:p w14:paraId="198CF57A">
            <w:pPr>
              <w:pStyle w:val="6"/>
              <w:spacing w:before="155" w:line="322" w:lineRule="auto"/>
              <w:ind w:left="89" w:right="86" w:firstLine="419"/>
              <w:rPr>
                <w:sz w:val="20"/>
                <w:szCs w:val="20"/>
              </w:rPr>
            </w:pPr>
            <w:r>
              <w:rPr>
                <w:spacing w:val="9"/>
                <w:sz w:val="20"/>
                <w:szCs w:val="20"/>
              </w:rPr>
              <w:t>③加强运输车辆管理，建筑材料运输车辆采取篷布覆盖运输以及限制车速等</w:t>
            </w:r>
            <w:r>
              <w:rPr>
                <w:spacing w:val="8"/>
                <w:sz w:val="20"/>
                <w:szCs w:val="20"/>
              </w:rPr>
              <w:t>方式；</w:t>
            </w:r>
            <w:r>
              <w:rPr>
                <w:sz w:val="20"/>
                <w:szCs w:val="20"/>
              </w:rPr>
              <w:t xml:space="preserve"> </w:t>
            </w:r>
            <w:r>
              <w:rPr>
                <w:spacing w:val="9"/>
                <w:sz w:val="20"/>
                <w:szCs w:val="20"/>
              </w:rPr>
              <w:t>严禁沙、石及水泥运输车辆冒顶超载及洒漏；特别是外运弃土的运输车辆必须采用</w:t>
            </w:r>
            <w:r>
              <w:rPr>
                <w:spacing w:val="8"/>
                <w:sz w:val="20"/>
                <w:szCs w:val="20"/>
              </w:rPr>
              <w:t>篷布</w:t>
            </w:r>
            <w:r>
              <w:rPr>
                <w:sz w:val="20"/>
                <w:szCs w:val="20"/>
              </w:rPr>
              <w:t xml:space="preserve"> </w:t>
            </w:r>
            <w:r>
              <w:rPr>
                <w:spacing w:val="8"/>
                <w:sz w:val="20"/>
                <w:szCs w:val="20"/>
              </w:rPr>
              <w:t>遮盖，装车时严禁转载过高。</w:t>
            </w:r>
          </w:p>
          <w:p w14:paraId="41024BB9">
            <w:pPr>
              <w:pStyle w:val="6"/>
              <w:spacing w:before="155" w:line="298" w:lineRule="auto"/>
              <w:ind w:left="92" w:right="88" w:firstLine="415"/>
              <w:rPr>
                <w:sz w:val="20"/>
                <w:szCs w:val="20"/>
              </w:rPr>
            </w:pPr>
            <w:r>
              <w:rPr>
                <w:spacing w:val="9"/>
                <w:sz w:val="20"/>
                <w:szCs w:val="20"/>
              </w:rPr>
              <w:t>④施工现场场平作业应配备雾炮机采取喷雾降尘措施。进出口设置车辆</w:t>
            </w:r>
            <w:r>
              <w:rPr>
                <w:spacing w:val="8"/>
                <w:sz w:val="20"/>
                <w:szCs w:val="20"/>
              </w:rPr>
              <w:t>冲洗台及沉</w:t>
            </w:r>
            <w:r>
              <w:rPr>
                <w:sz w:val="20"/>
                <w:szCs w:val="20"/>
              </w:rPr>
              <w:t xml:space="preserve"> </w:t>
            </w:r>
            <w:r>
              <w:rPr>
                <w:spacing w:val="2"/>
                <w:sz w:val="20"/>
                <w:szCs w:val="20"/>
              </w:rPr>
              <w:t>淀池。</w:t>
            </w:r>
          </w:p>
          <w:p w14:paraId="521ACEFD">
            <w:pPr>
              <w:pStyle w:val="6"/>
              <w:spacing w:before="151" w:line="322" w:lineRule="auto"/>
              <w:ind w:left="89" w:right="86" w:firstLine="419"/>
              <w:rPr>
                <w:sz w:val="20"/>
                <w:szCs w:val="20"/>
              </w:rPr>
            </w:pPr>
            <w:r>
              <w:rPr>
                <w:spacing w:val="9"/>
                <w:sz w:val="20"/>
                <w:szCs w:val="20"/>
              </w:rPr>
              <w:t>⑤开挖产生的弃土（石）方，应及时用于场地平整。不能及时利用但能作为</w:t>
            </w:r>
            <w:r>
              <w:rPr>
                <w:spacing w:val="8"/>
                <w:sz w:val="20"/>
                <w:szCs w:val="20"/>
              </w:rPr>
              <w:t>一期工</w:t>
            </w:r>
            <w:r>
              <w:rPr>
                <w:sz w:val="20"/>
                <w:szCs w:val="20"/>
              </w:rPr>
              <w:t xml:space="preserve"> </w:t>
            </w:r>
            <w:r>
              <w:rPr>
                <w:spacing w:val="9"/>
                <w:sz w:val="20"/>
                <w:szCs w:val="20"/>
              </w:rPr>
              <w:t>程的生产原料。首选运至一期工程的原料堆场堆存，不能全部运走的应采用防尘防</w:t>
            </w:r>
            <w:r>
              <w:rPr>
                <w:spacing w:val="8"/>
                <w:sz w:val="20"/>
                <w:szCs w:val="20"/>
              </w:rPr>
              <w:t>雨材</w:t>
            </w:r>
            <w:r>
              <w:rPr>
                <w:sz w:val="20"/>
                <w:szCs w:val="20"/>
              </w:rPr>
              <w:t xml:space="preserve"> </w:t>
            </w:r>
            <w:r>
              <w:rPr>
                <w:spacing w:val="9"/>
                <w:sz w:val="20"/>
                <w:szCs w:val="20"/>
              </w:rPr>
              <w:t>料进行遮盖，配置雾炮机除尘，并在堆堆体周围设置防流失截排水沟。</w:t>
            </w:r>
          </w:p>
          <w:p w14:paraId="7AC0D748">
            <w:pPr>
              <w:pStyle w:val="6"/>
              <w:spacing w:before="156" w:line="298" w:lineRule="auto"/>
              <w:ind w:left="90" w:right="89" w:firstLine="418"/>
              <w:rPr>
                <w:sz w:val="20"/>
                <w:szCs w:val="20"/>
              </w:rPr>
            </w:pPr>
            <w:r>
              <w:rPr>
                <w:spacing w:val="9"/>
                <w:sz w:val="20"/>
                <w:szCs w:val="20"/>
              </w:rPr>
              <w:t>⑥施工机械设备采用先进环保型设备和轻质燃油，加强对机械、车</w:t>
            </w:r>
            <w:r>
              <w:rPr>
                <w:spacing w:val="8"/>
                <w:sz w:val="20"/>
                <w:szCs w:val="20"/>
              </w:rPr>
              <w:t>辆的维修保养。</w:t>
            </w:r>
            <w:r>
              <w:rPr>
                <w:sz w:val="20"/>
                <w:szCs w:val="20"/>
              </w:rPr>
              <w:t xml:space="preserve"> </w:t>
            </w:r>
            <w:r>
              <w:rPr>
                <w:spacing w:val="9"/>
                <w:sz w:val="20"/>
                <w:szCs w:val="20"/>
              </w:rPr>
              <w:t>通过采取有效的环保措施后，施工废气不会对区域大气环境产生污染性影响。</w:t>
            </w:r>
          </w:p>
          <w:p w14:paraId="467F98DA">
            <w:pPr>
              <w:spacing w:before="153" w:line="230" w:lineRule="auto"/>
              <w:ind w:left="88"/>
              <w:rPr>
                <w:rFonts w:ascii="黑体" w:hAnsi="黑体" w:eastAsia="黑体" w:cs="黑体"/>
                <w:sz w:val="20"/>
                <w:szCs w:val="20"/>
              </w:rPr>
            </w:pPr>
            <w:r>
              <w:rPr>
                <w:rFonts w:ascii="黑体" w:hAnsi="黑体" w:eastAsia="黑体" w:cs="黑体"/>
                <w:spacing w:val="7"/>
                <w:sz w:val="20"/>
                <w:szCs w:val="20"/>
              </w:rPr>
              <w:t>2、废水</w:t>
            </w:r>
          </w:p>
          <w:p w14:paraId="6609FFDD">
            <w:pPr>
              <w:pStyle w:val="6"/>
              <w:spacing w:before="151" w:line="355" w:lineRule="auto"/>
              <w:ind w:left="90" w:right="88" w:firstLine="418"/>
              <w:rPr>
                <w:sz w:val="20"/>
                <w:szCs w:val="20"/>
              </w:rPr>
            </w:pPr>
            <w:r>
              <w:rPr>
                <w:spacing w:val="9"/>
                <w:sz w:val="20"/>
                <w:szCs w:val="20"/>
              </w:rPr>
              <w:t>施工废水主要来源于各种机械设备的清洗废水，其主要污染物为</w:t>
            </w:r>
            <w:r>
              <w:rPr>
                <w:sz w:val="20"/>
                <w:szCs w:val="20"/>
              </w:rPr>
              <w:t>SS</w:t>
            </w:r>
            <w:r>
              <w:rPr>
                <w:spacing w:val="9"/>
                <w:sz w:val="20"/>
                <w:szCs w:val="20"/>
              </w:rPr>
              <w:t>和石油类；施工</w:t>
            </w:r>
            <w:r>
              <w:rPr>
                <w:spacing w:val="3"/>
                <w:sz w:val="20"/>
                <w:szCs w:val="20"/>
              </w:rPr>
              <w:t xml:space="preserve"> </w:t>
            </w:r>
            <w:r>
              <w:rPr>
                <w:spacing w:val="9"/>
                <w:sz w:val="20"/>
                <w:szCs w:val="20"/>
              </w:rPr>
              <w:t>过程遇降雨时产生的地表径流；施工工人会产生少量的生活污水。</w:t>
            </w:r>
          </w:p>
          <w:p w14:paraId="73CAEACB">
            <w:pPr>
              <w:pStyle w:val="6"/>
              <w:spacing w:before="30" w:line="227" w:lineRule="auto"/>
              <w:ind w:left="512"/>
              <w:rPr>
                <w:sz w:val="20"/>
                <w:szCs w:val="20"/>
              </w:rPr>
            </w:pPr>
            <w:r>
              <w:rPr>
                <w:spacing w:val="8"/>
                <w:sz w:val="20"/>
                <w:szCs w:val="20"/>
              </w:rPr>
              <w:t>建设单位应采取如下防治措施：</w:t>
            </w:r>
          </w:p>
          <w:p w14:paraId="6EF1C1BE">
            <w:pPr>
              <w:pStyle w:val="6"/>
              <w:spacing w:before="156" w:line="298" w:lineRule="auto"/>
              <w:ind w:left="90" w:right="15" w:firstLine="419"/>
              <w:rPr>
                <w:sz w:val="20"/>
                <w:szCs w:val="20"/>
              </w:rPr>
            </w:pPr>
            <w:r>
              <w:rPr>
                <w:spacing w:val="9"/>
                <w:sz w:val="20"/>
                <w:szCs w:val="20"/>
              </w:rPr>
              <w:t>①在场界周围修建截排水沟，施工区域内修建一个临时沉砂池，施工</w:t>
            </w:r>
            <w:r>
              <w:rPr>
                <w:spacing w:val="8"/>
                <w:sz w:val="20"/>
                <w:szCs w:val="20"/>
              </w:rPr>
              <w:t>废水排入沉砂</w:t>
            </w:r>
            <w:r>
              <w:rPr>
                <w:sz w:val="20"/>
                <w:szCs w:val="20"/>
              </w:rPr>
              <w:t xml:space="preserve"> </w:t>
            </w:r>
            <w:r>
              <w:rPr>
                <w:spacing w:val="5"/>
                <w:sz w:val="20"/>
                <w:szCs w:val="20"/>
              </w:rPr>
              <w:t>池内，静置沉淀后全部回用，禁止废水无组织漫流，增大重复用水率，降低污水产生量。</w:t>
            </w:r>
          </w:p>
          <w:p w14:paraId="2D30797A">
            <w:pPr>
              <w:pStyle w:val="6"/>
              <w:spacing w:before="152" w:line="299" w:lineRule="auto"/>
              <w:ind w:left="93" w:right="88" w:firstLine="414"/>
              <w:rPr>
                <w:sz w:val="20"/>
                <w:szCs w:val="20"/>
              </w:rPr>
            </w:pPr>
            <w:r>
              <w:rPr>
                <w:spacing w:val="9"/>
                <w:sz w:val="20"/>
                <w:szCs w:val="20"/>
              </w:rPr>
              <w:t>②建筑材料应远离厂区占地边缘地带堆放，并设置雨棚等措施遮盖，必</w:t>
            </w:r>
            <w:r>
              <w:rPr>
                <w:spacing w:val="8"/>
                <w:sz w:val="20"/>
                <w:szCs w:val="20"/>
              </w:rPr>
              <w:t>要时放置在</w:t>
            </w:r>
            <w:r>
              <w:rPr>
                <w:sz w:val="20"/>
                <w:szCs w:val="20"/>
              </w:rPr>
              <w:t xml:space="preserve"> </w:t>
            </w:r>
            <w:r>
              <w:rPr>
                <w:spacing w:val="8"/>
                <w:sz w:val="20"/>
                <w:szCs w:val="20"/>
              </w:rPr>
              <w:t>室内暂存，防止被雨水冲刷流入水体。</w:t>
            </w:r>
          </w:p>
          <w:p w14:paraId="02723C0B">
            <w:pPr>
              <w:pStyle w:val="6"/>
              <w:spacing w:before="154" w:line="298" w:lineRule="auto"/>
              <w:ind w:left="90" w:right="86" w:firstLine="418"/>
              <w:rPr>
                <w:sz w:val="20"/>
                <w:szCs w:val="20"/>
              </w:rPr>
            </w:pPr>
            <w:r>
              <w:rPr>
                <w:spacing w:val="9"/>
                <w:sz w:val="20"/>
                <w:szCs w:val="20"/>
              </w:rPr>
              <w:t>③施工期生活污水利用厂区原有化粪池收集处理，委托环卫部门定期拉运至</w:t>
            </w:r>
            <w:r>
              <w:rPr>
                <w:spacing w:val="8"/>
                <w:sz w:val="20"/>
                <w:szCs w:val="20"/>
              </w:rPr>
              <w:t>东岳场</w:t>
            </w:r>
            <w:r>
              <w:rPr>
                <w:sz w:val="20"/>
                <w:szCs w:val="20"/>
              </w:rPr>
              <w:t xml:space="preserve"> </w:t>
            </w:r>
            <w:r>
              <w:rPr>
                <w:spacing w:val="8"/>
                <w:sz w:val="20"/>
                <w:szCs w:val="20"/>
              </w:rPr>
              <w:t>镇生活污水处理厂处理。</w:t>
            </w:r>
          </w:p>
        </w:tc>
      </w:tr>
    </w:tbl>
    <w:p w14:paraId="0B130D65">
      <w:pPr>
        <w:pStyle w:val="2"/>
      </w:pPr>
    </w:p>
    <w:p w14:paraId="1AAE5A94">
      <w:pPr>
        <w:sectPr>
          <w:footerReference r:id="rId60" w:type="default"/>
          <w:pgSz w:w="11907" w:h="16840"/>
          <w:pgMar w:top="1431" w:right="1490" w:bottom="1260" w:left="1489" w:header="0" w:footer="1080" w:gutter="0"/>
          <w:cols w:space="720" w:num="1"/>
        </w:sectPr>
      </w:pPr>
    </w:p>
    <w:p w14:paraId="03F3DB0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B78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bottom w:val="single" w:color="000000" w:sz="2" w:space="0"/>
              <w:right w:val="single" w:color="000000" w:sz="2" w:space="0"/>
            </w:tcBorders>
            <w:vAlign w:val="top"/>
          </w:tcPr>
          <w:p w14:paraId="79BBA8D1">
            <w:pPr>
              <w:rPr>
                <w:rFonts w:ascii="Arial"/>
                <w:sz w:val="21"/>
              </w:rPr>
            </w:pPr>
          </w:p>
        </w:tc>
        <w:tc>
          <w:tcPr>
            <w:tcW w:w="8127" w:type="dxa"/>
            <w:tcBorders>
              <w:left w:val="single" w:color="000000" w:sz="2" w:space="0"/>
              <w:bottom w:val="single" w:color="000000" w:sz="2" w:space="0"/>
            </w:tcBorders>
            <w:vAlign w:val="top"/>
          </w:tcPr>
          <w:p w14:paraId="234B1DFE">
            <w:pPr>
              <w:pStyle w:val="6"/>
              <w:spacing w:before="145" w:line="227" w:lineRule="auto"/>
              <w:ind w:left="510"/>
              <w:rPr>
                <w:sz w:val="20"/>
                <w:szCs w:val="20"/>
              </w:rPr>
            </w:pPr>
            <w:r>
              <w:rPr>
                <w:spacing w:val="9"/>
                <w:sz w:val="20"/>
                <w:szCs w:val="20"/>
              </w:rPr>
              <w:t>通过采取以上措施后，能够避免施工废水对周围环境造成污染性影响。</w:t>
            </w:r>
          </w:p>
          <w:p w14:paraId="433EEB06">
            <w:pPr>
              <w:spacing w:before="154" w:line="231" w:lineRule="auto"/>
              <w:ind w:left="90"/>
              <w:rPr>
                <w:rFonts w:ascii="黑体" w:hAnsi="黑体" w:eastAsia="黑体" w:cs="黑体"/>
                <w:sz w:val="20"/>
                <w:szCs w:val="20"/>
              </w:rPr>
            </w:pPr>
            <w:r>
              <w:rPr>
                <w:rFonts w:ascii="黑体" w:hAnsi="黑体" w:eastAsia="黑体" w:cs="黑体"/>
                <w:spacing w:val="6"/>
                <w:sz w:val="20"/>
                <w:szCs w:val="20"/>
              </w:rPr>
              <w:t>3、噪声</w:t>
            </w:r>
          </w:p>
          <w:p w14:paraId="601145AF">
            <w:pPr>
              <w:pStyle w:val="6"/>
              <w:spacing w:before="146" w:line="360" w:lineRule="auto"/>
              <w:ind w:left="89" w:right="86" w:firstLine="420"/>
              <w:rPr>
                <w:sz w:val="20"/>
                <w:szCs w:val="20"/>
              </w:rPr>
            </w:pPr>
            <w:r>
              <w:rPr>
                <w:spacing w:val="10"/>
                <w:sz w:val="20"/>
                <w:szCs w:val="20"/>
              </w:rPr>
              <w:t>施工机械噪声是项目施工建设中主要污染因子。建筑施工</w:t>
            </w:r>
            <w:r>
              <w:rPr>
                <w:spacing w:val="9"/>
                <w:sz w:val="20"/>
                <w:szCs w:val="20"/>
              </w:rPr>
              <w:t>的机械作业一般位于露</w:t>
            </w:r>
            <w:r>
              <w:rPr>
                <w:sz w:val="20"/>
                <w:szCs w:val="20"/>
              </w:rPr>
              <w:t xml:space="preserve">   </w:t>
            </w:r>
            <w:r>
              <w:rPr>
                <w:spacing w:val="9"/>
                <w:sz w:val="20"/>
                <w:szCs w:val="20"/>
              </w:rPr>
              <w:t>天，其噪声传播距离远，影响范围大，是重要的临时性声源。本项目施工期常用的</w:t>
            </w:r>
            <w:r>
              <w:rPr>
                <w:spacing w:val="8"/>
                <w:sz w:val="20"/>
                <w:szCs w:val="20"/>
              </w:rPr>
              <w:t>施工</w:t>
            </w:r>
            <w:r>
              <w:rPr>
                <w:sz w:val="20"/>
                <w:szCs w:val="20"/>
              </w:rPr>
              <w:t xml:space="preserve"> </w:t>
            </w:r>
            <w:r>
              <w:rPr>
                <w:spacing w:val="7"/>
                <w:sz w:val="20"/>
                <w:szCs w:val="20"/>
              </w:rPr>
              <w:t>机械有：挖掘机、振捣机、切割机等，产生的声源强度约为</w:t>
            </w:r>
            <w:r>
              <w:rPr>
                <w:rFonts w:ascii="Times New Roman" w:hAnsi="Times New Roman" w:eastAsia="Times New Roman" w:cs="Times New Roman"/>
                <w:spacing w:val="7"/>
                <w:sz w:val="20"/>
                <w:szCs w:val="20"/>
              </w:rPr>
              <w:t>85</w:t>
            </w:r>
            <w:r>
              <w:rPr>
                <w:spacing w:val="7"/>
                <w:sz w:val="20"/>
                <w:szCs w:val="20"/>
              </w:rPr>
              <w:t>～</w:t>
            </w:r>
            <w:r>
              <w:rPr>
                <w:rFonts w:ascii="Times New Roman" w:hAnsi="Times New Roman" w:eastAsia="Times New Roman" w:cs="Times New Roman"/>
                <w:spacing w:val="7"/>
                <w:sz w:val="20"/>
                <w:szCs w:val="20"/>
              </w:rPr>
              <w:t>95</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(A</w:t>
            </w:r>
            <w:r>
              <w:rPr>
                <w:spacing w:val="7"/>
                <w:sz w:val="20"/>
                <w:szCs w:val="20"/>
              </w:rPr>
              <w:t>）。另外，施工</w:t>
            </w:r>
            <w:r>
              <w:rPr>
                <w:spacing w:val="13"/>
                <w:sz w:val="20"/>
                <w:szCs w:val="20"/>
              </w:rPr>
              <w:t xml:space="preserve"> </w:t>
            </w:r>
            <w:r>
              <w:rPr>
                <w:spacing w:val="8"/>
                <w:sz w:val="20"/>
                <w:szCs w:val="20"/>
              </w:rPr>
              <w:t>材料运输车辆也会产生一定的交通噪声。</w:t>
            </w:r>
          </w:p>
          <w:p w14:paraId="2983ACF5">
            <w:pPr>
              <w:pStyle w:val="6"/>
              <w:spacing w:before="42" w:line="344" w:lineRule="auto"/>
              <w:ind w:left="95" w:right="86" w:firstLine="415"/>
              <w:rPr>
                <w:sz w:val="20"/>
                <w:szCs w:val="20"/>
              </w:rPr>
            </w:pPr>
            <w:r>
              <w:rPr>
                <w:spacing w:val="9"/>
                <w:sz w:val="20"/>
                <w:szCs w:val="20"/>
              </w:rPr>
              <w:t>本次环评采用衰减模式预测施工设备的噪声影响值，各设备声源在不</w:t>
            </w:r>
            <w:r>
              <w:rPr>
                <w:spacing w:val="8"/>
                <w:sz w:val="20"/>
                <w:szCs w:val="20"/>
              </w:rPr>
              <w:t>同距离的衰减</w:t>
            </w:r>
            <w:r>
              <w:rPr>
                <w:sz w:val="20"/>
                <w:szCs w:val="20"/>
              </w:rPr>
              <w:t xml:space="preserve"> </w:t>
            </w:r>
            <w:r>
              <w:rPr>
                <w:spacing w:val="5"/>
                <w:sz w:val="20"/>
                <w:szCs w:val="20"/>
              </w:rPr>
              <w:t>结果见下表。</w:t>
            </w:r>
          </w:p>
          <w:p w14:paraId="1E17B89D">
            <w:pPr>
              <w:spacing w:line="220" w:lineRule="auto"/>
              <w:ind w:left="1651"/>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4-1    </w:t>
            </w:r>
            <w:r>
              <w:rPr>
                <w:rFonts w:ascii="黑体" w:hAnsi="黑体" w:eastAsia="黑体" w:cs="黑体"/>
                <w:sz w:val="18"/>
                <w:szCs w:val="18"/>
              </w:rPr>
              <w:t>项目各声源在不同距离的噪声预</w:t>
            </w:r>
            <w:r>
              <w:rPr>
                <w:rFonts w:ascii="黑体" w:hAnsi="黑体" w:eastAsia="黑体" w:cs="黑体"/>
                <w:spacing w:val="-1"/>
                <w:sz w:val="18"/>
                <w:szCs w:val="18"/>
              </w:rPr>
              <w:t>测结果  单位：dB(A)</w:t>
            </w:r>
          </w:p>
          <w:tbl>
            <w:tblPr>
              <w:tblStyle w:val="5"/>
              <w:tblW w:w="7477"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4"/>
              <w:gridCol w:w="620"/>
              <w:gridCol w:w="583"/>
              <w:gridCol w:w="583"/>
              <w:gridCol w:w="729"/>
              <w:gridCol w:w="729"/>
              <w:gridCol w:w="583"/>
              <w:gridCol w:w="617"/>
              <w:gridCol w:w="766"/>
            </w:tblGrid>
            <w:tr w14:paraId="30D17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93" w:type="dxa"/>
                  <w:vMerge w:val="restart"/>
                  <w:tcBorders>
                    <w:bottom w:val="nil"/>
                  </w:tcBorders>
                  <w:vAlign w:val="top"/>
                </w:tcPr>
                <w:p w14:paraId="43D8C73A">
                  <w:pPr>
                    <w:pStyle w:val="6"/>
                    <w:spacing w:before="272" w:line="221" w:lineRule="auto"/>
                    <w:ind w:left="143"/>
                    <w:rPr>
                      <w:sz w:val="18"/>
                      <w:szCs w:val="18"/>
                    </w:rPr>
                  </w:pPr>
                  <w:r>
                    <w:rPr>
                      <w:b/>
                      <w:bCs/>
                      <w:spacing w:val="-4"/>
                      <w:sz w:val="18"/>
                      <w:szCs w:val="18"/>
                    </w:rPr>
                    <w:t>设备名称</w:t>
                  </w:r>
                </w:p>
              </w:tc>
              <w:tc>
                <w:tcPr>
                  <w:tcW w:w="1274" w:type="dxa"/>
                  <w:vMerge w:val="restart"/>
                  <w:tcBorders>
                    <w:bottom w:val="nil"/>
                  </w:tcBorders>
                  <w:vAlign w:val="top"/>
                </w:tcPr>
                <w:p w14:paraId="0E5F0332">
                  <w:pPr>
                    <w:pStyle w:val="6"/>
                    <w:spacing w:before="111" w:line="275" w:lineRule="auto"/>
                    <w:ind w:left="276" w:right="276" w:firstLine="4"/>
                    <w:rPr>
                      <w:sz w:val="18"/>
                      <w:szCs w:val="18"/>
                    </w:rPr>
                  </w:pPr>
                  <w:r>
                    <w:rPr>
                      <w:b/>
                      <w:bCs/>
                      <w:spacing w:val="-4"/>
                      <w:sz w:val="18"/>
                      <w:szCs w:val="18"/>
                    </w:rPr>
                    <w:t>声级测值</w:t>
                  </w:r>
                  <w:r>
                    <w:rPr>
                      <w:sz w:val="18"/>
                      <w:szCs w:val="18"/>
                    </w:rPr>
                    <w:t xml:space="preserve"> </w:t>
                  </w:r>
                  <w:r>
                    <w:rPr>
                      <w:b/>
                      <w:bCs/>
                      <w:spacing w:val="-3"/>
                      <w:sz w:val="18"/>
                      <w:szCs w:val="18"/>
                    </w:rPr>
                    <w:t>距离声源</w:t>
                  </w:r>
                </w:p>
              </w:tc>
              <w:tc>
                <w:tcPr>
                  <w:tcW w:w="5210" w:type="dxa"/>
                  <w:gridSpan w:val="8"/>
                  <w:vAlign w:val="top"/>
                </w:tcPr>
                <w:p w14:paraId="5577FB43">
                  <w:pPr>
                    <w:pStyle w:val="6"/>
                    <w:spacing w:before="106" w:line="218" w:lineRule="auto"/>
                    <w:ind w:left="2170"/>
                    <w:rPr>
                      <w:sz w:val="18"/>
                      <w:szCs w:val="18"/>
                    </w:rPr>
                  </w:pPr>
                  <w:r>
                    <w:rPr>
                      <w:b/>
                      <w:bCs/>
                      <w:spacing w:val="-3"/>
                      <w:sz w:val="18"/>
                      <w:szCs w:val="18"/>
                    </w:rPr>
                    <w:t>距离（</w:t>
                  </w:r>
                  <w:r>
                    <w:rPr>
                      <w:rFonts w:ascii="Times New Roman" w:hAnsi="Times New Roman" w:eastAsia="Times New Roman" w:cs="Times New Roman"/>
                      <w:b/>
                      <w:bCs/>
                      <w:spacing w:val="-3"/>
                      <w:sz w:val="18"/>
                      <w:szCs w:val="18"/>
                    </w:rPr>
                    <w:t>m</w:t>
                  </w:r>
                  <w:r>
                    <w:rPr>
                      <w:b/>
                      <w:bCs/>
                      <w:spacing w:val="-3"/>
                      <w:sz w:val="18"/>
                      <w:szCs w:val="18"/>
                    </w:rPr>
                    <w:t>）</w:t>
                  </w:r>
                </w:p>
              </w:tc>
            </w:tr>
            <w:tr w14:paraId="36E2A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93" w:type="dxa"/>
                  <w:vMerge w:val="continue"/>
                  <w:tcBorders>
                    <w:top w:val="nil"/>
                  </w:tcBorders>
                  <w:vAlign w:val="top"/>
                </w:tcPr>
                <w:p w14:paraId="62AE2794">
                  <w:pPr>
                    <w:rPr>
                      <w:rFonts w:ascii="Arial"/>
                      <w:sz w:val="21"/>
                    </w:rPr>
                  </w:pPr>
                </w:p>
              </w:tc>
              <w:tc>
                <w:tcPr>
                  <w:tcW w:w="1274" w:type="dxa"/>
                  <w:vMerge w:val="continue"/>
                  <w:tcBorders>
                    <w:top w:val="nil"/>
                  </w:tcBorders>
                  <w:vAlign w:val="top"/>
                </w:tcPr>
                <w:p w14:paraId="1D4284A9">
                  <w:pPr>
                    <w:rPr>
                      <w:rFonts w:ascii="Arial"/>
                      <w:sz w:val="21"/>
                    </w:rPr>
                  </w:pPr>
                </w:p>
              </w:tc>
              <w:tc>
                <w:tcPr>
                  <w:tcW w:w="620" w:type="dxa"/>
                  <w:vAlign w:val="top"/>
                </w:tcPr>
                <w:p w14:paraId="763FAAE4">
                  <w:pPr>
                    <w:spacing w:before="132" w:line="188" w:lineRule="auto"/>
                    <w:ind w:left="26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6</w:t>
                  </w:r>
                </w:p>
              </w:tc>
              <w:tc>
                <w:tcPr>
                  <w:tcW w:w="583" w:type="dxa"/>
                  <w:vAlign w:val="top"/>
                </w:tcPr>
                <w:p w14:paraId="1B98401C">
                  <w:pPr>
                    <w:spacing w:before="132" w:line="188" w:lineRule="auto"/>
                    <w:ind w:left="210"/>
                    <w:rPr>
                      <w:rFonts w:ascii="Times New Roman" w:hAnsi="Times New Roman" w:eastAsia="Times New Roman" w:cs="Times New Roman"/>
                      <w:sz w:val="18"/>
                      <w:szCs w:val="18"/>
                    </w:rPr>
                  </w:pPr>
                  <w:r>
                    <w:rPr>
                      <w:rFonts w:ascii="Times New Roman" w:hAnsi="Times New Roman" w:eastAsia="Times New Roman" w:cs="Times New Roman"/>
                      <w:b/>
                      <w:bCs/>
                      <w:spacing w:val="-6"/>
                      <w:sz w:val="18"/>
                      <w:szCs w:val="18"/>
                    </w:rPr>
                    <w:t>10</w:t>
                  </w:r>
                </w:p>
              </w:tc>
              <w:tc>
                <w:tcPr>
                  <w:tcW w:w="583" w:type="dxa"/>
                  <w:vAlign w:val="top"/>
                </w:tcPr>
                <w:p w14:paraId="5503923C">
                  <w:pPr>
                    <w:spacing w:before="132" w:line="188" w:lineRule="auto"/>
                    <w:ind w:left="20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w:t>
                  </w:r>
                </w:p>
              </w:tc>
              <w:tc>
                <w:tcPr>
                  <w:tcW w:w="729" w:type="dxa"/>
                  <w:vAlign w:val="top"/>
                </w:tcPr>
                <w:p w14:paraId="71062D7D">
                  <w:pPr>
                    <w:spacing w:before="132" w:line="188" w:lineRule="auto"/>
                    <w:ind w:left="27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40</w:t>
                  </w:r>
                </w:p>
              </w:tc>
              <w:tc>
                <w:tcPr>
                  <w:tcW w:w="729" w:type="dxa"/>
                  <w:vAlign w:val="top"/>
                </w:tcPr>
                <w:p w14:paraId="6D2D1F24">
                  <w:pPr>
                    <w:spacing w:before="132" w:line="188" w:lineRule="auto"/>
                    <w:ind w:left="27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45</w:t>
                  </w:r>
                </w:p>
              </w:tc>
              <w:tc>
                <w:tcPr>
                  <w:tcW w:w="583" w:type="dxa"/>
                  <w:vAlign w:val="top"/>
                </w:tcPr>
                <w:p w14:paraId="24EB6DD1">
                  <w:pPr>
                    <w:spacing w:before="132" w:line="188" w:lineRule="auto"/>
                    <w:ind w:left="20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60</w:t>
                  </w:r>
                </w:p>
              </w:tc>
              <w:tc>
                <w:tcPr>
                  <w:tcW w:w="617" w:type="dxa"/>
                  <w:vAlign w:val="top"/>
                </w:tcPr>
                <w:p w14:paraId="1EB66A49">
                  <w:pPr>
                    <w:spacing w:before="132" w:line="188" w:lineRule="auto"/>
                    <w:ind w:left="18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100</w:t>
                  </w:r>
                </w:p>
              </w:tc>
              <w:tc>
                <w:tcPr>
                  <w:tcW w:w="766" w:type="dxa"/>
                  <w:vAlign w:val="top"/>
                </w:tcPr>
                <w:p w14:paraId="28D83FA7">
                  <w:pPr>
                    <w:spacing w:before="132" w:line="188" w:lineRule="auto"/>
                    <w:ind w:left="2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200</w:t>
                  </w:r>
                </w:p>
              </w:tc>
            </w:tr>
            <w:tr w14:paraId="6E77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93" w:type="dxa"/>
                  <w:vAlign w:val="top"/>
                </w:tcPr>
                <w:p w14:paraId="1B819EED">
                  <w:pPr>
                    <w:pStyle w:val="6"/>
                    <w:spacing w:before="103" w:line="216" w:lineRule="auto"/>
                    <w:ind w:left="230"/>
                    <w:rPr>
                      <w:sz w:val="18"/>
                      <w:szCs w:val="18"/>
                    </w:rPr>
                  </w:pPr>
                  <w:r>
                    <w:rPr>
                      <w:spacing w:val="-3"/>
                      <w:sz w:val="18"/>
                      <w:szCs w:val="18"/>
                    </w:rPr>
                    <w:t>挖掘机</w:t>
                  </w:r>
                </w:p>
              </w:tc>
              <w:tc>
                <w:tcPr>
                  <w:tcW w:w="1274" w:type="dxa"/>
                  <w:vAlign w:val="top"/>
                </w:tcPr>
                <w:p w14:paraId="471E102D">
                  <w:pPr>
                    <w:spacing w:before="135" w:line="188" w:lineRule="auto"/>
                    <w:ind w:left="5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620" w:type="dxa"/>
                  <w:vAlign w:val="top"/>
                </w:tcPr>
                <w:p w14:paraId="12C4B56D">
                  <w:pPr>
                    <w:spacing w:before="135"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79.4</w:t>
                  </w:r>
                </w:p>
              </w:tc>
              <w:tc>
                <w:tcPr>
                  <w:tcW w:w="583" w:type="dxa"/>
                  <w:vAlign w:val="top"/>
                </w:tcPr>
                <w:p w14:paraId="4C62D726">
                  <w:pPr>
                    <w:spacing w:before="137" w:line="185"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583" w:type="dxa"/>
                  <w:vAlign w:val="top"/>
                </w:tcPr>
                <w:p w14:paraId="708E9D7E">
                  <w:pPr>
                    <w:spacing w:before="135"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w:t>
                  </w:r>
                </w:p>
              </w:tc>
              <w:tc>
                <w:tcPr>
                  <w:tcW w:w="729" w:type="dxa"/>
                  <w:vAlign w:val="top"/>
                </w:tcPr>
                <w:p w14:paraId="25D43CD5">
                  <w:pPr>
                    <w:spacing w:before="135"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729" w:type="dxa"/>
                  <w:vAlign w:val="top"/>
                </w:tcPr>
                <w:p w14:paraId="1DE28642">
                  <w:pPr>
                    <w:spacing w:before="135"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583" w:type="dxa"/>
                  <w:vAlign w:val="top"/>
                </w:tcPr>
                <w:p w14:paraId="0461B998">
                  <w:pPr>
                    <w:spacing w:before="135"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59.4</w:t>
                  </w:r>
                </w:p>
              </w:tc>
              <w:tc>
                <w:tcPr>
                  <w:tcW w:w="617" w:type="dxa"/>
                  <w:vAlign w:val="top"/>
                </w:tcPr>
                <w:p w14:paraId="472D3D53">
                  <w:pPr>
                    <w:spacing w:before="137" w:line="185"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66" w:type="dxa"/>
                  <w:vAlign w:val="top"/>
                </w:tcPr>
                <w:p w14:paraId="05812878">
                  <w:pPr>
                    <w:spacing w:before="135"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14:paraId="6364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93" w:type="dxa"/>
                  <w:vAlign w:val="top"/>
                </w:tcPr>
                <w:p w14:paraId="0E147D8A">
                  <w:pPr>
                    <w:pStyle w:val="6"/>
                    <w:spacing w:before="106" w:line="213" w:lineRule="auto"/>
                    <w:ind w:left="230"/>
                    <w:rPr>
                      <w:sz w:val="18"/>
                      <w:szCs w:val="18"/>
                    </w:rPr>
                  </w:pPr>
                  <w:r>
                    <w:rPr>
                      <w:spacing w:val="-3"/>
                      <w:sz w:val="18"/>
                      <w:szCs w:val="18"/>
                    </w:rPr>
                    <w:t>振捣机</w:t>
                  </w:r>
                </w:p>
              </w:tc>
              <w:tc>
                <w:tcPr>
                  <w:tcW w:w="1274" w:type="dxa"/>
                  <w:vAlign w:val="top"/>
                </w:tcPr>
                <w:p w14:paraId="0B1C2EE1">
                  <w:pPr>
                    <w:spacing w:before="134" w:line="188" w:lineRule="auto"/>
                    <w:ind w:left="5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20" w:type="dxa"/>
                  <w:vAlign w:val="top"/>
                </w:tcPr>
                <w:p w14:paraId="271B1AB7">
                  <w:pPr>
                    <w:spacing w:before="134"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583" w:type="dxa"/>
                  <w:vAlign w:val="top"/>
                </w:tcPr>
                <w:p w14:paraId="0765E3F2">
                  <w:pPr>
                    <w:spacing w:before="134"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583" w:type="dxa"/>
                  <w:vAlign w:val="top"/>
                </w:tcPr>
                <w:p w14:paraId="59E9001E">
                  <w:pPr>
                    <w:spacing w:before="134"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729" w:type="dxa"/>
                  <w:vAlign w:val="top"/>
                </w:tcPr>
                <w:p w14:paraId="4EF132CD">
                  <w:pPr>
                    <w:spacing w:before="134"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57.9</w:t>
                  </w:r>
                </w:p>
              </w:tc>
              <w:tc>
                <w:tcPr>
                  <w:tcW w:w="729" w:type="dxa"/>
                  <w:vAlign w:val="top"/>
                </w:tcPr>
                <w:p w14:paraId="73F718E3">
                  <w:pPr>
                    <w:spacing w:before="134"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583" w:type="dxa"/>
                  <w:vAlign w:val="top"/>
                </w:tcPr>
                <w:p w14:paraId="69A75B55">
                  <w:pPr>
                    <w:spacing w:before="134"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54.4</w:t>
                  </w:r>
                </w:p>
              </w:tc>
              <w:tc>
                <w:tcPr>
                  <w:tcW w:w="617" w:type="dxa"/>
                  <w:vAlign w:val="top"/>
                </w:tcPr>
                <w:p w14:paraId="0D7C0244">
                  <w:pPr>
                    <w:spacing w:before="134"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66" w:type="dxa"/>
                  <w:vAlign w:val="top"/>
                </w:tcPr>
                <w:p w14:paraId="2EAC86FB">
                  <w:pPr>
                    <w:spacing w:before="134"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r>
            <w:tr w14:paraId="0B195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93" w:type="dxa"/>
                  <w:vAlign w:val="top"/>
                </w:tcPr>
                <w:p w14:paraId="50B79DEF">
                  <w:pPr>
                    <w:pStyle w:val="6"/>
                    <w:spacing w:before="105" w:line="218" w:lineRule="auto"/>
                    <w:ind w:left="230"/>
                    <w:rPr>
                      <w:sz w:val="18"/>
                      <w:szCs w:val="18"/>
                    </w:rPr>
                  </w:pPr>
                  <w:r>
                    <w:rPr>
                      <w:spacing w:val="-3"/>
                      <w:sz w:val="18"/>
                      <w:szCs w:val="18"/>
                    </w:rPr>
                    <w:t>切割机</w:t>
                  </w:r>
                </w:p>
              </w:tc>
              <w:tc>
                <w:tcPr>
                  <w:tcW w:w="1274" w:type="dxa"/>
                  <w:vAlign w:val="top"/>
                </w:tcPr>
                <w:p w14:paraId="44FFCA83">
                  <w:pPr>
                    <w:spacing w:before="137" w:line="188" w:lineRule="auto"/>
                    <w:ind w:left="5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620" w:type="dxa"/>
                  <w:vAlign w:val="top"/>
                </w:tcPr>
                <w:p w14:paraId="4ACE6876">
                  <w:pPr>
                    <w:spacing w:before="137"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583" w:type="dxa"/>
                  <w:vAlign w:val="top"/>
                </w:tcPr>
                <w:p w14:paraId="5D98E763">
                  <w:pPr>
                    <w:spacing w:before="137"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583" w:type="dxa"/>
                  <w:vAlign w:val="top"/>
                </w:tcPr>
                <w:p w14:paraId="683B106F">
                  <w:pPr>
                    <w:spacing w:before="137"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59.0</w:t>
                  </w:r>
                </w:p>
              </w:tc>
              <w:tc>
                <w:tcPr>
                  <w:tcW w:w="729" w:type="dxa"/>
                  <w:vAlign w:val="top"/>
                </w:tcPr>
                <w:p w14:paraId="6D6FCC8B">
                  <w:pPr>
                    <w:spacing w:before="137"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52.9</w:t>
                  </w:r>
                </w:p>
              </w:tc>
              <w:tc>
                <w:tcPr>
                  <w:tcW w:w="729" w:type="dxa"/>
                  <w:vAlign w:val="top"/>
                </w:tcPr>
                <w:p w14:paraId="069AD83B">
                  <w:pPr>
                    <w:spacing w:before="137"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51.9</w:t>
                  </w:r>
                </w:p>
              </w:tc>
              <w:tc>
                <w:tcPr>
                  <w:tcW w:w="583" w:type="dxa"/>
                  <w:vAlign w:val="top"/>
                </w:tcPr>
                <w:p w14:paraId="49846842">
                  <w:pPr>
                    <w:spacing w:before="137"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617" w:type="dxa"/>
                  <w:vAlign w:val="top"/>
                </w:tcPr>
                <w:p w14:paraId="07F4E76B">
                  <w:pPr>
                    <w:spacing w:before="137"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766" w:type="dxa"/>
                  <w:vAlign w:val="top"/>
                </w:tcPr>
                <w:p w14:paraId="2B87EBAC">
                  <w:pPr>
                    <w:spacing w:before="137"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39.0</w:t>
                  </w:r>
                </w:p>
              </w:tc>
            </w:tr>
          </w:tbl>
          <w:p w14:paraId="6C9BECC5">
            <w:pPr>
              <w:pStyle w:val="6"/>
              <w:spacing w:before="147" w:line="365" w:lineRule="auto"/>
              <w:ind w:left="90" w:right="102" w:firstLine="421"/>
              <w:jc w:val="both"/>
              <w:rPr>
                <w:sz w:val="20"/>
                <w:szCs w:val="20"/>
              </w:rPr>
            </w:pPr>
            <w:r>
              <w:rPr>
                <w:spacing w:val="9"/>
                <w:sz w:val="20"/>
                <w:szCs w:val="20"/>
              </w:rPr>
              <w:t>从上表中可看出，施工机械噪声在昼间影响较小，一般在距离噪声设备</w:t>
            </w:r>
            <w:r>
              <w:rPr>
                <w:rFonts w:ascii="Times New Roman" w:hAnsi="Times New Roman" w:eastAsia="Times New Roman" w:cs="Times New Roman"/>
                <w:spacing w:val="9"/>
                <w:sz w:val="20"/>
                <w:szCs w:val="20"/>
              </w:rPr>
              <w:t>20m</w:t>
            </w:r>
            <w:r>
              <w:rPr>
                <w:spacing w:val="9"/>
                <w:sz w:val="20"/>
                <w:szCs w:val="20"/>
              </w:rPr>
              <w:t>外，其</w:t>
            </w:r>
            <w:r>
              <w:rPr>
                <w:spacing w:val="11"/>
                <w:sz w:val="20"/>
                <w:szCs w:val="20"/>
              </w:rPr>
              <w:t xml:space="preserve"> </w:t>
            </w:r>
            <w:r>
              <w:rPr>
                <w:spacing w:val="7"/>
                <w:sz w:val="20"/>
                <w:szCs w:val="20"/>
              </w:rPr>
              <w:t>设备噪声贡献值</w:t>
            </w:r>
            <w:r>
              <w:rPr>
                <w:rFonts w:ascii="Times New Roman" w:hAnsi="Times New Roman" w:eastAsia="Times New Roman" w:cs="Times New Roman"/>
                <w:spacing w:val="7"/>
                <w:sz w:val="20"/>
                <w:szCs w:val="20"/>
              </w:rPr>
              <w:t>(</w:t>
            </w:r>
            <w:r>
              <w:rPr>
                <w:spacing w:val="7"/>
                <w:sz w:val="20"/>
                <w:szCs w:val="20"/>
              </w:rPr>
              <w:t>约</w:t>
            </w:r>
            <w:r>
              <w:rPr>
                <w:rFonts w:ascii="Times New Roman" w:hAnsi="Times New Roman" w:eastAsia="Times New Roman" w:cs="Times New Roman"/>
                <w:spacing w:val="7"/>
                <w:sz w:val="20"/>
                <w:szCs w:val="20"/>
              </w:rPr>
              <w:t>68.9</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(A))</w:t>
            </w:r>
            <w:r>
              <w:rPr>
                <w:spacing w:val="7"/>
                <w:sz w:val="20"/>
                <w:szCs w:val="20"/>
              </w:rPr>
              <w:t>就可低于建筑施工场厂界昼间噪声限值</w:t>
            </w:r>
            <w:r>
              <w:rPr>
                <w:rFonts w:ascii="Times New Roman" w:hAnsi="Times New Roman" w:eastAsia="Times New Roman" w:cs="Times New Roman"/>
                <w:spacing w:val="7"/>
                <w:sz w:val="20"/>
                <w:szCs w:val="20"/>
              </w:rPr>
              <w:t xml:space="preserve">(70 </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(A))</w:t>
            </w:r>
            <w:r>
              <w:rPr>
                <w:rFonts w:ascii="Times New Roman" w:hAnsi="Times New Roman" w:eastAsia="Times New Roman" w:cs="Times New Roman"/>
                <w:spacing w:val="-1"/>
                <w:sz w:val="20"/>
                <w:szCs w:val="20"/>
              </w:rPr>
              <w:t xml:space="preserve"> </w:t>
            </w:r>
            <w:r>
              <w:rPr>
                <w:spacing w:val="7"/>
                <w:sz w:val="20"/>
                <w:szCs w:val="20"/>
              </w:rPr>
              <w:t>。夜间</w:t>
            </w:r>
            <w:r>
              <w:rPr>
                <w:sz w:val="20"/>
                <w:szCs w:val="20"/>
              </w:rPr>
              <w:t xml:space="preserve"> </w:t>
            </w:r>
            <w:r>
              <w:rPr>
                <w:spacing w:val="8"/>
                <w:sz w:val="20"/>
                <w:szCs w:val="20"/>
              </w:rPr>
              <w:t>要求较严，噪声要在距离机械设备</w:t>
            </w:r>
            <w:r>
              <w:rPr>
                <w:rFonts w:ascii="Times New Roman" w:hAnsi="Times New Roman" w:eastAsia="Times New Roman" w:cs="Times New Roman"/>
                <w:spacing w:val="8"/>
                <w:sz w:val="20"/>
                <w:szCs w:val="20"/>
              </w:rPr>
              <w:t>100m</w:t>
            </w:r>
            <w:r>
              <w:rPr>
                <w:spacing w:val="8"/>
                <w:sz w:val="20"/>
                <w:szCs w:val="20"/>
              </w:rPr>
              <w:t>以外才可低于</w:t>
            </w:r>
            <w:r>
              <w:rPr>
                <w:rFonts w:ascii="Times New Roman" w:hAnsi="Times New Roman" w:eastAsia="Times New Roman" w:cs="Times New Roman"/>
                <w:spacing w:val="7"/>
                <w:sz w:val="20"/>
                <w:szCs w:val="20"/>
              </w:rPr>
              <w:t xml:space="preserve">55 </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(A)</w:t>
            </w:r>
            <w:r>
              <w:rPr>
                <w:rFonts w:ascii="Times New Roman" w:hAnsi="Times New Roman" w:eastAsia="Times New Roman" w:cs="Times New Roman"/>
                <w:spacing w:val="16"/>
                <w:w w:val="101"/>
                <w:sz w:val="20"/>
                <w:szCs w:val="20"/>
              </w:rPr>
              <w:t xml:space="preserve">  </w:t>
            </w:r>
            <w:r>
              <w:rPr>
                <w:spacing w:val="7"/>
                <w:sz w:val="20"/>
                <w:szCs w:val="20"/>
              </w:rPr>
              <w:t>的噪声控制值。</w:t>
            </w:r>
          </w:p>
          <w:p w14:paraId="6EA9BFC1">
            <w:pPr>
              <w:pStyle w:val="6"/>
              <w:spacing w:before="45" w:line="228" w:lineRule="auto"/>
              <w:ind w:left="512"/>
              <w:rPr>
                <w:sz w:val="20"/>
                <w:szCs w:val="20"/>
              </w:rPr>
            </w:pPr>
            <w:r>
              <w:rPr>
                <w:spacing w:val="9"/>
                <w:sz w:val="20"/>
                <w:szCs w:val="20"/>
              </w:rPr>
              <w:t>为降低噪声污染影响，在施工过程中应严格落实以下噪声控制措施：</w:t>
            </w:r>
          </w:p>
          <w:p w14:paraId="51DEF3C6">
            <w:pPr>
              <w:pStyle w:val="6"/>
              <w:spacing w:before="163" w:line="302" w:lineRule="auto"/>
              <w:ind w:left="90" w:right="88" w:firstLine="418"/>
              <w:rPr>
                <w:sz w:val="20"/>
                <w:szCs w:val="20"/>
              </w:rPr>
            </w:pPr>
            <w:r>
              <w:rPr>
                <w:spacing w:val="9"/>
                <w:sz w:val="20"/>
                <w:szCs w:val="20"/>
              </w:rPr>
              <w:t>①在满足工艺要求的前提下，首先选用先进的、噪声较低的环保型设</w:t>
            </w:r>
            <w:r>
              <w:rPr>
                <w:spacing w:val="8"/>
                <w:sz w:val="20"/>
                <w:szCs w:val="20"/>
              </w:rPr>
              <w:t>备，严格按操</w:t>
            </w:r>
            <w:r>
              <w:rPr>
                <w:sz w:val="20"/>
                <w:szCs w:val="20"/>
              </w:rPr>
              <w:t xml:space="preserve"> </w:t>
            </w:r>
            <w:r>
              <w:rPr>
                <w:spacing w:val="9"/>
                <w:sz w:val="20"/>
                <w:szCs w:val="20"/>
              </w:rPr>
              <w:t>作规程使用各类机械，使机器设备处于良好的运行状态。</w:t>
            </w:r>
          </w:p>
          <w:p w14:paraId="568FAE56">
            <w:pPr>
              <w:pStyle w:val="6"/>
              <w:spacing w:before="165" w:line="303" w:lineRule="auto"/>
              <w:ind w:left="126" w:right="15" w:firstLine="382"/>
              <w:rPr>
                <w:sz w:val="20"/>
                <w:szCs w:val="20"/>
              </w:rPr>
            </w:pPr>
            <w:r>
              <w:rPr>
                <w:spacing w:val="9"/>
                <w:sz w:val="20"/>
                <w:szCs w:val="20"/>
              </w:rPr>
              <w:t>②合理安排工期，尽量缩短整个施工期；严格控制施工时间，禁止夜间（</w:t>
            </w:r>
            <w:r>
              <w:rPr>
                <w:rFonts w:ascii="Times New Roman" w:hAnsi="Times New Roman" w:eastAsia="Times New Roman" w:cs="Times New Roman"/>
                <w:spacing w:val="9"/>
                <w:sz w:val="20"/>
                <w:szCs w:val="20"/>
              </w:rPr>
              <w:t>22:0</w:t>
            </w:r>
            <w:r>
              <w:rPr>
                <w:rFonts w:ascii="Times New Roman" w:hAnsi="Times New Roman" w:eastAsia="Times New Roman" w:cs="Times New Roman"/>
                <w:spacing w:val="8"/>
                <w:sz w:val="20"/>
                <w:szCs w:val="20"/>
              </w:rPr>
              <w:t>0</w:t>
            </w:r>
            <w:r>
              <w:rPr>
                <w:rFonts w:hint="eastAsia" w:ascii="Times New Roman" w:hAnsi="Times New Roman" w:eastAsia="Times New Roman" w:cs="Times New Roman"/>
                <w:spacing w:val="8"/>
                <w:sz w:val="20"/>
                <w:szCs w:val="20"/>
              </w:rPr>
              <w:t>一次</w:t>
            </w:r>
            <w:r>
              <w:rPr>
                <w:spacing w:val="7"/>
                <w:sz w:val="20"/>
                <w:szCs w:val="20"/>
              </w:rPr>
              <w:t>日</w:t>
            </w:r>
            <w:r>
              <w:rPr>
                <w:rFonts w:ascii="Times New Roman" w:hAnsi="Times New Roman" w:eastAsia="Times New Roman" w:cs="Times New Roman"/>
                <w:spacing w:val="7"/>
                <w:sz w:val="20"/>
                <w:szCs w:val="20"/>
              </w:rPr>
              <w:t>6</w:t>
            </w:r>
            <w:r>
              <w:rPr>
                <w:spacing w:val="7"/>
                <w:sz w:val="20"/>
                <w:szCs w:val="20"/>
              </w:rPr>
              <w:t>：</w:t>
            </w:r>
            <w:r>
              <w:rPr>
                <w:rFonts w:ascii="Times New Roman" w:hAnsi="Times New Roman" w:eastAsia="Times New Roman" w:cs="Times New Roman"/>
                <w:spacing w:val="7"/>
                <w:sz w:val="20"/>
                <w:szCs w:val="20"/>
              </w:rPr>
              <w:t>00</w:t>
            </w:r>
            <w:r>
              <w:rPr>
                <w:spacing w:val="7"/>
                <w:sz w:val="20"/>
                <w:szCs w:val="20"/>
              </w:rPr>
              <w:t>）进行产生环境噪声污染的施工作业；应尽可能避免大量高噪声设</w:t>
            </w:r>
            <w:r>
              <w:rPr>
                <w:spacing w:val="6"/>
                <w:sz w:val="20"/>
                <w:szCs w:val="20"/>
              </w:rPr>
              <w:t>备同时施工。</w:t>
            </w:r>
          </w:p>
          <w:p w14:paraId="252EFF8C">
            <w:pPr>
              <w:pStyle w:val="6"/>
              <w:spacing w:before="165" w:line="225" w:lineRule="auto"/>
              <w:ind w:left="508"/>
              <w:rPr>
                <w:sz w:val="20"/>
                <w:szCs w:val="20"/>
              </w:rPr>
            </w:pPr>
            <w:r>
              <w:rPr>
                <w:spacing w:val="9"/>
                <w:sz w:val="20"/>
                <w:szCs w:val="20"/>
              </w:rPr>
              <w:t>③坚持文明施工，降低人为噪声，搬运应该轻拿轻放。</w:t>
            </w:r>
          </w:p>
          <w:p w14:paraId="60D1100F">
            <w:pPr>
              <w:pStyle w:val="6"/>
              <w:spacing w:before="165" w:line="304" w:lineRule="auto"/>
              <w:ind w:left="89" w:right="88" w:firstLine="419"/>
              <w:rPr>
                <w:sz w:val="20"/>
                <w:szCs w:val="20"/>
              </w:rPr>
            </w:pPr>
            <w:r>
              <w:rPr>
                <w:spacing w:val="9"/>
                <w:sz w:val="20"/>
                <w:szCs w:val="20"/>
              </w:rPr>
              <w:t>④合理布局，避免在同一地点安排大量动力机械设备，尽量避免噪声设</w:t>
            </w:r>
            <w:r>
              <w:rPr>
                <w:spacing w:val="8"/>
                <w:sz w:val="20"/>
                <w:szCs w:val="20"/>
              </w:rPr>
              <w:t>备布置在靠</w:t>
            </w:r>
            <w:r>
              <w:rPr>
                <w:sz w:val="20"/>
                <w:szCs w:val="20"/>
              </w:rPr>
              <w:t xml:space="preserve"> </w:t>
            </w:r>
            <w:r>
              <w:rPr>
                <w:spacing w:val="6"/>
                <w:sz w:val="20"/>
                <w:szCs w:val="20"/>
              </w:rPr>
              <w:t>近厂界处。</w:t>
            </w:r>
          </w:p>
          <w:p w14:paraId="1382988B">
            <w:pPr>
              <w:pStyle w:val="6"/>
              <w:spacing w:before="161" w:line="303" w:lineRule="auto"/>
              <w:ind w:left="89" w:right="86" w:firstLine="419"/>
              <w:rPr>
                <w:sz w:val="20"/>
                <w:szCs w:val="20"/>
              </w:rPr>
            </w:pPr>
            <w:r>
              <w:rPr>
                <w:spacing w:val="9"/>
                <w:sz w:val="20"/>
                <w:szCs w:val="20"/>
              </w:rPr>
              <w:t>⑤运输物料的车辆进入现场应减速行驶、并禁止鸣笛。合理安排运输路线，</w:t>
            </w:r>
            <w:r>
              <w:rPr>
                <w:spacing w:val="8"/>
                <w:sz w:val="20"/>
                <w:szCs w:val="20"/>
              </w:rPr>
              <w:t>物料运</w:t>
            </w:r>
            <w:r>
              <w:rPr>
                <w:sz w:val="20"/>
                <w:szCs w:val="20"/>
              </w:rPr>
              <w:t xml:space="preserve"> </w:t>
            </w:r>
            <w:r>
              <w:rPr>
                <w:spacing w:val="8"/>
                <w:sz w:val="20"/>
                <w:szCs w:val="20"/>
              </w:rPr>
              <w:t>输通道尽量避开居民区和环境噪声敏感区。</w:t>
            </w:r>
          </w:p>
          <w:p w14:paraId="10FB460E">
            <w:pPr>
              <w:pStyle w:val="6"/>
              <w:spacing w:before="164" w:line="365" w:lineRule="auto"/>
              <w:ind w:left="102" w:right="88" w:firstLine="407"/>
              <w:jc w:val="both"/>
              <w:rPr>
                <w:sz w:val="20"/>
                <w:szCs w:val="20"/>
              </w:rPr>
            </w:pPr>
            <w:r>
              <w:rPr>
                <w:spacing w:val="9"/>
                <w:sz w:val="20"/>
                <w:szCs w:val="20"/>
              </w:rPr>
              <w:t>通过采取上述控制措施，能够起到较好的隔声降噪效果。根据类比</w:t>
            </w:r>
            <w:r>
              <w:rPr>
                <w:spacing w:val="8"/>
                <w:sz w:val="20"/>
                <w:szCs w:val="20"/>
              </w:rPr>
              <w:t>分析，施工噪声</w:t>
            </w:r>
            <w:r>
              <w:rPr>
                <w:sz w:val="20"/>
                <w:szCs w:val="20"/>
              </w:rPr>
              <w:t xml:space="preserve"> </w:t>
            </w:r>
            <w:r>
              <w:rPr>
                <w:spacing w:val="8"/>
                <w:sz w:val="20"/>
                <w:szCs w:val="20"/>
              </w:rPr>
              <w:t>隔声量取</w:t>
            </w:r>
            <w:r>
              <w:rPr>
                <w:rFonts w:ascii="Times New Roman" w:hAnsi="Times New Roman" w:eastAsia="Times New Roman" w:cs="Times New Roman"/>
                <w:spacing w:val="8"/>
                <w:sz w:val="20"/>
                <w:szCs w:val="20"/>
              </w:rPr>
              <w:t>15</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(A)</w:t>
            </w:r>
            <w:r>
              <w:rPr>
                <w:rFonts w:ascii="Times New Roman" w:hAnsi="Times New Roman" w:eastAsia="Times New Roman" w:cs="Times New Roman"/>
                <w:spacing w:val="-11"/>
                <w:sz w:val="20"/>
                <w:szCs w:val="20"/>
              </w:rPr>
              <w:t xml:space="preserve"> </w:t>
            </w:r>
            <w:r>
              <w:rPr>
                <w:spacing w:val="8"/>
                <w:sz w:val="20"/>
                <w:szCs w:val="20"/>
              </w:rPr>
              <w:t>。项目在采取控制措施后，夜间不安排施工。因此，本次环评仅对项</w:t>
            </w:r>
            <w:r>
              <w:rPr>
                <w:sz w:val="20"/>
                <w:szCs w:val="20"/>
              </w:rPr>
              <w:t xml:space="preserve"> </w:t>
            </w:r>
            <w:r>
              <w:rPr>
                <w:spacing w:val="8"/>
                <w:sz w:val="20"/>
                <w:szCs w:val="20"/>
              </w:rPr>
              <w:t>目昼间施工噪声进行预测。预测结果如下：</w:t>
            </w:r>
          </w:p>
        </w:tc>
      </w:tr>
    </w:tbl>
    <w:p w14:paraId="68DFAC2C">
      <w:pPr>
        <w:pStyle w:val="2"/>
      </w:pPr>
    </w:p>
    <w:p w14:paraId="66047F92">
      <w:pPr>
        <w:sectPr>
          <w:footerReference r:id="rId61" w:type="default"/>
          <w:pgSz w:w="11907" w:h="16840"/>
          <w:pgMar w:top="1431" w:right="1490" w:bottom="1258" w:left="1489" w:header="0" w:footer="1080" w:gutter="0"/>
          <w:cols w:space="720" w:num="1"/>
        </w:sectPr>
      </w:pPr>
    </w:p>
    <w:p w14:paraId="52523013">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0861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9" w:hRule="atLeast"/>
        </w:trPr>
        <w:tc>
          <w:tcPr>
            <w:tcW w:w="785" w:type="dxa"/>
            <w:tcBorders>
              <w:bottom w:val="single" w:color="000000" w:sz="2" w:space="0"/>
              <w:right w:val="single" w:color="000000" w:sz="2" w:space="0"/>
            </w:tcBorders>
            <w:vAlign w:val="top"/>
          </w:tcPr>
          <w:p w14:paraId="544EEAC6">
            <w:pPr>
              <w:rPr>
                <w:rFonts w:ascii="Arial"/>
                <w:sz w:val="21"/>
              </w:rPr>
            </w:pPr>
          </w:p>
        </w:tc>
        <w:tc>
          <w:tcPr>
            <w:tcW w:w="8127" w:type="dxa"/>
            <w:tcBorders>
              <w:left w:val="single" w:color="000000" w:sz="2" w:space="0"/>
              <w:bottom w:val="single" w:color="000000" w:sz="2" w:space="0"/>
            </w:tcBorders>
            <w:vAlign w:val="top"/>
          </w:tcPr>
          <w:p w14:paraId="62F42FDC">
            <w:pPr>
              <w:spacing w:before="91" w:line="219" w:lineRule="auto"/>
              <w:ind w:left="2100"/>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4-2    </w:t>
            </w:r>
            <w:r>
              <w:rPr>
                <w:rFonts w:ascii="黑体" w:hAnsi="黑体" w:eastAsia="黑体" w:cs="黑体"/>
                <w:sz w:val="18"/>
                <w:szCs w:val="18"/>
              </w:rPr>
              <w:t>项目厂界处的噪声预测结果</w:t>
            </w:r>
            <w:r>
              <w:rPr>
                <w:rFonts w:ascii="黑体" w:hAnsi="黑体" w:eastAsia="黑体" w:cs="黑体"/>
                <w:spacing w:val="-1"/>
                <w:sz w:val="18"/>
                <w:szCs w:val="18"/>
              </w:rPr>
              <w:t xml:space="preserve">  单位：dB(A)</w:t>
            </w:r>
          </w:p>
          <w:tbl>
            <w:tblPr>
              <w:tblStyle w:val="5"/>
              <w:tblW w:w="7480" w:type="dxa"/>
              <w:tblInd w:w="3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759"/>
              <w:gridCol w:w="821"/>
              <w:gridCol w:w="687"/>
              <w:gridCol w:w="691"/>
              <w:gridCol w:w="718"/>
              <w:gridCol w:w="782"/>
              <w:gridCol w:w="670"/>
              <w:gridCol w:w="697"/>
              <w:gridCol w:w="608"/>
            </w:tblGrid>
            <w:tr w14:paraId="763C3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47" w:type="dxa"/>
                  <w:vMerge w:val="restart"/>
                  <w:tcBorders>
                    <w:bottom w:val="nil"/>
                  </w:tcBorders>
                  <w:vAlign w:val="top"/>
                </w:tcPr>
                <w:p w14:paraId="67211632">
                  <w:pPr>
                    <w:pStyle w:val="6"/>
                    <w:spacing w:before="273" w:line="220" w:lineRule="auto"/>
                    <w:ind w:left="351"/>
                    <w:rPr>
                      <w:sz w:val="18"/>
                      <w:szCs w:val="18"/>
                    </w:rPr>
                  </w:pPr>
                  <w:r>
                    <w:rPr>
                      <w:b/>
                      <w:bCs/>
                      <w:spacing w:val="-7"/>
                      <w:sz w:val="18"/>
                      <w:szCs w:val="18"/>
                    </w:rPr>
                    <w:t>项目</w:t>
                  </w:r>
                </w:p>
              </w:tc>
              <w:tc>
                <w:tcPr>
                  <w:tcW w:w="759" w:type="dxa"/>
                  <w:vMerge w:val="restart"/>
                  <w:tcBorders>
                    <w:bottom w:val="nil"/>
                  </w:tcBorders>
                  <w:vAlign w:val="top"/>
                </w:tcPr>
                <w:p w14:paraId="6B06C5E0">
                  <w:pPr>
                    <w:pStyle w:val="6"/>
                    <w:spacing w:before="111" w:line="275" w:lineRule="auto"/>
                    <w:ind w:left="291" w:right="105" w:hanging="175"/>
                    <w:rPr>
                      <w:sz w:val="18"/>
                      <w:szCs w:val="18"/>
                    </w:rPr>
                  </w:pPr>
                  <w:r>
                    <w:rPr>
                      <w:b/>
                      <w:bCs/>
                      <w:spacing w:val="-5"/>
                      <w:sz w:val="18"/>
                      <w:szCs w:val="18"/>
                    </w:rPr>
                    <w:t>叠加声</w:t>
                  </w:r>
                  <w:r>
                    <w:rPr>
                      <w:sz w:val="18"/>
                      <w:szCs w:val="18"/>
                    </w:rPr>
                    <w:t xml:space="preserve"> </w:t>
                  </w:r>
                  <w:r>
                    <w:rPr>
                      <w:b/>
                      <w:bCs/>
                      <w:spacing w:val="-2"/>
                      <w:sz w:val="18"/>
                      <w:szCs w:val="18"/>
                    </w:rPr>
                    <w:t>源</w:t>
                  </w:r>
                </w:p>
              </w:tc>
              <w:tc>
                <w:tcPr>
                  <w:tcW w:w="821" w:type="dxa"/>
                  <w:vMerge w:val="restart"/>
                  <w:tcBorders>
                    <w:bottom w:val="nil"/>
                  </w:tcBorders>
                  <w:vAlign w:val="top"/>
                </w:tcPr>
                <w:p w14:paraId="34EAD35D">
                  <w:pPr>
                    <w:pStyle w:val="6"/>
                    <w:spacing w:before="111" w:line="275" w:lineRule="auto"/>
                    <w:ind w:left="233" w:right="137" w:hanging="86"/>
                    <w:rPr>
                      <w:sz w:val="18"/>
                      <w:szCs w:val="18"/>
                    </w:rPr>
                  </w:pPr>
                  <w:r>
                    <w:rPr>
                      <w:b/>
                      <w:bCs/>
                      <w:spacing w:val="-5"/>
                      <w:sz w:val="18"/>
                      <w:szCs w:val="18"/>
                    </w:rPr>
                    <w:t>与声源</w:t>
                  </w:r>
                  <w:r>
                    <w:rPr>
                      <w:sz w:val="18"/>
                      <w:szCs w:val="18"/>
                    </w:rPr>
                    <w:t xml:space="preserve"> </w:t>
                  </w:r>
                  <w:r>
                    <w:rPr>
                      <w:b/>
                      <w:bCs/>
                      <w:spacing w:val="-6"/>
                      <w:sz w:val="18"/>
                      <w:szCs w:val="18"/>
                    </w:rPr>
                    <w:t>距离</w:t>
                  </w:r>
                </w:p>
              </w:tc>
              <w:tc>
                <w:tcPr>
                  <w:tcW w:w="687" w:type="dxa"/>
                  <w:vMerge w:val="restart"/>
                  <w:tcBorders>
                    <w:bottom w:val="nil"/>
                  </w:tcBorders>
                  <w:vAlign w:val="top"/>
                </w:tcPr>
                <w:p w14:paraId="2648B472">
                  <w:pPr>
                    <w:pStyle w:val="6"/>
                    <w:spacing w:before="111" w:line="275" w:lineRule="auto"/>
                    <w:ind w:left="258" w:right="161" w:hanging="89"/>
                    <w:rPr>
                      <w:sz w:val="18"/>
                      <w:szCs w:val="18"/>
                    </w:rPr>
                  </w:pPr>
                  <w:r>
                    <w:rPr>
                      <w:b/>
                      <w:bCs/>
                      <w:spacing w:val="-7"/>
                      <w:sz w:val="18"/>
                      <w:szCs w:val="18"/>
                    </w:rPr>
                    <w:t>贡献</w:t>
                  </w:r>
                  <w:r>
                    <w:rPr>
                      <w:sz w:val="18"/>
                      <w:szCs w:val="18"/>
                    </w:rPr>
                    <w:t xml:space="preserve"> </w:t>
                  </w:r>
                  <w:r>
                    <w:rPr>
                      <w:b/>
                      <w:bCs/>
                      <w:spacing w:val="-2"/>
                      <w:sz w:val="18"/>
                      <w:szCs w:val="18"/>
                    </w:rPr>
                    <w:t>值</w:t>
                  </w:r>
                </w:p>
              </w:tc>
              <w:tc>
                <w:tcPr>
                  <w:tcW w:w="1409" w:type="dxa"/>
                  <w:gridSpan w:val="2"/>
                  <w:vAlign w:val="top"/>
                </w:tcPr>
                <w:p w14:paraId="30309730">
                  <w:pPr>
                    <w:pStyle w:val="6"/>
                    <w:spacing w:before="107" w:line="217" w:lineRule="auto"/>
                    <w:ind w:left="440"/>
                    <w:rPr>
                      <w:sz w:val="18"/>
                      <w:szCs w:val="18"/>
                    </w:rPr>
                  </w:pPr>
                  <w:r>
                    <w:rPr>
                      <w:b/>
                      <w:bCs/>
                      <w:spacing w:val="-5"/>
                      <w:sz w:val="18"/>
                      <w:szCs w:val="18"/>
                    </w:rPr>
                    <w:t>背景值</w:t>
                  </w:r>
                </w:p>
              </w:tc>
              <w:tc>
                <w:tcPr>
                  <w:tcW w:w="1452" w:type="dxa"/>
                  <w:gridSpan w:val="2"/>
                  <w:vAlign w:val="top"/>
                </w:tcPr>
                <w:p w14:paraId="55FFA0B9">
                  <w:pPr>
                    <w:pStyle w:val="6"/>
                    <w:spacing w:before="107" w:line="217" w:lineRule="auto"/>
                    <w:ind w:left="370"/>
                    <w:rPr>
                      <w:sz w:val="18"/>
                      <w:szCs w:val="18"/>
                    </w:rPr>
                  </w:pPr>
                  <w:r>
                    <w:rPr>
                      <w:b/>
                      <w:bCs/>
                      <w:spacing w:val="-4"/>
                      <w:sz w:val="18"/>
                      <w:szCs w:val="18"/>
                    </w:rPr>
                    <w:t>执行标准</w:t>
                  </w:r>
                </w:p>
              </w:tc>
              <w:tc>
                <w:tcPr>
                  <w:tcW w:w="1305" w:type="dxa"/>
                  <w:gridSpan w:val="2"/>
                  <w:vAlign w:val="top"/>
                </w:tcPr>
                <w:p w14:paraId="1151F448">
                  <w:pPr>
                    <w:pStyle w:val="6"/>
                    <w:spacing w:before="107" w:line="217" w:lineRule="auto"/>
                    <w:ind w:left="295"/>
                    <w:rPr>
                      <w:sz w:val="18"/>
                      <w:szCs w:val="18"/>
                    </w:rPr>
                  </w:pPr>
                  <w:r>
                    <w:rPr>
                      <w:b/>
                      <w:bCs/>
                      <w:spacing w:val="-3"/>
                      <w:sz w:val="18"/>
                      <w:szCs w:val="18"/>
                    </w:rPr>
                    <w:t>达标情况</w:t>
                  </w:r>
                </w:p>
              </w:tc>
            </w:tr>
            <w:tr w14:paraId="420E6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vMerge w:val="continue"/>
                  <w:tcBorders>
                    <w:top w:val="nil"/>
                  </w:tcBorders>
                  <w:vAlign w:val="top"/>
                </w:tcPr>
                <w:p w14:paraId="68CE3F50">
                  <w:pPr>
                    <w:rPr>
                      <w:rFonts w:ascii="Arial"/>
                      <w:sz w:val="21"/>
                    </w:rPr>
                  </w:pPr>
                </w:p>
              </w:tc>
              <w:tc>
                <w:tcPr>
                  <w:tcW w:w="759" w:type="dxa"/>
                  <w:vMerge w:val="continue"/>
                  <w:tcBorders>
                    <w:top w:val="nil"/>
                  </w:tcBorders>
                  <w:vAlign w:val="top"/>
                </w:tcPr>
                <w:p w14:paraId="4765B8E9">
                  <w:pPr>
                    <w:rPr>
                      <w:rFonts w:ascii="Arial"/>
                      <w:sz w:val="21"/>
                    </w:rPr>
                  </w:pPr>
                </w:p>
              </w:tc>
              <w:tc>
                <w:tcPr>
                  <w:tcW w:w="821" w:type="dxa"/>
                  <w:vMerge w:val="continue"/>
                  <w:tcBorders>
                    <w:top w:val="nil"/>
                  </w:tcBorders>
                  <w:vAlign w:val="top"/>
                </w:tcPr>
                <w:p w14:paraId="2F674A08">
                  <w:pPr>
                    <w:rPr>
                      <w:rFonts w:ascii="Arial"/>
                      <w:sz w:val="21"/>
                    </w:rPr>
                  </w:pPr>
                </w:p>
              </w:tc>
              <w:tc>
                <w:tcPr>
                  <w:tcW w:w="687" w:type="dxa"/>
                  <w:vMerge w:val="continue"/>
                  <w:tcBorders>
                    <w:top w:val="nil"/>
                  </w:tcBorders>
                  <w:vAlign w:val="top"/>
                </w:tcPr>
                <w:p w14:paraId="0852373F">
                  <w:pPr>
                    <w:rPr>
                      <w:rFonts w:ascii="Arial"/>
                      <w:sz w:val="21"/>
                    </w:rPr>
                  </w:pPr>
                </w:p>
              </w:tc>
              <w:tc>
                <w:tcPr>
                  <w:tcW w:w="691" w:type="dxa"/>
                  <w:vAlign w:val="top"/>
                </w:tcPr>
                <w:p w14:paraId="1F1B8915">
                  <w:pPr>
                    <w:pStyle w:val="6"/>
                    <w:spacing w:before="102" w:line="217" w:lineRule="auto"/>
                    <w:ind w:left="168"/>
                    <w:rPr>
                      <w:sz w:val="18"/>
                      <w:szCs w:val="18"/>
                    </w:rPr>
                  </w:pPr>
                  <w:r>
                    <w:rPr>
                      <w:b/>
                      <w:bCs/>
                      <w:spacing w:val="-6"/>
                      <w:sz w:val="18"/>
                      <w:szCs w:val="18"/>
                    </w:rPr>
                    <w:t>昼间</w:t>
                  </w:r>
                </w:p>
              </w:tc>
              <w:tc>
                <w:tcPr>
                  <w:tcW w:w="718" w:type="dxa"/>
                  <w:vAlign w:val="top"/>
                </w:tcPr>
                <w:p w14:paraId="0B86A8E0">
                  <w:pPr>
                    <w:pStyle w:val="6"/>
                    <w:spacing w:before="102" w:line="217" w:lineRule="auto"/>
                    <w:ind w:left="186"/>
                    <w:rPr>
                      <w:sz w:val="18"/>
                      <w:szCs w:val="18"/>
                    </w:rPr>
                  </w:pPr>
                  <w:r>
                    <w:rPr>
                      <w:b/>
                      <w:bCs/>
                      <w:spacing w:val="-7"/>
                      <w:sz w:val="18"/>
                      <w:szCs w:val="18"/>
                    </w:rPr>
                    <w:t>夜间</w:t>
                  </w:r>
                </w:p>
              </w:tc>
              <w:tc>
                <w:tcPr>
                  <w:tcW w:w="782" w:type="dxa"/>
                  <w:vAlign w:val="top"/>
                </w:tcPr>
                <w:p w14:paraId="7EFDB396">
                  <w:pPr>
                    <w:pStyle w:val="6"/>
                    <w:spacing w:before="102" w:line="217" w:lineRule="auto"/>
                    <w:ind w:left="216"/>
                    <w:rPr>
                      <w:sz w:val="18"/>
                      <w:szCs w:val="18"/>
                    </w:rPr>
                  </w:pPr>
                  <w:r>
                    <w:rPr>
                      <w:b/>
                      <w:bCs/>
                      <w:spacing w:val="-6"/>
                      <w:sz w:val="18"/>
                      <w:szCs w:val="18"/>
                    </w:rPr>
                    <w:t>昼间</w:t>
                  </w:r>
                </w:p>
              </w:tc>
              <w:tc>
                <w:tcPr>
                  <w:tcW w:w="670" w:type="dxa"/>
                  <w:vAlign w:val="top"/>
                </w:tcPr>
                <w:p w14:paraId="7358C3D1">
                  <w:pPr>
                    <w:pStyle w:val="6"/>
                    <w:spacing w:before="102" w:line="217" w:lineRule="auto"/>
                    <w:ind w:left="162"/>
                    <w:rPr>
                      <w:sz w:val="18"/>
                      <w:szCs w:val="18"/>
                    </w:rPr>
                  </w:pPr>
                  <w:r>
                    <w:rPr>
                      <w:b/>
                      <w:bCs/>
                      <w:spacing w:val="-7"/>
                      <w:sz w:val="18"/>
                      <w:szCs w:val="18"/>
                    </w:rPr>
                    <w:t>夜间</w:t>
                  </w:r>
                </w:p>
              </w:tc>
              <w:tc>
                <w:tcPr>
                  <w:tcW w:w="697" w:type="dxa"/>
                  <w:vAlign w:val="top"/>
                </w:tcPr>
                <w:p w14:paraId="23EC5143">
                  <w:pPr>
                    <w:pStyle w:val="6"/>
                    <w:spacing w:before="102" w:line="217" w:lineRule="auto"/>
                    <w:ind w:left="172"/>
                    <w:rPr>
                      <w:sz w:val="18"/>
                      <w:szCs w:val="18"/>
                    </w:rPr>
                  </w:pPr>
                  <w:r>
                    <w:rPr>
                      <w:b/>
                      <w:bCs/>
                      <w:spacing w:val="-6"/>
                      <w:sz w:val="18"/>
                      <w:szCs w:val="18"/>
                    </w:rPr>
                    <w:t>昼间</w:t>
                  </w:r>
                </w:p>
              </w:tc>
              <w:tc>
                <w:tcPr>
                  <w:tcW w:w="608" w:type="dxa"/>
                  <w:vAlign w:val="top"/>
                </w:tcPr>
                <w:p w14:paraId="0C325C53">
                  <w:pPr>
                    <w:pStyle w:val="6"/>
                    <w:spacing w:before="102" w:line="217" w:lineRule="auto"/>
                    <w:ind w:left="129"/>
                    <w:rPr>
                      <w:sz w:val="18"/>
                      <w:szCs w:val="18"/>
                    </w:rPr>
                  </w:pPr>
                  <w:r>
                    <w:rPr>
                      <w:b/>
                      <w:bCs/>
                      <w:spacing w:val="-7"/>
                      <w:sz w:val="18"/>
                      <w:szCs w:val="18"/>
                    </w:rPr>
                    <w:t>夜间</w:t>
                  </w:r>
                </w:p>
              </w:tc>
            </w:tr>
            <w:tr w14:paraId="33077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vAlign w:val="top"/>
                </w:tcPr>
                <w:p w14:paraId="704A7BE1">
                  <w:pPr>
                    <w:pStyle w:val="6"/>
                    <w:spacing w:before="104" w:line="215" w:lineRule="auto"/>
                    <w:ind w:left="263"/>
                    <w:rPr>
                      <w:sz w:val="18"/>
                      <w:szCs w:val="18"/>
                    </w:rPr>
                  </w:pPr>
                  <w:r>
                    <w:rPr>
                      <w:spacing w:val="-5"/>
                      <w:sz w:val="18"/>
                      <w:szCs w:val="18"/>
                    </w:rPr>
                    <w:t>东厂界</w:t>
                  </w:r>
                </w:p>
              </w:tc>
              <w:tc>
                <w:tcPr>
                  <w:tcW w:w="759" w:type="dxa"/>
                  <w:vAlign w:val="top"/>
                </w:tcPr>
                <w:p w14:paraId="3C3DF416">
                  <w:pPr>
                    <w:spacing w:before="133"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1" w:type="dxa"/>
                  <w:vAlign w:val="top"/>
                </w:tcPr>
                <w:p w14:paraId="48F187F9">
                  <w:pPr>
                    <w:spacing w:before="136" w:line="185"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55m</w:t>
                  </w:r>
                </w:p>
              </w:tc>
              <w:tc>
                <w:tcPr>
                  <w:tcW w:w="687" w:type="dxa"/>
                  <w:vAlign w:val="top"/>
                </w:tcPr>
                <w:p w14:paraId="7269F63C">
                  <w:pPr>
                    <w:spacing w:before="133" w:line="188" w:lineRule="auto"/>
                    <w:ind w:left="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46.7</w:t>
                  </w:r>
                </w:p>
              </w:tc>
              <w:tc>
                <w:tcPr>
                  <w:tcW w:w="691" w:type="dxa"/>
                  <w:vAlign w:val="top"/>
                </w:tcPr>
                <w:p w14:paraId="575208CE">
                  <w:pPr>
                    <w:spacing w:before="130" w:line="192"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8" w:type="dxa"/>
                  <w:vAlign w:val="top"/>
                </w:tcPr>
                <w:p w14:paraId="3C717776">
                  <w:pPr>
                    <w:spacing w:before="130" w:line="192"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14:paraId="1AD7FBDC">
                  <w:pPr>
                    <w:spacing w:before="133"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70" w:type="dxa"/>
                  <w:vAlign w:val="top"/>
                </w:tcPr>
                <w:p w14:paraId="0C3F706E">
                  <w:pPr>
                    <w:spacing w:before="136" w:line="185"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97" w:type="dxa"/>
                  <w:vAlign w:val="top"/>
                </w:tcPr>
                <w:p w14:paraId="6981F69D">
                  <w:pPr>
                    <w:pStyle w:val="6"/>
                    <w:spacing w:before="104" w:line="215" w:lineRule="auto"/>
                    <w:ind w:left="172"/>
                    <w:rPr>
                      <w:sz w:val="18"/>
                      <w:szCs w:val="18"/>
                    </w:rPr>
                  </w:pPr>
                  <w:r>
                    <w:rPr>
                      <w:spacing w:val="-4"/>
                      <w:sz w:val="18"/>
                      <w:szCs w:val="18"/>
                    </w:rPr>
                    <w:t>达标</w:t>
                  </w:r>
                </w:p>
              </w:tc>
              <w:tc>
                <w:tcPr>
                  <w:tcW w:w="608" w:type="dxa"/>
                  <w:vAlign w:val="top"/>
                </w:tcPr>
                <w:p w14:paraId="2BDFB805">
                  <w:pPr>
                    <w:pStyle w:val="6"/>
                    <w:spacing w:before="104" w:line="215" w:lineRule="auto"/>
                    <w:ind w:left="128"/>
                    <w:rPr>
                      <w:sz w:val="18"/>
                      <w:szCs w:val="18"/>
                    </w:rPr>
                  </w:pPr>
                  <w:r>
                    <w:rPr>
                      <w:spacing w:val="-4"/>
                      <w:sz w:val="18"/>
                      <w:szCs w:val="18"/>
                    </w:rPr>
                    <w:t>达标</w:t>
                  </w:r>
                </w:p>
              </w:tc>
            </w:tr>
            <w:tr w14:paraId="26350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vAlign w:val="top"/>
                </w:tcPr>
                <w:p w14:paraId="2C0CB53C">
                  <w:pPr>
                    <w:pStyle w:val="6"/>
                    <w:spacing w:before="104" w:line="215" w:lineRule="auto"/>
                    <w:ind w:left="259"/>
                    <w:rPr>
                      <w:sz w:val="18"/>
                      <w:szCs w:val="18"/>
                    </w:rPr>
                  </w:pPr>
                  <w:r>
                    <w:rPr>
                      <w:spacing w:val="-4"/>
                      <w:sz w:val="18"/>
                      <w:szCs w:val="18"/>
                    </w:rPr>
                    <w:t>南厂界</w:t>
                  </w:r>
                </w:p>
              </w:tc>
              <w:tc>
                <w:tcPr>
                  <w:tcW w:w="759" w:type="dxa"/>
                  <w:vAlign w:val="top"/>
                </w:tcPr>
                <w:p w14:paraId="273A2B5F">
                  <w:pPr>
                    <w:spacing w:before="135"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1" w:type="dxa"/>
                  <w:vAlign w:val="top"/>
                </w:tcPr>
                <w:p w14:paraId="465808FD">
                  <w:pPr>
                    <w:spacing w:before="138" w:line="185"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5m</w:t>
                  </w:r>
                </w:p>
              </w:tc>
              <w:tc>
                <w:tcPr>
                  <w:tcW w:w="687" w:type="dxa"/>
                  <w:vAlign w:val="top"/>
                </w:tcPr>
                <w:p w14:paraId="38BD425C">
                  <w:pPr>
                    <w:spacing w:before="135"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67.5</w:t>
                  </w:r>
                </w:p>
              </w:tc>
              <w:tc>
                <w:tcPr>
                  <w:tcW w:w="691" w:type="dxa"/>
                  <w:vAlign w:val="top"/>
                </w:tcPr>
                <w:p w14:paraId="49AC6753">
                  <w:pPr>
                    <w:spacing w:before="132" w:line="192"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8" w:type="dxa"/>
                  <w:vAlign w:val="top"/>
                </w:tcPr>
                <w:p w14:paraId="2EDFB3CF">
                  <w:pPr>
                    <w:spacing w:before="132" w:line="192"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14:paraId="1D80EF11">
                  <w:pPr>
                    <w:spacing w:before="135"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70" w:type="dxa"/>
                  <w:vAlign w:val="top"/>
                </w:tcPr>
                <w:p w14:paraId="4FE4760D">
                  <w:pPr>
                    <w:spacing w:before="138" w:line="185"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97" w:type="dxa"/>
                  <w:vAlign w:val="top"/>
                </w:tcPr>
                <w:p w14:paraId="00353A89">
                  <w:pPr>
                    <w:pStyle w:val="6"/>
                    <w:spacing w:before="104" w:line="215" w:lineRule="auto"/>
                    <w:ind w:left="172"/>
                    <w:rPr>
                      <w:sz w:val="18"/>
                      <w:szCs w:val="18"/>
                    </w:rPr>
                  </w:pPr>
                  <w:r>
                    <w:rPr>
                      <w:spacing w:val="-4"/>
                      <w:sz w:val="18"/>
                      <w:szCs w:val="18"/>
                    </w:rPr>
                    <w:t>达标</w:t>
                  </w:r>
                </w:p>
              </w:tc>
              <w:tc>
                <w:tcPr>
                  <w:tcW w:w="608" w:type="dxa"/>
                  <w:vAlign w:val="top"/>
                </w:tcPr>
                <w:p w14:paraId="3421169D">
                  <w:pPr>
                    <w:pStyle w:val="6"/>
                    <w:spacing w:before="104" w:line="215" w:lineRule="auto"/>
                    <w:ind w:left="128"/>
                    <w:rPr>
                      <w:sz w:val="18"/>
                      <w:szCs w:val="18"/>
                    </w:rPr>
                  </w:pPr>
                  <w:r>
                    <w:rPr>
                      <w:spacing w:val="-4"/>
                      <w:sz w:val="18"/>
                      <w:szCs w:val="18"/>
                    </w:rPr>
                    <w:t>达标</w:t>
                  </w:r>
                </w:p>
              </w:tc>
            </w:tr>
            <w:tr w14:paraId="7ADA4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vAlign w:val="top"/>
                </w:tcPr>
                <w:p w14:paraId="69F8393E">
                  <w:pPr>
                    <w:pStyle w:val="6"/>
                    <w:spacing w:before="106" w:line="213" w:lineRule="auto"/>
                    <w:ind w:left="261"/>
                    <w:rPr>
                      <w:sz w:val="18"/>
                      <w:szCs w:val="18"/>
                    </w:rPr>
                  </w:pPr>
                  <w:r>
                    <w:rPr>
                      <w:spacing w:val="-4"/>
                      <w:sz w:val="18"/>
                      <w:szCs w:val="18"/>
                    </w:rPr>
                    <w:t>西厂界</w:t>
                  </w:r>
                </w:p>
              </w:tc>
              <w:tc>
                <w:tcPr>
                  <w:tcW w:w="759" w:type="dxa"/>
                  <w:vAlign w:val="top"/>
                </w:tcPr>
                <w:p w14:paraId="6A1660BB">
                  <w:pPr>
                    <w:spacing w:before="135"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1" w:type="dxa"/>
                  <w:vAlign w:val="top"/>
                </w:tcPr>
                <w:p w14:paraId="7607CCEF">
                  <w:pPr>
                    <w:spacing w:before="135"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120m</w:t>
                  </w:r>
                </w:p>
              </w:tc>
              <w:tc>
                <w:tcPr>
                  <w:tcW w:w="687" w:type="dxa"/>
                  <w:vAlign w:val="top"/>
                </w:tcPr>
                <w:p w14:paraId="0D19F3F4">
                  <w:pPr>
                    <w:spacing w:before="135"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39.9</w:t>
                  </w:r>
                </w:p>
              </w:tc>
              <w:tc>
                <w:tcPr>
                  <w:tcW w:w="691" w:type="dxa"/>
                  <w:vAlign w:val="top"/>
                </w:tcPr>
                <w:p w14:paraId="3CCB689F">
                  <w:pPr>
                    <w:spacing w:before="132" w:line="192"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8" w:type="dxa"/>
                  <w:vAlign w:val="top"/>
                </w:tcPr>
                <w:p w14:paraId="0BD6806F">
                  <w:pPr>
                    <w:spacing w:before="132" w:line="192"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14:paraId="6CCDDCBF">
                  <w:pPr>
                    <w:spacing w:before="135"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70" w:type="dxa"/>
                  <w:vAlign w:val="top"/>
                </w:tcPr>
                <w:p w14:paraId="1C2E5218">
                  <w:pPr>
                    <w:spacing w:before="138" w:line="185"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97" w:type="dxa"/>
                  <w:vAlign w:val="top"/>
                </w:tcPr>
                <w:p w14:paraId="40D5E2AB">
                  <w:pPr>
                    <w:pStyle w:val="6"/>
                    <w:spacing w:before="106" w:line="213" w:lineRule="auto"/>
                    <w:ind w:left="172"/>
                    <w:rPr>
                      <w:sz w:val="18"/>
                      <w:szCs w:val="18"/>
                    </w:rPr>
                  </w:pPr>
                  <w:r>
                    <w:rPr>
                      <w:spacing w:val="-4"/>
                      <w:sz w:val="18"/>
                      <w:szCs w:val="18"/>
                    </w:rPr>
                    <w:t>达标</w:t>
                  </w:r>
                </w:p>
              </w:tc>
              <w:tc>
                <w:tcPr>
                  <w:tcW w:w="608" w:type="dxa"/>
                  <w:vAlign w:val="top"/>
                </w:tcPr>
                <w:p w14:paraId="5F262AE3">
                  <w:pPr>
                    <w:pStyle w:val="6"/>
                    <w:spacing w:before="106" w:line="213" w:lineRule="auto"/>
                    <w:ind w:left="128"/>
                    <w:rPr>
                      <w:sz w:val="18"/>
                      <w:szCs w:val="18"/>
                    </w:rPr>
                  </w:pPr>
                  <w:r>
                    <w:rPr>
                      <w:spacing w:val="-4"/>
                      <w:sz w:val="18"/>
                      <w:szCs w:val="18"/>
                    </w:rPr>
                    <w:t>达标</w:t>
                  </w:r>
                </w:p>
              </w:tc>
            </w:tr>
            <w:tr w14:paraId="0D93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47" w:type="dxa"/>
                  <w:vAlign w:val="top"/>
                </w:tcPr>
                <w:p w14:paraId="7C5E7106">
                  <w:pPr>
                    <w:pStyle w:val="6"/>
                    <w:spacing w:before="106" w:line="218" w:lineRule="auto"/>
                    <w:ind w:left="260"/>
                    <w:rPr>
                      <w:sz w:val="18"/>
                      <w:szCs w:val="18"/>
                    </w:rPr>
                  </w:pPr>
                  <w:r>
                    <w:rPr>
                      <w:spacing w:val="-4"/>
                      <w:sz w:val="18"/>
                      <w:szCs w:val="18"/>
                    </w:rPr>
                    <w:t>北厂界</w:t>
                  </w:r>
                </w:p>
              </w:tc>
              <w:tc>
                <w:tcPr>
                  <w:tcW w:w="759" w:type="dxa"/>
                  <w:vAlign w:val="top"/>
                </w:tcPr>
                <w:p w14:paraId="515FB552">
                  <w:pPr>
                    <w:spacing w:before="137"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1" w:type="dxa"/>
                  <w:vAlign w:val="top"/>
                </w:tcPr>
                <w:p w14:paraId="39836F5B">
                  <w:pPr>
                    <w:spacing w:before="137"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32m</w:t>
                  </w:r>
                </w:p>
              </w:tc>
              <w:tc>
                <w:tcPr>
                  <w:tcW w:w="687" w:type="dxa"/>
                  <w:vAlign w:val="top"/>
                </w:tcPr>
                <w:p w14:paraId="334A9056">
                  <w:pPr>
                    <w:spacing w:before="137"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51.4</w:t>
                  </w:r>
                </w:p>
              </w:tc>
              <w:tc>
                <w:tcPr>
                  <w:tcW w:w="691" w:type="dxa"/>
                  <w:vAlign w:val="top"/>
                </w:tcPr>
                <w:p w14:paraId="6055F384">
                  <w:pPr>
                    <w:spacing w:before="134" w:line="192"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8" w:type="dxa"/>
                  <w:vAlign w:val="top"/>
                </w:tcPr>
                <w:p w14:paraId="4FCD4C0A">
                  <w:pPr>
                    <w:spacing w:before="134" w:line="192"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14:paraId="2845F790">
                  <w:pPr>
                    <w:spacing w:before="137"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70" w:type="dxa"/>
                  <w:vAlign w:val="top"/>
                </w:tcPr>
                <w:p w14:paraId="55F5B7B9">
                  <w:pPr>
                    <w:spacing w:before="140" w:line="185"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697" w:type="dxa"/>
                  <w:vAlign w:val="top"/>
                </w:tcPr>
                <w:p w14:paraId="5E90CCF6">
                  <w:pPr>
                    <w:pStyle w:val="6"/>
                    <w:spacing w:before="106" w:line="218" w:lineRule="auto"/>
                    <w:ind w:left="172"/>
                    <w:rPr>
                      <w:sz w:val="18"/>
                      <w:szCs w:val="18"/>
                    </w:rPr>
                  </w:pPr>
                  <w:r>
                    <w:rPr>
                      <w:spacing w:val="-4"/>
                      <w:sz w:val="18"/>
                      <w:szCs w:val="18"/>
                    </w:rPr>
                    <w:t>达标</w:t>
                  </w:r>
                </w:p>
              </w:tc>
              <w:tc>
                <w:tcPr>
                  <w:tcW w:w="608" w:type="dxa"/>
                  <w:vAlign w:val="top"/>
                </w:tcPr>
                <w:p w14:paraId="789D5A1A">
                  <w:pPr>
                    <w:pStyle w:val="6"/>
                    <w:spacing w:before="106" w:line="218" w:lineRule="auto"/>
                    <w:ind w:left="128"/>
                    <w:rPr>
                      <w:sz w:val="18"/>
                      <w:szCs w:val="18"/>
                    </w:rPr>
                  </w:pPr>
                  <w:r>
                    <w:rPr>
                      <w:spacing w:val="-4"/>
                      <w:sz w:val="18"/>
                      <w:szCs w:val="18"/>
                    </w:rPr>
                    <w:t>达标</w:t>
                  </w:r>
                </w:p>
              </w:tc>
            </w:tr>
          </w:tbl>
          <w:p w14:paraId="6D316186">
            <w:pPr>
              <w:pStyle w:val="6"/>
              <w:spacing w:before="146" w:line="365" w:lineRule="auto"/>
              <w:ind w:left="89" w:right="88" w:firstLine="423"/>
              <w:rPr>
                <w:sz w:val="20"/>
                <w:szCs w:val="20"/>
              </w:rPr>
            </w:pPr>
            <w:r>
              <w:rPr>
                <w:spacing w:val="9"/>
                <w:sz w:val="20"/>
                <w:szCs w:val="20"/>
              </w:rPr>
              <w:t>从上表预测结果可以看到，通过采取行之有效的噪声控制措</w:t>
            </w:r>
            <w:r>
              <w:rPr>
                <w:spacing w:val="8"/>
                <w:sz w:val="20"/>
                <w:szCs w:val="20"/>
              </w:rPr>
              <w:t>施，项目施工期噪声能</w:t>
            </w:r>
            <w:r>
              <w:rPr>
                <w:sz w:val="20"/>
                <w:szCs w:val="20"/>
              </w:rPr>
              <w:t xml:space="preserve"> </w:t>
            </w:r>
            <w:r>
              <w:rPr>
                <w:spacing w:val="8"/>
                <w:sz w:val="20"/>
                <w:szCs w:val="20"/>
              </w:rPr>
              <w:t>够实现厂界达标排放。</w:t>
            </w:r>
          </w:p>
          <w:p w14:paraId="76036867">
            <w:pPr>
              <w:pStyle w:val="6"/>
              <w:spacing w:before="22" w:line="362" w:lineRule="auto"/>
              <w:ind w:left="89" w:right="86" w:firstLine="423"/>
              <w:jc w:val="both"/>
              <w:rPr>
                <w:sz w:val="20"/>
                <w:szCs w:val="20"/>
              </w:rPr>
            </w:pPr>
            <w:r>
              <w:rPr>
                <w:spacing w:val="9"/>
                <w:sz w:val="20"/>
                <w:szCs w:val="20"/>
              </w:rPr>
              <w:t>综上所述，只要采用适当的防振降噪措施，合理布置噪声设备位置</w:t>
            </w:r>
            <w:r>
              <w:rPr>
                <w:spacing w:val="8"/>
                <w:sz w:val="20"/>
                <w:szCs w:val="20"/>
              </w:rPr>
              <w:t>和合理安排施工</w:t>
            </w:r>
            <w:r>
              <w:rPr>
                <w:sz w:val="20"/>
                <w:szCs w:val="20"/>
              </w:rPr>
              <w:t xml:space="preserve"> </w:t>
            </w:r>
            <w:r>
              <w:rPr>
                <w:spacing w:val="9"/>
                <w:sz w:val="20"/>
                <w:szCs w:val="20"/>
              </w:rPr>
              <w:t>时间，施工机械设备噪声的影响可降至低水平，达到建筑施工场界噪声限值要</w:t>
            </w:r>
            <w:r>
              <w:rPr>
                <w:spacing w:val="8"/>
                <w:sz w:val="20"/>
                <w:szCs w:val="20"/>
              </w:rPr>
              <w:t>求，能够</w:t>
            </w:r>
            <w:r>
              <w:rPr>
                <w:sz w:val="20"/>
                <w:szCs w:val="20"/>
              </w:rPr>
              <w:t xml:space="preserve"> </w:t>
            </w:r>
            <w:r>
              <w:rPr>
                <w:spacing w:val="9"/>
                <w:sz w:val="20"/>
                <w:szCs w:val="20"/>
              </w:rPr>
              <w:t>确保周边声环境保护目标的声环境质量达到标准限值。施工期噪声影响是暂时性的</w:t>
            </w:r>
            <w:r>
              <w:rPr>
                <w:spacing w:val="8"/>
                <w:sz w:val="20"/>
                <w:szCs w:val="20"/>
              </w:rPr>
              <w:t>，在</w:t>
            </w:r>
            <w:r>
              <w:rPr>
                <w:sz w:val="20"/>
                <w:szCs w:val="20"/>
              </w:rPr>
              <w:t xml:space="preserve"> </w:t>
            </w:r>
            <w:r>
              <w:rPr>
                <w:spacing w:val="9"/>
                <w:sz w:val="20"/>
                <w:szCs w:val="20"/>
              </w:rPr>
              <w:t>采取相应的管理措施后可减至最低，并随着施工期的结束而消失。</w:t>
            </w:r>
          </w:p>
          <w:p w14:paraId="7BC46270">
            <w:pPr>
              <w:spacing w:before="30" w:line="230" w:lineRule="auto"/>
              <w:ind w:left="84"/>
              <w:rPr>
                <w:rFonts w:ascii="黑体" w:hAnsi="黑体" w:eastAsia="黑体" w:cs="黑体"/>
                <w:sz w:val="20"/>
                <w:szCs w:val="20"/>
              </w:rPr>
            </w:pPr>
            <w:r>
              <w:rPr>
                <w:rFonts w:ascii="黑体" w:hAnsi="黑体" w:eastAsia="黑体" w:cs="黑体"/>
                <w:spacing w:val="8"/>
                <w:sz w:val="20"/>
                <w:szCs w:val="20"/>
              </w:rPr>
              <w:t>4、固体废物</w:t>
            </w:r>
          </w:p>
          <w:p w14:paraId="50E8D8BF">
            <w:pPr>
              <w:pStyle w:val="6"/>
              <w:spacing w:before="152" w:line="355" w:lineRule="auto"/>
              <w:ind w:left="91" w:right="88" w:firstLine="417"/>
              <w:rPr>
                <w:sz w:val="20"/>
                <w:szCs w:val="20"/>
              </w:rPr>
            </w:pPr>
            <w:r>
              <w:rPr>
                <w:spacing w:val="9"/>
                <w:sz w:val="20"/>
                <w:szCs w:val="20"/>
              </w:rPr>
              <w:t>施工期固废主要有地下堆场开挖产生的土（石）方、轻钢结构厂房建</w:t>
            </w:r>
            <w:r>
              <w:rPr>
                <w:spacing w:val="8"/>
                <w:sz w:val="20"/>
                <w:szCs w:val="20"/>
              </w:rPr>
              <w:t>设产生的建筑</w:t>
            </w:r>
            <w:r>
              <w:rPr>
                <w:sz w:val="20"/>
                <w:szCs w:val="20"/>
              </w:rPr>
              <w:t xml:space="preserve"> </w:t>
            </w:r>
            <w:r>
              <w:rPr>
                <w:spacing w:val="9"/>
                <w:sz w:val="20"/>
                <w:szCs w:val="20"/>
              </w:rPr>
              <w:t>垃圾和废弃建材，设备安装产生的少量废弃包装材料以及施工人员的生活垃圾等。</w:t>
            </w:r>
          </w:p>
          <w:p w14:paraId="3BE65BF4">
            <w:pPr>
              <w:pStyle w:val="6"/>
              <w:spacing w:before="30" w:line="227" w:lineRule="auto"/>
              <w:ind w:left="512"/>
              <w:rPr>
                <w:sz w:val="20"/>
                <w:szCs w:val="20"/>
              </w:rPr>
            </w:pPr>
            <w:r>
              <w:rPr>
                <w:spacing w:val="8"/>
                <w:sz w:val="20"/>
                <w:szCs w:val="20"/>
              </w:rPr>
              <w:t>建设单位应采取的处置措施如下：</w:t>
            </w:r>
          </w:p>
          <w:p w14:paraId="30A878E6">
            <w:pPr>
              <w:pStyle w:val="6"/>
              <w:spacing w:before="154" w:line="299" w:lineRule="auto"/>
              <w:ind w:left="90" w:right="86" w:firstLine="418"/>
              <w:rPr>
                <w:sz w:val="20"/>
                <w:szCs w:val="20"/>
              </w:rPr>
            </w:pPr>
            <w:r>
              <w:rPr>
                <w:spacing w:val="9"/>
                <w:sz w:val="20"/>
                <w:szCs w:val="20"/>
              </w:rPr>
              <w:t>①对于可回收利用的（如废金属材料、废包装材料等</w:t>
            </w:r>
            <w:r>
              <w:rPr>
                <w:spacing w:val="8"/>
                <w:sz w:val="20"/>
                <w:szCs w:val="20"/>
              </w:rPr>
              <w:t>），</w:t>
            </w:r>
            <w:r>
              <w:rPr>
                <w:spacing w:val="9"/>
                <w:sz w:val="20"/>
                <w:szCs w:val="20"/>
              </w:rPr>
              <w:t>应尽量收集外卖废品</w:t>
            </w:r>
            <w:r>
              <w:rPr>
                <w:spacing w:val="8"/>
                <w:sz w:val="20"/>
                <w:szCs w:val="20"/>
              </w:rPr>
              <w:t>回收</w:t>
            </w:r>
            <w:r>
              <w:rPr>
                <w:sz w:val="20"/>
                <w:szCs w:val="20"/>
              </w:rPr>
              <w:t xml:space="preserve"> </w:t>
            </w:r>
            <w:r>
              <w:rPr>
                <w:spacing w:val="4"/>
                <w:sz w:val="20"/>
                <w:szCs w:val="20"/>
              </w:rPr>
              <w:t>站回收。</w:t>
            </w:r>
          </w:p>
          <w:p w14:paraId="6D1ECD94">
            <w:pPr>
              <w:pStyle w:val="6"/>
              <w:spacing w:before="150" w:line="323" w:lineRule="auto"/>
              <w:ind w:left="90" w:right="86" w:firstLine="417"/>
              <w:rPr>
                <w:sz w:val="20"/>
                <w:szCs w:val="20"/>
              </w:rPr>
            </w:pPr>
            <w:r>
              <w:rPr>
                <w:spacing w:val="9"/>
                <w:sz w:val="20"/>
                <w:szCs w:val="20"/>
              </w:rPr>
              <w:t>②开挖产生的土石方或施工时的建筑垃圾，可及时在施工场地低洼处回填，</w:t>
            </w:r>
            <w:r>
              <w:rPr>
                <w:spacing w:val="8"/>
                <w:sz w:val="20"/>
                <w:szCs w:val="20"/>
              </w:rPr>
              <w:t>不能全</w:t>
            </w:r>
            <w:r>
              <w:rPr>
                <w:sz w:val="20"/>
                <w:szCs w:val="20"/>
              </w:rPr>
              <w:t xml:space="preserve"> </w:t>
            </w:r>
            <w:r>
              <w:rPr>
                <w:spacing w:val="9"/>
                <w:sz w:val="20"/>
                <w:szCs w:val="20"/>
              </w:rPr>
              <w:t>部回填利用的，可作为一期工程的生产原料。施工现场确需临时堆放土石</w:t>
            </w:r>
            <w:r>
              <w:rPr>
                <w:spacing w:val="8"/>
                <w:sz w:val="20"/>
                <w:szCs w:val="20"/>
              </w:rPr>
              <w:t>方，应采取防</w:t>
            </w:r>
            <w:r>
              <w:rPr>
                <w:sz w:val="20"/>
                <w:szCs w:val="20"/>
              </w:rPr>
              <w:t xml:space="preserve"> </w:t>
            </w:r>
            <w:r>
              <w:rPr>
                <w:spacing w:val="9"/>
                <w:sz w:val="20"/>
                <w:szCs w:val="20"/>
              </w:rPr>
              <w:t>流失、防雨水冲刷等措施，避免造成泥沙漫</w:t>
            </w:r>
            <w:r>
              <w:rPr>
                <w:spacing w:val="8"/>
                <w:sz w:val="20"/>
                <w:szCs w:val="20"/>
              </w:rPr>
              <w:t>流。</w:t>
            </w:r>
          </w:p>
          <w:p w14:paraId="3CA0F636">
            <w:pPr>
              <w:pStyle w:val="6"/>
              <w:spacing w:before="152" w:line="299" w:lineRule="auto"/>
              <w:ind w:left="97" w:right="88" w:firstLine="411"/>
              <w:rPr>
                <w:sz w:val="20"/>
                <w:szCs w:val="20"/>
              </w:rPr>
            </w:pPr>
            <w:r>
              <w:rPr>
                <w:spacing w:val="9"/>
                <w:sz w:val="20"/>
                <w:szCs w:val="20"/>
              </w:rPr>
              <w:t>③生活垃圾在办生活区设垃圾桶收集，定期清运至场镇垃圾收集点，由</w:t>
            </w:r>
            <w:r>
              <w:rPr>
                <w:spacing w:val="8"/>
                <w:sz w:val="20"/>
                <w:szCs w:val="20"/>
              </w:rPr>
              <w:t>环卫部门负</w:t>
            </w:r>
            <w:r>
              <w:rPr>
                <w:sz w:val="20"/>
                <w:szCs w:val="20"/>
              </w:rPr>
              <w:t xml:space="preserve"> </w:t>
            </w:r>
            <w:r>
              <w:rPr>
                <w:spacing w:val="7"/>
                <w:sz w:val="20"/>
                <w:szCs w:val="20"/>
              </w:rPr>
              <w:t>责收集处理，严禁乱堆乱扔。</w:t>
            </w:r>
          </w:p>
          <w:p w14:paraId="114DF87E">
            <w:pPr>
              <w:pStyle w:val="6"/>
              <w:spacing w:before="155" w:line="224" w:lineRule="auto"/>
              <w:ind w:left="509"/>
              <w:rPr>
                <w:sz w:val="20"/>
                <w:szCs w:val="20"/>
              </w:rPr>
            </w:pPr>
            <w:r>
              <w:rPr>
                <w:spacing w:val="9"/>
                <w:sz w:val="20"/>
                <w:szCs w:val="20"/>
              </w:rPr>
              <w:t>采取上述措施后，项目施工期的环境污染影响较小。</w:t>
            </w:r>
          </w:p>
        </w:tc>
      </w:tr>
      <w:tr w14:paraId="13E4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7" w:hRule="atLeast"/>
        </w:trPr>
        <w:tc>
          <w:tcPr>
            <w:tcW w:w="785" w:type="dxa"/>
            <w:tcBorders>
              <w:top w:val="single" w:color="000000" w:sz="2" w:space="0"/>
              <w:right w:val="single" w:color="000000" w:sz="2" w:space="0"/>
            </w:tcBorders>
            <w:vAlign w:val="top"/>
          </w:tcPr>
          <w:p w14:paraId="797A3F55">
            <w:pPr>
              <w:spacing w:line="304" w:lineRule="auto"/>
              <w:rPr>
                <w:rFonts w:ascii="Arial"/>
                <w:sz w:val="21"/>
              </w:rPr>
            </w:pPr>
          </w:p>
          <w:p w14:paraId="0516D45F">
            <w:pPr>
              <w:spacing w:line="304" w:lineRule="auto"/>
              <w:rPr>
                <w:rFonts w:ascii="Arial"/>
                <w:sz w:val="21"/>
              </w:rPr>
            </w:pPr>
          </w:p>
          <w:p w14:paraId="778ACA27">
            <w:pPr>
              <w:spacing w:line="305" w:lineRule="auto"/>
              <w:rPr>
                <w:rFonts w:ascii="Arial"/>
                <w:sz w:val="21"/>
              </w:rPr>
            </w:pPr>
          </w:p>
          <w:p w14:paraId="7CA519C8">
            <w:pPr>
              <w:pStyle w:val="6"/>
              <w:spacing w:before="71" w:line="236" w:lineRule="auto"/>
              <w:ind w:left="172" w:right="169"/>
              <w:jc w:val="both"/>
            </w:pPr>
            <w:r>
              <w:rPr>
                <w:spacing w:val="-4"/>
              </w:rPr>
              <w:t>运营</w:t>
            </w:r>
            <w:r>
              <w:t xml:space="preserve"> </w:t>
            </w:r>
            <w:r>
              <w:rPr>
                <w:spacing w:val="-4"/>
              </w:rPr>
              <w:t>期环</w:t>
            </w:r>
            <w:r>
              <w:t xml:space="preserve"> </w:t>
            </w:r>
            <w:r>
              <w:rPr>
                <w:spacing w:val="-4"/>
              </w:rPr>
              <w:t>境影</w:t>
            </w:r>
            <w:r>
              <w:t xml:space="preserve"> </w:t>
            </w:r>
            <w:r>
              <w:rPr>
                <w:spacing w:val="-4"/>
              </w:rPr>
              <w:t>响和</w:t>
            </w:r>
            <w:r>
              <w:t xml:space="preserve"> </w:t>
            </w:r>
            <w:r>
              <w:rPr>
                <w:spacing w:val="-4"/>
              </w:rPr>
              <w:t>保护</w:t>
            </w:r>
            <w:r>
              <w:t xml:space="preserve"> </w:t>
            </w:r>
            <w:r>
              <w:rPr>
                <w:spacing w:val="-4"/>
              </w:rPr>
              <w:t>措施</w:t>
            </w:r>
          </w:p>
        </w:tc>
        <w:tc>
          <w:tcPr>
            <w:tcW w:w="8127" w:type="dxa"/>
            <w:tcBorders>
              <w:top w:val="single" w:color="000000" w:sz="2" w:space="0"/>
              <w:left w:val="single" w:color="000000" w:sz="2" w:space="0"/>
            </w:tcBorders>
            <w:vAlign w:val="top"/>
          </w:tcPr>
          <w:p w14:paraId="74FB4244">
            <w:pPr>
              <w:pStyle w:val="6"/>
              <w:spacing w:before="155" w:line="228" w:lineRule="auto"/>
              <w:ind w:left="105"/>
              <w:rPr>
                <w:sz w:val="20"/>
                <w:szCs w:val="20"/>
              </w:rPr>
            </w:pPr>
            <w:r>
              <w:rPr>
                <w:b/>
                <w:bCs/>
                <w:spacing w:val="1"/>
                <w:sz w:val="20"/>
                <w:szCs w:val="20"/>
              </w:rPr>
              <w:t>1、废气</w:t>
            </w:r>
          </w:p>
          <w:p w14:paraId="05A223BC">
            <w:pPr>
              <w:pStyle w:val="6"/>
              <w:spacing w:before="154" w:line="351" w:lineRule="auto"/>
              <w:ind w:left="90" w:right="107" w:firstLine="420"/>
              <w:jc w:val="both"/>
              <w:rPr>
                <w:sz w:val="20"/>
                <w:szCs w:val="20"/>
              </w:rPr>
            </w:pPr>
            <w:r>
              <w:rPr>
                <w:spacing w:val="9"/>
                <w:sz w:val="20"/>
                <w:szCs w:val="20"/>
              </w:rPr>
              <w:t>根据工程分析，项目营运期废气主要为粉尘、燃气锅炉废气和</w:t>
            </w:r>
            <w:r>
              <w:rPr>
                <w:sz w:val="20"/>
                <w:szCs w:val="20"/>
              </w:rPr>
              <w:t>VOC</w:t>
            </w:r>
            <w:r>
              <w:rPr>
                <w:position w:val="-2"/>
                <w:sz w:val="10"/>
                <w:szCs w:val="10"/>
              </w:rPr>
              <w:t>s</w:t>
            </w:r>
            <w:r>
              <w:rPr>
                <w:spacing w:val="-8"/>
                <w:position w:val="-2"/>
                <w:sz w:val="10"/>
                <w:szCs w:val="10"/>
              </w:rPr>
              <w:t xml:space="preserve"> </w:t>
            </w:r>
            <w:r>
              <w:rPr>
                <w:spacing w:val="9"/>
                <w:sz w:val="20"/>
                <w:szCs w:val="20"/>
              </w:rPr>
              <w:t>。粉尘产生于原</w:t>
            </w:r>
            <w:r>
              <w:rPr>
                <w:sz w:val="20"/>
                <w:szCs w:val="20"/>
              </w:rPr>
              <w:t xml:space="preserve"> </w:t>
            </w:r>
            <w:r>
              <w:rPr>
                <w:spacing w:val="10"/>
                <w:sz w:val="20"/>
                <w:szCs w:val="20"/>
              </w:rPr>
              <w:t>料卸料、预处理加工以及干混砂浆生产等多个环节，</w:t>
            </w:r>
            <w:r>
              <w:rPr>
                <w:sz w:val="20"/>
                <w:szCs w:val="20"/>
              </w:rPr>
              <w:t>VOC</w:t>
            </w:r>
            <w:r>
              <w:rPr>
                <w:position w:val="-2"/>
                <w:sz w:val="10"/>
                <w:szCs w:val="10"/>
              </w:rPr>
              <w:t>s</w:t>
            </w:r>
            <w:r>
              <w:rPr>
                <w:spacing w:val="10"/>
                <w:sz w:val="20"/>
                <w:szCs w:val="20"/>
              </w:rPr>
              <w:t>主要产生于带肋钢筋网浸漆和</w:t>
            </w:r>
            <w:r>
              <w:rPr>
                <w:spacing w:val="8"/>
                <w:sz w:val="20"/>
                <w:szCs w:val="20"/>
              </w:rPr>
              <w:t xml:space="preserve"> </w:t>
            </w:r>
            <w:r>
              <w:rPr>
                <w:spacing w:val="5"/>
                <w:sz w:val="20"/>
                <w:szCs w:val="20"/>
              </w:rPr>
              <w:t>烘干环节。</w:t>
            </w:r>
          </w:p>
          <w:p w14:paraId="2446BDF0">
            <w:pPr>
              <w:pStyle w:val="6"/>
              <w:spacing w:before="58" w:line="228" w:lineRule="auto"/>
              <w:ind w:left="105"/>
              <w:rPr>
                <w:sz w:val="20"/>
                <w:szCs w:val="20"/>
              </w:rPr>
            </w:pPr>
            <w:r>
              <w:rPr>
                <w:b/>
                <w:bCs/>
                <w:spacing w:val="4"/>
                <w:sz w:val="20"/>
                <w:szCs w:val="20"/>
              </w:rPr>
              <w:t>1.1污染源及治理措施</w:t>
            </w:r>
          </w:p>
          <w:p w14:paraId="7E863134">
            <w:pPr>
              <w:pStyle w:val="6"/>
              <w:spacing w:before="153" w:line="228" w:lineRule="auto"/>
              <w:ind w:left="520"/>
              <w:rPr>
                <w:sz w:val="20"/>
                <w:szCs w:val="20"/>
              </w:rPr>
            </w:pPr>
            <w:r>
              <w:rPr>
                <w:b/>
                <w:bCs/>
                <w:spacing w:val="5"/>
                <w:sz w:val="20"/>
                <w:szCs w:val="20"/>
              </w:rPr>
              <w:t>（1）地下原料堆场</w:t>
            </w:r>
          </w:p>
          <w:p w14:paraId="707162FA">
            <w:pPr>
              <w:pStyle w:val="6"/>
              <w:spacing w:before="150" w:line="330" w:lineRule="auto"/>
              <w:ind w:left="90" w:right="86" w:firstLine="423"/>
              <w:jc w:val="both"/>
              <w:rPr>
                <w:sz w:val="20"/>
                <w:szCs w:val="20"/>
              </w:rPr>
            </w:pPr>
            <w:r>
              <w:rPr>
                <w:spacing w:val="9"/>
                <w:sz w:val="20"/>
                <w:szCs w:val="20"/>
              </w:rPr>
              <w:t>项目拟建设一个地下原料堆场，主要贮存生产所用建筑垃圾、黄沙（含水率约</w:t>
            </w:r>
            <w:r>
              <w:rPr>
                <w:rFonts w:ascii="Times New Roman" w:hAnsi="Times New Roman" w:eastAsia="Times New Roman" w:cs="Times New Roman"/>
                <w:spacing w:val="9"/>
                <w:sz w:val="20"/>
                <w:szCs w:val="20"/>
              </w:rPr>
              <w:t>15%</w:t>
            </w:r>
            <w:r>
              <w:rPr>
                <w:rFonts w:ascii="Times New Roman" w:hAnsi="Times New Roman" w:eastAsia="Times New Roman" w:cs="Times New Roman"/>
                <w:spacing w:val="13"/>
                <w:sz w:val="20"/>
                <w:szCs w:val="20"/>
              </w:rPr>
              <w:t xml:space="preserve"> </w:t>
            </w:r>
            <w:r>
              <w:rPr>
                <w:spacing w:val="9"/>
                <w:sz w:val="20"/>
                <w:szCs w:val="20"/>
              </w:rPr>
              <w:t>左右）等原材料。卸料口设于砌块和板材车间西侧，建筑垃圾经溜槽进入地下堆</w:t>
            </w:r>
            <w:r>
              <w:rPr>
                <w:spacing w:val="8"/>
                <w:sz w:val="20"/>
                <w:szCs w:val="20"/>
              </w:rPr>
              <w:t>场。生</w:t>
            </w:r>
            <w:r>
              <w:rPr>
                <w:sz w:val="20"/>
                <w:szCs w:val="20"/>
              </w:rPr>
              <w:t xml:space="preserve"> </w:t>
            </w:r>
            <w:r>
              <w:rPr>
                <w:spacing w:val="9"/>
                <w:sz w:val="20"/>
                <w:szCs w:val="20"/>
              </w:rPr>
              <w:t>产时需要先对建设垃圾进行颚破、筛分，再经封闭式输送带输送至砌块和板</w:t>
            </w:r>
            <w:r>
              <w:rPr>
                <w:spacing w:val="8"/>
                <w:sz w:val="20"/>
                <w:szCs w:val="20"/>
              </w:rPr>
              <w:t>材车间或者</w:t>
            </w:r>
          </w:p>
        </w:tc>
      </w:tr>
    </w:tbl>
    <w:p w14:paraId="6FB67F93">
      <w:pPr>
        <w:pStyle w:val="2"/>
      </w:pPr>
    </w:p>
    <w:p w14:paraId="7223F2A0">
      <w:pPr>
        <w:sectPr>
          <w:footerReference r:id="rId62" w:type="default"/>
          <w:pgSz w:w="11907" w:h="16840"/>
          <w:pgMar w:top="1431" w:right="1490" w:bottom="1260" w:left="1489" w:header="0" w:footer="1080" w:gutter="0"/>
          <w:cols w:space="720" w:num="1"/>
        </w:sectPr>
      </w:pPr>
    </w:p>
    <w:p w14:paraId="48734D3E">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1005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62DAD2C4">
            <w:pPr>
              <w:rPr>
                <w:rFonts w:ascii="Arial"/>
                <w:sz w:val="21"/>
              </w:rPr>
            </w:pPr>
          </w:p>
        </w:tc>
        <w:tc>
          <w:tcPr>
            <w:tcW w:w="8127" w:type="dxa"/>
            <w:tcBorders>
              <w:top w:val="single" w:color="000000" w:sz="2" w:space="0"/>
              <w:left w:val="single" w:color="000000" w:sz="2" w:space="0"/>
            </w:tcBorders>
            <w:vAlign w:val="top"/>
          </w:tcPr>
          <w:p w14:paraId="3F8F677F">
            <w:pPr>
              <w:pStyle w:val="6"/>
              <w:spacing w:before="145" w:line="359" w:lineRule="auto"/>
              <w:ind w:left="89" w:right="86"/>
              <w:jc w:val="both"/>
              <w:rPr>
                <w:sz w:val="20"/>
                <w:szCs w:val="20"/>
              </w:rPr>
            </w:pPr>
            <w:r>
              <w:rPr>
                <w:spacing w:val="9"/>
                <w:sz w:val="20"/>
                <w:szCs w:val="20"/>
              </w:rPr>
              <w:t>干混砂浆车间。因此，地下原料堆场的产尘点主要是建筑垃圾卸料、建筑垃圾</w:t>
            </w:r>
            <w:r>
              <w:rPr>
                <w:spacing w:val="8"/>
                <w:sz w:val="20"/>
                <w:szCs w:val="20"/>
              </w:rPr>
              <w:t>破碎筛分</w:t>
            </w:r>
            <w:r>
              <w:rPr>
                <w:sz w:val="20"/>
                <w:szCs w:val="20"/>
              </w:rPr>
              <w:t xml:space="preserve"> </w:t>
            </w:r>
            <w:r>
              <w:rPr>
                <w:spacing w:val="9"/>
                <w:sz w:val="20"/>
                <w:szCs w:val="20"/>
              </w:rPr>
              <w:t>加工环节、铲车上料至料斗环节。黄沙含水率较高且不进行破碎加工，不考虑其</w:t>
            </w:r>
            <w:r>
              <w:rPr>
                <w:spacing w:val="8"/>
                <w:sz w:val="20"/>
                <w:szCs w:val="20"/>
              </w:rPr>
              <w:t>粉尘产</w:t>
            </w:r>
            <w:r>
              <w:rPr>
                <w:sz w:val="20"/>
                <w:szCs w:val="20"/>
              </w:rPr>
              <w:t xml:space="preserve"> </w:t>
            </w:r>
            <w:r>
              <w:rPr>
                <w:spacing w:val="9"/>
                <w:sz w:val="20"/>
                <w:szCs w:val="20"/>
              </w:rPr>
              <w:t>生。物料输送采用封闭式输送带，不考虑其粉尘产生情况。</w:t>
            </w:r>
          </w:p>
          <w:p w14:paraId="5B95EBE1">
            <w:pPr>
              <w:pStyle w:val="6"/>
              <w:spacing w:before="34" w:line="225" w:lineRule="auto"/>
              <w:ind w:left="509"/>
              <w:rPr>
                <w:sz w:val="20"/>
                <w:szCs w:val="20"/>
              </w:rPr>
            </w:pPr>
            <w:r>
              <w:rPr>
                <w:spacing w:val="8"/>
                <w:sz w:val="20"/>
                <w:szCs w:val="20"/>
              </w:rPr>
              <w:t>①卸料粉尘</w:t>
            </w:r>
          </w:p>
          <w:p w14:paraId="7CAEB2A2">
            <w:pPr>
              <w:pStyle w:val="6"/>
              <w:spacing w:before="152" w:line="360" w:lineRule="auto"/>
              <w:ind w:left="90" w:right="86" w:firstLine="422"/>
              <w:rPr>
                <w:sz w:val="20"/>
                <w:szCs w:val="20"/>
              </w:rPr>
            </w:pPr>
            <w:r>
              <w:rPr>
                <w:spacing w:val="9"/>
                <w:sz w:val="20"/>
                <w:szCs w:val="20"/>
              </w:rPr>
              <w:t>建筑垃圾卸料过程的粉尘主要为物料中的颗粒物自由下落过程，受</w:t>
            </w:r>
            <w:r>
              <w:rPr>
                <w:spacing w:val="8"/>
                <w:sz w:val="20"/>
                <w:szCs w:val="20"/>
              </w:rPr>
              <w:t>风力扰动产生。</w:t>
            </w:r>
            <w:r>
              <w:rPr>
                <w:sz w:val="20"/>
                <w:szCs w:val="20"/>
              </w:rPr>
              <w:t xml:space="preserve"> </w:t>
            </w:r>
            <w:r>
              <w:rPr>
                <w:spacing w:val="7"/>
                <w:sz w:val="20"/>
                <w:szCs w:val="20"/>
              </w:rPr>
              <w:t>参考《逸散性工业粉尘控制技术》中卸料时的逸散尘排放系数</w:t>
            </w:r>
            <w:r>
              <w:rPr>
                <w:rFonts w:ascii="Times New Roman" w:hAnsi="Times New Roman" w:eastAsia="Times New Roman" w:cs="Times New Roman"/>
                <w:spacing w:val="7"/>
                <w:sz w:val="20"/>
                <w:szCs w:val="20"/>
              </w:rPr>
              <w:t>0.01</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t</w:t>
            </w:r>
            <w:r>
              <w:rPr>
                <w:spacing w:val="6"/>
                <w:sz w:val="20"/>
                <w:szCs w:val="20"/>
              </w:rPr>
              <w:t>。本项目混凝土砌</w:t>
            </w:r>
            <w:r>
              <w:rPr>
                <w:sz w:val="20"/>
                <w:szCs w:val="20"/>
              </w:rPr>
              <w:t xml:space="preserve"> </w:t>
            </w:r>
            <w:r>
              <w:rPr>
                <w:spacing w:val="7"/>
                <w:sz w:val="20"/>
                <w:szCs w:val="20"/>
              </w:rPr>
              <w:t>块和板材、干混砂浆生产过程消耗的建筑垃圾总量约</w:t>
            </w:r>
            <w:r>
              <w:rPr>
                <w:rFonts w:ascii="Times New Roman" w:hAnsi="Times New Roman" w:eastAsia="Times New Roman" w:cs="Times New Roman"/>
                <w:spacing w:val="7"/>
                <w:sz w:val="20"/>
                <w:szCs w:val="20"/>
              </w:rPr>
              <w:t>304112.761t/a</w:t>
            </w:r>
            <w:r>
              <w:rPr>
                <w:rFonts w:ascii="Times New Roman" w:hAnsi="Times New Roman" w:eastAsia="Times New Roman" w:cs="Times New Roman"/>
                <w:spacing w:val="-7"/>
                <w:sz w:val="20"/>
                <w:szCs w:val="20"/>
              </w:rPr>
              <w:t xml:space="preserve"> </w:t>
            </w:r>
            <w:r>
              <w:rPr>
                <w:spacing w:val="7"/>
                <w:sz w:val="20"/>
                <w:szCs w:val="20"/>
              </w:rPr>
              <w:t>。经计算，卸料粉尘</w:t>
            </w:r>
            <w:r>
              <w:rPr>
                <w:sz w:val="20"/>
                <w:szCs w:val="20"/>
              </w:rPr>
              <w:t xml:space="preserve"> </w:t>
            </w:r>
            <w:r>
              <w:rPr>
                <w:spacing w:val="4"/>
                <w:sz w:val="20"/>
                <w:szCs w:val="20"/>
              </w:rPr>
              <w:t>产生量约</w:t>
            </w:r>
            <w:r>
              <w:rPr>
                <w:rFonts w:ascii="Times New Roman" w:hAnsi="Times New Roman" w:eastAsia="Times New Roman" w:cs="Times New Roman"/>
                <w:spacing w:val="4"/>
                <w:sz w:val="20"/>
                <w:szCs w:val="20"/>
              </w:rPr>
              <w:t>3.041t/a</w:t>
            </w:r>
            <w:r>
              <w:rPr>
                <w:spacing w:val="4"/>
                <w:sz w:val="20"/>
                <w:szCs w:val="20"/>
              </w:rPr>
              <w:t>。</w:t>
            </w:r>
          </w:p>
          <w:p w14:paraId="392A00BA">
            <w:pPr>
              <w:pStyle w:val="6"/>
              <w:spacing w:before="43" w:line="365" w:lineRule="auto"/>
              <w:ind w:left="80" w:firstLine="434"/>
              <w:rPr>
                <w:sz w:val="20"/>
                <w:szCs w:val="20"/>
              </w:rPr>
            </w:pPr>
            <w:r>
              <w:rPr>
                <w:b/>
                <w:bCs/>
                <w:spacing w:val="8"/>
                <w:sz w:val="20"/>
                <w:szCs w:val="20"/>
              </w:rPr>
              <w:t>治理措施：</w:t>
            </w:r>
            <w:r>
              <w:rPr>
                <w:spacing w:val="8"/>
                <w:sz w:val="20"/>
                <w:szCs w:val="20"/>
              </w:rPr>
              <w:t>根据设计，项目建筑垃圾卸料口设有三面封闭围挡和防雨顶棚。汽车卸</w:t>
            </w:r>
            <w:r>
              <w:rPr>
                <w:spacing w:val="4"/>
                <w:sz w:val="20"/>
                <w:szCs w:val="20"/>
              </w:rPr>
              <w:t xml:space="preserve">  </w:t>
            </w:r>
            <w:r>
              <w:rPr>
                <w:spacing w:val="9"/>
                <w:sz w:val="20"/>
                <w:szCs w:val="20"/>
              </w:rPr>
              <w:t>料时将货箱倒入写卸料口自动卸车。卸料口龙门架上方安装有喷雾装置，在卸料过</w:t>
            </w:r>
            <w:r>
              <w:rPr>
                <w:spacing w:val="8"/>
                <w:sz w:val="20"/>
                <w:szCs w:val="20"/>
              </w:rPr>
              <w:t>程持</w:t>
            </w:r>
            <w:r>
              <w:rPr>
                <w:sz w:val="20"/>
                <w:szCs w:val="20"/>
              </w:rPr>
              <w:t xml:space="preserve">  </w:t>
            </w:r>
            <w:r>
              <w:rPr>
                <w:spacing w:val="6"/>
                <w:sz w:val="20"/>
                <w:szCs w:val="20"/>
              </w:rPr>
              <w:t>续喷雾形成雾帘，降低粉尘的产生。参考《排放源统计调查产排污核算方法和系数手册》</w:t>
            </w:r>
            <w:r>
              <w:rPr>
                <w:spacing w:val="1"/>
                <w:sz w:val="20"/>
                <w:szCs w:val="20"/>
              </w:rPr>
              <w:t xml:space="preserve"> </w:t>
            </w:r>
            <w:r>
              <w:rPr>
                <w:spacing w:val="7"/>
                <w:sz w:val="20"/>
                <w:szCs w:val="20"/>
              </w:rPr>
              <w:t>“</w:t>
            </w:r>
            <w:r>
              <w:rPr>
                <w:spacing w:val="-56"/>
                <w:sz w:val="20"/>
                <w:szCs w:val="20"/>
              </w:rPr>
              <w:t xml:space="preserve"> </w:t>
            </w:r>
            <w:r>
              <w:rPr>
                <w:spacing w:val="7"/>
                <w:sz w:val="20"/>
                <w:szCs w:val="20"/>
              </w:rPr>
              <w:t>固体物料堆存颗粒物产排污核算系数手册</w:t>
            </w:r>
            <w:r>
              <w:rPr>
                <w:spacing w:val="-70"/>
                <w:sz w:val="20"/>
                <w:szCs w:val="20"/>
              </w:rPr>
              <w:t xml:space="preserve"> </w:t>
            </w:r>
            <w:r>
              <w:rPr>
                <w:spacing w:val="7"/>
                <w:sz w:val="20"/>
                <w:szCs w:val="20"/>
              </w:rPr>
              <w:t>”中粉尘控制措施控制效率洒水控制效率为</w:t>
            </w:r>
            <w:r>
              <w:rPr>
                <w:sz w:val="20"/>
                <w:szCs w:val="20"/>
              </w:rPr>
              <w:t xml:space="preserve">  </w:t>
            </w:r>
            <w:r>
              <w:rPr>
                <w:rFonts w:ascii="Times New Roman" w:hAnsi="Times New Roman" w:eastAsia="Times New Roman" w:cs="Times New Roman"/>
                <w:spacing w:val="7"/>
                <w:sz w:val="20"/>
                <w:szCs w:val="20"/>
              </w:rPr>
              <w:t>74%</w:t>
            </w:r>
            <w:r>
              <w:rPr>
                <w:rFonts w:ascii="Times New Roman" w:hAnsi="Times New Roman" w:eastAsia="Times New Roman" w:cs="Times New Roman"/>
                <w:spacing w:val="-25"/>
                <w:sz w:val="20"/>
                <w:szCs w:val="20"/>
              </w:rPr>
              <w:t xml:space="preserve"> </w:t>
            </w:r>
            <w:r>
              <w:rPr>
                <w:spacing w:val="7"/>
                <w:sz w:val="20"/>
                <w:szCs w:val="20"/>
              </w:rPr>
              <w:t>，围挡控制效率为</w:t>
            </w:r>
            <w:r>
              <w:rPr>
                <w:rFonts w:ascii="Times New Roman" w:hAnsi="Times New Roman" w:eastAsia="Times New Roman" w:cs="Times New Roman"/>
                <w:spacing w:val="7"/>
                <w:sz w:val="20"/>
                <w:szCs w:val="20"/>
              </w:rPr>
              <w:t>60%</w:t>
            </w:r>
            <w:r>
              <w:rPr>
                <w:rFonts w:ascii="Times New Roman" w:hAnsi="Times New Roman" w:eastAsia="Times New Roman" w:cs="Times New Roman"/>
                <w:spacing w:val="-23"/>
                <w:sz w:val="20"/>
                <w:szCs w:val="20"/>
              </w:rPr>
              <w:t xml:space="preserve"> </w:t>
            </w:r>
            <w:r>
              <w:rPr>
                <w:spacing w:val="7"/>
                <w:sz w:val="20"/>
                <w:szCs w:val="20"/>
              </w:rPr>
              <w:t>，出入车辆冲洗控制效率为</w:t>
            </w:r>
            <w:r>
              <w:rPr>
                <w:rFonts w:ascii="Times New Roman" w:hAnsi="Times New Roman" w:eastAsia="Times New Roman" w:cs="Times New Roman"/>
                <w:spacing w:val="7"/>
                <w:sz w:val="20"/>
                <w:szCs w:val="20"/>
              </w:rPr>
              <w:t>78%</w:t>
            </w:r>
            <w:r>
              <w:rPr>
                <w:rFonts w:ascii="Times New Roman" w:hAnsi="Times New Roman" w:eastAsia="Times New Roman" w:cs="Times New Roman"/>
                <w:spacing w:val="-23"/>
                <w:sz w:val="20"/>
                <w:szCs w:val="20"/>
              </w:rPr>
              <w:t xml:space="preserve"> </w:t>
            </w:r>
            <w:r>
              <w:rPr>
                <w:spacing w:val="7"/>
                <w:sz w:val="20"/>
                <w:szCs w:val="20"/>
              </w:rPr>
              <w:t>。本项目通过采取上述防尘</w:t>
            </w:r>
            <w:r>
              <w:rPr>
                <w:sz w:val="20"/>
                <w:szCs w:val="20"/>
              </w:rPr>
              <w:t xml:space="preserve">  </w:t>
            </w:r>
            <w:r>
              <w:rPr>
                <w:spacing w:val="6"/>
                <w:sz w:val="20"/>
                <w:szCs w:val="20"/>
              </w:rPr>
              <w:t>措施，抑尘效率取</w:t>
            </w:r>
            <w:r>
              <w:rPr>
                <w:rFonts w:ascii="Times New Roman" w:hAnsi="Times New Roman" w:eastAsia="Times New Roman" w:cs="Times New Roman"/>
                <w:spacing w:val="6"/>
                <w:sz w:val="20"/>
                <w:szCs w:val="20"/>
              </w:rPr>
              <w:t>80%</w:t>
            </w:r>
            <w:r>
              <w:rPr>
                <w:rFonts w:ascii="Times New Roman" w:hAnsi="Times New Roman" w:eastAsia="Times New Roman" w:cs="Times New Roman"/>
                <w:spacing w:val="-20"/>
                <w:sz w:val="20"/>
                <w:szCs w:val="20"/>
              </w:rPr>
              <w:t xml:space="preserve"> </w:t>
            </w:r>
            <w:r>
              <w:rPr>
                <w:spacing w:val="6"/>
                <w:sz w:val="20"/>
                <w:szCs w:val="20"/>
              </w:rPr>
              <w:t>，则建筑垃圾卸料粉尘排放量约</w:t>
            </w:r>
            <w:r>
              <w:rPr>
                <w:rFonts w:ascii="Times New Roman" w:hAnsi="Times New Roman" w:eastAsia="Times New Roman" w:cs="Times New Roman"/>
                <w:spacing w:val="6"/>
                <w:sz w:val="20"/>
                <w:szCs w:val="20"/>
              </w:rPr>
              <w:t>0.608t/a</w:t>
            </w:r>
            <w:r>
              <w:rPr>
                <w:rFonts w:ascii="Times New Roman" w:hAnsi="Times New Roman" w:eastAsia="Times New Roman" w:cs="Times New Roman"/>
                <w:spacing w:val="-20"/>
                <w:sz w:val="20"/>
                <w:szCs w:val="20"/>
              </w:rPr>
              <w:t xml:space="preserve"> </w:t>
            </w:r>
            <w:r>
              <w:rPr>
                <w:spacing w:val="6"/>
                <w:sz w:val="20"/>
                <w:szCs w:val="20"/>
              </w:rPr>
              <w:t>。粉尘在地面卸料口无组</w:t>
            </w:r>
            <w:r>
              <w:rPr>
                <w:sz w:val="20"/>
                <w:szCs w:val="20"/>
              </w:rPr>
              <w:t xml:space="preserve">  </w:t>
            </w:r>
            <w:r>
              <w:rPr>
                <w:spacing w:val="7"/>
                <w:sz w:val="20"/>
                <w:szCs w:val="20"/>
              </w:rPr>
              <w:t>织排放。</w:t>
            </w:r>
          </w:p>
          <w:p w14:paraId="5C458737">
            <w:pPr>
              <w:pStyle w:val="6"/>
              <w:spacing w:before="31" w:line="225" w:lineRule="auto"/>
              <w:ind w:left="508"/>
              <w:rPr>
                <w:sz w:val="20"/>
                <w:szCs w:val="20"/>
              </w:rPr>
            </w:pPr>
            <w:r>
              <w:rPr>
                <w:spacing w:val="8"/>
                <w:sz w:val="20"/>
                <w:szCs w:val="20"/>
              </w:rPr>
              <w:t>②破碎筛分粉尘</w:t>
            </w:r>
          </w:p>
          <w:p w14:paraId="16F72AF0">
            <w:pPr>
              <w:pStyle w:val="6"/>
              <w:spacing w:before="156" w:line="362" w:lineRule="auto"/>
              <w:ind w:left="90" w:firstLine="426"/>
              <w:rPr>
                <w:sz w:val="20"/>
                <w:szCs w:val="20"/>
              </w:rPr>
            </w:pPr>
            <w:r>
              <w:rPr>
                <w:spacing w:val="8"/>
                <w:sz w:val="20"/>
                <w:szCs w:val="20"/>
              </w:rPr>
              <w:t>营运期生产时，会对贮存在地下堆场的建筑垃圾进行预处理，主要方式为颚破和筛</w:t>
            </w:r>
            <w:r>
              <w:rPr>
                <w:spacing w:val="9"/>
                <w:sz w:val="20"/>
                <w:szCs w:val="20"/>
              </w:rPr>
              <w:t xml:space="preserve">  </w:t>
            </w:r>
            <w:r>
              <w:rPr>
                <w:spacing w:val="6"/>
                <w:sz w:val="20"/>
                <w:szCs w:val="20"/>
              </w:rPr>
              <w:t>分，处理过程会产生一定量的粉尘。参考《排放源统计调查产排污核</w:t>
            </w:r>
            <w:r>
              <w:rPr>
                <w:spacing w:val="5"/>
                <w:sz w:val="20"/>
                <w:szCs w:val="20"/>
              </w:rPr>
              <w:t>算方法和系数手册》</w:t>
            </w:r>
            <w:r>
              <w:rPr>
                <w:sz w:val="20"/>
                <w:szCs w:val="20"/>
              </w:rPr>
              <w:t xml:space="preserve"> </w:t>
            </w:r>
            <w:r>
              <w:rPr>
                <w:spacing w:val="5"/>
                <w:sz w:val="20"/>
                <w:szCs w:val="20"/>
              </w:rPr>
              <w:t>（公告</w:t>
            </w:r>
            <w:r>
              <w:rPr>
                <w:rFonts w:ascii="Times New Roman" w:hAnsi="Times New Roman" w:eastAsia="Times New Roman" w:cs="Times New Roman"/>
                <w:spacing w:val="5"/>
                <w:sz w:val="20"/>
                <w:szCs w:val="20"/>
              </w:rPr>
              <w:t>2021</w:t>
            </w:r>
            <w:r>
              <w:rPr>
                <w:spacing w:val="5"/>
                <w:sz w:val="20"/>
                <w:szCs w:val="20"/>
              </w:rPr>
              <w:t>年第</w:t>
            </w:r>
            <w:r>
              <w:rPr>
                <w:rFonts w:ascii="Times New Roman" w:hAnsi="Times New Roman" w:eastAsia="Times New Roman" w:cs="Times New Roman"/>
                <w:spacing w:val="5"/>
                <w:sz w:val="20"/>
                <w:szCs w:val="20"/>
              </w:rPr>
              <w:t>24</w:t>
            </w:r>
            <w:r>
              <w:rPr>
                <w:spacing w:val="5"/>
                <w:sz w:val="20"/>
                <w:szCs w:val="20"/>
              </w:rPr>
              <w:t>号）中“</w:t>
            </w:r>
            <w:r>
              <w:rPr>
                <w:rFonts w:ascii="Times New Roman" w:hAnsi="Times New Roman" w:eastAsia="Times New Roman" w:cs="Times New Roman"/>
                <w:spacing w:val="5"/>
                <w:sz w:val="20"/>
                <w:szCs w:val="20"/>
              </w:rPr>
              <w:t>3039</w:t>
            </w:r>
            <w:r>
              <w:rPr>
                <w:spacing w:val="5"/>
                <w:sz w:val="20"/>
                <w:szCs w:val="20"/>
              </w:rPr>
              <w:t>其他建筑材料制造行业系数手册</w:t>
            </w:r>
            <w:r>
              <w:rPr>
                <w:spacing w:val="-57"/>
                <w:sz w:val="20"/>
                <w:szCs w:val="20"/>
              </w:rPr>
              <w:t xml:space="preserve"> </w:t>
            </w:r>
            <w:r>
              <w:rPr>
                <w:spacing w:val="5"/>
                <w:sz w:val="20"/>
                <w:szCs w:val="20"/>
              </w:rPr>
              <w:t>”，原料破碎、筛分颗</w:t>
            </w:r>
            <w:r>
              <w:rPr>
                <w:sz w:val="20"/>
                <w:szCs w:val="20"/>
              </w:rPr>
              <w:t xml:space="preserve">  </w:t>
            </w:r>
            <w:r>
              <w:rPr>
                <w:spacing w:val="6"/>
                <w:sz w:val="20"/>
                <w:szCs w:val="20"/>
              </w:rPr>
              <w:t>粒物产污系数为</w:t>
            </w:r>
            <w:r>
              <w:rPr>
                <w:rFonts w:ascii="Times New Roman" w:hAnsi="Times New Roman" w:eastAsia="Times New Roman" w:cs="Times New Roman"/>
                <w:spacing w:val="6"/>
                <w:sz w:val="20"/>
                <w:szCs w:val="20"/>
              </w:rPr>
              <w:t>1.89</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/t-</w:t>
            </w:r>
            <w:r>
              <w:rPr>
                <w:spacing w:val="6"/>
                <w:sz w:val="20"/>
                <w:szCs w:val="20"/>
              </w:rPr>
              <w:t>产品。项目生产所需建筑垃圾制成的粉料产品</w:t>
            </w:r>
            <w:r>
              <w:rPr>
                <w:spacing w:val="5"/>
                <w:sz w:val="20"/>
                <w:szCs w:val="20"/>
              </w:rPr>
              <w:t>总量约</w:t>
            </w:r>
            <w:r>
              <w:rPr>
                <w:rFonts w:ascii="Times New Roman" w:hAnsi="Times New Roman" w:eastAsia="Times New Roman" w:cs="Times New Roman"/>
                <w:spacing w:val="5"/>
                <w:sz w:val="20"/>
                <w:szCs w:val="20"/>
              </w:rPr>
              <w:t>304100t/a</w:t>
            </w:r>
            <w:r>
              <w:rPr>
                <w:rFonts w:ascii="Times New Roman" w:hAnsi="Times New Roman" w:eastAsia="Times New Roman" w:cs="Times New Roman"/>
                <w:spacing w:val="-21"/>
                <w:sz w:val="20"/>
                <w:szCs w:val="20"/>
              </w:rPr>
              <w:t xml:space="preserve"> </w:t>
            </w:r>
            <w:r>
              <w:rPr>
                <w:spacing w:val="5"/>
                <w:sz w:val="20"/>
                <w:szCs w:val="20"/>
              </w:rPr>
              <w:t>，</w:t>
            </w:r>
            <w:r>
              <w:rPr>
                <w:sz w:val="20"/>
                <w:szCs w:val="20"/>
              </w:rPr>
              <w:t xml:space="preserve"> </w:t>
            </w:r>
            <w:r>
              <w:rPr>
                <w:spacing w:val="6"/>
                <w:sz w:val="20"/>
                <w:szCs w:val="20"/>
              </w:rPr>
              <w:t>则破碎筛分粉尘产生量约</w:t>
            </w:r>
            <w:r>
              <w:rPr>
                <w:rFonts w:ascii="Times New Roman" w:hAnsi="Times New Roman" w:eastAsia="Times New Roman" w:cs="Times New Roman"/>
                <w:spacing w:val="6"/>
                <w:sz w:val="20"/>
                <w:szCs w:val="20"/>
              </w:rPr>
              <w:t>574.749t/a</w:t>
            </w:r>
            <w:r>
              <w:rPr>
                <w:spacing w:val="6"/>
                <w:sz w:val="20"/>
                <w:szCs w:val="20"/>
              </w:rPr>
              <w:t>。</w:t>
            </w:r>
          </w:p>
          <w:p w14:paraId="4CED3910">
            <w:pPr>
              <w:pStyle w:val="6"/>
              <w:spacing w:before="39" w:line="362" w:lineRule="auto"/>
              <w:ind w:left="91" w:right="86" w:firstLine="423"/>
              <w:rPr>
                <w:sz w:val="20"/>
                <w:szCs w:val="20"/>
              </w:rPr>
            </w:pPr>
            <w:r>
              <w:rPr>
                <w:b/>
                <w:bCs/>
                <w:spacing w:val="8"/>
                <w:sz w:val="20"/>
                <w:szCs w:val="20"/>
              </w:rPr>
              <w:t>治理措施：</w:t>
            </w:r>
            <w:r>
              <w:rPr>
                <w:spacing w:val="8"/>
                <w:sz w:val="20"/>
                <w:szCs w:val="20"/>
              </w:rPr>
              <w:t>根据设计，本项目采用的破碎筛分设备为密闭型设备，产尘点主要是设</w:t>
            </w:r>
            <w:r>
              <w:rPr>
                <w:spacing w:val="16"/>
                <w:sz w:val="20"/>
                <w:szCs w:val="20"/>
              </w:rPr>
              <w:t xml:space="preserve"> </w:t>
            </w:r>
            <w:r>
              <w:rPr>
                <w:spacing w:val="9"/>
                <w:sz w:val="20"/>
                <w:szCs w:val="20"/>
              </w:rPr>
              <w:t>备的进料和出料口。通过在设备进料和出料口安装收集装置，将粉尘收集至配</w:t>
            </w:r>
            <w:r>
              <w:rPr>
                <w:spacing w:val="8"/>
                <w:sz w:val="20"/>
                <w:szCs w:val="20"/>
              </w:rPr>
              <w:t>套的袋式</w:t>
            </w:r>
            <w:r>
              <w:rPr>
                <w:sz w:val="20"/>
                <w:szCs w:val="20"/>
              </w:rPr>
              <w:t xml:space="preserve"> </w:t>
            </w:r>
            <w:r>
              <w:rPr>
                <w:spacing w:val="8"/>
                <w:sz w:val="20"/>
                <w:szCs w:val="20"/>
              </w:rPr>
              <w:t>除尘器处理。根据经验数据，采用集尘罩收集效率取</w:t>
            </w:r>
            <w:r>
              <w:rPr>
                <w:rFonts w:ascii="Times New Roman" w:hAnsi="Times New Roman" w:eastAsia="Times New Roman" w:cs="Times New Roman"/>
                <w:spacing w:val="8"/>
                <w:sz w:val="20"/>
                <w:szCs w:val="20"/>
              </w:rPr>
              <w:t>90%</w:t>
            </w:r>
            <w:r>
              <w:rPr>
                <w:rFonts w:ascii="Times New Roman" w:hAnsi="Times New Roman" w:eastAsia="Times New Roman" w:cs="Times New Roman"/>
                <w:spacing w:val="-14"/>
                <w:sz w:val="20"/>
                <w:szCs w:val="20"/>
              </w:rPr>
              <w:t xml:space="preserve"> </w:t>
            </w:r>
            <w:r>
              <w:rPr>
                <w:spacing w:val="8"/>
                <w:sz w:val="20"/>
                <w:szCs w:val="20"/>
              </w:rPr>
              <w:t>，袋式除尘器除尘效率</w:t>
            </w:r>
            <w:r>
              <w:rPr>
                <w:rFonts w:ascii="Times New Roman" w:hAnsi="Times New Roman" w:eastAsia="Times New Roman" w:cs="Times New Roman"/>
                <w:spacing w:val="8"/>
                <w:sz w:val="20"/>
                <w:szCs w:val="20"/>
              </w:rPr>
              <w:t>99%</w:t>
            </w:r>
            <w:r>
              <w:rPr>
                <w:rFonts w:ascii="Times New Roman" w:hAnsi="Times New Roman" w:eastAsia="Times New Roman" w:cs="Times New Roman"/>
                <w:spacing w:val="-23"/>
                <w:sz w:val="20"/>
                <w:szCs w:val="20"/>
              </w:rPr>
              <w:t xml:space="preserve"> </w:t>
            </w:r>
            <w:r>
              <w:rPr>
                <w:spacing w:val="8"/>
                <w:sz w:val="20"/>
                <w:szCs w:val="20"/>
              </w:rPr>
              <w:t>。</w:t>
            </w:r>
            <w:r>
              <w:rPr>
                <w:sz w:val="20"/>
                <w:szCs w:val="20"/>
              </w:rPr>
              <w:t xml:space="preserve"> </w:t>
            </w:r>
            <w:r>
              <w:rPr>
                <w:spacing w:val="8"/>
                <w:sz w:val="20"/>
                <w:szCs w:val="20"/>
              </w:rPr>
              <w:t>经计算，建筑垃圾破碎筛分粉尘排放量约</w:t>
            </w:r>
            <w:r>
              <w:rPr>
                <w:rFonts w:ascii="Times New Roman" w:hAnsi="Times New Roman" w:eastAsia="Times New Roman" w:cs="Times New Roman"/>
                <w:spacing w:val="8"/>
                <w:sz w:val="20"/>
                <w:szCs w:val="20"/>
              </w:rPr>
              <w:t>62</w:t>
            </w:r>
            <w:r>
              <w:rPr>
                <w:rFonts w:ascii="Times New Roman" w:hAnsi="Times New Roman" w:eastAsia="Times New Roman" w:cs="Times New Roman"/>
                <w:spacing w:val="7"/>
                <w:sz w:val="20"/>
                <w:szCs w:val="20"/>
              </w:rPr>
              <w:t>.648t/a</w:t>
            </w:r>
            <w:r>
              <w:rPr>
                <w:rFonts w:ascii="Times New Roman" w:hAnsi="Times New Roman" w:eastAsia="Times New Roman" w:cs="Times New Roman"/>
                <w:spacing w:val="-20"/>
                <w:sz w:val="20"/>
                <w:szCs w:val="20"/>
              </w:rPr>
              <w:t xml:space="preserve"> </w:t>
            </w:r>
            <w:r>
              <w:rPr>
                <w:spacing w:val="7"/>
                <w:sz w:val="20"/>
                <w:szCs w:val="20"/>
              </w:rPr>
              <w:t>。粉尘在地下堆场内无组织排放。</w:t>
            </w:r>
          </w:p>
          <w:p w14:paraId="31CCD988">
            <w:pPr>
              <w:pStyle w:val="6"/>
              <w:spacing w:before="30" w:line="362" w:lineRule="auto"/>
              <w:ind w:left="90" w:right="15" w:firstLine="423"/>
              <w:rPr>
                <w:sz w:val="20"/>
                <w:szCs w:val="20"/>
              </w:rPr>
            </w:pPr>
            <w:r>
              <w:rPr>
                <w:spacing w:val="5"/>
                <w:sz w:val="20"/>
                <w:szCs w:val="20"/>
              </w:rPr>
              <w:t>项目地下原料堆场为相对封闭式建筑，设置有通风换气设施，确保堆场内空气流通。</w:t>
            </w:r>
            <w:r>
              <w:rPr>
                <w:spacing w:val="2"/>
                <w:sz w:val="20"/>
                <w:szCs w:val="20"/>
              </w:rPr>
              <w:t xml:space="preserve"> </w:t>
            </w:r>
            <w:r>
              <w:rPr>
                <w:spacing w:val="9"/>
                <w:sz w:val="20"/>
                <w:szCs w:val="20"/>
              </w:rPr>
              <w:t>同时为防治粉尘污染，在堆场设置有约</w:t>
            </w:r>
            <w:r>
              <w:rPr>
                <w:rFonts w:ascii="Times New Roman" w:hAnsi="Times New Roman" w:eastAsia="Times New Roman" w:cs="Times New Roman"/>
                <w:spacing w:val="9"/>
                <w:sz w:val="20"/>
                <w:szCs w:val="20"/>
              </w:rPr>
              <w:t>50</w:t>
            </w:r>
            <w:r>
              <w:rPr>
                <w:spacing w:val="9"/>
                <w:sz w:val="20"/>
                <w:szCs w:val="20"/>
              </w:rPr>
              <w:t>颗喷雾喷头，</w:t>
            </w:r>
            <w:r>
              <w:rPr>
                <w:spacing w:val="8"/>
                <w:sz w:val="20"/>
                <w:szCs w:val="20"/>
              </w:rPr>
              <w:t>能够起到极好的降尘效果。采取</w:t>
            </w:r>
            <w:r>
              <w:rPr>
                <w:sz w:val="20"/>
                <w:szCs w:val="20"/>
              </w:rPr>
              <w:t xml:space="preserve"> </w:t>
            </w:r>
            <w:r>
              <w:rPr>
                <w:spacing w:val="9"/>
                <w:sz w:val="20"/>
                <w:szCs w:val="20"/>
              </w:rPr>
              <w:t>上述无组织粉尘控制措施，对地下堆场内的无组织粉尘抑尘</w:t>
            </w:r>
            <w:r>
              <w:rPr>
                <w:spacing w:val="8"/>
                <w:sz w:val="20"/>
                <w:szCs w:val="20"/>
              </w:rPr>
              <w:t>率取</w:t>
            </w:r>
            <w:r>
              <w:rPr>
                <w:rFonts w:ascii="Times New Roman" w:hAnsi="Times New Roman" w:eastAsia="Times New Roman" w:cs="Times New Roman"/>
                <w:spacing w:val="8"/>
                <w:sz w:val="20"/>
                <w:szCs w:val="20"/>
              </w:rPr>
              <w:t>70%</w:t>
            </w:r>
            <w:r>
              <w:rPr>
                <w:rFonts w:ascii="Times New Roman" w:hAnsi="Times New Roman" w:eastAsia="Times New Roman" w:cs="Times New Roman"/>
                <w:spacing w:val="-23"/>
                <w:sz w:val="20"/>
                <w:szCs w:val="20"/>
              </w:rPr>
              <w:t xml:space="preserve"> </w:t>
            </w:r>
            <w:r>
              <w:rPr>
                <w:spacing w:val="8"/>
                <w:sz w:val="20"/>
                <w:szCs w:val="20"/>
              </w:rPr>
              <w:t>。因此，破碎筛分</w:t>
            </w:r>
            <w:r>
              <w:rPr>
                <w:sz w:val="20"/>
                <w:szCs w:val="20"/>
              </w:rPr>
              <w:t xml:space="preserve"> </w:t>
            </w:r>
            <w:r>
              <w:rPr>
                <w:spacing w:val="7"/>
                <w:sz w:val="20"/>
                <w:szCs w:val="20"/>
              </w:rPr>
              <w:t>环节的粉尘最终排放量约</w:t>
            </w:r>
            <w:r>
              <w:rPr>
                <w:rFonts w:ascii="Times New Roman" w:hAnsi="Times New Roman" w:eastAsia="Times New Roman" w:cs="Times New Roman"/>
                <w:spacing w:val="7"/>
                <w:sz w:val="20"/>
                <w:szCs w:val="20"/>
              </w:rPr>
              <w:t>18.794t/a</w:t>
            </w:r>
            <w:r>
              <w:rPr>
                <w:rFonts w:ascii="Times New Roman" w:hAnsi="Times New Roman" w:eastAsia="Times New Roman" w:cs="Times New Roman"/>
                <w:spacing w:val="-18"/>
                <w:sz w:val="20"/>
                <w:szCs w:val="20"/>
              </w:rPr>
              <w:t xml:space="preserve"> </w:t>
            </w:r>
            <w:r>
              <w:rPr>
                <w:spacing w:val="7"/>
                <w:sz w:val="20"/>
                <w:szCs w:val="20"/>
              </w:rPr>
              <w:t>。通过通风换气系统进入外环境。</w:t>
            </w:r>
          </w:p>
          <w:p w14:paraId="55CDCA24">
            <w:pPr>
              <w:pStyle w:val="6"/>
              <w:spacing w:before="33" w:line="225" w:lineRule="auto"/>
              <w:ind w:left="508"/>
              <w:rPr>
                <w:sz w:val="20"/>
                <w:szCs w:val="20"/>
              </w:rPr>
            </w:pPr>
            <w:r>
              <w:rPr>
                <w:spacing w:val="8"/>
                <w:sz w:val="20"/>
                <w:szCs w:val="20"/>
              </w:rPr>
              <w:t>③铲车上料粉尘</w:t>
            </w:r>
          </w:p>
          <w:p w14:paraId="5D32DFAC">
            <w:pPr>
              <w:pStyle w:val="6"/>
              <w:spacing w:before="155" w:line="330" w:lineRule="auto"/>
              <w:ind w:left="90" w:right="88" w:firstLine="419"/>
              <w:rPr>
                <w:sz w:val="20"/>
                <w:szCs w:val="20"/>
              </w:rPr>
            </w:pPr>
            <w:r>
              <w:rPr>
                <w:spacing w:val="9"/>
                <w:sz w:val="20"/>
                <w:szCs w:val="20"/>
              </w:rPr>
              <w:t>破碎筛分后的建筑垃圾，采用铲车上料至料头，再经封闭式皮带输送</w:t>
            </w:r>
            <w:r>
              <w:rPr>
                <w:spacing w:val="8"/>
                <w:sz w:val="20"/>
                <w:szCs w:val="20"/>
              </w:rPr>
              <w:t>至车间。粉尘</w:t>
            </w:r>
            <w:r>
              <w:rPr>
                <w:sz w:val="20"/>
                <w:szCs w:val="20"/>
              </w:rPr>
              <w:t xml:space="preserve"> </w:t>
            </w:r>
            <w:r>
              <w:rPr>
                <w:spacing w:val="9"/>
                <w:sz w:val="20"/>
                <w:szCs w:val="20"/>
              </w:rPr>
              <w:t>产生环节主要考虑物料落料过程，与卸料粉尘产生机理类似。参考《逸散性</w:t>
            </w:r>
            <w:r>
              <w:rPr>
                <w:spacing w:val="8"/>
                <w:sz w:val="20"/>
                <w:szCs w:val="20"/>
              </w:rPr>
              <w:t>工业粉尘控</w:t>
            </w:r>
            <w:r>
              <w:rPr>
                <w:sz w:val="20"/>
                <w:szCs w:val="20"/>
              </w:rPr>
              <w:t xml:space="preserve"> </w:t>
            </w:r>
            <w:r>
              <w:rPr>
                <w:spacing w:val="8"/>
                <w:sz w:val="20"/>
                <w:szCs w:val="20"/>
              </w:rPr>
              <w:t>制技术》中卸料时的逸散尘排放系数取</w:t>
            </w:r>
            <w:r>
              <w:rPr>
                <w:rFonts w:ascii="Times New Roman" w:hAnsi="Times New Roman" w:eastAsia="Times New Roman" w:cs="Times New Roman"/>
                <w:spacing w:val="8"/>
                <w:sz w:val="20"/>
                <w:szCs w:val="20"/>
              </w:rPr>
              <w:t>0.01</w:t>
            </w:r>
            <w:r>
              <w:rPr>
                <w:rFonts w:ascii="Times New Roman" w:hAnsi="Times New Roman" w:eastAsia="Times New Roman" w:cs="Times New Roman"/>
                <w:sz w:val="20"/>
                <w:szCs w:val="20"/>
              </w:rPr>
              <w:t>kg</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14"/>
                <w:sz w:val="20"/>
                <w:szCs w:val="20"/>
              </w:rPr>
              <w:t xml:space="preserve"> </w:t>
            </w:r>
            <w:r>
              <w:rPr>
                <w:spacing w:val="8"/>
                <w:sz w:val="20"/>
                <w:szCs w:val="20"/>
              </w:rPr>
              <w:t>。本项目消耗的建筑垃圾总量约</w:t>
            </w:r>
          </w:p>
        </w:tc>
      </w:tr>
    </w:tbl>
    <w:p w14:paraId="7FAA5F19">
      <w:pPr>
        <w:pStyle w:val="2"/>
      </w:pPr>
    </w:p>
    <w:p w14:paraId="51FAEA5D">
      <w:pPr>
        <w:sectPr>
          <w:footerReference r:id="rId63" w:type="default"/>
          <w:pgSz w:w="11907" w:h="16840"/>
          <w:pgMar w:top="1431" w:right="1490" w:bottom="1260" w:left="1489" w:header="0" w:footer="1080" w:gutter="0"/>
          <w:cols w:space="720" w:num="1"/>
        </w:sectPr>
      </w:pPr>
    </w:p>
    <w:p w14:paraId="4EEE9AC3">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33F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9" w:hRule="atLeast"/>
        </w:trPr>
        <w:tc>
          <w:tcPr>
            <w:tcW w:w="785" w:type="dxa"/>
            <w:tcBorders>
              <w:top w:val="single" w:color="000000" w:sz="2" w:space="0"/>
              <w:right w:val="single" w:color="000000" w:sz="2" w:space="0"/>
            </w:tcBorders>
            <w:vAlign w:val="top"/>
          </w:tcPr>
          <w:p w14:paraId="0BEE866D">
            <w:pPr>
              <w:rPr>
                <w:rFonts w:ascii="Arial"/>
                <w:sz w:val="21"/>
              </w:rPr>
            </w:pPr>
          </w:p>
        </w:tc>
        <w:tc>
          <w:tcPr>
            <w:tcW w:w="8127" w:type="dxa"/>
            <w:tcBorders>
              <w:top w:val="single" w:color="000000" w:sz="2" w:space="0"/>
              <w:left w:val="single" w:color="000000" w:sz="2" w:space="0"/>
            </w:tcBorders>
            <w:vAlign w:val="top"/>
          </w:tcPr>
          <w:p w14:paraId="1C7B728F">
            <w:pPr>
              <w:pStyle w:val="6"/>
              <w:spacing w:before="145" w:line="228" w:lineRule="auto"/>
              <w:ind w:left="90"/>
              <w:rPr>
                <w:sz w:val="20"/>
                <w:szCs w:val="20"/>
              </w:rPr>
            </w:pPr>
            <w:r>
              <w:rPr>
                <w:rFonts w:ascii="Times New Roman" w:hAnsi="Times New Roman" w:eastAsia="Times New Roman" w:cs="Times New Roman"/>
                <w:spacing w:val="5"/>
                <w:sz w:val="20"/>
                <w:szCs w:val="20"/>
              </w:rPr>
              <w:t>304112.761t/a</w:t>
            </w:r>
            <w:r>
              <w:rPr>
                <w:rFonts w:ascii="Times New Roman" w:hAnsi="Times New Roman" w:eastAsia="Times New Roman" w:cs="Times New Roman"/>
                <w:spacing w:val="-18"/>
                <w:sz w:val="20"/>
                <w:szCs w:val="20"/>
              </w:rPr>
              <w:t xml:space="preserve"> </w:t>
            </w:r>
            <w:r>
              <w:rPr>
                <w:spacing w:val="5"/>
                <w:sz w:val="20"/>
                <w:szCs w:val="20"/>
              </w:rPr>
              <w:t>。经计算，上料粉尘产生量约</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4"/>
                <w:sz w:val="20"/>
                <w:szCs w:val="20"/>
              </w:rPr>
              <w:t>.041t/a</w:t>
            </w:r>
            <w:r>
              <w:rPr>
                <w:spacing w:val="4"/>
                <w:sz w:val="20"/>
                <w:szCs w:val="20"/>
              </w:rPr>
              <w:t>。</w:t>
            </w:r>
          </w:p>
          <w:p w14:paraId="31AE2CF4">
            <w:pPr>
              <w:pStyle w:val="6"/>
              <w:spacing w:before="149" w:line="365" w:lineRule="auto"/>
              <w:ind w:left="89" w:right="86" w:firstLine="425"/>
              <w:jc w:val="both"/>
              <w:rPr>
                <w:sz w:val="20"/>
                <w:szCs w:val="20"/>
              </w:rPr>
            </w:pPr>
            <w:r>
              <w:rPr>
                <w:b/>
                <w:bCs/>
                <w:spacing w:val="8"/>
                <w:sz w:val="20"/>
                <w:szCs w:val="20"/>
              </w:rPr>
              <w:t>治理措施：</w:t>
            </w:r>
            <w:r>
              <w:rPr>
                <w:spacing w:val="8"/>
                <w:sz w:val="20"/>
                <w:szCs w:val="20"/>
              </w:rPr>
              <w:t>根据设计，项目上料料斗采取三面封闭措施，加强作业管理控制上料作</w:t>
            </w:r>
            <w:r>
              <w:rPr>
                <w:spacing w:val="16"/>
                <w:sz w:val="20"/>
                <w:szCs w:val="20"/>
              </w:rPr>
              <w:t xml:space="preserve"> </w:t>
            </w:r>
            <w:r>
              <w:rPr>
                <w:spacing w:val="7"/>
                <w:sz w:val="20"/>
                <w:szCs w:val="20"/>
              </w:rPr>
              <w:t>业高度等。根据《排放源统计调查产排污核算方法和系数手册》“固体物料堆存颗粒物</w:t>
            </w:r>
            <w:r>
              <w:rPr>
                <w:sz w:val="20"/>
                <w:szCs w:val="20"/>
              </w:rPr>
              <w:t xml:space="preserve"> </w:t>
            </w:r>
            <w:r>
              <w:rPr>
                <w:spacing w:val="8"/>
                <w:sz w:val="20"/>
                <w:szCs w:val="20"/>
              </w:rPr>
              <w:t>产排污核算系数手册</w:t>
            </w:r>
            <w:r>
              <w:rPr>
                <w:spacing w:val="-70"/>
                <w:sz w:val="20"/>
                <w:szCs w:val="20"/>
              </w:rPr>
              <w:t xml:space="preserve"> </w:t>
            </w:r>
            <w:r>
              <w:rPr>
                <w:spacing w:val="8"/>
                <w:sz w:val="20"/>
                <w:szCs w:val="20"/>
              </w:rPr>
              <w:t>”中粉尘控制措施控制效率洒水控制效率为</w:t>
            </w:r>
            <w:r>
              <w:rPr>
                <w:rFonts w:ascii="Times New Roman" w:hAnsi="Times New Roman" w:eastAsia="Times New Roman" w:cs="Times New Roman"/>
                <w:spacing w:val="8"/>
                <w:sz w:val="20"/>
                <w:szCs w:val="20"/>
              </w:rPr>
              <w:t>74%</w:t>
            </w:r>
            <w:r>
              <w:rPr>
                <w:rFonts w:ascii="Times New Roman" w:hAnsi="Times New Roman" w:eastAsia="Times New Roman" w:cs="Times New Roman"/>
                <w:spacing w:val="-26"/>
                <w:sz w:val="20"/>
                <w:szCs w:val="20"/>
              </w:rPr>
              <w:t xml:space="preserve"> </w:t>
            </w:r>
            <w:r>
              <w:rPr>
                <w:spacing w:val="8"/>
                <w:sz w:val="20"/>
                <w:szCs w:val="20"/>
              </w:rPr>
              <w:t>，围挡控制效率为</w:t>
            </w:r>
            <w:r>
              <w:rPr>
                <w:sz w:val="20"/>
                <w:szCs w:val="20"/>
              </w:rPr>
              <w:t xml:space="preserve"> </w:t>
            </w:r>
            <w:r>
              <w:rPr>
                <w:rFonts w:ascii="Times New Roman" w:hAnsi="Times New Roman" w:eastAsia="Times New Roman" w:cs="Times New Roman"/>
                <w:spacing w:val="7"/>
                <w:sz w:val="20"/>
                <w:szCs w:val="20"/>
              </w:rPr>
              <w:t>60%</w:t>
            </w:r>
            <w:r>
              <w:rPr>
                <w:rFonts w:ascii="Times New Roman" w:hAnsi="Times New Roman" w:eastAsia="Times New Roman" w:cs="Times New Roman"/>
                <w:spacing w:val="-26"/>
                <w:sz w:val="20"/>
                <w:szCs w:val="20"/>
              </w:rPr>
              <w:t xml:space="preserve"> </w:t>
            </w:r>
            <w:r>
              <w:rPr>
                <w:spacing w:val="7"/>
                <w:sz w:val="20"/>
                <w:szCs w:val="20"/>
              </w:rPr>
              <w:t>，出入车辆冲洗控制效率为</w:t>
            </w:r>
            <w:r>
              <w:rPr>
                <w:rFonts w:ascii="Times New Roman" w:hAnsi="Times New Roman" w:eastAsia="Times New Roman" w:cs="Times New Roman"/>
                <w:spacing w:val="7"/>
                <w:sz w:val="20"/>
                <w:szCs w:val="20"/>
              </w:rPr>
              <w:t>78%</w:t>
            </w:r>
            <w:r>
              <w:rPr>
                <w:rFonts w:ascii="Times New Roman" w:hAnsi="Times New Roman" w:eastAsia="Times New Roman" w:cs="Times New Roman"/>
                <w:spacing w:val="-20"/>
                <w:sz w:val="20"/>
                <w:szCs w:val="20"/>
              </w:rPr>
              <w:t xml:space="preserve"> </w:t>
            </w:r>
            <w:r>
              <w:rPr>
                <w:spacing w:val="7"/>
                <w:sz w:val="20"/>
                <w:szCs w:val="20"/>
              </w:rPr>
              <w:t>。参考上述防尘措施，抑尘效率取</w:t>
            </w:r>
            <w:r>
              <w:rPr>
                <w:rFonts w:ascii="Times New Roman" w:hAnsi="Times New Roman" w:eastAsia="Times New Roman" w:cs="Times New Roman"/>
                <w:spacing w:val="7"/>
                <w:sz w:val="20"/>
                <w:szCs w:val="20"/>
              </w:rPr>
              <w:t>8</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20"/>
                <w:sz w:val="20"/>
                <w:szCs w:val="20"/>
              </w:rPr>
              <w:t xml:space="preserve"> </w:t>
            </w:r>
            <w:r>
              <w:rPr>
                <w:spacing w:val="6"/>
                <w:sz w:val="20"/>
                <w:szCs w:val="20"/>
              </w:rPr>
              <w:t>。从上料料</w:t>
            </w:r>
            <w:r>
              <w:rPr>
                <w:sz w:val="20"/>
                <w:szCs w:val="20"/>
              </w:rPr>
              <w:t xml:space="preserve"> </w:t>
            </w:r>
            <w:r>
              <w:rPr>
                <w:spacing w:val="9"/>
                <w:sz w:val="20"/>
                <w:szCs w:val="20"/>
              </w:rPr>
              <w:t>斗处排放的粉尘在封闭式地下堆场，再利用堆场设置的喷雾设施，能够起到极好的</w:t>
            </w:r>
            <w:r>
              <w:rPr>
                <w:spacing w:val="8"/>
                <w:sz w:val="20"/>
                <w:szCs w:val="20"/>
              </w:rPr>
              <w:t>降尘</w:t>
            </w:r>
            <w:r>
              <w:rPr>
                <w:sz w:val="20"/>
                <w:szCs w:val="20"/>
              </w:rPr>
              <w:t xml:space="preserve"> </w:t>
            </w:r>
            <w:r>
              <w:rPr>
                <w:spacing w:val="8"/>
                <w:sz w:val="20"/>
                <w:szCs w:val="20"/>
              </w:rPr>
              <w:t>效果，对地下堆场内的无组织粉尘约有</w:t>
            </w:r>
            <w:r>
              <w:rPr>
                <w:rFonts w:ascii="Times New Roman" w:hAnsi="Times New Roman" w:eastAsia="Times New Roman" w:cs="Times New Roman"/>
                <w:spacing w:val="8"/>
                <w:sz w:val="20"/>
                <w:szCs w:val="20"/>
              </w:rPr>
              <w:t>70%</w:t>
            </w:r>
            <w:r>
              <w:rPr>
                <w:spacing w:val="8"/>
                <w:sz w:val="20"/>
                <w:szCs w:val="20"/>
              </w:rPr>
              <w:t>的抑尘效率。</w:t>
            </w:r>
          </w:p>
          <w:p w14:paraId="01F17442">
            <w:pPr>
              <w:pStyle w:val="6"/>
              <w:spacing w:before="30" w:line="355" w:lineRule="auto"/>
              <w:ind w:left="90" w:right="266" w:firstLine="419"/>
              <w:rPr>
                <w:sz w:val="20"/>
                <w:szCs w:val="20"/>
              </w:rPr>
            </w:pPr>
            <w:r>
              <w:rPr>
                <w:spacing w:val="10"/>
                <w:sz w:val="20"/>
                <w:szCs w:val="20"/>
              </w:rPr>
              <w:t>通过采取上述无组织粉尘控制措施，能够极好的控制上</w:t>
            </w:r>
            <w:r>
              <w:rPr>
                <w:spacing w:val="9"/>
                <w:sz w:val="20"/>
                <w:szCs w:val="20"/>
              </w:rPr>
              <w:t>料粉尘，综合抑尘效率约</w:t>
            </w:r>
            <w:r>
              <w:rPr>
                <w:sz w:val="20"/>
                <w:szCs w:val="20"/>
              </w:rPr>
              <w:t xml:space="preserve"> </w:t>
            </w:r>
            <w:r>
              <w:rPr>
                <w:rFonts w:ascii="Times New Roman" w:hAnsi="Times New Roman" w:eastAsia="Times New Roman" w:cs="Times New Roman"/>
                <w:spacing w:val="6"/>
                <w:sz w:val="20"/>
                <w:szCs w:val="20"/>
              </w:rPr>
              <w:t>94%</w:t>
            </w:r>
            <w:r>
              <w:rPr>
                <w:rFonts w:ascii="Times New Roman" w:hAnsi="Times New Roman" w:eastAsia="Times New Roman" w:cs="Times New Roman"/>
                <w:spacing w:val="-23"/>
                <w:sz w:val="20"/>
                <w:szCs w:val="20"/>
              </w:rPr>
              <w:t xml:space="preserve"> </w:t>
            </w:r>
            <w:r>
              <w:rPr>
                <w:spacing w:val="6"/>
                <w:sz w:val="20"/>
                <w:szCs w:val="20"/>
              </w:rPr>
              <w:t>。经计算，上料环节粉尘排放量约</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182t/a</w:t>
            </w:r>
            <w:r>
              <w:rPr>
                <w:rFonts w:ascii="Times New Roman" w:hAnsi="Times New Roman" w:eastAsia="Times New Roman" w:cs="Times New Roman"/>
                <w:spacing w:val="-20"/>
                <w:sz w:val="20"/>
                <w:szCs w:val="20"/>
              </w:rPr>
              <w:t xml:space="preserve"> </w:t>
            </w:r>
            <w:r>
              <w:rPr>
                <w:spacing w:val="6"/>
                <w:sz w:val="20"/>
                <w:szCs w:val="20"/>
              </w:rPr>
              <w:t>。通过通风换气系统进入外环境。</w:t>
            </w:r>
          </w:p>
          <w:p w14:paraId="6D30A34C">
            <w:pPr>
              <w:pStyle w:val="6"/>
              <w:spacing w:before="31" w:line="227" w:lineRule="auto"/>
              <w:ind w:left="520"/>
              <w:rPr>
                <w:sz w:val="20"/>
                <w:szCs w:val="20"/>
              </w:rPr>
            </w:pPr>
            <w:r>
              <w:rPr>
                <w:b/>
                <w:bCs/>
                <w:spacing w:val="6"/>
                <w:sz w:val="20"/>
                <w:szCs w:val="20"/>
              </w:rPr>
              <w:t>（</w:t>
            </w:r>
            <w:r>
              <w:rPr>
                <w:rFonts w:ascii="Times New Roman" w:hAnsi="Times New Roman" w:eastAsia="Times New Roman" w:cs="Times New Roman"/>
                <w:b/>
                <w:bCs/>
                <w:spacing w:val="6"/>
                <w:sz w:val="20"/>
                <w:szCs w:val="20"/>
              </w:rPr>
              <w:t>2</w:t>
            </w:r>
            <w:r>
              <w:rPr>
                <w:b/>
                <w:bCs/>
                <w:spacing w:val="6"/>
                <w:sz w:val="20"/>
                <w:szCs w:val="20"/>
              </w:rPr>
              <w:t>）混凝土砌块及板材车间</w:t>
            </w:r>
          </w:p>
          <w:p w14:paraId="4653C4AE">
            <w:pPr>
              <w:pStyle w:val="6"/>
              <w:spacing w:before="152" w:line="360" w:lineRule="auto"/>
              <w:ind w:left="83" w:right="86" w:firstLine="426"/>
              <w:rPr>
                <w:sz w:val="20"/>
                <w:szCs w:val="20"/>
              </w:rPr>
            </w:pPr>
            <w:r>
              <w:rPr>
                <w:spacing w:val="9"/>
                <w:sz w:val="20"/>
                <w:szCs w:val="20"/>
              </w:rPr>
              <w:t>根据工程分析，砌块和板材车间生产过程的废气产生环节主要是带肋钢</w:t>
            </w:r>
            <w:r>
              <w:rPr>
                <w:spacing w:val="8"/>
                <w:sz w:val="20"/>
                <w:szCs w:val="20"/>
              </w:rPr>
              <w:t>筋网加工环</w:t>
            </w:r>
            <w:r>
              <w:rPr>
                <w:sz w:val="20"/>
                <w:szCs w:val="20"/>
              </w:rPr>
              <w:t xml:space="preserve"> </w:t>
            </w:r>
            <w:r>
              <w:rPr>
                <w:spacing w:val="10"/>
                <w:sz w:val="20"/>
                <w:szCs w:val="20"/>
              </w:rPr>
              <w:t>节和筒仓上料环节，污染物主要有筒仓粉尘、焊接烟尘、切割粉尘和浸漆</w:t>
            </w:r>
            <w:r>
              <w:rPr>
                <w:spacing w:val="9"/>
                <w:sz w:val="20"/>
                <w:szCs w:val="20"/>
              </w:rPr>
              <w:t>烘干产生的</w:t>
            </w:r>
            <w:r>
              <w:rPr>
                <w:sz w:val="20"/>
                <w:szCs w:val="20"/>
              </w:rPr>
              <w:t xml:space="preserve">   </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1"/>
                <w:position w:val="-1"/>
                <w:sz w:val="13"/>
                <w:szCs w:val="13"/>
              </w:rPr>
              <w:t xml:space="preserve"> </w:t>
            </w:r>
            <w:r>
              <w:rPr>
                <w:spacing w:val="9"/>
                <w:sz w:val="20"/>
                <w:szCs w:val="20"/>
              </w:rPr>
              <w:t>。物料输送采用封闭式输送带，不考虑其粉尘产生情况。</w:t>
            </w:r>
          </w:p>
          <w:p w14:paraId="348A5963">
            <w:pPr>
              <w:pStyle w:val="6"/>
              <w:spacing w:before="31" w:line="225" w:lineRule="auto"/>
              <w:ind w:left="509"/>
              <w:rPr>
                <w:sz w:val="20"/>
                <w:szCs w:val="20"/>
              </w:rPr>
            </w:pPr>
            <w:r>
              <w:rPr>
                <w:spacing w:val="8"/>
                <w:sz w:val="20"/>
                <w:szCs w:val="20"/>
              </w:rPr>
              <w:t>①筒仓粉尘</w:t>
            </w:r>
          </w:p>
          <w:p w14:paraId="18BA4051">
            <w:pPr>
              <w:pStyle w:val="6"/>
              <w:spacing w:before="157" w:line="359" w:lineRule="auto"/>
              <w:ind w:left="90" w:right="86" w:firstLine="422"/>
              <w:rPr>
                <w:sz w:val="20"/>
                <w:szCs w:val="20"/>
              </w:rPr>
            </w:pPr>
            <w:r>
              <w:rPr>
                <w:spacing w:val="9"/>
                <w:sz w:val="20"/>
                <w:szCs w:val="20"/>
              </w:rPr>
              <w:t>筒仓产生的粉尘，主要是水泥、粉煤灰等原料通过气力输送至筒</w:t>
            </w:r>
            <w:r>
              <w:rPr>
                <w:spacing w:val="8"/>
                <w:sz w:val="20"/>
                <w:szCs w:val="20"/>
              </w:rPr>
              <w:t>仓时，内部压力变</w:t>
            </w:r>
            <w:r>
              <w:rPr>
                <w:sz w:val="20"/>
                <w:szCs w:val="20"/>
              </w:rPr>
              <w:t xml:space="preserve"> </w:t>
            </w:r>
            <w:r>
              <w:rPr>
                <w:spacing w:val="9"/>
                <w:sz w:val="20"/>
                <w:szCs w:val="20"/>
              </w:rPr>
              <w:t>化导致气体从仓顶呼吸口排泄，带出少量的粉尘。参考《散逸性工业粉尘控制</w:t>
            </w:r>
            <w:r>
              <w:rPr>
                <w:spacing w:val="8"/>
                <w:sz w:val="20"/>
                <w:szCs w:val="20"/>
              </w:rPr>
              <w:t>技术》中</w:t>
            </w:r>
            <w:r>
              <w:rPr>
                <w:sz w:val="20"/>
                <w:szCs w:val="20"/>
              </w:rPr>
              <w:t xml:space="preserve"> </w:t>
            </w:r>
            <w:r>
              <w:rPr>
                <w:spacing w:val="7"/>
                <w:sz w:val="20"/>
                <w:szCs w:val="20"/>
              </w:rPr>
              <w:t>关于搅拌厂筒仓进料过程中逸散尘的产污系数</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7"/>
                <w:sz w:val="20"/>
                <w:szCs w:val="20"/>
              </w:rPr>
              <w:t>12</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/t</w:t>
            </w:r>
            <w:r>
              <w:rPr>
                <w:spacing w:val="7"/>
                <w:sz w:val="20"/>
                <w:szCs w:val="20"/>
              </w:rPr>
              <w:t>。</w:t>
            </w:r>
          </w:p>
          <w:p w14:paraId="26D3E39F">
            <w:pPr>
              <w:pStyle w:val="6"/>
              <w:spacing w:before="32" w:line="355" w:lineRule="auto"/>
              <w:ind w:left="93" w:right="86" w:firstLine="416"/>
              <w:rPr>
                <w:sz w:val="20"/>
                <w:szCs w:val="20"/>
              </w:rPr>
            </w:pPr>
            <w:r>
              <w:rPr>
                <w:spacing w:val="9"/>
                <w:sz w:val="20"/>
                <w:szCs w:val="20"/>
              </w:rPr>
              <w:t>根据工程分析，项目砌块和板材车间生产所需的水泥、粉煤灰及石</w:t>
            </w:r>
            <w:r>
              <w:rPr>
                <w:spacing w:val="8"/>
                <w:sz w:val="20"/>
                <w:szCs w:val="20"/>
              </w:rPr>
              <w:t>灰等，总消耗量</w:t>
            </w:r>
            <w:r>
              <w:rPr>
                <w:sz w:val="20"/>
                <w:szCs w:val="20"/>
              </w:rPr>
              <w:t xml:space="preserve"> </w:t>
            </w:r>
            <w:r>
              <w:rPr>
                <w:spacing w:val="5"/>
                <w:sz w:val="20"/>
                <w:szCs w:val="20"/>
              </w:rPr>
              <w:t>约</w:t>
            </w:r>
            <w:r>
              <w:rPr>
                <w:rFonts w:ascii="Times New Roman" w:hAnsi="Times New Roman" w:eastAsia="Times New Roman" w:cs="Times New Roman"/>
                <w:spacing w:val="5"/>
                <w:sz w:val="20"/>
                <w:szCs w:val="20"/>
              </w:rPr>
              <w:t>140369.581t/a</w:t>
            </w:r>
            <w:r>
              <w:rPr>
                <w:rFonts w:ascii="Times New Roman" w:hAnsi="Times New Roman" w:eastAsia="Times New Roman" w:cs="Times New Roman"/>
                <w:spacing w:val="-17"/>
                <w:sz w:val="20"/>
                <w:szCs w:val="20"/>
              </w:rPr>
              <w:t xml:space="preserve"> </w:t>
            </w:r>
            <w:r>
              <w:rPr>
                <w:spacing w:val="5"/>
                <w:sz w:val="20"/>
                <w:szCs w:val="20"/>
              </w:rPr>
              <w:t>，全部气力输送至筒仓贮存，筒仓的逸散尘产污系数取</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12</w:t>
            </w:r>
            <w:r>
              <w:rPr>
                <w:rFonts w:ascii="Times New Roman" w:hAnsi="Times New Roman" w:eastAsia="Times New Roman" w:cs="Times New Roman"/>
                <w:sz w:val="20"/>
                <w:szCs w:val="20"/>
              </w:rPr>
              <w:t>kg</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3"/>
                <w:sz w:val="20"/>
                <w:szCs w:val="20"/>
              </w:rPr>
              <w:t xml:space="preserve"> </w:t>
            </w:r>
            <w:r>
              <w:rPr>
                <w:spacing w:val="5"/>
                <w:sz w:val="20"/>
                <w:szCs w:val="20"/>
              </w:rPr>
              <w:t>，经计算</w:t>
            </w:r>
            <w:r>
              <w:rPr>
                <w:sz w:val="20"/>
                <w:szCs w:val="20"/>
              </w:rPr>
              <w:t xml:space="preserve"> </w:t>
            </w:r>
            <w:r>
              <w:rPr>
                <w:spacing w:val="5"/>
                <w:sz w:val="20"/>
                <w:szCs w:val="20"/>
              </w:rPr>
              <w:t>筒仓粉尘产生量约</w:t>
            </w:r>
            <w:r>
              <w:rPr>
                <w:rFonts w:ascii="Times New Roman" w:hAnsi="Times New Roman" w:eastAsia="Times New Roman" w:cs="Times New Roman"/>
                <w:spacing w:val="5"/>
                <w:sz w:val="20"/>
                <w:szCs w:val="20"/>
              </w:rPr>
              <w:t>16.844t/a</w:t>
            </w:r>
            <w:r>
              <w:rPr>
                <w:spacing w:val="5"/>
                <w:sz w:val="20"/>
                <w:szCs w:val="20"/>
              </w:rPr>
              <w:t>。</w:t>
            </w:r>
          </w:p>
          <w:p w14:paraId="200DA2BA">
            <w:pPr>
              <w:pStyle w:val="6"/>
              <w:spacing w:before="44" w:line="364" w:lineRule="auto"/>
              <w:ind w:left="90" w:right="15" w:firstLine="425"/>
              <w:jc w:val="both"/>
              <w:rPr>
                <w:sz w:val="20"/>
                <w:szCs w:val="20"/>
              </w:rPr>
            </w:pPr>
            <w:r>
              <w:rPr>
                <w:b/>
                <w:bCs/>
                <w:spacing w:val="8"/>
                <w:sz w:val="20"/>
                <w:szCs w:val="20"/>
              </w:rPr>
              <w:t>治理措施</w:t>
            </w:r>
            <w:r>
              <w:rPr>
                <w:spacing w:val="8"/>
                <w:sz w:val="20"/>
                <w:szCs w:val="20"/>
              </w:rPr>
              <w:t>：根据设计，项目每个粉料筒仓仓顶均配备有布袋除尘器，属于无动力除</w:t>
            </w:r>
            <w:r>
              <w:rPr>
                <w:spacing w:val="15"/>
                <w:sz w:val="20"/>
                <w:szCs w:val="20"/>
              </w:rPr>
              <w:t xml:space="preserve"> </w:t>
            </w:r>
            <w:r>
              <w:rPr>
                <w:spacing w:val="10"/>
                <w:sz w:val="20"/>
                <w:szCs w:val="20"/>
              </w:rPr>
              <w:t xml:space="preserve">尘器。筒仓泄压呼吸时排放的粉尘经除尘器处理后，极少量的粉尘会逸散至大气环境。 </w:t>
            </w:r>
            <w:r>
              <w:rPr>
                <w:spacing w:val="6"/>
                <w:sz w:val="20"/>
                <w:szCs w:val="20"/>
              </w:rPr>
              <w:t>除尘器与仓顶呼吸口密闭连接，收尘效率取</w:t>
            </w:r>
            <w:r>
              <w:rPr>
                <w:rFonts w:ascii="Times New Roman" w:hAnsi="Times New Roman" w:eastAsia="Times New Roman" w:cs="Times New Roman"/>
                <w:spacing w:val="6"/>
                <w:sz w:val="20"/>
                <w:szCs w:val="20"/>
              </w:rPr>
              <w:t>100%</w:t>
            </w:r>
            <w:r>
              <w:rPr>
                <w:rFonts w:ascii="Times New Roman" w:hAnsi="Times New Roman" w:eastAsia="Times New Roman" w:cs="Times New Roman"/>
                <w:spacing w:val="-20"/>
                <w:sz w:val="20"/>
                <w:szCs w:val="20"/>
              </w:rPr>
              <w:t xml:space="preserve"> </w:t>
            </w:r>
            <w:r>
              <w:rPr>
                <w:spacing w:val="6"/>
                <w:sz w:val="20"/>
                <w:szCs w:val="20"/>
              </w:rPr>
              <w:t>，除尘效率取</w:t>
            </w:r>
            <w:r>
              <w:rPr>
                <w:rFonts w:ascii="Times New Roman" w:hAnsi="Times New Roman" w:eastAsia="Times New Roman" w:cs="Times New Roman"/>
                <w:spacing w:val="6"/>
                <w:sz w:val="20"/>
                <w:szCs w:val="20"/>
              </w:rPr>
              <w:t>99%</w:t>
            </w:r>
            <w:r>
              <w:rPr>
                <w:rFonts w:ascii="Times New Roman" w:hAnsi="Times New Roman" w:eastAsia="Times New Roman" w:cs="Times New Roman"/>
                <w:spacing w:val="-22"/>
                <w:sz w:val="20"/>
                <w:szCs w:val="20"/>
              </w:rPr>
              <w:t xml:space="preserve"> </w:t>
            </w:r>
            <w:r>
              <w:rPr>
                <w:spacing w:val="6"/>
                <w:sz w:val="20"/>
                <w:szCs w:val="20"/>
              </w:rPr>
              <w:t>。经计算，砌块和板</w:t>
            </w:r>
            <w:r>
              <w:rPr>
                <w:sz w:val="20"/>
                <w:szCs w:val="20"/>
              </w:rPr>
              <w:t xml:space="preserve"> </w:t>
            </w:r>
            <w:r>
              <w:rPr>
                <w:spacing w:val="5"/>
                <w:sz w:val="20"/>
                <w:szCs w:val="20"/>
              </w:rPr>
              <w:t>材车间</w:t>
            </w:r>
            <w:r>
              <w:rPr>
                <w:rFonts w:ascii="Times New Roman" w:hAnsi="Times New Roman" w:eastAsia="Times New Roman" w:cs="Times New Roman"/>
                <w:spacing w:val="5"/>
                <w:sz w:val="20"/>
                <w:szCs w:val="20"/>
              </w:rPr>
              <w:t>3</w:t>
            </w:r>
            <w:r>
              <w:rPr>
                <w:spacing w:val="5"/>
                <w:sz w:val="20"/>
                <w:szCs w:val="20"/>
              </w:rPr>
              <w:t>个粉料筒仓的粉尘排放量约</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5"/>
                <w:sz w:val="20"/>
                <w:szCs w:val="20"/>
              </w:rPr>
              <w:t>168t/a</w:t>
            </w:r>
            <w:r>
              <w:rPr>
                <w:rFonts w:ascii="Times New Roman" w:hAnsi="Times New Roman" w:eastAsia="Times New Roman" w:cs="Times New Roman"/>
                <w:spacing w:val="-18"/>
                <w:sz w:val="20"/>
                <w:szCs w:val="20"/>
              </w:rPr>
              <w:t xml:space="preserve"> </w:t>
            </w:r>
            <w:r>
              <w:rPr>
                <w:spacing w:val="5"/>
                <w:sz w:val="20"/>
                <w:szCs w:val="20"/>
              </w:rPr>
              <w:t>。项目单个筒仓容积约</w:t>
            </w:r>
            <w:r>
              <w:rPr>
                <w:rFonts w:ascii="Times New Roman" w:hAnsi="Times New Roman" w:eastAsia="Times New Roman" w:cs="Times New Roman"/>
                <w:spacing w:val="5"/>
                <w:sz w:val="20"/>
                <w:szCs w:val="20"/>
              </w:rPr>
              <w:t>200t</w:t>
            </w:r>
            <w:r>
              <w:rPr>
                <w:rFonts w:ascii="Times New Roman" w:hAnsi="Times New Roman" w:eastAsia="Times New Roman" w:cs="Times New Roman"/>
                <w:spacing w:val="-28"/>
                <w:sz w:val="20"/>
                <w:szCs w:val="20"/>
              </w:rPr>
              <w:t xml:space="preserve"> </w:t>
            </w:r>
            <w:r>
              <w:rPr>
                <w:spacing w:val="5"/>
                <w:sz w:val="20"/>
                <w:szCs w:val="20"/>
              </w:rPr>
              <w:t>，总高约</w:t>
            </w:r>
            <w:r>
              <w:rPr>
                <w:rFonts w:ascii="Times New Roman" w:hAnsi="Times New Roman" w:eastAsia="Times New Roman" w:cs="Times New Roman"/>
                <w:spacing w:val="5"/>
                <w:sz w:val="20"/>
                <w:szCs w:val="20"/>
              </w:rPr>
              <w:t>22.5m</w:t>
            </w:r>
            <w:r>
              <w:rPr>
                <w:spacing w:val="5"/>
                <w:sz w:val="20"/>
                <w:szCs w:val="20"/>
              </w:rPr>
              <w:t>高</w:t>
            </w:r>
            <w:r>
              <w:rPr>
                <w:sz w:val="20"/>
                <w:szCs w:val="20"/>
              </w:rPr>
              <w:t xml:space="preserve"> </w:t>
            </w:r>
            <w:r>
              <w:rPr>
                <w:spacing w:val="5"/>
                <w:sz w:val="20"/>
                <w:szCs w:val="20"/>
              </w:rPr>
              <w:t>于生产车间，粉尘直接排放至大气环境，但属于无动力排放，因此纳入无组织排放管理。</w:t>
            </w:r>
          </w:p>
          <w:p w14:paraId="200C51CD">
            <w:pPr>
              <w:pStyle w:val="6"/>
              <w:spacing w:before="31" w:line="225" w:lineRule="auto"/>
              <w:ind w:left="508"/>
              <w:rPr>
                <w:rFonts w:ascii="Times New Roman" w:hAnsi="Times New Roman" w:eastAsia="Times New Roman" w:cs="Times New Roman"/>
                <w:sz w:val="13"/>
                <w:szCs w:val="13"/>
              </w:rPr>
            </w:pPr>
            <w:r>
              <w:rPr>
                <w:spacing w:val="12"/>
                <w:sz w:val="20"/>
                <w:szCs w:val="20"/>
              </w:rPr>
              <w:t>②浸漆烤漆环节的</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p>
          <w:p w14:paraId="384D2042">
            <w:pPr>
              <w:pStyle w:val="6"/>
              <w:spacing w:before="158" w:line="362" w:lineRule="auto"/>
              <w:ind w:left="89" w:right="86" w:firstLine="424"/>
              <w:rPr>
                <w:sz w:val="20"/>
                <w:szCs w:val="20"/>
              </w:rPr>
            </w:pPr>
            <w:r>
              <w:rPr>
                <w:spacing w:val="9"/>
                <w:sz w:val="20"/>
                <w:szCs w:val="20"/>
              </w:rPr>
              <w:t>项目混凝土板材生产所需的带肋钢筋网，经焊接成网后必须进行</w:t>
            </w:r>
            <w:r>
              <w:rPr>
                <w:spacing w:val="8"/>
                <w:sz w:val="20"/>
                <w:szCs w:val="20"/>
              </w:rPr>
              <w:t>浸漆防腐处理。根</w:t>
            </w:r>
            <w:r>
              <w:rPr>
                <w:sz w:val="20"/>
                <w:szCs w:val="20"/>
              </w:rPr>
              <w:t xml:space="preserve"> </w:t>
            </w:r>
            <w:r>
              <w:rPr>
                <w:spacing w:val="9"/>
                <w:sz w:val="20"/>
                <w:szCs w:val="20"/>
              </w:rPr>
              <w:t>据设计，钢筋网防腐处理采用水性油漆进行浸漆成膜，然后采用电热灯烤漆烘</w:t>
            </w:r>
            <w:r>
              <w:rPr>
                <w:spacing w:val="8"/>
                <w:sz w:val="20"/>
                <w:szCs w:val="20"/>
              </w:rPr>
              <w:t>干。水性</w:t>
            </w:r>
            <w:r>
              <w:rPr>
                <w:sz w:val="20"/>
                <w:szCs w:val="20"/>
              </w:rPr>
              <w:t xml:space="preserve"> </w:t>
            </w:r>
            <w:r>
              <w:rPr>
                <w:spacing w:val="10"/>
                <w:sz w:val="20"/>
                <w:szCs w:val="20"/>
              </w:rPr>
              <w:t>油漆在使用过程会产生一定量的挥发性有机物，以</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r>
              <w:rPr>
                <w:spacing w:val="10"/>
                <w:sz w:val="20"/>
                <w:szCs w:val="20"/>
              </w:rPr>
              <w:t>表征。根据建设单位提供的油</w:t>
            </w:r>
            <w:r>
              <w:rPr>
                <w:spacing w:val="7"/>
                <w:sz w:val="20"/>
                <w:szCs w:val="20"/>
              </w:rPr>
              <w:t xml:space="preserve">  </w:t>
            </w:r>
            <w:r>
              <w:rPr>
                <w:spacing w:val="5"/>
                <w:sz w:val="20"/>
                <w:szCs w:val="20"/>
              </w:rPr>
              <w:t>漆检测报告，项目所用水性漆挥发性有机物含量为</w:t>
            </w:r>
            <w:r>
              <w:rPr>
                <w:rFonts w:ascii="Times New Roman" w:hAnsi="Times New Roman" w:eastAsia="Times New Roman" w:cs="Times New Roman"/>
                <w:spacing w:val="5"/>
                <w:sz w:val="20"/>
                <w:szCs w:val="20"/>
              </w:rPr>
              <w:t>193</w:t>
            </w:r>
            <w:r>
              <w:rPr>
                <w:rFonts w:ascii="Times New Roman" w:hAnsi="Times New Roman" w:eastAsia="Times New Roman" w:cs="Times New Roman"/>
                <w:spacing w:val="4"/>
                <w:sz w:val="20"/>
                <w:szCs w:val="20"/>
              </w:rPr>
              <w:t>g/L</w:t>
            </w:r>
            <w:r>
              <w:rPr>
                <w:spacing w:val="4"/>
                <w:sz w:val="20"/>
                <w:szCs w:val="20"/>
              </w:rPr>
              <w:t>。水性油漆用量约</w:t>
            </w:r>
            <w:r>
              <w:rPr>
                <w:rFonts w:ascii="Times New Roman" w:hAnsi="Times New Roman" w:eastAsia="Times New Roman" w:cs="Times New Roman"/>
                <w:spacing w:val="4"/>
                <w:sz w:val="20"/>
                <w:szCs w:val="20"/>
              </w:rPr>
              <w:t>37.048t/a</w:t>
            </w:r>
            <w:r>
              <w:rPr>
                <w:spacing w:val="4"/>
                <w:sz w:val="20"/>
                <w:szCs w:val="20"/>
              </w:rPr>
              <w:t>（约</w:t>
            </w:r>
            <w:r>
              <w:rPr>
                <w:sz w:val="20"/>
                <w:szCs w:val="20"/>
              </w:rPr>
              <w:t xml:space="preserve"> </w:t>
            </w:r>
            <w:r>
              <w:rPr>
                <w:rFonts w:ascii="Times New Roman" w:hAnsi="Times New Roman" w:eastAsia="Times New Roman" w:cs="Times New Roman"/>
                <w:spacing w:val="3"/>
                <w:sz w:val="20"/>
                <w:szCs w:val="20"/>
              </w:rPr>
              <w:t>33.68m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/a</w:t>
            </w:r>
            <w:r>
              <w:rPr>
                <w:spacing w:val="3"/>
                <w:sz w:val="20"/>
                <w:szCs w:val="20"/>
              </w:rPr>
              <w:t>）。经计算，水性漆产生的</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r>
              <w:rPr>
                <w:spacing w:val="3"/>
                <w:sz w:val="20"/>
                <w:szCs w:val="20"/>
              </w:rPr>
              <w:t>约</w:t>
            </w:r>
            <w:r>
              <w:rPr>
                <w:rFonts w:ascii="Times New Roman" w:hAnsi="Times New Roman" w:eastAsia="Times New Roman" w:cs="Times New Roman"/>
                <w:spacing w:val="3"/>
                <w:sz w:val="20"/>
                <w:szCs w:val="20"/>
              </w:rPr>
              <w:t>6.5t/a</w:t>
            </w:r>
            <w:r>
              <w:rPr>
                <w:spacing w:val="3"/>
                <w:sz w:val="20"/>
                <w:szCs w:val="20"/>
              </w:rPr>
              <w:t>。</w:t>
            </w:r>
          </w:p>
          <w:p w14:paraId="037E99AC">
            <w:pPr>
              <w:pStyle w:val="6"/>
              <w:spacing w:before="41" w:line="314" w:lineRule="auto"/>
              <w:ind w:left="107" w:right="59" w:firstLine="424"/>
              <w:rPr>
                <w:rFonts w:ascii="Times New Roman" w:hAnsi="Times New Roman" w:eastAsia="Times New Roman" w:cs="Times New Roman"/>
                <w:sz w:val="20"/>
                <w:szCs w:val="20"/>
              </w:rPr>
            </w:pPr>
            <w:r>
              <w:rPr>
                <w:b/>
                <w:bCs/>
                <w:spacing w:val="7"/>
                <w:sz w:val="20"/>
                <w:szCs w:val="20"/>
              </w:rPr>
              <w:t>治理措施：</w:t>
            </w:r>
            <w:r>
              <w:rPr>
                <w:spacing w:val="7"/>
                <w:sz w:val="20"/>
                <w:szCs w:val="20"/>
              </w:rPr>
              <w:t>根据设计，项目拟在砌块和板材车间内设置密闭式浸漆和烤漆房，建筑</w:t>
            </w:r>
            <w:r>
              <w:rPr>
                <w:spacing w:val="16"/>
                <w:sz w:val="20"/>
                <w:szCs w:val="20"/>
              </w:rPr>
              <w:t xml:space="preserve"> </w:t>
            </w:r>
            <w:r>
              <w:rPr>
                <w:spacing w:val="7"/>
                <w:sz w:val="20"/>
                <w:szCs w:val="20"/>
              </w:rPr>
              <w:t>面积约</w:t>
            </w:r>
            <w:r>
              <w:rPr>
                <w:rFonts w:ascii="Times New Roman" w:hAnsi="Times New Roman" w:eastAsia="Times New Roman" w:cs="Times New Roman"/>
                <w:spacing w:val="7"/>
                <w:sz w:val="20"/>
                <w:szCs w:val="20"/>
              </w:rPr>
              <w:t>40m</w:t>
            </w:r>
            <w:r>
              <w:rPr>
                <w:rFonts w:ascii="Times New Roman" w:hAnsi="Times New Roman" w:eastAsia="Times New Roman" w:cs="Times New Roman"/>
                <w:spacing w:val="7"/>
                <w:position w:val="6"/>
                <w:sz w:val="13"/>
                <w:szCs w:val="13"/>
              </w:rPr>
              <w:t>2</w:t>
            </w:r>
            <w:r>
              <w:rPr>
                <w:spacing w:val="7"/>
                <w:sz w:val="20"/>
                <w:szCs w:val="20"/>
              </w:rPr>
              <w:t>，层高按</w:t>
            </w:r>
            <w:r>
              <w:rPr>
                <w:rFonts w:ascii="Times New Roman" w:hAnsi="Times New Roman" w:eastAsia="Times New Roman" w:cs="Times New Roman"/>
                <w:spacing w:val="7"/>
                <w:sz w:val="20"/>
                <w:szCs w:val="20"/>
              </w:rPr>
              <w:t>3m</w:t>
            </w:r>
            <w:r>
              <w:rPr>
                <w:spacing w:val="7"/>
                <w:sz w:val="20"/>
                <w:szCs w:val="20"/>
              </w:rPr>
              <w:t>计，配套废气微负压收集装置和一套</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UV</w:t>
            </w:r>
            <w:r>
              <w:rPr>
                <w:spacing w:val="7"/>
                <w:sz w:val="20"/>
                <w:szCs w:val="20"/>
              </w:rPr>
              <w:t>光解</w:t>
            </w:r>
            <w:r>
              <w:rPr>
                <w:rFonts w:ascii="Times New Roman" w:hAnsi="Times New Roman" w:eastAsia="Times New Roman" w:cs="Times New Roman"/>
                <w:spacing w:val="7"/>
                <w:sz w:val="20"/>
                <w:szCs w:val="20"/>
              </w:rPr>
              <w:t>+</w:t>
            </w:r>
            <w:r>
              <w:rPr>
                <w:spacing w:val="7"/>
                <w:sz w:val="20"/>
                <w:szCs w:val="20"/>
              </w:rPr>
              <w:t>两级活性炭吸附</w:t>
            </w:r>
            <w:r>
              <w:rPr>
                <w:rFonts w:ascii="Times New Roman" w:hAnsi="Times New Roman" w:eastAsia="Times New Roman" w:cs="Times New Roman"/>
                <w:spacing w:val="7"/>
                <w:sz w:val="20"/>
                <w:szCs w:val="20"/>
              </w:rPr>
              <w:t>”</w:t>
            </w:r>
          </w:p>
        </w:tc>
      </w:tr>
    </w:tbl>
    <w:p w14:paraId="532CC081">
      <w:pPr>
        <w:pStyle w:val="2"/>
      </w:pPr>
    </w:p>
    <w:p w14:paraId="78AC5CBE">
      <w:pPr>
        <w:sectPr>
          <w:footerReference r:id="rId64" w:type="default"/>
          <w:pgSz w:w="11907" w:h="16840"/>
          <w:pgMar w:top="1431" w:right="1490" w:bottom="1260" w:left="1489" w:header="0" w:footer="1080" w:gutter="0"/>
          <w:cols w:space="720" w:num="1"/>
        </w:sectPr>
      </w:pPr>
    </w:p>
    <w:p w14:paraId="0F712B3B">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9F2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61" w:hRule="atLeast"/>
        </w:trPr>
        <w:tc>
          <w:tcPr>
            <w:tcW w:w="785" w:type="dxa"/>
            <w:tcBorders>
              <w:top w:val="single" w:color="000000" w:sz="2" w:space="0"/>
              <w:right w:val="single" w:color="000000" w:sz="2" w:space="0"/>
            </w:tcBorders>
            <w:vAlign w:val="top"/>
          </w:tcPr>
          <w:p w14:paraId="61F425F1">
            <w:pPr>
              <w:rPr>
                <w:rFonts w:ascii="Arial"/>
                <w:sz w:val="21"/>
              </w:rPr>
            </w:pPr>
          </w:p>
        </w:tc>
        <w:tc>
          <w:tcPr>
            <w:tcW w:w="8127" w:type="dxa"/>
            <w:tcBorders>
              <w:top w:val="single" w:color="000000" w:sz="2" w:space="0"/>
              <w:left w:val="single" w:color="000000" w:sz="2" w:space="0"/>
            </w:tcBorders>
            <w:vAlign w:val="top"/>
          </w:tcPr>
          <w:p w14:paraId="50729C88">
            <w:pPr>
              <w:pStyle w:val="6"/>
              <w:spacing w:before="148" w:line="227" w:lineRule="auto"/>
              <w:ind w:left="106"/>
              <w:rPr>
                <w:sz w:val="20"/>
                <w:szCs w:val="20"/>
              </w:rPr>
            </w:pPr>
            <w:r>
              <w:rPr>
                <w:spacing w:val="9"/>
                <w:sz w:val="20"/>
                <w:szCs w:val="20"/>
              </w:rPr>
              <w:t>装置，将有机废气收集处理后经</w:t>
            </w:r>
            <w:r>
              <w:rPr>
                <w:rFonts w:ascii="Times New Roman" w:hAnsi="Times New Roman" w:eastAsia="Times New Roman" w:cs="Times New Roman"/>
                <w:spacing w:val="9"/>
                <w:sz w:val="20"/>
                <w:szCs w:val="20"/>
              </w:rPr>
              <w:t>1</w:t>
            </w:r>
            <w:r>
              <w:rPr>
                <w:spacing w:val="9"/>
                <w:sz w:val="20"/>
                <w:szCs w:val="20"/>
              </w:rPr>
              <w:t>根</w:t>
            </w:r>
            <w:r>
              <w:rPr>
                <w:rFonts w:ascii="Times New Roman" w:hAnsi="Times New Roman" w:eastAsia="Times New Roman" w:cs="Times New Roman"/>
                <w:spacing w:val="9"/>
                <w:sz w:val="20"/>
                <w:szCs w:val="20"/>
              </w:rPr>
              <w:t>15m</w:t>
            </w:r>
            <w:r>
              <w:rPr>
                <w:spacing w:val="9"/>
                <w:sz w:val="20"/>
                <w:szCs w:val="20"/>
              </w:rPr>
              <w:t>高排气筒（</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001</w:t>
            </w:r>
            <w:r>
              <w:rPr>
                <w:spacing w:val="9"/>
                <w:sz w:val="20"/>
                <w:szCs w:val="20"/>
              </w:rPr>
              <w:t>）高空排放。风机风量的配</w:t>
            </w:r>
          </w:p>
          <w:p w14:paraId="4D933155">
            <w:pPr>
              <w:pStyle w:val="6"/>
              <w:spacing w:before="162" w:line="352" w:lineRule="auto"/>
              <w:ind w:left="111" w:right="657" w:hanging="2"/>
              <w:rPr>
                <w:sz w:val="20"/>
                <w:szCs w:val="20"/>
              </w:rPr>
            </w:pPr>
            <w:r>
              <w:rPr>
                <w:spacing w:val="8"/>
                <w:sz w:val="20"/>
                <w:szCs w:val="20"/>
              </w:rPr>
              <w:t>备按照房间体积乘以换气常数</w:t>
            </w:r>
            <w:r>
              <w:rPr>
                <w:rFonts w:ascii="Times New Roman" w:hAnsi="Times New Roman" w:eastAsia="Times New Roman" w:cs="Times New Roman"/>
                <w:spacing w:val="8"/>
                <w:sz w:val="20"/>
                <w:szCs w:val="20"/>
              </w:rPr>
              <w:t>70</w:t>
            </w:r>
            <w:r>
              <w:rPr>
                <w:spacing w:val="8"/>
                <w:sz w:val="20"/>
                <w:szCs w:val="20"/>
              </w:rPr>
              <w:t>次</w:t>
            </w:r>
            <w:r>
              <w:rPr>
                <w:rFonts w:ascii="Times New Roman" w:hAnsi="Times New Roman" w:eastAsia="Times New Roman" w:cs="Times New Roman"/>
                <w:spacing w:val="8"/>
                <w:sz w:val="20"/>
                <w:szCs w:val="20"/>
              </w:rPr>
              <w:t>/h</w:t>
            </w:r>
            <w:r>
              <w:rPr>
                <w:spacing w:val="8"/>
                <w:sz w:val="20"/>
                <w:szCs w:val="20"/>
              </w:rPr>
              <w:t>计（一般取</w:t>
            </w:r>
            <w:r>
              <w:rPr>
                <w:rFonts w:ascii="Times New Roman" w:hAnsi="Times New Roman" w:eastAsia="Times New Roman" w:cs="Times New Roman"/>
                <w:spacing w:val="8"/>
                <w:sz w:val="20"/>
                <w:szCs w:val="20"/>
              </w:rPr>
              <w:t>60</w:t>
            </w:r>
            <w:r>
              <w:rPr>
                <w:spacing w:val="8"/>
                <w:sz w:val="20"/>
                <w:szCs w:val="20"/>
              </w:rPr>
              <w:t>～</w:t>
            </w:r>
            <w:r>
              <w:rPr>
                <w:rFonts w:ascii="Times New Roman" w:hAnsi="Times New Roman" w:eastAsia="Times New Roman" w:cs="Times New Roman"/>
                <w:spacing w:val="8"/>
                <w:sz w:val="20"/>
                <w:szCs w:val="20"/>
              </w:rPr>
              <w:t>100</w:t>
            </w:r>
            <w:r>
              <w:rPr>
                <w:spacing w:val="8"/>
                <w:sz w:val="20"/>
                <w:szCs w:val="20"/>
              </w:rPr>
              <w:t>次</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h</w:t>
            </w:r>
            <w:r>
              <w:rPr>
                <w:spacing w:val="17"/>
                <w:sz w:val="20"/>
                <w:szCs w:val="20"/>
              </w:rPr>
              <w:t>），</w:t>
            </w:r>
            <w:r>
              <w:rPr>
                <w:spacing w:val="7"/>
                <w:sz w:val="20"/>
                <w:szCs w:val="20"/>
              </w:rPr>
              <w:t>则风量应不小于</w:t>
            </w:r>
            <w:r>
              <w:rPr>
                <w:sz w:val="20"/>
                <w:szCs w:val="20"/>
              </w:rPr>
              <w:t xml:space="preserve"> </w:t>
            </w:r>
            <w:r>
              <w:rPr>
                <w:rFonts w:ascii="Times New Roman" w:hAnsi="Times New Roman" w:eastAsia="Times New Roman" w:cs="Times New Roman"/>
                <w:spacing w:val="2"/>
                <w:sz w:val="20"/>
                <w:szCs w:val="20"/>
              </w:rPr>
              <w:t>8400m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sz w:val="20"/>
                <w:szCs w:val="20"/>
              </w:rPr>
              <w:t>/h</w:t>
            </w:r>
            <w:r>
              <w:rPr>
                <w:spacing w:val="2"/>
                <w:sz w:val="20"/>
                <w:szCs w:val="20"/>
              </w:rPr>
              <w:t>。</w:t>
            </w:r>
          </w:p>
          <w:p w14:paraId="465B81BC">
            <w:pPr>
              <w:pStyle w:val="6"/>
              <w:spacing w:before="41" w:line="360" w:lineRule="auto"/>
              <w:ind w:left="86" w:right="15" w:firstLine="424"/>
              <w:rPr>
                <w:sz w:val="20"/>
                <w:szCs w:val="20"/>
              </w:rPr>
            </w:pPr>
            <w:r>
              <w:rPr>
                <w:spacing w:val="8"/>
                <w:sz w:val="20"/>
                <w:szCs w:val="20"/>
              </w:rPr>
              <w:t>密闭型浸漆烤漆房废气收集效率取</w:t>
            </w:r>
            <w:r>
              <w:rPr>
                <w:rFonts w:ascii="Times New Roman" w:hAnsi="Times New Roman" w:eastAsia="Times New Roman" w:cs="Times New Roman"/>
                <w:spacing w:val="8"/>
                <w:sz w:val="20"/>
                <w:szCs w:val="20"/>
              </w:rPr>
              <w:t>100%</w:t>
            </w:r>
            <w:r>
              <w:rPr>
                <w:rFonts w:ascii="Times New Roman" w:hAnsi="Times New Roman" w:eastAsia="Times New Roman" w:cs="Times New Roman"/>
                <w:spacing w:val="-26"/>
                <w:sz w:val="20"/>
                <w:szCs w:val="20"/>
              </w:rPr>
              <w:t xml:space="preserve"> </w:t>
            </w:r>
            <w:r>
              <w:rPr>
                <w:spacing w:val="8"/>
                <w:sz w:val="20"/>
                <w:szCs w:val="20"/>
              </w:rPr>
              <w:t>，有机</w:t>
            </w:r>
            <w:r>
              <w:rPr>
                <w:spacing w:val="7"/>
                <w:sz w:val="20"/>
                <w:szCs w:val="20"/>
              </w:rPr>
              <w:t>废气的处理效率取</w:t>
            </w:r>
            <w:r>
              <w:rPr>
                <w:rFonts w:ascii="Times New Roman" w:hAnsi="Times New Roman" w:eastAsia="Times New Roman" w:cs="Times New Roman"/>
                <w:spacing w:val="7"/>
                <w:sz w:val="20"/>
                <w:szCs w:val="20"/>
              </w:rPr>
              <w:t>85%</w:t>
            </w:r>
            <w:r>
              <w:rPr>
                <w:rFonts w:ascii="Times New Roman" w:hAnsi="Times New Roman" w:eastAsia="Times New Roman" w:cs="Times New Roman"/>
                <w:spacing w:val="-23"/>
                <w:sz w:val="20"/>
                <w:szCs w:val="20"/>
              </w:rPr>
              <w:t xml:space="preserve"> </w:t>
            </w:r>
            <w:r>
              <w:rPr>
                <w:spacing w:val="7"/>
                <w:sz w:val="20"/>
                <w:szCs w:val="20"/>
              </w:rPr>
              <w:t>，风机风量</w:t>
            </w:r>
            <w:r>
              <w:rPr>
                <w:sz w:val="20"/>
                <w:szCs w:val="20"/>
              </w:rPr>
              <w:t xml:space="preserve">   </w:t>
            </w:r>
            <w:r>
              <w:rPr>
                <w:rFonts w:ascii="Times New Roman" w:hAnsi="Times New Roman" w:eastAsia="Times New Roman" w:cs="Times New Roman"/>
                <w:spacing w:val="4"/>
                <w:sz w:val="20"/>
                <w:szCs w:val="20"/>
              </w:rPr>
              <w:t>8400m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
                <w:sz w:val="20"/>
                <w:szCs w:val="20"/>
              </w:rPr>
              <w:t xml:space="preserve"> </w:t>
            </w:r>
            <w:r>
              <w:rPr>
                <w:spacing w:val="4"/>
                <w:sz w:val="20"/>
                <w:szCs w:val="20"/>
              </w:rPr>
              <w:t>。经计算，项目钢筋网防腐环节的</w:t>
            </w:r>
            <w:r>
              <w:rPr>
                <w:rFonts w:ascii="Times New Roman" w:hAnsi="Times New Roman" w:eastAsia="Times New Roman" w:cs="Times New Roman"/>
              </w:rPr>
              <w:t>VOC</w:t>
            </w:r>
            <w:r>
              <w:rPr>
                <w:rFonts w:ascii="Times New Roman" w:hAnsi="Times New Roman" w:eastAsia="Times New Roman" w:cs="Times New Roman"/>
                <w:position w:val="-1"/>
                <w:sz w:val="14"/>
                <w:szCs w:val="14"/>
              </w:rPr>
              <w:t>s</w:t>
            </w:r>
            <w:r>
              <w:rPr>
                <w:spacing w:val="4"/>
                <w:sz w:val="20"/>
                <w:szCs w:val="20"/>
              </w:rPr>
              <w:t>排放量约</w:t>
            </w:r>
            <w:r>
              <w:rPr>
                <w:rFonts w:ascii="Times New Roman" w:hAnsi="Times New Roman" w:eastAsia="Times New Roman" w:cs="Times New Roman"/>
                <w:spacing w:val="4"/>
                <w:sz w:val="20"/>
                <w:szCs w:val="20"/>
              </w:rPr>
              <w:t>0.975t/a</w:t>
            </w:r>
            <w:r>
              <w:rPr>
                <w:rFonts w:ascii="Times New Roman" w:hAnsi="Times New Roman" w:eastAsia="Times New Roman" w:cs="Times New Roman"/>
                <w:spacing w:val="-26"/>
                <w:sz w:val="20"/>
                <w:szCs w:val="20"/>
              </w:rPr>
              <w:t xml:space="preserve"> </w:t>
            </w:r>
            <w:r>
              <w:rPr>
                <w:spacing w:val="4"/>
                <w:sz w:val="20"/>
                <w:szCs w:val="20"/>
              </w:rPr>
              <w:t>、排放速率</w:t>
            </w:r>
            <w:r>
              <w:rPr>
                <w:rFonts w:ascii="Times New Roman" w:hAnsi="Times New Roman" w:eastAsia="Times New Roman" w:cs="Times New Roman"/>
                <w:spacing w:val="4"/>
                <w:sz w:val="20"/>
                <w:szCs w:val="20"/>
              </w:rPr>
              <w:t>0.325</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/h</w:t>
            </w:r>
            <w:r>
              <w:rPr>
                <w:spacing w:val="4"/>
                <w:sz w:val="20"/>
                <w:szCs w:val="20"/>
              </w:rPr>
              <w:t>、</w:t>
            </w:r>
            <w:r>
              <w:rPr>
                <w:sz w:val="20"/>
                <w:szCs w:val="20"/>
              </w:rPr>
              <w:t xml:space="preserve"> </w:t>
            </w:r>
            <w:r>
              <w:rPr>
                <w:spacing w:val="7"/>
                <w:sz w:val="20"/>
                <w:szCs w:val="20"/>
              </w:rPr>
              <w:t>排放浓度</w:t>
            </w:r>
            <w:r>
              <w:rPr>
                <w:rFonts w:ascii="Times New Roman" w:hAnsi="Times New Roman" w:eastAsia="Times New Roman" w:cs="Times New Roman"/>
                <w:spacing w:val="7"/>
                <w:sz w:val="20"/>
                <w:szCs w:val="20"/>
              </w:rPr>
              <w:t>38.69</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1"/>
                <w:position w:val="6"/>
                <w:sz w:val="13"/>
                <w:szCs w:val="13"/>
              </w:rPr>
              <w:t xml:space="preserve"> </w:t>
            </w:r>
            <w:r>
              <w:rPr>
                <w:spacing w:val="7"/>
                <w:sz w:val="20"/>
                <w:szCs w:val="20"/>
              </w:rPr>
              <w:t>。因此，项目钢筋网浸漆烤漆环节的挥发性有机废气（</w:t>
            </w:r>
            <w:r>
              <w:rPr>
                <w:rFonts w:ascii="Times New Roman" w:hAnsi="Times New Roman" w:eastAsia="Times New Roman" w:cs="Times New Roman"/>
              </w:rPr>
              <w:t>VOC</w:t>
            </w:r>
            <w:r>
              <w:rPr>
                <w:rFonts w:ascii="Times New Roman" w:hAnsi="Times New Roman" w:eastAsia="Times New Roman" w:cs="Times New Roman"/>
                <w:position w:val="-1"/>
                <w:sz w:val="14"/>
                <w:szCs w:val="14"/>
              </w:rPr>
              <w:t>s</w:t>
            </w:r>
            <w:r>
              <w:rPr>
                <w:rFonts w:ascii="Times New Roman" w:hAnsi="Times New Roman" w:eastAsia="Times New Roman" w:cs="Times New Roman"/>
                <w:spacing w:val="7"/>
                <w:position w:val="-1"/>
                <w:sz w:val="14"/>
                <w:szCs w:val="14"/>
              </w:rPr>
              <w:t xml:space="preserve"> </w:t>
            </w:r>
            <w:r>
              <w:rPr>
                <w:spacing w:val="7"/>
                <w:sz w:val="20"/>
                <w:szCs w:val="20"/>
              </w:rPr>
              <w:t>）排</w:t>
            </w:r>
            <w:r>
              <w:rPr>
                <w:sz w:val="20"/>
                <w:szCs w:val="20"/>
              </w:rPr>
              <w:t xml:space="preserve">  </w:t>
            </w:r>
            <w:r>
              <w:rPr>
                <w:spacing w:val="7"/>
                <w:sz w:val="20"/>
                <w:szCs w:val="20"/>
              </w:rPr>
              <w:t>放浓度和速率，能够满足《四川省固定污染源大气挥发性有机物排放标准》（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51</w:t>
            </w:r>
            <w:r>
              <w:rPr>
                <w:spacing w:val="7"/>
                <w:sz w:val="20"/>
                <w:szCs w:val="20"/>
              </w:rPr>
              <w:t>∕</w:t>
            </w:r>
            <w:r>
              <w:rPr>
                <w:sz w:val="20"/>
                <w:szCs w:val="20"/>
              </w:rPr>
              <w:t xml:space="preserve">   </w:t>
            </w:r>
            <w:r>
              <w:rPr>
                <w:rFonts w:ascii="Times New Roman" w:hAnsi="Times New Roman" w:eastAsia="Times New Roman" w:cs="Times New Roman"/>
                <w:spacing w:val="6"/>
                <w:sz w:val="20"/>
                <w:szCs w:val="20"/>
              </w:rPr>
              <w:t>2377-2017</w:t>
            </w:r>
            <w:r>
              <w:rPr>
                <w:spacing w:val="6"/>
                <w:sz w:val="20"/>
                <w:szCs w:val="20"/>
              </w:rPr>
              <w:t>）中相应排放限值要求。</w:t>
            </w:r>
          </w:p>
          <w:p w14:paraId="62DA13E2">
            <w:pPr>
              <w:pStyle w:val="6"/>
              <w:spacing w:before="46" w:line="225" w:lineRule="auto"/>
              <w:ind w:left="508"/>
              <w:rPr>
                <w:sz w:val="20"/>
                <w:szCs w:val="20"/>
              </w:rPr>
            </w:pPr>
            <w:r>
              <w:rPr>
                <w:spacing w:val="8"/>
                <w:sz w:val="20"/>
                <w:szCs w:val="20"/>
              </w:rPr>
              <w:t>③切割粉尘</w:t>
            </w:r>
          </w:p>
          <w:p w14:paraId="7DD7A078">
            <w:pPr>
              <w:pStyle w:val="6"/>
              <w:spacing w:before="160" w:line="363" w:lineRule="auto"/>
              <w:ind w:left="106" w:right="43" w:firstLine="423"/>
              <w:rPr>
                <w:sz w:val="20"/>
                <w:szCs w:val="20"/>
              </w:rPr>
            </w:pPr>
            <w:r>
              <w:rPr>
                <w:spacing w:val="8"/>
                <w:sz w:val="20"/>
                <w:szCs w:val="20"/>
              </w:rPr>
              <w:t>项目带肋钢筋切割加工过程会产生少量的切割粉尘。参考《排放</w:t>
            </w:r>
            <w:r>
              <w:rPr>
                <w:spacing w:val="7"/>
                <w:sz w:val="20"/>
                <w:szCs w:val="20"/>
              </w:rPr>
              <w:t>源统计调查产排污</w:t>
            </w:r>
            <w:r>
              <w:rPr>
                <w:sz w:val="20"/>
                <w:szCs w:val="20"/>
              </w:rPr>
              <w:t xml:space="preserve"> </w:t>
            </w:r>
            <w:r>
              <w:rPr>
                <w:spacing w:val="10"/>
                <w:sz w:val="20"/>
                <w:szCs w:val="20"/>
              </w:rPr>
              <w:t>核算方法和系数手册》（公告</w:t>
            </w:r>
            <w:r>
              <w:rPr>
                <w:rFonts w:ascii="Times New Roman" w:hAnsi="Times New Roman" w:eastAsia="Times New Roman" w:cs="Times New Roman"/>
                <w:spacing w:val="10"/>
                <w:sz w:val="20"/>
                <w:szCs w:val="20"/>
              </w:rPr>
              <w:t>2021</w:t>
            </w:r>
            <w:r>
              <w:rPr>
                <w:spacing w:val="10"/>
                <w:sz w:val="20"/>
                <w:szCs w:val="20"/>
              </w:rPr>
              <w:t>年第</w:t>
            </w:r>
            <w:r>
              <w:rPr>
                <w:rFonts w:ascii="Times New Roman" w:hAnsi="Times New Roman" w:eastAsia="Times New Roman" w:cs="Times New Roman"/>
                <w:spacing w:val="10"/>
                <w:sz w:val="20"/>
                <w:szCs w:val="20"/>
              </w:rPr>
              <w:t>24</w:t>
            </w:r>
            <w:r>
              <w:rPr>
                <w:spacing w:val="10"/>
                <w:sz w:val="20"/>
                <w:szCs w:val="20"/>
              </w:rPr>
              <w:t>号）中“</w:t>
            </w:r>
            <w:r>
              <w:rPr>
                <w:rFonts w:ascii="Times New Roman" w:hAnsi="Times New Roman" w:eastAsia="Times New Roman" w:cs="Times New Roman"/>
                <w:spacing w:val="10"/>
                <w:sz w:val="20"/>
                <w:szCs w:val="20"/>
              </w:rPr>
              <w:t xml:space="preserve">34  </w:t>
            </w:r>
            <w:r>
              <w:rPr>
                <w:spacing w:val="10"/>
                <w:sz w:val="20"/>
                <w:szCs w:val="20"/>
              </w:rPr>
              <w:t>通用设备制造业行业系数手册</w:t>
            </w:r>
            <w:r>
              <w:rPr>
                <w:spacing w:val="-65"/>
                <w:sz w:val="20"/>
                <w:szCs w:val="20"/>
              </w:rPr>
              <w:t xml:space="preserve"> </w:t>
            </w:r>
            <w:r>
              <w:rPr>
                <w:spacing w:val="10"/>
                <w:sz w:val="20"/>
                <w:szCs w:val="20"/>
              </w:rPr>
              <w:t>”</w:t>
            </w:r>
            <w:r>
              <w:rPr>
                <w:sz w:val="20"/>
                <w:szCs w:val="20"/>
              </w:rPr>
              <w:t xml:space="preserve"> </w:t>
            </w:r>
            <w:r>
              <w:rPr>
                <w:spacing w:val="6"/>
                <w:sz w:val="20"/>
                <w:szCs w:val="20"/>
              </w:rPr>
              <w:t>的“</w:t>
            </w:r>
            <w:r>
              <w:rPr>
                <w:rFonts w:ascii="Times New Roman" w:hAnsi="Times New Roman" w:eastAsia="Times New Roman" w:cs="Times New Roman"/>
                <w:spacing w:val="6"/>
                <w:sz w:val="20"/>
                <w:szCs w:val="20"/>
              </w:rPr>
              <w:t>04</w:t>
            </w:r>
            <w:r>
              <w:rPr>
                <w:spacing w:val="6"/>
                <w:sz w:val="20"/>
                <w:szCs w:val="20"/>
              </w:rPr>
              <w:t>下料的锯床、砂轮切割机切割的颗粒物产污系数为</w:t>
            </w:r>
            <w:r>
              <w:rPr>
                <w:rFonts w:ascii="Times New Roman" w:hAnsi="Times New Roman" w:eastAsia="Times New Roman" w:cs="Times New Roman"/>
                <w:spacing w:val="6"/>
                <w:sz w:val="20"/>
                <w:szCs w:val="20"/>
              </w:rPr>
              <w:t>5.3</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/t-</w:t>
            </w:r>
            <w:r>
              <w:rPr>
                <w:spacing w:val="6"/>
                <w:sz w:val="20"/>
                <w:szCs w:val="20"/>
              </w:rPr>
              <w:t>原料</w:t>
            </w:r>
            <w:r>
              <w:rPr>
                <w:spacing w:val="-70"/>
                <w:sz w:val="20"/>
                <w:szCs w:val="20"/>
              </w:rPr>
              <w:t xml:space="preserve"> </w:t>
            </w:r>
            <w:r>
              <w:rPr>
                <w:spacing w:val="6"/>
                <w:sz w:val="20"/>
                <w:szCs w:val="20"/>
              </w:rPr>
              <w:t>”。</w:t>
            </w:r>
            <w:r>
              <w:rPr>
                <w:spacing w:val="5"/>
                <w:sz w:val="20"/>
                <w:szCs w:val="20"/>
              </w:rPr>
              <w:t>根据建设单位</w:t>
            </w:r>
            <w:r>
              <w:rPr>
                <w:sz w:val="20"/>
                <w:szCs w:val="20"/>
              </w:rPr>
              <w:t xml:space="preserve"> </w:t>
            </w:r>
            <w:r>
              <w:rPr>
                <w:spacing w:val="7"/>
                <w:sz w:val="20"/>
                <w:szCs w:val="20"/>
              </w:rPr>
              <w:t>介绍，本项目年切割加工带肋钢筋约</w:t>
            </w:r>
            <w:r>
              <w:rPr>
                <w:rFonts w:ascii="Times New Roman" w:hAnsi="Times New Roman" w:eastAsia="Times New Roman" w:cs="Times New Roman"/>
                <w:spacing w:val="7"/>
                <w:sz w:val="20"/>
                <w:szCs w:val="20"/>
              </w:rPr>
              <w:t>10536.53t/a</w:t>
            </w:r>
            <w:r>
              <w:rPr>
                <w:rFonts w:ascii="Times New Roman" w:hAnsi="Times New Roman" w:eastAsia="Times New Roman" w:cs="Times New Roman"/>
                <w:spacing w:val="-21"/>
                <w:sz w:val="20"/>
                <w:szCs w:val="20"/>
              </w:rPr>
              <w:t xml:space="preserve"> </w:t>
            </w:r>
            <w:r>
              <w:rPr>
                <w:spacing w:val="7"/>
                <w:sz w:val="20"/>
                <w:szCs w:val="20"/>
              </w:rPr>
              <w:t>，经计</w:t>
            </w:r>
            <w:r>
              <w:rPr>
                <w:spacing w:val="6"/>
                <w:sz w:val="20"/>
                <w:szCs w:val="20"/>
              </w:rPr>
              <w:t>算切割粉尘产生量约</w:t>
            </w:r>
            <w:r>
              <w:rPr>
                <w:rFonts w:ascii="Times New Roman" w:hAnsi="Times New Roman" w:eastAsia="Times New Roman" w:cs="Times New Roman"/>
                <w:spacing w:val="6"/>
                <w:sz w:val="20"/>
                <w:szCs w:val="20"/>
              </w:rPr>
              <w:t>55.84t/a</w:t>
            </w:r>
            <w:r>
              <w:rPr>
                <w:spacing w:val="6"/>
                <w:sz w:val="20"/>
                <w:szCs w:val="20"/>
              </w:rPr>
              <w:t>。</w:t>
            </w:r>
          </w:p>
          <w:p w14:paraId="0159DDAC">
            <w:pPr>
              <w:pStyle w:val="6"/>
              <w:spacing w:before="41" w:line="365" w:lineRule="auto"/>
              <w:ind w:left="90" w:right="86" w:firstLine="425"/>
              <w:rPr>
                <w:sz w:val="20"/>
                <w:szCs w:val="20"/>
              </w:rPr>
            </w:pPr>
            <w:r>
              <w:rPr>
                <w:b/>
                <w:bCs/>
                <w:spacing w:val="8"/>
                <w:sz w:val="20"/>
                <w:szCs w:val="20"/>
              </w:rPr>
              <w:t>治理措施</w:t>
            </w:r>
            <w:r>
              <w:rPr>
                <w:spacing w:val="8"/>
                <w:sz w:val="20"/>
                <w:szCs w:val="20"/>
              </w:rPr>
              <w:t>：金属切割粉尘如不妥善处理，会危害工人的身体健康并对环境造成污染</w:t>
            </w:r>
            <w:r>
              <w:rPr>
                <w:spacing w:val="15"/>
                <w:sz w:val="20"/>
                <w:szCs w:val="20"/>
              </w:rPr>
              <w:t xml:space="preserve"> </w:t>
            </w:r>
            <w:r>
              <w:rPr>
                <w:spacing w:val="9"/>
                <w:sz w:val="20"/>
                <w:szCs w:val="20"/>
              </w:rPr>
              <w:t>影响。项目拟设置专用的钢筋切割加工房间，房间设排风扇加强通风换气，每日</w:t>
            </w:r>
            <w:r>
              <w:rPr>
                <w:spacing w:val="8"/>
                <w:sz w:val="20"/>
                <w:szCs w:val="20"/>
              </w:rPr>
              <w:t>生产结</w:t>
            </w:r>
            <w:r>
              <w:rPr>
                <w:sz w:val="20"/>
                <w:szCs w:val="20"/>
              </w:rPr>
              <w:t xml:space="preserve"> </w:t>
            </w:r>
            <w:r>
              <w:rPr>
                <w:spacing w:val="9"/>
                <w:sz w:val="20"/>
                <w:szCs w:val="20"/>
              </w:rPr>
              <w:t>束后及时清扫地面。同时，项目采用带有抽风装置的专用切割机械，在切割</w:t>
            </w:r>
            <w:r>
              <w:rPr>
                <w:spacing w:val="8"/>
                <w:sz w:val="20"/>
                <w:szCs w:val="20"/>
              </w:rPr>
              <w:t>粉尘产生的</w:t>
            </w:r>
            <w:r>
              <w:rPr>
                <w:sz w:val="20"/>
                <w:szCs w:val="20"/>
              </w:rPr>
              <w:t xml:space="preserve"> </w:t>
            </w:r>
            <w:r>
              <w:rPr>
                <w:spacing w:val="9"/>
                <w:sz w:val="20"/>
                <w:szCs w:val="20"/>
              </w:rPr>
              <w:t>同时可以将粉尘直接抽至配套的除尘器收集处理，降低空气中的粉尘浓度。同时</w:t>
            </w:r>
            <w:r>
              <w:rPr>
                <w:spacing w:val="8"/>
                <w:sz w:val="20"/>
                <w:szCs w:val="20"/>
              </w:rPr>
              <w:t>给操作</w:t>
            </w:r>
            <w:r>
              <w:rPr>
                <w:sz w:val="20"/>
                <w:szCs w:val="20"/>
              </w:rPr>
              <w:t xml:space="preserve"> </w:t>
            </w:r>
            <w:r>
              <w:rPr>
                <w:spacing w:val="9"/>
                <w:sz w:val="20"/>
                <w:szCs w:val="20"/>
              </w:rPr>
              <w:t>工人发放防尘口罩，减轻对工人健康的影响。通过采取上述处理措施，对切割粉</w:t>
            </w:r>
            <w:r>
              <w:rPr>
                <w:spacing w:val="8"/>
                <w:sz w:val="20"/>
                <w:szCs w:val="20"/>
              </w:rPr>
              <w:t>尘的去</w:t>
            </w:r>
            <w:r>
              <w:rPr>
                <w:sz w:val="20"/>
                <w:szCs w:val="20"/>
              </w:rPr>
              <w:t xml:space="preserve"> </w:t>
            </w:r>
            <w:r>
              <w:rPr>
                <w:spacing w:val="9"/>
                <w:sz w:val="20"/>
                <w:szCs w:val="20"/>
              </w:rPr>
              <w:t>除率可达到</w:t>
            </w:r>
            <w:r>
              <w:rPr>
                <w:rFonts w:ascii="Times New Roman" w:hAnsi="Times New Roman" w:eastAsia="Times New Roman" w:cs="Times New Roman"/>
                <w:spacing w:val="9"/>
                <w:sz w:val="20"/>
                <w:szCs w:val="20"/>
              </w:rPr>
              <w:t>95%</w:t>
            </w:r>
            <w:r>
              <w:rPr>
                <w:spacing w:val="9"/>
                <w:sz w:val="20"/>
                <w:szCs w:val="20"/>
              </w:rPr>
              <w:t>左右，然后少量切割粉尘逸散至砌块和板材生产车间，被厂房阻挡后在</w:t>
            </w:r>
            <w:r>
              <w:rPr>
                <w:spacing w:val="17"/>
                <w:sz w:val="20"/>
                <w:szCs w:val="20"/>
              </w:rPr>
              <w:t xml:space="preserve"> </w:t>
            </w:r>
            <w:r>
              <w:rPr>
                <w:spacing w:val="10"/>
                <w:sz w:val="20"/>
                <w:szCs w:val="20"/>
              </w:rPr>
              <w:t>车间沉降仅少量的粉尘逸散至车间外排放。本</w:t>
            </w:r>
            <w:r>
              <w:rPr>
                <w:spacing w:val="9"/>
                <w:sz w:val="20"/>
                <w:szCs w:val="20"/>
              </w:rPr>
              <w:t>次环评考虑约</w:t>
            </w:r>
            <w:r>
              <w:rPr>
                <w:rFonts w:ascii="Times New Roman" w:hAnsi="Times New Roman" w:eastAsia="Times New Roman" w:cs="Times New Roman"/>
                <w:spacing w:val="9"/>
                <w:sz w:val="20"/>
                <w:szCs w:val="20"/>
              </w:rPr>
              <w:t>1%</w:t>
            </w:r>
            <w:r>
              <w:rPr>
                <w:spacing w:val="9"/>
                <w:sz w:val="20"/>
                <w:szCs w:val="20"/>
              </w:rPr>
              <w:t>的切割粉尘飘散至车间</w:t>
            </w:r>
            <w:r>
              <w:rPr>
                <w:sz w:val="20"/>
                <w:szCs w:val="20"/>
              </w:rPr>
              <w:t xml:space="preserve">  </w:t>
            </w:r>
            <w:r>
              <w:rPr>
                <w:spacing w:val="7"/>
                <w:sz w:val="20"/>
                <w:szCs w:val="20"/>
              </w:rPr>
              <w:t>外，则切割粉尘排放量约</w:t>
            </w:r>
            <w:r>
              <w:rPr>
                <w:rFonts w:ascii="Times New Roman" w:hAnsi="Times New Roman" w:eastAsia="Times New Roman" w:cs="Times New Roman"/>
                <w:spacing w:val="7"/>
                <w:sz w:val="20"/>
                <w:szCs w:val="20"/>
              </w:rPr>
              <w:t>0.558t/a</w:t>
            </w:r>
            <w:r>
              <w:rPr>
                <w:rFonts w:ascii="Times New Roman" w:hAnsi="Times New Roman" w:eastAsia="Times New Roman" w:cs="Times New Roman"/>
                <w:spacing w:val="-21"/>
                <w:sz w:val="20"/>
                <w:szCs w:val="20"/>
              </w:rPr>
              <w:t xml:space="preserve"> </w:t>
            </w:r>
            <w:r>
              <w:rPr>
                <w:spacing w:val="6"/>
                <w:sz w:val="20"/>
                <w:szCs w:val="20"/>
              </w:rPr>
              <w:t>，以无组织形式排放。</w:t>
            </w:r>
          </w:p>
          <w:p w14:paraId="1317EDAA">
            <w:pPr>
              <w:pStyle w:val="6"/>
              <w:spacing w:before="35" w:line="363" w:lineRule="auto"/>
              <w:ind w:left="89" w:right="15" w:firstLine="420"/>
              <w:rPr>
                <w:sz w:val="20"/>
                <w:szCs w:val="20"/>
              </w:rPr>
            </w:pPr>
            <w:r>
              <w:rPr>
                <w:spacing w:val="10"/>
                <w:sz w:val="20"/>
                <w:szCs w:val="20"/>
              </w:rPr>
              <w:t>根据相关研究资料，机械加工过程的金属粉尘质量较大，在空气中沉降速度较快，</w:t>
            </w:r>
            <w:r>
              <w:rPr>
                <w:spacing w:val="7"/>
                <w:sz w:val="20"/>
                <w:szCs w:val="20"/>
              </w:rPr>
              <w:t xml:space="preserve"> </w:t>
            </w:r>
            <w:r>
              <w:rPr>
                <w:spacing w:val="8"/>
                <w:sz w:val="20"/>
                <w:szCs w:val="20"/>
              </w:rPr>
              <w:t>短时间后沉降于地面。根据对《大气污染物综合排放标准》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16297-1996)</w:t>
            </w:r>
            <w:r>
              <w:rPr>
                <w:spacing w:val="8"/>
                <w:sz w:val="20"/>
                <w:szCs w:val="20"/>
              </w:rPr>
              <w:t>复核调研和</w:t>
            </w:r>
            <w:r>
              <w:rPr>
                <w:spacing w:val="18"/>
                <w:sz w:val="20"/>
                <w:szCs w:val="20"/>
              </w:rPr>
              <w:t xml:space="preserve"> </w:t>
            </w:r>
            <w:r>
              <w:rPr>
                <w:spacing w:val="10"/>
                <w:sz w:val="20"/>
                <w:szCs w:val="20"/>
              </w:rPr>
              <w:t>国家环保总局《大气污染物排放达标技术指南》</w:t>
            </w:r>
            <w:r>
              <w:rPr>
                <w:spacing w:val="9"/>
                <w:sz w:val="20"/>
                <w:szCs w:val="20"/>
              </w:rPr>
              <w:t>课题调查资料表明，调研的国内</w:t>
            </w:r>
            <w:r>
              <w:rPr>
                <w:rFonts w:ascii="Times New Roman" w:hAnsi="Times New Roman" w:eastAsia="Times New Roman" w:cs="Times New Roman"/>
                <w:spacing w:val="9"/>
                <w:sz w:val="20"/>
                <w:szCs w:val="20"/>
              </w:rPr>
              <w:t>6</w:t>
            </w:r>
            <w:r>
              <w:rPr>
                <w:spacing w:val="9"/>
                <w:sz w:val="20"/>
                <w:szCs w:val="20"/>
              </w:rPr>
              <w:t>个机</w:t>
            </w:r>
            <w:r>
              <w:rPr>
                <w:sz w:val="20"/>
                <w:szCs w:val="20"/>
              </w:rPr>
              <w:t xml:space="preserve">  </w:t>
            </w:r>
            <w:r>
              <w:rPr>
                <w:spacing w:val="8"/>
                <w:sz w:val="20"/>
                <w:szCs w:val="20"/>
              </w:rPr>
              <w:t>加工企业，各种机加工车床周围</w:t>
            </w:r>
            <w:r>
              <w:rPr>
                <w:rFonts w:ascii="Times New Roman" w:hAnsi="Times New Roman" w:eastAsia="Times New Roman" w:cs="Times New Roman"/>
                <w:spacing w:val="8"/>
                <w:sz w:val="20"/>
                <w:szCs w:val="20"/>
              </w:rPr>
              <w:t>5m</w:t>
            </w:r>
            <w:r>
              <w:rPr>
                <w:spacing w:val="8"/>
                <w:sz w:val="20"/>
                <w:szCs w:val="20"/>
              </w:rPr>
              <w:t>处，金属颗粒物浓度在</w:t>
            </w:r>
            <w:r>
              <w:rPr>
                <w:rFonts w:ascii="Times New Roman" w:hAnsi="Times New Roman" w:eastAsia="Times New Roman" w:cs="Times New Roman"/>
                <w:spacing w:val="8"/>
                <w:sz w:val="20"/>
                <w:szCs w:val="20"/>
              </w:rPr>
              <w:t>0.3~0.95</w:t>
            </w: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9"/>
                <w:position w:val="6"/>
                <w:sz w:val="13"/>
                <w:szCs w:val="13"/>
              </w:rPr>
              <w:t xml:space="preserve"> </w:t>
            </w:r>
            <w:r>
              <w:rPr>
                <w:spacing w:val="8"/>
                <w:sz w:val="20"/>
                <w:szCs w:val="20"/>
              </w:rPr>
              <w:t>，</w:t>
            </w:r>
            <w:r>
              <w:rPr>
                <w:spacing w:val="7"/>
                <w:sz w:val="20"/>
                <w:szCs w:val="20"/>
              </w:rPr>
              <w:t>平均浓度为</w:t>
            </w:r>
            <w:r>
              <w:rPr>
                <w:sz w:val="20"/>
                <w:szCs w:val="20"/>
              </w:rPr>
              <w:t xml:space="preserve">  </w:t>
            </w:r>
            <w:r>
              <w:rPr>
                <w:rFonts w:ascii="Times New Roman" w:hAnsi="Times New Roman" w:eastAsia="Times New Roman" w:cs="Times New Roman"/>
                <w:spacing w:val="8"/>
                <w:sz w:val="20"/>
                <w:szCs w:val="20"/>
              </w:rPr>
              <w:t>0.61</w:t>
            </w: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 xml:space="preserve">3 </w:t>
            </w:r>
            <w:r>
              <w:rPr>
                <w:spacing w:val="8"/>
                <w:sz w:val="20"/>
                <w:szCs w:val="20"/>
              </w:rPr>
              <w:t>。由于金属颗粒物质量较重，颗粒物多在</w:t>
            </w:r>
            <w:r>
              <w:rPr>
                <w:rFonts w:ascii="Times New Roman" w:hAnsi="Times New Roman" w:eastAsia="Times New Roman" w:cs="Times New Roman"/>
                <w:spacing w:val="8"/>
                <w:sz w:val="20"/>
                <w:szCs w:val="20"/>
              </w:rPr>
              <w:t>5m</w:t>
            </w:r>
            <w:r>
              <w:rPr>
                <w:spacing w:val="8"/>
                <w:sz w:val="20"/>
                <w:szCs w:val="20"/>
              </w:rPr>
              <w:t>以内散落范围很小，逸散至</w:t>
            </w:r>
            <w:r>
              <w:rPr>
                <w:spacing w:val="7"/>
                <w:sz w:val="20"/>
                <w:szCs w:val="20"/>
              </w:rPr>
              <w:t>车间</w:t>
            </w:r>
            <w:r>
              <w:rPr>
                <w:sz w:val="20"/>
                <w:szCs w:val="20"/>
              </w:rPr>
              <w:t xml:space="preserve">  </w:t>
            </w:r>
            <w:r>
              <w:rPr>
                <w:spacing w:val="9"/>
                <w:sz w:val="20"/>
                <w:szCs w:val="20"/>
              </w:rPr>
              <w:t>内会再被厂房阻拦，进入外环境的金属颗粒物极少，其排放浓度能够满足《大气污</w:t>
            </w:r>
            <w:r>
              <w:rPr>
                <w:spacing w:val="8"/>
                <w:sz w:val="20"/>
                <w:szCs w:val="20"/>
              </w:rPr>
              <w:t>染物</w:t>
            </w:r>
            <w:r>
              <w:rPr>
                <w:sz w:val="20"/>
                <w:szCs w:val="20"/>
              </w:rPr>
              <w:t xml:space="preserve"> </w:t>
            </w:r>
            <w:r>
              <w:rPr>
                <w:spacing w:val="6"/>
                <w:sz w:val="20"/>
                <w:szCs w:val="20"/>
              </w:rPr>
              <w:t>综合排放标准》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16297-1996)</w:t>
            </w:r>
            <w:r>
              <w:rPr>
                <w:spacing w:val="6"/>
                <w:sz w:val="20"/>
                <w:szCs w:val="20"/>
              </w:rPr>
              <w:t xml:space="preserve">中无组织排放限值 </w:t>
            </w:r>
            <w:r>
              <w:rPr>
                <w:rFonts w:ascii="Times New Roman" w:hAnsi="Times New Roman" w:eastAsia="Times New Roman" w:cs="Times New Roman"/>
                <w:spacing w:val="6"/>
                <w:sz w:val="20"/>
                <w:szCs w:val="20"/>
              </w:rPr>
              <w:t>(1.0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w:t>
            </w:r>
            <w:r>
              <w:rPr>
                <w:spacing w:val="6"/>
                <w:sz w:val="20"/>
                <w:szCs w:val="20"/>
              </w:rPr>
              <w:t>标准要求，实现达标排放。</w:t>
            </w:r>
          </w:p>
          <w:p w14:paraId="0AC46FD9">
            <w:pPr>
              <w:pStyle w:val="6"/>
              <w:spacing w:before="47" w:line="225" w:lineRule="auto"/>
              <w:ind w:left="508"/>
              <w:rPr>
                <w:sz w:val="20"/>
                <w:szCs w:val="20"/>
              </w:rPr>
            </w:pPr>
            <w:r>
              <w:rPr>
                <w:spacing w:val="8"/>
                <w:sz w:val="20"/>
                <w:szCs w:val="20"/>
              </w:rPr>
              <w:t>④焊接烟尘</w:t>
            </w:r>
          </w:p>
          <w:p w14:paraId="59E1A0B4">
            <w:pPr>
              <w:pStyle w:val="6"/>
              <w:spacing w:before="153" w:line="355" w:lineRule="auto"/>
              <w:ind w:left="89" w:right="86" w:firstLine="424"/>
              <w:rPr>
                <w:sz w:val="20"/>
                <w:szCs w:val="20"/>
              </w:rPr>
            </w:pPr>
            <w:r>
              <w:rPr>
                <w:spacing w:val="9"/>
                <w:sz w:val="20"/>
                <w:szCs w:val="20"/>
              </w:rPr>
              <w:t>项目钢筋网采用碰焊进行焊接，碰焊机不使用焊条，作业过程产</w:t>
            </w:r>
            <w:r>
              <w:rPr>
                <w:spacing w:val="8"/>
                <w:sz w:val="20"/>
                <w:szCs w:val="20"/>
              </w:rPr>
              <w:t>生的焊接烟尘量相</w:t>
            </w:r>
            <w:r>
              <w:rPr>
                <w:sz w:val="20"/>
                <w:szCs w:val="20"/>
              </w:rPr>
              <w:t xml:space="preserve"> </w:t>
            </w:r>
            <w:r>
              <w:rPr>
                <w:spacing w:val="9"/>
                <w:sz w:val="20"/>
                <w:szCs w:val="20"/>
              </w:rPr>
              <w:t>对于使用焊条的焊接方式较少。本次评价仅进行定性分析。</w:t>
            </w:r>
          </w:p>
          <w:p w14:paraId="6D021EE2">
            <w:pPr>
              <w:pStyle w:val="6"/>
              <w:spacing w:before="32" w:line="310" w:lineRule="auto"/>
              <w:ind w:left="91" w:right="86" w:firstLine="416"/>
              <w:rPr>
                <w:sz w:val="20"/>
                <w:szCs w:val="20"/>
              </w:rPr>
            </w:pPr>
            <w:r>
              <w:rPr>
                <w:spacing w:val="9"/>
                <w:sz w:val="20"/>
                <w:szCs w:val="20"/>
              </w:rPr>
              <w:t>碰焊过程产生的焊接烟尘，主要为工件接触面瞬间发热至融化并融合过程，</w:t>
            </w:r>
            <w:r>
              <w:rPr>
                <w:spacing w:val="8"/>
                <w:sz w:val="20"/>
                <w:szCs w:val="20"/>
              </w:rPr>
              <w:t>产生的</w:t>
            </w:r>
            <w:r>
              <w:rPr>
                <w:sz w:val="20"/>
                <w:szCs w:val="20"/>
              </w:rPr>
              <w:t xml:space="preserve"> </w:t>
            </w:r>
            <w:r>
              <w:rPr>
                <w:spacing w:val="9"/>
                <w:sz w:val="20"/>
                <w:szCs w:val="20"/>
              </w:rPr>
              <w:t>金属氧化物。焊接烟尘如不收集处理，会对焊接工人的身体健康造成影响。</w:t>
            </w:r>
          </w:p>
        </w:tc>
      </w:tr>
    </w:tbl>
    <w:p w14:paraId="7FF5F761">
      <w:pPr>
        <w:pStyle w:val="2"/>
      </w:pPr>
    </w:p>
    <w:p w14:paraId="74D6F5D4">
      <w:pPr>
        <w:sectPr>
          <w:footerReference r:id="rId65" w:type="default"/>
          <w:pgSz w:w="11907" w:h="16840"/>
          <w:pgMar w:top="1431" w:right="1490" w:bottom="1260" w:left="1489" w:header="0" w:footer="1080" w:gutter="0"/>
          <w:cols w:space="720" w:num="1"/>
        </w:sectPr>
      </w:pPr>
    </w:p>
    <w:p w14:paraId="499DDEC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5C7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4403BD82">
            <w:pPr>
              <w:rPr>
                <w:rFonts w:ascii="Arial"/>
                <w:sz w:val="21"/>
              </w:rPr>
            </w:pPr>
          </w:p>
        </w:tc>
        <w:tc>
          <w:tcPr>
            <w:tcW w:w="8127" w:type="dxa"/>
            <w:tcBorders>
              <w:top w:val="single" w:color="000000" w:sz="2" w:space="0"/>
              <w:left w:val="single" w:color="000000" w:sz="2" w:space="0"/>
            </w:tcBorders>
            <w:vAlign w:val="top"/>
          </w:tcPr>
          <w:p w14:paraId="79C4AD0D">
            <w:pPr>
              <w:pStyle w:val="6"/>
              <w:spacing w:before="145" w:line="362" w:lineRule="auto"/>
              <w:ind w:left="91" w:right="86" w:firstLine="423"/>
              <w:jc w:val="both"/>
              <w:rPr>
                <w:sz w:val="20"/>
                <w:szCs w:val="20"/>
              </w:rPr>
            </w:pPr>
            <w:r>
              <w:rPr>
                <w:b/>
                <w:bCs/>
                <w:spacing w:val="8"/>
                <w:sz w:val="20"/>
                <w:szCs w:val="20"/>
              </w:rPr>
              <w:t>治理措施</w:t>
            </w:r>
            <w:r>
              <w:rPr>
                <w:spacing w:val="8"/>
                <w:sz w:val="20"/>
                <w:szCs w:val="20"/>
              </w:rPr>
              <w:t>：本项目在车间内设置有专用的钢筋网加工间，焊接过程在专用房间内进</w:t>
            </w:r>
            <w:r>
              <w:rPr>
                <w:spacing w:val="18"/>
                <w:sz w:val="20"/>
                <w:szCs w:val="20"/>
              </w:rPr>
              <w:t xml:space="preserve"> </w:t>
            </w:r>
            <w:r>
              <w:rPr>
                <w:spacing w:val="9"/>
                <w:sz w:val="20"/>
                <w:szCs w:val="20"/>
              </w:rPr>
              <w:t>行，碰焊机配套有一台移动式焊烟净化器，配备有万向收集罩可定点收集焊接</w:t>
            </w:r>
            <w:r>
              <w:rPr>
                <w:spacing w:val="8"/>
                <w:sz w:val="20"/>
                <w:szCs w:val="20"/>
              </w:rPr>
              <w:t>烟尘。该</w:t>
            </w:r>
            <w:r>
              <w:rPr>
                <w:sz w:val="20"/>
                <w:szCs w:val="20"/>
              </w:rPr>
              <w:t xml:space="preserve"> </w:t>
            </w:r>
            <w:r>
              <w:rPr>
                <w:spacing w:val="9"/>
                <w:sz w:val="20"/>
                <w:szCs w:val="20"/>
              </w:rPr>
              <w:t>设备对焊接烟尘的处理效率可达到80%左右，少量无组织排放的烟尘利用设备间的通风</w:t>
            </w:r>
            <w:r>
              <w:rPr>
                <w:spacing w:val="12"/>
                <w:sz w:val="20"/>
                <w:szCs w:val="20"/>
              </w:rPr>
              <w:t xml:space="preserve"> </w:t>
            </w:r>
            <w:r>
              <w:rPr>
                <w:spacing w:val="9"/>
                <w:sz w:val="20"/>
                <w:szCs w:val="20"/>
              </w:rPr>
              <w:t>换气设备，引至外界大气环境扩散排放，对周边环境及焊接工人造成的影响较小。</w:t>
            </w:r>
          </w:p>
          <w:p w14:paraId="1CCB0AED">
            <w:pPr>
              <w:pStyle w:val="6"/>
              <w:spacing w:before="30" w:line="227" w:lineRule="auto"/>
              <w:ind w:left="520"/>
              <w:rPr>
                <w:sz w:val="20"/>
                <w:szCs w:val="20"/>
              </w:rPr>
            </w:pPr>
            <w:r>
              <w:rPr>
                <w:b/>
                <w:bCs/>
                <w:spacing w:val="5"/>
                <w:sz w:val="20"/>
                <w:szCs w:val="20"/>
              </w:rPr>
              <w:t>（3）干混砂浆车间</w:t>
            </w:r>
          </w:p>
          <w:p w14:paraId="5ACFFF06">
            <w:pPr>
              <w:pStyle w:val="6"/>
              <w:spacing w:before="157" w:line="363" w:lineRule="auto"/>
              <w:ind w:left="89" w:right="86" w:firstLine="420"/>
              <w:rPr>
                <w:sz w:val="20"/>
                <w:szCs w:val="20"/>
              </w:rPr>
            </w:pPr>
            <w:r>
              <w:rPr>
                <w:spacing w:val="9"/>
                <w:sz w:val="20"/>
                <w:szCs w:val="20"/>
              </w:rPr>
              <w:t>根据工程分析，项目干混砂浆车间的废气产生环节主要有水泥、石膏、</w:t>
            </w:r>
            <w:r>
              <w:rPr>
                <w:spacing w:val="8"/>
                <w:sz w:val="20"/>
                <w:szCs w:val="20"/>
              </w:rPr>
              <w:t>粉煤灰及玻</w:t>
            </w:r>
            <w:r>
              <w:rPr>
                <w:sz w:val="20"/>
                <w:szCs w:val="20"/>
              </w:rPr>
              <w:t xml:space="preserve"> </w:t>
            </w:r>
            <w:r>
              <w:rPr>
                <w:spacing w:val="9"/>
                <w:sz w:val="20"/>
                <w:szCs w:val="20"/>
              </w:rPr>
              <w:t>珠微粉等原料的筒仓上料粉尘；建筑垃圾球磨、筛分及上料至筒仓的粉尘；湿润黄</w:t>
            </w:r>
            <w:r>
              <w:rPr>
                <w:spacing w:val="8"/>
                <w:sz w:val="20"/>
                <w:szCs w:val="20"/>
              </w:rPr>
              <w:t>沙烘</w:t>
            </w:r>
            <w:r>
              <w:rPr>
                <w:sz w:val="20"/>
                <w:szCs w:val="20"/>
              </w:rPr>
              <w:t xml:space="preserve"> </w:t>
            </w:r>
            <w:r>
              <w:rPr>
                <w:spacing w:val="9"/>
                <w:sz w:val="20"/>
                <w:szCs w:val="20"/>
              </w:rPr>
              <w:t>干及上料至筒仓的粉尘；乳胶粉及玻纤等小料上料粉尘；物料混合搅拌过程的粉尘</w:t>
            </w:r>
            <w:r>
              <w:rPr>
                <w:spacing w:val="8"/>
                <w:sz w:val="20"/>
                <w:szCs w:val="20"/>
              </w:rPr>
              <w:t>；砂</w:t>
            </w:r>
            <w:r>
              <w:rPr>
                <w:sz w:val="20"/>
                <w:szCs w:val="20"/>
              </w:rPr>
              <w:t xml:space="preserve"> </w:t>
            </w:r>
            <w:r>
              <w:rPr>
                <w:spacing w:val="10"/>
                <w:sz w:val="20"/>
                <w:szCs w:val="20"/>
              </w:rPr>
              <w:t>浆产品气动放料至成品仓及包装粉尘。砂浆产品卸料至散装罐</w:t>
            </w:r>
            <w:r>
              <w:rPr>
                <w:spacing w:val="9"/>
                <w:sz w:val="20"/>
                <w:szCs w:val="20"/>
              </w:rPr>
              <w:t>车以及其他物料输送环</w:t>
            </w:r>
            <w:r>
              <w:rPr>
                <w:sz w:val="20"/>
                <w:szCs w:val="20"/>
              </w:rPr>
              <w:t xml:space="preserve">   </w:t>
            </w:r>
            <w:r>
              <w:rPr>
                <w:spacing w:val="9"/>
                <w:sz w:val="20"/>
                <w:szCs w:val="20"/>
              </w:rPr>
              <w:t>节，均采用密闭型管道输送，不考虑其粉尘产生情况。</w:t>
            </w:r>
          </w:p>
          <w:p w14:paraId="1CB736AB">
            <w:pPr>
              <w:pStyle w:val="6"/>
              <w:spacing w:before="31" w:line="225" w:lineRule="auto"/>
              <w:ind w:left="509"/>
              <w:rPr>
                <w:sz w:val="20"/>
                <w:szCs w:val="20"/>
              </w:rPr>
            </w:pPr>
            <w:r>
              <w:rPr>
                <w:spacing w:val="8"/>
                <w:sz w:val="20"/>
                <w:szCs w:val="20"/>
              </w:rPr>
              <w:t>①筒仓上料粉尘</w:t>
            </w:r>
          </w:p>
          <w:p w14:paraId="52BC3946">
            <w:pPr>
              <w:pStyle w:val="6"/>
              <w:spacing w:before="148" w:line="325" w:lineRule="auto"/>
              <w:ind w:left="91" w:right="112" w:firstLine="444"/>
            </w:pPr>
            <w:r>
              <w:t>筒仓产生的粉尘，主要是水泥、粉煤灰等原料通</w:t>
            </w:r>
            <w:r>
              <w:rPr>
                <w:spacing w:val="-1"/>
              </w:rPr>
              <w:t>过气力输送至筒仓时，内部压</w:t>
            </w:r>
            <w:r>
              <w:t xml:space="preserve"> 力变化导致气体从仓顶呼吸口排泄，带出少量的粉尘。参</w:t>
            </w:r>
            <w:r>
              <w:rPr>
                <w:spacing w:val="-1"/>
              </w:rPr>
              <w:t>考《散逸性工业粉尘控制</w:t>
            </w:r>
            <w:r>
              <w:t xml:space="preserve"> </w:t>
            </w:r>
            <w:r>
              <w:rPr>
                <w:spacing w:val="-1"/>
              </w:rPr>
              <w:t>技术》中关于搅拌厂筒仓进料过程中逸散尘的产污系数</w:t>
            </w:r>
            <w:r>
              <w:rPr>
                <w:rFonts w:ascii="Times New Roman" w:hAnsi="Times New Roman" w:eastAsia="Times New Roman" w:cs="Times New Roman"/>
                <w:spacing w:val="-1"/>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12kg/</w:t>
            </w:r>
            <w:r>
              <w:rPr>
                <w:rFonts w:ascii="Times New Roman" w:hAnsi="Times New Roman" w:eastAsia="Times New Roman" w:cs="Times New Roman"/>
                <w:spacing w:val="-2"/>
              </w:rPr>
              <w:t>t</w:t>
            </w:r>
            <w:r>
              <w:rPr>
                <w:spacing w:val="-2"/>
              </w:rPr>
              <w:t>。</w:t>
            </w:r>
          </w:p>
          <w:p w14:paraId="56E23148">
            <w:pPr>
              <w:pStyle w:val="6"/>
              <w:spacing w:before="39" w:line="321" w:lineRule="auto"/>
              <w:ind w:left="91" w:right="112" w:firstLine="441"/>
            </w:pPr>
            <w:r>
              <w:t>根据工程分析，项目干混砂浆车间生产所需的水泥、粉煤</w:t>
            </w:r>
            <w:r>
              <w:rPr>
                <w:spacing w:val="-1"/>
              </w:rPr>
              <w:t>灰、石灰、玻珠微粉</w:t>
            </w:r>
            <w:r>
              <w:t xml:space="preserve"> </w:t>
            </w:r>
            <w:r>
              <w:rPr>
                <w:spacing w:val="-1"/>
              </w:rPr>
              <w:t>以及球磨筛分后制成的石粉、烘干后的黄沙等，总消耗量约</w:t>
            </w:r>
            <w:r>
              <w:rPr>
                <w:rFonts w:ascii="Times New Roman" w:hAnsi="Times New Roman" w:eastAsia="Times New Roman" w:cs="Times New Roman"/>
                <w:spacing w:val="-1"/>
              </w:rPr>
              <w:t>296514.033t/a</w:t>
            </w:r>
            <w:r>
              <w:rPr>
                <w:rFonts w:ascii="Times New Roman" w:hAnsi="Times New Roman" w:eastAsia="Times New Roman" w:cs="Times New Roman"/>
                <w:spacing w:val="-22"/>
              </w:rPr>
              <w:t xml:space="preserve"> </w:t>
            </w:r>
            <w:r>
              <w:rPr>
                <w:spacing w:val="-1"/>
              </w:rPr>
              <w:t>，全部气</w:t>
            </w:r>
            <w:r>
              <w:t xml:space="preserve"> </w:t>
            </w:r>
            <w:r>
              <w:rPr>
                <w:spacing w:val="-2"/>
              </w:rPr>
              <w:t>力输送至筒仓贮存，筒仓的逸散尘产污系数取</w:t>
            </w:r>
            <w:r>
              <w:rPr>
                <w:rFonts w:ascii="Times New Roman" w:hAnsi="Times New Roman" w:eastAsia="Times New Roman" w:cs="Times New Roman"/>
                <w:spacing w:val="-2"/>
              </w:rPr>
              <w:t>0.</w:t>
            </w:r>
            <w:r>
              <w:rPr>
                <w:rFonts w:ascii="Times New Roman" w:hAnsi="Times New Roman" w:eastAsia="Times New Roman" w:cs="Times New Roman"/>
                <w:spacing w:val="-11"/>
              </w:rPr>
              <w:t xml:space="preserve"> </w:t>
            </w:r>
            <w:r>
              <w:rPr>
                <w:rFonts w:ascii="Times New Roman" w:hAnsi="Times New Roman" w:eastAsia="Times New Roman" w:cs="Times New Roman"/>
                <w:spacing w:val="-2"/>
              </w:rPr>
              <w:t>12kg/t</w:t>
            </w:r>
            <w:r>
              <w:rPr>
                <w:rFonts w:ascii="Times New Roman" w:hAnsi="Times New Roman" w:eastAsia="Times New Roman" w:cs="Times New Roman"/>
                <w:spacing w:val="-30"/>
              </w:rPr>
              <w:t xml:space="preserve"> </w:t>
            </w:r>
            <w:r>
              <w:rPr>
                <w:spacing w:val="-2"/>
              </w:rPr>
              <w:t>，经计算筒仓粉尘产生量约</w:t>
            </w:r>
            <w:r>
              <w:t xml:space="preserve">  </w:t>
            </w:r>
            <w:r>
              <w:rPr>
                <w:rFonts w:ascii="Times New Roman" w:hAnsi="Times New Roman" w:eastAsia="Times New Roman" w:cs="Times New Roman"/>
                <w:spacing w:val="-1"/>
              </w:rPr>
              <w:t>35.582t/a</w:t>
            </w:r>
            <w:r>
              <w:rPr>
                <w:spacing w:val="-1"/>
              </w:rPr>
              <w:t>。</w:t>
            </w:r>
          </w:p>
          <w:p w14:paraId="40BA3E22">
            <w:pPr>
              <w:pStyle w:val="6"/>
              <w:spacing w:before="70" w:line="331" w:lineRule="auto"/>
              <w:ind w:left="89" w:right="25" w:firstLine="447"/>
            </w:pPr>
            <w:r>
              <w:rPr>
                <w:b/>
                <w:bCs/>
                <w:spacing w:val="-1"/>
              </w:rPr>
              <w:t>治理措施</w:t>
            </w:r>
            <w:r>
              <w:rPr>
                <w:spacing w:val="-1"/>
              </w:rPr>
              <w:t>：根据设计，项目每个粉料筒仓仓顶均配备有布袋除尘器，属于无动</w:t>
            </w:r>
            <w:r>
              <w:rPr>
                <w:spacing w:val="10"/>
              </w:rPr>
              <w:t xml:space="preserve"> </w:t>
            </w:r>
            <w:r>
              <w:t>力除尘器。筒仓泄压呼吸时排放的粉尘经除尘器处理后，极少</w:t>
            </w:r>
            <w:r>
              <w:rPr>
                <w:spacing w:val="-1"/>
              </w:rPr>
              <w:t>量的粉尘会逸散至大</w:t>
            </w:r>
            <w:r>
              <w:t xml:space="preserve"> </w:t>
            </w:r>
            <w:r>
              <w:rPr>
                <w:spacing w:val="-2"/>
              </w:rPr>
              <w:t>气环境。除尘器与仓顶呼吸口密闭连接，收尘效率取</w:t>
            </w:r>
            <w:r>
              <w:rPr>
                <w:rFonts w:ascii="Times New Roman" w:hAnsi="Times New Roman" w:eastAsia="Times New Roman" w:cs="Times New Roman"/>
                <w:spacing w:val="-2"/>
              </w:rPr>
              <w:t>100%</w:t>
            </w:r>
            <w:r>
              <w:rPr>
                <w:rFonts w:ascii="Times New Roman" w:hAnsi="Times New Roman" w:eastAsia="Times New Roman" w:cs="Times New Roman"/>
                <w:spacing w:val="-20"/>
              </w:rPr>
              <w:t xml:space="preserve"> </w:t>
            </w:r>
            <w:r>
              <w:rPr>
                <w:spacing w:val="-2"/>
              </w:rPr>
              <w:t>，除尘效率取</w:t>
            </w:r>
            <w:r>
              <w:rPr>
                <w:rFonts w:ascii="Times New Roman" w:hAnsi="Times New Roman" w:eastAsia="Times New Roman" w:cs="Times New Roman"/>
                <w:spacing w:val="-2"/>
              </w:rPr>
              <w:t>99%</w:t>
            </w:r>
            <w:r>
              <w:rPr>
                <w:rFonts w:ascii="Times New Roman" w:hAnsi="Times New Roman" w:eastAsia="Times New Roman" w:cs="Times New Roman"/>
                <w:spacing w:val="-26"/>
              </w:rPr>
              <w:t xml:space="preserve"> </w:t>
            </w:r>
            <w:r>
              <w:rPr>
                <w:spacing w:val="-2"/>
              </w:rPr>
              <w:t>。经计</w:t>
            </w:r>
            <w:r>
              <w:t xml:space="preserve"> </w:t>
            </w:r>
            <w:r>
              <w:rPr>
                <w:spacing w:val="-3"/>
              </w:rPr>
              <w:t>算，项目干混砂浆车间</w:t>
            </w:r>
            <w:r>
              <w:rPr>
                <w:rFonts w:ascii="Times New Roman" w:hAnsi="Times New Roman" w:eastAsia="Times New Roman" w:cs="Times New Roman"/>
                <w:spacing w:val="-3"/>
              </w:rPr>
              <w:t>10</w:t>
            </w:r>
            <w:r>
              <w:rPr>
                <w:spacing w:val="-3"/>
              </w:rPr>
              <w:t>个筒仓的粉尘排放量约</w:t>
            </w:r>
            <w:r>
              <w:rPr>
                <w:rFonts w:ascii="Times New Roman" w:hAnsi="Times New Roman" w:eastAsia="Times New Roman" w:cs="Times New Roman"/>
                <w:spacing w:val="-3"/>
              </w:rPr>
              <w:t>0.356t/a</w:t>
            </w:r>
            <w:r>
              <w:rPr>
                <w:spacing w:val="-3"/>
              </w:rPr>
              <w:t>。项目单</w:t>
            </w:r>
            <w:r>
              <w:rPr>
                <w:spacing w:val="-4"/>
              </w:rPr>
              <w:t>个筒仓容积约</w:t>
            </w:r>
            <w:r>
              <w:rPr>
                <w:rFonts w:ascii="Times New Roman" w:hAnsi="Times New Roman" w:eastAsia="Times New Roman" w:cs="Times New Roman"/>
                <w:spacing w:val="-4"/>
              </w:rPr>
              <w:t>200t</w:t>
            </w:r>
            <w:r>
              <w:rPr>
                <w:spacing w:val="-4"/>
              </w:rPr>
              <w:t>，</w:t>
            </w:r>
            <w:r>
              <w:t xml:space="preserve"> </w:t>
            </w:r>
            <w:r>
              <w:rPr>
                <w:spacing w:val="-2"/>
              </w:rPr>
              <w:t>总高约</w:t>
            </w:r>
            <w:r>
              <w:rPr>
                <w:rFonts w:ascii="Times New Roman" w:hAnsi="Times New Roman" w:eastAsia="Times New Roman" w:cs="Times New Roman"/>
                <w:spacing w:val="-2"/>
              </w:rPr>
              <w:t>22.5m</w:t>
            </w:r>
            <w:r>
              <w:rPr>
                <w:spacing w:val="-2"/>
              </w:rPr>
              <w:t>高于生产车间，粉尘直接排放</w:t>
            </w:r>
            <w:r>
              <w:rPr>
                <w:spacing w:val="-3"/>
              </w:rPr>
              <w:t>至大气环境，但属于无动力排放，因此纳</w:t>
            </w:r>
            <w:r>
              <w:t xml:space="preserve"> </w:t>
            </w:r>
            <w:r>
              <w:rPr>
                <w:spacing w:val="-1"/>
              </w:rPr>
              <w:t>入无组织排放管理。</w:t>
            </w:r>
          </w:p>
          <w:p w14:paraId="4ABDBB63">
            <w:pPr>
              <w:pStyle w:val="6"/>
              <w:spacing w:before="41" w:line="225" w:lineRule="auto"/>
              <w:ind w:left="508"/>
              <w:rPr>
                <w:sz w:val="20"/>
                <w:szCs w:val="20"/>
              </w:rPr>
            </w:pPr>
            <w:r>
              <w:rPr>
                <w:spacing w:val="9"/>
                <w:sz w:val="20"/>
                <w:szCs w:val="20"/>
              </w:rPr>
              <w:t>②建筑垃圾球磨、筛分的粉尘</w:t>
            </w:r>
          </w:p>
          <w:p w14:paraId="2B2A6FAB">
            <w:pPr>
              <w:pStyle w:val="6"/>
              <w:spacing w:before="145" w:line="323" w:lineRule="auto"/>
              <w:ind w:left="93" w:right="112" w:firstLine="445"/>
            </w:pPr>
            <w:r>
              <w:rPr>
                <w:spacing w:val="-1"/>
              </w:rPr>
              <w:t>营运期建筑垃圾输送至干混砂浆车间后，还需要采用球磨机、筛分机进一步加</w:t>
            </w:r>
            <w:r>
              <w:rPr>
                <w:spacing w:val="18"/>
              </w:rPr>
              <w:t xml:space="preserve"> </w:t>
            </w:r>
            <w:r>
              <w:rPr>
                <w:spacing w:val="-1"/>
              </w:rPr>
              <w:t>工成粉料。球磨机、筛分机加工过程会有少量粉尘产生。</w:t>
            </w:r>
          </w:p>
          <w:p w14:paraId="3D4B7AEE">
            <w:pPr>
              <w:pStyle w:val="6"/>
              <w:spacing w:before="39" w:line="358" w:lineRule="auto"/>
              <w:ind w:left="90" w:right="84" w:firstLine="421"/>
              <w:rPr>
                <w:sz w:val="20"/>
                <w:szCs w:val="20"/>
              </w:rPr>
            </w:pPr>
            <w:r>
              <w:rPr>
                <w:spacing w:val="6"/>
                <w:sz w:val="20"/>
                <w:szCs w:val="20"/>
              </w:rPr>
              <w:t>参考《排放源统计调查产排污核算方法和系数</w:t>
            </w:r>
            <w:r>
              <w:rPr>
                <w:spacing w:val="5"/>
                <w:sz w:val="20"/>
                <w:szCs w:val="20"/>
              </w:rPr>
              <w:t>手册》（公告</w:t>
            </w:r>
            <w:r>
              <w:rPr>
                <w:rFonts w:ascii="Times New Roman" w:hAnsi="Times New Roman" w:eastAsia="Times New Roman" w:cs="Times New Roman"/>
                <w:spacing w:val="5"/>
                <w:sz w:val="20"/>
                <w:szCs w:val="20"/>
              </w:rPr>
              <w:t>2021</w:t>
            </w:r>
            <w:r>
              <w:rPr>
                <w:spacing w:val="5"/>
                <w:sz w:val="20"/>
                <w:szCs w:val="20"/>
              </w:rPr>
              <w:t>年第</w:t>
            </w:r>
            <w:r>
              <w:rPr>
                <w:rFonts w:ascii="Times New Roman" w:hAnsi="Times New Roman" w:eastAsia="Times New Roman" w:cs="Times New Roman"/>
                <w:spacing w:val="5"/>
                <w:sz w:val="20"/>
                <w:szCs w:val="20"/>
              </w:rPr>
              <w:t>24</w:t>
            </w:r>
            <w:r>
              <w:rPr>
                <w:spacing w:val="5"/>
                <w:sz w:val="20"/>
                <w:szCs w:val="20"/>
              </w:rPr>
              <w:t>号）中</w:t>
            </w:r>
            <w:r>
              <w:rPr>
                <w:rFonts w:ascii="Times New Roman" w:hAnsi="Times New Roman" w:eastAsia="Times New Roman" w:cs="Times New Roman"/>
                <w:spacing w:val="5"/>
                <w:sz w:val="20"/>
                <w:szCs w:val="20"/>
              </w:rPr>
              <w:t>“3099</w:t>
            </w:r>
            <w:r>
              <w:rPr>
                <w:rFonts w:ascii="Times New Roman" w:hAnsi="Times New Roman" w:eastAsia="Times New Roman" w:cs="Times New Roman"/>
                <w:sz w:val="20"/>
                <w:szCs w:val="20"/>
              </w:rPr>
              <w:t xml:space="preserve"> </w:t>
            </w:r>
            <w:r>
              <w:rPr>
                <w:spacing w:val="7"/>
                <w:sz w:val="20"/>
                <w:szCs w:val="20"/>
              </w:rPr>
              <w:t>其他非金属矿物制品制造行业系数手册</w:t>
            </w:r>
            <w:r>
              <w:rPr>
                <w:rFonts w:ascii="Times New Roman" w:hAnsi="Times New Roman" w:eastAsia="Times New Roman" w:cs="Times New Roman"/>
                <w:spacing w:val="7"/>
                <w:sz w:val="20"/>
                <w:szCs w:val="20"/>
              </w:rPr>
              <w:t>”</w:t>
            </w:r>
            <w:r>
              <w:rPr>
                <w:rFonts w:ascii="Times New Roman" w:hAnsi="Times New Roman" w:eastAsia="Times New Roman" w:cs="Times New Roman"/>
                <w:spacing w:val="-8"/>
                <w:sz w:val="20"/>
                <w:szCs w:val="20"/>
              </w:rPr>
              <w:t xml:space="preserve"> </w:t>
            </w:r>
            <w:r>
              <w:rPr>
                <w:spacing w:val="7"/>
                <w:sz w:val="20"/>
                <w:szCs w:val="20"/>
              </w:rPr>
              <w:t>，粉磨</w:t>
            </w:r>
            <w:r>
              <w:rPr>
                <w:rFonts w:ascii="Times New Roman" w:hAnsi="Times New Roman" w:eastAsia="Times New Roman" w:cs="Times New Roman"/>
                <w:spacing w:val="7"/>
                <w:sz w:val="20"/>
                <w:szCs w:val="20"/>
              </w:rPr>
              <w:t>(</w:t>
            </w:r>
            <w:r>
              <w:rPr>
                <w:spacing w:val="7"/>
                <w:sz w:val="20"/>
                <w:szCs w:val="20"/>
              </w:rPr>
              <w:t>球磨</w:t>
            </w:r>
            <w:r>
              <w:rPr>
                <w:rFonts w:ascii="Times New Roman" w:hAnsi="Times New Roman" w:eastAsia="Times New Roman" w:cs="Times New Roman"/>
                <w:spacing w:val="7"/>
                <w:sz w:val="20"/>
                <w:szCs w:val="20"/>
              </w:rPr>
              <w:t>)</w:t>
            </w:r>
            <w:r>
              <w:rPr>
                <w:spacing w:val="7"/>
                <w:sz w:val="20"/>
                <w:szCs w:val="20"/>
              </w:rPr>
              <w:t>产污系数</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19</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/t-</w:t>
            </w:r>
            <w:r>
              <w:rPr>
                <w:spacing w:val="7"/>
                <w:sz w:val="20"/>
                <w:szCs w:val="20"/>
              </w:rPr>
              <w:t>产品，筛分产污</w:t>
            </w:r>
            <w:r>
              <w:rPr>
                <w:sz w:val="20"/>
                <w:szCs w:val="20"/>
              </w:rPr>
              <w:t xml:space="preserve"> </w:t>
            </w:r>
            <w:r>
              <w:rPr>
                <w:spacing w:val="7"/>
                <w:sz w:val="20"/>
                <w:szCs w:val="20"/>
              </w:rPr>
              <w:t>系数</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13</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/t-</w:t>
            </w:r>
            <w:r>
              <w:rPr>
                <w:spacing w:val="7"/>
                <w:sz w:val="20"/>
                <w:szCs w:val="20"/>
              </w:rPr>
              <w:t>产品。项目干混砂浆生产所需建筑垃圾制成的粉</w:t>
            </w:r>
            <w:r>
              <w:rPr>
                <w:spacing w:val="6"/>
                <w:sz w:val="20"/>
                <w:szCs w:val="20"/>
              </w:rPr>
              <w:t>料约</w:t>
            </w:r>
            <w:r>
              <w:rPr>
                <w:rFonts w:ascii="Times New Roman" w:hAnsi="Times New Roman" w:eastAsia="Times New Roman" w:cs="Times New Roman"/>
                <w:spacing w:val="6"/>
                <w:sz w:val="20"/>
                <w:szCs w:val="20"/>
              </w:rPr>
              <w:t>84504.03t/a</w:t>
            </w:r>
            <w:r>
              <w:rPr>
                <w:rFonts w:ascii="Times New Roman" w:hAnsi="Times New Roman" w:eastAsia="Times New Roman" w:cs="Times New Roman"/>
                <w:spacing w:val="-26"/>
                <w:sz w:val="20"/>
                <w:szCs w:val="20"/>
              </w:rPr>
              <w:t xml:space="preserve"> </w:t>
            </w:r>
            <w:r>
              <w:rPr>
                <w:spacing w:val="6"/>
                <w:sz w:val="20"/>
                <w:szCs w:val="20"/>
              </w:rPr>
              <w:t>，经计算</w:t>
            </w:r>
            <w:r>
              <w:rPr>
                <w:sz w:val="20"/>
                <w:szCs w:val="20"/>
              </w:rPr>
              <w:t xml:space="preserve">  </w:t>
            </w:r>
            <w:r>
              <w:rPr>
                <w:spacing w:val="6"/>
                <w:sz w:val="20"/>
                <w:szCs w:val="20"/>
              </w:rPr>
              <w:t>球磨过程粉尘产生量约</w:t>
            </w:r>
            <w:r>
              <w:rPr>
                <w:rFonts w:ascii="Times New Roman" w:hAnsi="Times New Roman" w:eastAsia="Times New Roman" w:cs="Times New Roman"/>
                <w:spacing w:val="6"/>
                <w:sz w:val="20"/>
                <w:szCs w:val="20"/>
              </w:rPr>
              <w:t>100.56t/a</w:t>
            </w:r>
            <w:r>
              <w:rPr>
                <w:rFonts w:ascii="Times New Roman" w:hAnsi="Times New Roman" w:eastAsia="Times New Roman" w:cs="Times New Roman"/>
                <w:spacing w:val="-24"/>
                <w:sz w:val="20"/>
                <w:szCs w:val="20"/>
              </w:rPr>
              <w:t xml:space="preserve"> </w:t>
            </w:r>
            <w:r>
              <w:rPr>
                <w:spacing w:val="6"/>
                <w:sz w:val="20"/>
                <w:szCs w:val="20"/>
              </w:rPr>
              <w:t>，筛分粉尘产生量</w:t>
            </w:r>
            <w:r>
              <w:rPr>
                <w:rFonts w:ascii="Times New Roman" w:hAnsi="Times New Roman" w:eastAsia="Times New Roman" w:cs="Times New Roman"/>
                <w:spacing w:val="6"/>
                <w:sz w:val="20"/>
                <w:szCs w:val="20"/>
              </w:rPr>
              <w:t>95.49</w:t>
            </w:r>
            <w:r>
              <w:rPr>
                <w:rFonts w:ascii="Times New Roman" w:hAnsi="Times New Roman" w:eastAsia="Times New Roman" w:cs="Times New Roman"/>
                <w:spacing w:val="5"/>
                <w:sz w:val="20"/>
                <w:szCs w:val="20"/>
              </w:rPr>
              <w:t>t/a</w:t>
            </w:r>
            <w:r>
              <w:rPr>
                <w:spacing w:val="5"/>
                <w:sz w:val="20"/>
                <w:szCs w:val="20"/>
              </w:rPr>
              <w:t>。</w:t>
            </w:r>
          </w:p>
          <w:p w14:paraId="6DFE439F">
            <w:pPr>
              <w:pStyle w:val="6"/>
              <w:spacing w:before="50" w:line="310" w:lineRule="auto"/>
              <w:ind w:left="91" w:right="31" w:firstLine="423"/>
              <w:rPr>
                <w:sz w:val="20"/>
                <w:szCs w:val="20"/>
              </w:rPr>
            </w:pPr>
            <w:r>
              <w:rPr>
                <w:b/>
                <w:bCs/>
                <w:spacing w:val="4"/>
                <w:sz w:val="20"/>
                <w:szCs w:val="20"/>
              </w:rPr>
              <w:t>治理措施</w:t>
            </w:r>
            <w:r>
              <w:rPr>
                <w:spacing w:val="4"/>
                <w:sz w:val="20"/>
                <w:szCs w:val="20"/>
              </w:rPr>
              <w:t>：根据设计资料，本项目采用的球磨机和滚筒筛分机属于相对密闭型设备，</w:t>
            </w:r>
            <w:r>
              <w:rPr>
                <w:spacing w:val="12"/>
                <w:sz w:val="20"/>
                <w:szCs w:val="20"/>
              </w:rPr>
              <w:t xml:space="preserve"> </w:t>
            </w:r>
            <w:r>
              <w:rPr>
                <w:spacing w:val="10"/>
                <w:sz w:val="20"/>
                <w:szCs w:val="20"/>
              </w:rPr>
              <w:t>生产过程的粉尘主要产生于设备的进料和出料口处。通</w:t>
            </w:r>
            <w:r>
              <w:rPr>
                <w:spacing w:val="9"/>
                <w:sz w:val="20"/>
                <w:szCs w:val="20"/>
              </w:rPr>
              <w:t>过在进出料口处设置粉尘收集</w:t>
            </w:r>
          </w:p>
        </w:tc>
      </w:tr>
    </w:tbl>
    <w:p w14:paraId="0A0D80AB">
      <w:pPr>
        <w:pStyle w:val="2"/>
      </w:pPr>
    </w:p>
    <w:p w14:paraId="501261EF">
      <w:pPr>
        <w:sectPr>
          <w:footerReference r:id="rId66" w:type="default"/>
          <w:pgSz w:w="11907" w:h="16840"/>
          <w:pgMar w:top="1431" w:right="1490" w:bottom="1260" w:left="1489" w:header="0" w:footer="1080" w:gutter="0"/>
          <w:cols w:space="720" w:num="1"/>
        </w:sectPr>
      </w:pPr>
    </w:p>
    <w:p w14:paraId="7898AB22">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6BD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070E61D2">
            <w:pPr>
              <w:rPr>
                <w:rFonts w:ascii="Arial"/>
                <w:sz w:val="21"/>
              </w:rPr>
            </w:pPr>
          </w:p>
        </w:tc>
        <w:tc>
          <w:tcPr>
            <w:tcW w:w="8127" w:type="dxa"/>
            <w:tcBorders>
              <w:top w:val="single" w:color="000000" w:sz="2" w:space="0"/>
              <w:left w:val="single" w:color="000000" w:sz="2" w:space="0"/>
            </w:tcBorders>
            <w:vAlign w:val="top"/>
          </w:tcPr>
          <w:p w14:paraId="4903978B">
            <w:pPr>
              <w:pStyle w:val="6"/>
              <w:spacing w:before="146" w:line="357" w:lineRule="auto"/>
              <w:ind w:left="95" w:right="60" w:hanging="5"/>
              <w:rPr>
                <w:sz w:val="20"/>
                <w:szCs w:val="20"/>
              </w:rPr>
            </w:pPr>
            <w:r>
              <w:rPr>
                <w:spacing w:val="9"/>
                <w:sz w:val="20"/>
                <w:szCs w:val="20"/>
              </w:rPr>
              <w:t>罩，通过风机将粉尘收集至配套的袋式除尘器，处理后经</w:t>
            </w:r>
            <w:r>
              <w:rPr>
                <w:rFonts w:ascii="Times New Roman" w:hAnsi="Times New Roman" w:eastAsia="Times New Roman" w:cs="Times New Roman"/>
                <w:spacing w:val="9"/>
                <w:sz w:val="20"/>
                <w:szCs w:val="20"/>
              </w:rPr>
              <w:t>1</w:t>
            </w:r>
            <w:r>
              <w:rPr>
                <w:spacing w:val="9"/>
                <w:sz w:val="20"/>
                <w:szCs w:val="20"/>
              </w:rPr>
              <w:t>根</w:t>
            </w:r>
            <w:r>
              <w:rPr>
                <w:rFonts w:ascii="Times New Roman" w:hAnsi="Times New Roman" w:eastAsia="Times New Roman" w:cs="Times New Roman"/>
                <w:spacing w:val="9"/>
                <w:sz w:val="20"/>
                <w:szCs w:val="20"/>
              </w:rPr>
              <w:t>15m</w:t>
            </w:r>
            <w:r>
              <w:rPr>
                <w:spacing w:val="9"/>
                <w:sz w:val="20"/>
                <w:szCs w:val="20"/>
              </w:rPr>
              <w:t>的排气筒（</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002</w:t>
            </w:r>
            <w:r>
              <w:rPr>
                <w:spacing w:val="-11"/>
                <w:sz w:val="20"/>
                <w:szCs w:val="20"/>
              </w:rPr>
              <w:t>），</w:t>
            </w:r>
            <w:r>
              <w:rPr>
                <w:spacing w:val="1"/>
                <w:sz w:val="20"/>
                <w:szCs w:val="20"/>
              </w:rPr>
              <w:t xml:space="preserve"> </w:t>
            </w:r>
            <w:r>
              <w:rPr>
                <w:spacing w:val="7"/>
                <w:sz w:val="20"/>
                <w:szCs w:val="20"/>
              </w:rPr>
              <w:t>高出生产车间（</w:t>
            </w:r>
            <w:r>
              <w:rPr>
                <w:rFonts w:ascii="Times New Roman" w:hAnsi="Times New Roman" w:eastAsia="Times New Roman" w:cs="Times New Roman"/>
                <w:spacing w:val="7"/>
                <w:sz w:val="20"/>
                <w:szCs w:val="20"/>
              </w:rPr>
              <w:t>H=9m</w:t>
            </w:r>
            <w:r>
              <w:rPr>
                <w:spacing w:val="7"/>
                <w:sz w:val="20"/>
                <w:szCs w:val="20"/>
              </w:rPr>
              <w:t>高）排放。</w:t>
            </w:r>
          </w:p>
          <w:p w14:paraId="6EEC2C3D">
            <w:pPr>
              <w:pStyle w:val="6"/>
              <w:spacing w:before="24" w:line="355" w:lineRule="auto"/>
              <w:ind w:left="91" w:right="88" w:firstLine="417"/>
              <w:rPr>
                <w:sz w:val="20"/>
                <w:szCs w:val="20"/>
              </w:rPr>
            </w:pPr>
            <w:r>
              <w:rPr>
                <w:spacing w:val="5"/>
                <w:sz w:val="20"/>
                <w:szCs w:val="20"/>
              </w:rPr>
              <w:t>粉尘集气罩收集效率取</w:t>
            </w:r>
            <w:r>
              <w:rPr>
                <w:rFonts w:ascii="Times New Roman" w:hAnsi="Times New Roman" w:eastAsia="Times New Roman" w:cs="Times New Roman"/>
                <w:spacing w:val="5"/>
                <w:sz w:val="20"/>
                <w:szCs w:val="20"/>
              </w:rPr>
              <w:t>90%</w:t>
            </w:r>
            <w:r>
              <w:rPr>
                <w:rFonts w:ascii="Times New Roman" w:hAnsi="Times New Roman" w:eastAsia="Times New Roman" w:cs="Times New Roman"/>
                <w:spacing w:val="-13"/>
                <w:sz w:val="20"/>
                <w:szCs w:val="20"/>
              </w:rPr>
              <w:t xml:space="preserve"> </w:t>
            </w:r>
            <w:r>
              <w:rPr>
                <w:spacing w:val="5"/>
                <w:sz w:val="20"/>
                <w:szCs w:val="20"/>
              </w:rPr>
              <w:t>，除尘器除尘效率取</w:t>
            </w:r>
            <w:r>
              <w:rPr>
                <w:rFonts w:ascii="Times New Roman" w:hAnsi="Times New Roman" w:eastAsia="Times New Roman" w:cs="Times New Roman"/>
                <w:spacing w:val="5"/>
                <w:sz w:val="20"/>
                <w:szCs w:val="20"/>
              </w:rPr>
              <w:t>99%</w:t>
            </w:r>
            <w:r>
              <w:rPr>
                <w:rFonts w:ascii="Times New Roman" w:hAnsi="Times New Roman" w:eastAsia="Times New Roman" w:cs="Times New Roman"/>
                <w:spacing w:val="-23"/>
                <w:sz w:val="20"/>
                <w:szCs w:val="20"/>
              </w:rPr>
              <w:t xml:space="preserve"> </w:t>
            </w:r>
            <w:r>
              <w:rPr>
                <w:spacing w:val="5"/>
                <w:sz w:val="20"/>
                <w:szCs w:val="20"/>
              </w:rPr>
              <w:t>，风机风量取</w:t>
            </w:r>
            <w:r>
              <w:rPr>
                <w:rFonts w:ascii="Times New Roman" w:hAnsi="Times New Roman" w:eastAsia="Times New Roman" w:cs="Times New Roman"/>
                <w:spacing w:val="5"/>
                <w:sz w:val="20"/>
                <w:szCs w:val="20"/>
              </w:rPr>
              <w:t>20000m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/h</w:t>
            </w:r>
            <w:r>
              <w:rPr>
                <w:rFonts w:ascii="Times New Roman" w:hAnsi="Times New Roman" w:eastAsia="Times New Roman" w:cs="Times New Roman"/>
                <w:spacing w:val="-21"/>
                <w:sz w:val="20"/>
                <w:szCs w:val="20"/>
              </w:rPr>
              <w:t xml:space="preserve"> </w:t>
            </w:r>
            <w:r>
              <w:rPr>
                <w:spacing w:val="5"/>
                <w:sz w:val="20"/>
                <w:szCs w:val="20"/>
              </w:rPr>
              <w:t>。经计</w:t>
            </w:r>
            <w:r>
              <w:rPr>
                <w:sz w:val="20"/>
                <w:szCs w:val="20"/>
              </w:rPr>
              <w:t xml:space="preserve"> </w:t>
            </w:r>
            <w:r>
              <w:rPr>
                <w:spacing w:val="7"/>
                <w:sz w:val="20"/>
                <w:szCs w:val="20"/>
              </w:rPr>
              <w:t>算，球磨筛分工序的有组织粉尘排放量约</w:t>
            </w:r>
            <w:r>
              <w:rPr>
                <w:rFonts w:ascii="Times New Roman" w:hAnsi="Times New Roman" w:eastAsia="Times New Roman" w:cs="Times New Roman"/>
                <w:spacing w:val="7"/>
                <w:sz w:val="20"/>
                <w:szCs w:val="20"/>
              </w:rPr>
              <w:t>1.764t/a</w:t>
            </w:r>
            <w:r>
              <w:rPr>
                <w:rFonts w:ascii="Times New Roman" w:hAnsi="Times New Roman" w:eastAsia="Times New Roman" w:cs="Times New Roman"/>
                <w:spacing w:val="-26"/>
                <w:sz w:val="20"/>
                <w:szCs w:val="20"/>
              </w:rPr>
              <w:t xml:space="preserve"> </w:t>
            </w:r>
            <w:r>
              <w:rPr>
                <w:spacing w:val="7"/>
                <w:sz w:val="20"/>
                <w:szCs w:val="20"/>
              </w:rPr>
              <w:t>、排放速率</w:t>
            </w:r>
            <w:r>
              <w:rPr>
                <w:rFonts w:ascii="Times New Roman" w:hAnsi="Times New Roman" w:eastAsia="Times New Roman" w:cs="Times New Roman"/>
                <w:spacing w:val="7"/>
                <w:sz w:val="20"/>
                <w:szCs w:val="20"/>
              </w:rPr>
              <w:t>0.5</w:t>
            </w:r>
            <w:r>
              <w:rPr>
                <w:rFonts w:ascii="Times New Roman" w:hAnsi="Times New Roman" w:eastAsia="Times New Roman" w:cs="Times New Roman"/>
                <w:spacing w:val="6"/>
                <w:sz w:val="20"/>
                <w:szCs w:val="20"/>
              </w:rPr>
              <w:t>88</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26"/>
                <w:sz w:val="20"/>
                <w:szCs w:val="20"/>
              </w:rPr>
              <w:t xml:space="preserve"> </w:t>
            </w:r>
            <w:r>
              <w:rPr>
                <w:spacing w:val="6"/>
                <w:sz w:val="20"/>
                <w:szCs w:val="20"/>
              </w:rPr>
              <w:t>、排放浓度</w:t>
            </w:r>
          </w:p>
          <w:p w14:paraId="4A4704C8">
            <w:pPr>
              <w:pStyle w:val="6"/>
              <w:spacing w:before="29" w:line="344" w:lineRule="auto"/>
              <w:ind w:left="99" w:right="1238" w:hanging="13"/>
              <w:rPr>
                <w:sz w:val="20"/>
                <w:szCs w:val="20"/>
              </w:rPr>
            </w:pPr>
            <w:r>
              <w:rPr>
                <w:rFonts w:ascii="Times New Roman" w:hAnsi="Times New Roman" w:eastAsia="Times New Roman" w:cs="Times New Roman"/>
                <w:spacing w:val="2"/>
                <w:sz w:val="20"/>
                <w:szCs w:val="20"/>
              </w:rPr>
              <w:t>29.4</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 xml:space="preserve">3 </w:t>
            </w:r>
            <w:r>
              <w:rPr>
                <w:spacing w:val="2"/>
                <w:sz w:val="20"/>
                <w:szCs w:val="20"/>
              </w:rPr>
              <w:t xml:space="preserve">。粉尘排放浓度能够满足《四川省水泥工业大气污染物排放标准》 </w:t>
            </w:r>
            <w:r>
              <w:rPr>
                <w:spacing w:val="-2"/>
                <w:sz w:val="20"/>
                <w:szCs w:val="20"/>
              </w:rPr>
              <w:t>（</w:t>
            </w:r>
            <w:r>
              <w:rPr>
                <w:rFonts w:ascii="Times New Roman" w:hAnsi="Times New Roman" w:eastAsia="Times New Roman" w:cs="Times New Roman"/>
                <w:spacing w:val="-2"/>
                <w:sz w:val="20"/>
                <w:szCs w:val="20"/>
              </w:rPr>
              <w:t>DB51/2864-2021</w:t>
            </w:r>
            <w:r>
              <w:rPr>
                <w:spacing w:val="-2"/>
                <w:sz w:val="20"/>
                <w:szCs w:val="20"/>
              </w:rPr>
              <w:t>）表</w:t>
            </w:r>
            <w:r>
              <w:rPr>
                <w:rFonts w:ascii="Times New Roman" w:hAnsi="Times New Roman" w:eastAsia="Times New Roman" w:cs="Times New Roman"/>
                <w:spacing w:val="-2"/>
                <w:sz w:val="20"/>
                <w:szCs w:val="20"/>
              </w:rPr>
              <w:t>1</w:t>
            </w:r>
            <w:r>
              <w:rPr>
                <w:spacing w:val="-2"/>
                <w:sz w:val="20"/>
                <w:szCs w:val="20"/>
              </w:rPr>
              <w:t>相应的标准限值要求，能够实现达标排放。</w:t>
            </w:r>
          </w:p>
          <w:p w14:paraId="48996411">
            <w:pPr>
              <w:pStyle w:val="6"/>
              <w:spacing w:before="57" w:line="363" w:lineRule="auto"/>
              <w:ind w:left="89" w:right="88" w:firstLine="420"/>
              <w:rPr>
                <w:sz w:val="20"/>
                <w:szCs w:val="20"/>
              </w:rPr>
            </w:pPr>
            <w:r>
              <w:rPr>
                <w:spacing w:val="7"/>
                <w:sz w:val="20"/>
                <w:szCs w:val="20"/>
              </w:rPr>
              <w:t>粉尘无组织排放量约</w:t>
            </w:r>
            <w:r>
              <w:rPr>
                <w:rFonts w:ascii="Times New Roman" w:hAnsi="Times New Roman" w:eastAsia="Times New Roman" w:cs="Times New Roman"/>
                <w:spacing w:val="7"/>
                <w:sz w:val="20"/>
                <w:szCs w:val="20"/>
              </w:rPr>
              <w:t>19.605t/a</w:t>
            </w:r>
            <w:r>
              <w:rPr>
                <w:rFonts w:ascii="Times New Roman" w:hAnsi="Times New Roman" w:eastAsia="Times New Roman" w:cs="Times New Roman"/>
                <w:spacing w:val="-24"/>
                <w:sz w:val="20"/>
                <w:szCs w:val="20"/>
              </w:rPr>
              <w:t xml:space="preserve"> </w:t>
            </w:r>
            <w:r>
              <w:rPr>
                <w:spacing w:val="7"/>
                <w:sz w:val="20"/>
                <w:szCs w:val="20"/>
              </w:rPr>
              <w:t>，以无组织形式在生产车间内排放。</w:t>
            </w:r>
            <w:r>
              <w:rPr>
                <w:spacing w:val="-58"/>
                <w:sz w:val="20"/>
                <w:szCs w:val="20"/>
              </w:rPr>
              <w:t xml:space="preserve"> </w:t>
            </w:r>
            <w:r>
              <w:rPr>
                <w:spacing w:val="7"/>
                <w:sz w:val="20"/>
                <w:szCs w:val="20"/>
              </w:rPr>
              <w:t>由</w:t>
            </w:r>
            <w:r>
              <w:rPr>
                <w:spacing w:val="6"/>
                <w:sz w:val="20"/>
                <w:szCs w:val="20"/>
              </w:rPr>
              <w:t>于封闭式生产</w:t>
            </w:r>
            <w:r>
              <w:rPr>
                <w:sz w:val="20"/>
                <w:szCs w:val="20"/>
              </w:rPr>
              <w:t xml:space="preserve"> </w:t>
            </w:r>
            <w:r>
              <w:rPr>
                <w:spacing w:val="9"/>
                <w:sz w:val="20"/>
                <w:szCs w:val="20"/>
              </w:rPr>
              <w:t>车间对颗粒物有较好的阻挡效果；同时避免车间内粉尘对外环境的影响，在车</w:t>
            </w:r>
            <w:r>
              <w:rPr>
                <w:spacing w:val="8"/>
                <w:sz w:val="20"/>
                <w:szCs w:val="20"/>
              </w:rPr>
              <w:t>间大门处</w:t>
            </w:r>
            <w:r>
              <w:rPr>
                <w:sz w:val="20"/>
                <w:szCs w:val="20"/>
              </w:rPr>
              <w:t xml:space="preserve"> </w:t>
            </w:r>
            <w:r>
              <w:rPr>
                <w:spacing w:val="9"/>
                <w:sz w:val="20"/>
                <w:szCs w:val="20"/>
              </w:rPr>
              <w:t>设置喷雾装置形成雾帘，可极大地减少车间内粉尘的逸散，降低对外环境的污</w:t>
            </w:r>
            <w:r>
              <w:rPr>
                <w:spacing w:val="8"/>
                <w:sz w:val="20"/>
                <w:szCs w:val="20"/>
              </w:rPr>
              <w:t>染影响。</w:t>
            </w:r>
            <w:r>
              <w:rPr>
                <w:sz w:val="20"/>
                <w:szCs w:val="20"/>
              </w:rPr>
              <w:t xml:space="preserve"> </w:t>
            </w:r>
            <w:r>
              <w:rPr>
                <w:spacing w:val="9"/>
                <w:sz w:val="20"/>
                <w:szCs w:val="20"/>
              </w:rPr>
              <w:t>采取上述措施，对无组织粉尘约有</w:t>
            </w:r>
            <w:r>
              <w:rPr>
                <w:rFonts w:ascii="Times New Roman" w:hAnsi="Times New Roman" w:eastAsia="Times New Roman" w:cs="Times New Roman"/>
                <w:spacing w:val="9"/>
                <w:sz w:val="20"/>
                <w:szCs w:val="20"/>
              </w:rPr>
              <w:t>70%</w:t>
            </w:r>
            <w:r>
              <w:rPr>
                <w:spacing w:val="9"/>
                <w:sz w:val="20"/>
                <w:szCs w:val="20"/>
              </w:rPr>
              <w:t>的抑尘效率。因此，建筑垃圾球磨筛分的无组织</w:t>
            </w:r>
            <w:r>
              <w:rPr>
                <w:spacing w:val="18"/>
                <w:sz w:val="20"/>
                <w:szCs w:val="20"/>
              </w:rPr>
              <w:t xml:space="preserve"> </w:t>
            </w:r>
            <w:r>
              <w:rPr>
                <w:spacing w:val="5"/>
                <w:sz w:val="20"/>
                <w:szCs w:val="20"/>
              </w:rPr>
              <w:t>粉尘排放量约</w:t>
            </w:r>
            <w:r>
              <w:rPr>
                <w:rFonts w:ascii="Times New Roman" w:hAnsi="Times New Roman" w:eastAsia="Times New Roman" w:cs="Times New Roman"/>
                <w:spacing w:val="5"/>
                <w:sz w:val="20"/>
                <w:szCs w:val="20"/>
              </w:rPr>
              <w:t>5.882t/a</w:t>
            </w:r>
            <w:r>
              <w:rPr>
                <w:spacing w:val="5"/>
                <w:sz w:val="20"/>
                <w:szCs w:val="20"/>
              </w:rPr>
              <w:t>。</w:t>
            </w:r>
          </w:p>
          <w:p w14:paraId="7649F2CF">
            <w:pPr>
              <w:pStyle w:val="6"/>
              <w:spacing w:before="25" w:line="218" w:lineRule="auto"/>
              <w:ind w:left="530"/>
              <w:rPr>
                <w:sz w:val="20"/>
                <w:szCs w:val="20"/>
              </w:rPr>
            </w:pPr>
            <w:r>
              <w:rPr>
                <w:spacing w:val="7"/>
              </w:rPr>
              <w:t>④</w:t>
            </w:r>
            <w:r>
              <w:rPr>
                <w:spacing w:val="7"/>
                <w:sz w:val="20"/>
                <w:szCs w:val="20"/>
              </w:rPr>
              <w:t>黄沙烘干粉尘</w:t>
            </w:r>
          </w:p>
          <w:p w14:paraId="20369F61">
            <w:pPr>
              <w:pStyle w:val="6"/>
              <w:spacing w:before="148" w:line="363" w:lineRule="auto"/>
              <w:ind w:left="88" w:right="31" w:firstLine="425"/>
              <w:rPr>
                <w:sz w:val="20"/>
                <w:szCs w:val="20"/>
              </w:rPr>
            </w:pPr>
            <w:r>
              <w:rPr>
                <w:spacing w:val="7"/>
                <w:sz w:val="20"/>
                <w:szCs w:val="20"/>
              </w:rPr>
              <w:t>项目干混砂浆生产所用黄沙，外购时其含水率约在15%左右，需要先进行烘干加工，</w:t>
            </w:r>
            <w:r>
              <w:rPr>
                <w:spacing w:val="4"/>
                <w:sz w:val="20"/>
                <w:szCs w:val="20"/>
              </w:rPr>
              <w:t xml:space="preserve"> </w:t>
            </w:r>
            <w:r>
              <w:rPr>
                <w:spacing w:val="9"/>
                <w:sz w:val="20"/>
                <w:szCs w:val="20"/>
              </w:rPr>
              <w:t>将其含水率控制在3%左右。根据设计，项目黄沙烘干采用三</w:t>
            </w:r>
            <w:r>
              <w:rPr>
                <w:spacing w:val="8"/>
                <w:sz w:val="20"/>
                <w:szCs w:val="20"/>
              </w:rPr>
              <w:t>回程筒式烘干机，利用热蒸</w:t>
            </w:r>
            <w:r>
              <w:rPr>
                <w:sz w:val="20"/>
                <w:szCs w:val="20"/>
              </w:rPr>
              <w:t xml:space="preserve"> </w:t>
            </w:r>
            <w:r>
              <w:rPr>
                <w:spacing w:val="9"/>
                <w:sz w:val="20"/>
                <w:szCs w:val="20"/>
              </w:rPr>
              <w:t>汽通入夹套升温间接烘干黄沙。设备内部有抄板，烘干过程不断地扬起黄沙，黄</w:t>
            </w:r>
            <w:r>
              <w:rPr>
                <w:spacing w:val="8"/>
                <w:sz w:val="20"/>
                <w:szCs w:val="20"/>
              </w:rPr>
              <w:t>沙从高</w:t>
            </w:r>
            <w:r>
              <w:rPr>
                <w:sz w:val="20"/>
                <w:szCs w:val="20"/>
              </w:rPr>
              <w:t xml:space="preserve"> </w:t>
            </w:r>
            <w:r>
              <w:rPr>
                <w:spacing w:val="9"/>
                <w:sz w:val="20"/>
                <w:szCs w:val="20"/>
              </w:rPr>
              <w:t>处下落过程与热空气充分接触，达到烘干目的。因此，黄沙烘干过程的产尘环节</w:t>
            </w:r>
            <w:r>
              <w:rPr>
                <w:spacing w:val="8"/>
                <w:sz w:val="20"/>
                <w:szCs w:val="20"/>
              </w:rPr>
              <w:t>主要是</w:t>
            </w:r>
            <w:r>
              <w:rPr>
                <w:sz w:val="20"/>
                <w:szCs w:val="20"/>
              </w:rPr>
              <w:t xml:space="preserve"> </w:t>
            </w:r>
            <w:r>
              <w:rPr>
                <w:spacing w:val="9"/>
                <w:sz w:val="20"/>
                <w:szCs w:val="20"/>
              </w:rPr>
              <w:t>黄沙被扬起不断从高处下落过程，其产尘原理类似于卸料产尘。</w:t>
            </w:r>
          </w:p>
          <w:p w14:paraId="7E99A1F6">
            <w:pPr>
              <w:pStyle w:val="6"/>
              <w:spacing w:before="34" w:line="343" w:lineRule="auto"/>
              <w:ind w:left="90" w:right="86" w:firstLine="420"/>
              <w:rPr>
                <w:sz w:val="20"/>
                <w:szCs w:val="20"/>
              </w:rPr>
            </w:pPr>
            <w:r>
              <w:rPr>
                <w:spacing w:val="7"/>
                <w:sz w:val="20"/>
                <w:szCs w:val="20"/>
              </w:rPr>
              <w:t>参考《逸散性工业粉尘控制技术》中卸料时逸散尘</w:t>
            </w:r>
            <w:r>
              <w:rPr>
                <w:spacing w:val="6"/>
                <w:sz w:val="20"/>
                <w:szCs w:val="20"/>
              </w:rPr>
              <w:t>排放系数取</w:t>
            </w:r>
            <w:r>
              <w:rPr>
                <w:rFonts w:ascii="Times New Roman" w:hAnsi="Times New Roman" w:eastAsia="Times New Roman" w:cs="Times New Roman"/>
                <w:spacing w:val="6"/>
                <w:sz w:val="20"/>
                <w:szCs w:val="20"/>
              </w:rPr>
              <w:t>0.01</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/t</w:t>
            </w:r>
            <w:r>
              <w:rPr>
                <w:spacing w:val="6"/>
                <w:sz w:val="20"/>
                <w:szCs w:val="20"/>
              </w:rPr>
              <w:t>。本项目黄沙</w:t>
            </w:r>
            <w:r>
              <w:rPr>
                <w:sz w:val="20"/>
                <w:szCs w:val="20"/>
              </w:rPr>
              <w:t xml:space="preserve"> </w:t>
            </w:r>
            <w:r>
              <w:rPr>
                <w:spacing w:val="6"/>
                <w:sz w:val="20"/>
                <w:szCs w:val="20"/>
              </w:rPr>
              <w:t>年使用量约</w:t>
            </w:r>
            <w:r>
              <w:rPr>
                <w:rFonts w:ascii="Times New Roman" w:hAnsi="Times New Roman" w:eastAsia="Times New Roman" w:cs="Times New Roman"/>
                <w:spacing w:val="6"/>
                <w:sz w:val="20"/>
                <w:szCs w:val="20"/>
              </w:rPr>
              <w:t>105005.089t/a</w:t>
            </w:r>
            <w:r>
              <w:rPr>
                <w:rFonts w:ascii="Times New Roman" w:hAnsi="Times New Roman" w:eastAsia="Times New Roman" w:cs="Times New Roman"/>
                <w:spacing w:val="-24"/>
                <w:sz w:val="20"/>
                <w:szCs w:val="20"/>
              </w:rPr>
              <w:t xml:space="preserve"> </w:t>
            </w:r>
            <w:r>
              <w:rPr>
                <w:spacing w:val="6"/>
                <w:sz w:val="20"/>
                <w:szCs w:val="20"/>
              </w:rPr>
              <w:t>，经计算烘干过程粉尘产生量约</w:t>
            </w:r>
            <w:r>
              <w:rPr>
                <w:rFonts w:ascii="Times New Roman" w:hAnsi="Times New Roman" w:eastAsia="Times New Roman" w:cs="Times New Roman"/>
                <w:spacing w:val="6"/>
                <w:sz w:val="20"/>
                <w:szCs w:val="20"/>
              </w:rPr>
              <w:t>1.05t</w:t>
            </w:r>
            <w:r>
              <w:rPr>
                <w:rFonts w:ascii="Times New Roman" w:hAnsi="Times New Roman" w:eastAsia="Times New Roman" w:cs="Times New Roman"/>
                <w:spacing w:val="5"/>
                <w:sz w:val="20"/>
                <w:szCs w:val="20"/>
              </w:rPr>
              <w:t>/a</w:t>
            </w:r>
            <w:r>
              <w:rPr>
                <w:spacing w:val="5"/>
                <w:sz w:val="20"/>
                <w:szCs w:val="20"/>
              </w:rPr>
              <w:t>。</w:t>
            </w:r>
          </w:p>
          <w:p w14:paraId="4F61CB11">
            <w:pPr>
              <w:pStyle w:val="6"/>
              <w:spacing w:before="55" w:line="360" w:lineRule="auto"/>
              <w:ind w:left="90" w:right="31" w:firstLine="425"/>
              <w:rPr>
                <w:sz w:val="20"/>
                <w:szCs w:val="20"/>
              </w:rPr>
            </w:pPr>
            <w:r>
              <w:rPr>
                <w:b/>
                <w:bCs/>
                <w:spacing w:val="8"/>
                <w:sz w:val="20"/>
                <w:szCs w:val="20"/>
              </w:rPr>
              <w:t>治理措施</w:t>
            </w:r>
            <w:r>
              <w:rPr>
                <w:spacing w:val="8"/>
                <w:sz w:val="20"/>
                <w:szCs w:val="20"/>
              </w:rPr>
              <w:t>：本项目采用的三回程筒式烘干机属于密闭型设备，仅设备进料和出料口</w:t>
            </w:r>
            <w:r>
              <w:rPr>
                <w:spacing w:val="18"/>
                <w:sz w:val="20"/>
                <w:szCs w:val="20"/>
              </w:rPr>
              <w:t xml:space="preserve"> </w:t>
            </w:r>
            <w:r>
              <w:rPr>
                <w:spacing w:val="5"/>
                <w:sz w:val="20"/>
                <w:szCs w:val="20"/>
              </w:rPr>
              <w:t>为开口状态，因此其粉尘主要是从进出料口外逸。通过在设备进出料口设置粉尘收集罩，</w:t>
            </w:r>
            <w:r>
              <w:rPr>
                <w:sz w:val="20"/>
                <w:szCs w:val="20"/>
              </w:rPr>
              <w:t xml:space="preserve"> </w:t>
            </w:r>
            <w:r>
              <w:rPr>
                <w:spacing w:val="9"/>
                <w:sz w:val="20"/>
                <w:szCs w:val="20"/>
              </w:rPr>
              <w:t>通过风机将粉尘收集至一台袋式除尘器，经除尘处理后在车间内无组织排放。</w:t>
            </w:r>
          </w:p>
          <w:p w14:paraId="28D0C8B7">
            <w:pPr>
              <w:pStyle w:val="6"/>
              <w:spacing w:before="30" w:line="362" w:lineRule="auto"/>
              <w:ind w:left="88" w:right="86" w:firstLine="420"/>
              <w:rPr>
                <w:sz w:val="20"/>
                <w:szCs w:val="20"/>
              </w:rPr>
            </w:pPr>
            <w:r>
              <w:rPr>
                <w:spacing w:val="8"/>
                <w:sz w:val="20"/>
                <w:szCs w:val="20"/>
              </w:rPr>
              <w:t>粉尘集气罩收集效率取</w:t>
            </w:r>
            <w:r>
              <w:rPr>
                <w:rFonts w:ascii="Times New Roman" w:hAnsi="Times New Roman" w:eastAsia="Times New Roman" w:cs="Times New Roman"/>
                <w:spacing w:val="8"/>
                <w:sz w:val="20"/>
                <w:szCs w:val="20"/>
              </w:rPr>
              <w:t>90%</w:t>
            </w:r>
            <w:r>
              <w:rPr>
                <w:rFonts w:ascii="Times New Roman" w:hAnsi="Times New Roman" w:eastAsia="Times New Roman" w:cs="Times New Roman"/>
                <w:spacing w:val="-26"/>
                <w:sz w:val="20"/>
                <w:szCs w:val="20"/>
              </w:rPr>
              <w:t xml:space="preserve"> </w:t>
            </w:r>
            <w:r>
              <w:rPr>
                <w:spacing w:val="8"/>
                <w:sz w:val="20"/>
                <w:szCs w:val="20"/>
              </w:rPr>
              <w:t>，除尘器除尘效率取</w:t>
            </w:r>
            <w:r>
              <w:rPr>
                <w:rFonts w:ascii="Times New Roman" w:hAnsi="Times New Roman" w:eastAsia="Times New Roman" w:cs="Times New Roman"/>
                <w:spacing w:val="8"/>
                <w:sz w:val="20"/>
                <w:szCs w:val="20"/>
              </w:rPr>
              <w:t>99%</w:t>
            </w:r>
            <w:r>
              <w:rPr>
                <w:rFonts w:ascii="Times New Roman" w:hAnsi="Times New Roman" w:eastAsia="Times New Roman" w:cs="Times New Roman"/>
                <w:spacing w:val="-23"/>
                <w:sz w:val="20"/>
                <w:szCs w:val="20"/>
              </w:rPr>
              <w:t xml:space="preserve"> </w:t>
            </w:r>
            <w:r>
              <w:rPr>
                <w:spacing w:val="8"/>
                <w:sz w:val="20"/>
                <w:szCs w:val="20"/>
              </w:rPr>
              <w:t>。经计算</w:t>
            </w:r>
            <w:r>
              <w:rPr>
                <w:spacing w:val="7"/>
                <w:sz w:val="20"/>
                <w:szCs w:val="20"/>
              </w:rPr>
              <w:t>，黄沙烘干工序的粉</w:t>
            </w:r>
            <w:r>
              <w:rPr>
                <w:sz w:val="20"/>
                <w:szCs w:val="20"/>
              </w:rPr>
              <w:t xml:space="preserve"> </w:t>
            </w:r>
            <w:r>
              <w:rPr>
                <w:spacing w:val="4"/>
                <w:sz w:val="20"/>
                <w:szCs w:val="20"/>
              </w:rPr>
              <w:t>尘排放量约</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114t/a</w:t>
            </w:r>
            <w:r>
              <w:rPr>
                <w:rFonts w:ascii="Times New Roman" w:hAnsi="Times New Roman" w:eastAsia="Times New Roman" w:cs="Times New Roman"/>
                <w:spacing w:val="-21"/>
                <w:sz w:val="20"/>
                <w:szCs w:val="20"/>
              </w:rPr>
              <w:t xml:space="preserve"> </w:t>
            </w:r>
            <w:r>
              <w:rPr>
                <w:spacing w:val="4"/>
                <w:sz w:val="20"/>
                <w:szCs w:val="20"/>
              </w:rPr>
              <w:t>，以无组织形式在生</w:t>
            </w:r>
            <w:r>
              <w:rPr>
                <w:spacing w:val="3"/>
                <w:sz w:val="20"/>
                <w:szCs w:val="20"/>
              </w:rPr>
              <w:t>产车间内排放。通过封闭式车间对粉尘的阻挡和</w:t>
            </w:r>
            <w:r>
              <w:rPr>
                <w:sz w:val="20"/>
                <w:szCs w:val="20"/>
              </w:rPr>
              <w:t xml:space="preserve">  </w:t>
            </w:r>
            <w:r>
              <w:rPr>
                <w:spacing w:val="4"/>
                <w:sz w:val="20"/>
                <w:szCs w:val="20"/>
              </w:rPr>
              <w:t>进出大门雾帘对粉尘的抑尘作用，对无组织粉尘约有</w:t>
            </w:r>
            <w:r>
              <w:rPr>
                <w:rFonts w:ascii="Times New Roman" w:hAnsi="Times New Roman" w:eastAsia="Times New Roman" w:cs="Times New Roman"/>
                <w:spacing w:val="4"/>
                <w:sz w:val="20"/>
                <w:szCs w:val="20"/>
              </w:rPr>
              <w:t>70%</w:t>
            </w:r>
            <w:r>
              <w:rPr>
                <w:spacing w:val="4"/>
                <w:sz w:val="20"/>
                <w:szCs w:val="20"/>
              </w:rPr>
              <w:t>的抑尘效率。因此，黄沙烘干环</w:t>
            </w:r>
            <w:r>
              <w:rPr>
                <w:spacing w:val="14"/>
                <w:sz w:val="20"/>
                <w:szCs w:val="20"/>
              </w:rPr>
              <w:t xml:space="preserve"> </w:t>
            </w:r>
            <w:r>
              <w:rPr>
                <w:spacing w:val="6"/>
                <w:sz w:val="20"/>
                <w:szCs w:val="20"/>
              </w:rPr>
              <w:t>节无组织粉尘排放量约</w:t>
            </w:r>
            <w:r>
              <w:rPr>
                <w:rFonts w:ascii="Times New Roman" w:hAnsi="Times New Roman" w:eastAsia="Times New Roman" w:cs="Times New Roman"/>
                <w:spacing w:val="6"/>
                <w:sz w:val="20"/>
                <w:szCs w:val="20"/>
              </w:rPr>
              <w:t>0.034t/a</w:t>
            </w:r>
            <w:r>
              <w:rPr>
                <w:spacing w:val="6"/>
                <w:sz w:val="20"/>
                <w:szCs w:val="20"/>
              </w:rPr>
              <w:t>。</w:t>
            </w:r>
          </w:p>
          <w:p w14:paraId="5F2F56ED">
            <w:pPr>
              <w:pStyle w:val="6"/>
              <w:spacing w:before="33" w:line="225" w:lineRule="auto"/>
              <w:ind w:left="508"/>
              <w:rPr>
                <w:sz w:val="20"/>
                <w:szCs w:val="20"/>
              </w:rPr>
            </w:pPr>
            <w:r>
              <w:rPr>
                <w:spacing w:val="9"/>
                <w:sz w:val="20"/>
                <w:szCs w:val="20"/>
              </w:rPr>
              <w:t>⑤乳胶粉及玻纤等小料上料粉尘</w:t>
            </w:r>
          </w:p>
          <w:p w14:paraId="72E932C0">
            <w:pPr>
              <w:pStyle w:val="6"/>
              <w:spacing w:before="158" w:line="360" w:lineRule="auto"/>
              <w:ind w:left="90" w:right="86" w:firstLine="420"/>
              <w:rPr>
                <w:sz w:val="20"/>
                <w:szCs w:val="20"/>
              </w:rPr>
            </w:pPr>
            <w:r>
              <w:rPr>
                <w:spacing w:val="9"/>
                <w:sz w:val="20"/>
                <w:szCs w:val="20"/>
              </w:rPr>
              <w:t>本项目使用的可再分散乳胶粉、玻璃纤维等原料，占比较小，设计有</w:t>
            </w:r>
            <w:r>
              <w:rPr>
                <w:spacing w:val="8"/>
                <w:sz w:val="20"/>
                <w:szCs w:val="20"/>
              </w:rPr>
              <w:t>专用的小料上</w:t>
            </w:r>
            <w:r>
              <w:rPr>
                <w:sz w:val="20"/>
                <w:szCs w:val="20"/>
              </w:rPr>
              <w:t xml:space="preserve"> </w:t>
            </w:r>
            <w:r>
              <w:rPr>
                <w:spacing w:val="8"/>
                <w:sz w:val="20"/>
                <w:szCs w:val="20"/>
              </w:rPr>
              <w:t>料平台。由人工破袋将小料投入小料仓（0.5m</w:t>
            </w:r>
            <w:r>
              <w:rPr>
                <w:spacing w:val="8"/>
                <w:position w:val="10"/>
                <w:sz w:val="10"/>
                <w:szCs w:val="10"/>
              </w:rPr>
              <w:t>3</w:t>
            </w:r>
            <w:r>
              <w:rPr>
                <w:spacing w:val="-22"/>
                <w:position w:val="10"/>
                <w:sz w:val="10"/>
                <w:szCs w:val="10"/>
              </w:rPr>
              <w:t xml:space="preserve"> </w:t>
            </w:r>
            <w:r>
              <w:rPr>
                <w:spacing w:val="-21"/>
                <w:sz w:val="20"/>
                <w:szCs w:val="20"/>
              </w:rPr>
              <w:t>），</w:t>
            </w:r>
            <w:r>
              <w:rPr>
                <w:spacing w:val="8"/>
                <w:sz w:val="20"/>
                <w:szCs w:val="20"/>
              </w:rPr>
              <w:t>然后有密闭</w:t>
            </w:r>
            <w:r>
              <w:rPr>
                <w:spacing w:val="7"/>
                <w:sz w:val="20"/>
                <w:szCs w:val="20"/>
              </w:rPr>
              <w:t>式螺旋输送系统输送至搅</w:t>
            </w:r>
            <w:r>
              <w:rPr>
                <w:sz w:val="20"/>
                <w:szCs w:val="20"/>
              </w:rPr>
              <w:t xml:space="preserve"> </w:t>
            </w:r>
            <w:r>
              <w:rPr>
                <w:spacing w:val="9"/>
                <w:sz w:val="20"/>
                <w:szCs w:val="20"/>
              </w:rPr>
              <w:t>拌机。因此，小料投料过程的粉尘产生主要是人工投料环节。参考《逸散性</w:t>
            </w:r>
            <w:r>
              <w:rPr>
                <w:spacing w:val="8"/>
                <w:sz w:val="20"/>
                <w:szCs w:val="20"/>
              </w:rPr>
              <w:t>工业粉尘控</w:t>
            </w:r>
            <w:r>
              <w:rPr>
                <w:sz w:val="20"/>
                <w:szCs w:val="20"/>
              </w:rPr>
              <w:t xml:space="preserve"> </w:t>
            </w:r>
            <w:r>
              <w:rPr>
                <w:spacing w:val="9"/>
                <w:sz w:val="20"/>
                <w:szCs w:val="20"/>
              </w:rPr>
              <w:t>制技术》中卸料时逸散尘排放系数取0.01</w:t>
            </w:r>
            <w:r>
              <w:rPr>
                <w:sz w:val="20"/>
                <w:szCs w:val="20"/>
              </w:rPr>
              <w:t>kg</w:t>
            </w:r>
            <w:r>
              <w:rPr>
                <w:spacing w:val="9"/>
                <w:sz w:val="20"/>
                <w:szCs w:val="20"/>
              </w:rPr>
              <w:t>/t。本项目各类小料年使用量约</w:t>
            </w:r>
          </w:p>
          <w:p w14:paraId="06759CA1">
            <w:pPr>
              <w:pStyle w:val="6"/>
              <w:spacing w:before="37" w:line="228" w:lineRule="auto"/>
              <w:ind w:left="94"/>
              <w:rPr>
                <w:sz w:val="20"/>
                <w:szCs w:val="20"/>
              </w:rPr>
            </w:pPr>
            <w:r>
              <w:rPr>
                <w:spacing w:val="7"/>
                <w:sz w:val="20"/>
                <w:szCs w:val="20"/>
              </w:rPr>
              <w:t>3500.163t/a，经计算小料投料过程粉尘产生量</w:t>
            </w:r>
            <w:r>
              <w:rPr>
                <w:spacing w:val="6"/>
                <w:sz w:val="20"/>
                <w:szCs w:val="20"/>
              </w:rPr>
              <w:t>约0.035t/a。</w:t>
            </w:r>
          </w:p>
          <w:p w14:paraId="76EB9A61">
            <w:pPr>
              <w:pStyle w:val="6"/>
              <w:spacing w:before="154" w:line="227" w:lineRule="auto"/>
              <w:ind w:left="515"/>
              <w:rPr>
                <w:sz w:val="20"/>
                <w:szCs w:val="20"/>
              </w:rPr>
            </w:pPr>
            <w:r>
              <w:rPr>
                <w:b/>
                <w:bCs/>
                <w:spacing w:val="8"/>
                <w:sz w:val="20"/>
                <w:szCs w:val="20"/>
              </w:rPr>
              <w:t>治理措施</w:t>
            </w:r>
            <w:r>
              <w:rPr>
                <w:spacing w:val="8"/>
                <w:sz w:val="20"/>
                <w:szCs w:val="20"/>
              </w:rPr>
              <w:t>：根据设计资料，本项目的小料平台配套有脉冲除尘器，通过风机产生的</w:t>
            </w:r>
          </w:p>
        </w:tc>
      </w:tr>
    </w:tbl>
    <w:p w14:paraId="2ACA093B">
      <w:pPr>
        <w:pStyle w:val="2"/>
      </w:pPr>
    </w:p>
    <w:p w14:paraId="0545BADE">
      <w:pPr>
        <w:sectPr>
          <w:footerReference r:id="rId67" w:type="default"/>
          <w:pgSz w:w="11907" w:h="16840"/>
          <w:pgMar w:top="1431" w:right="1490" w:bottom="1260" w:left="1489" w:header="0" w:footer="1080" w:gutter="0"/>
          <w:cols w:space="720" w:num="1"/>
        </w:sectPr>
      </w:pPr>
    </w:p>
    <w:p w14:paraId="20BD0D97">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002F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0FF3443F">
            <w:pPr>
              <w:rPr>
                <w:rFonts w:ascii="Arial"/>
                <w:sz w:val="21"/>
              </w:rPr>
            </w:pPr>
          </w:p>
        </w:tc>
        <w:tc>
          <w:tcPr>
            <w:tcW w:w="8127" w:type="dxa"/>
            <w:tcBorders>
              <w:top w:val="single" w:color="000000" w:sz="2" w:space="0"/>
              <w:left w:val="single" w:color="000000" w:sz="2" w:space="0"/>
            </w:tcBorders>
            <w:vAlign w:val="top"/>
          </w:tcPr>
          <w:p w14:paraId="2F35F68A">
            <w:pPr>
              <w:pStyle w:val="6"/>
              <w:spacing w:before="145" w:line="228" w:lineRule="auto"/>
              <w:ind w:left="98"/>
              <w:rPr>
                <w:sz w:val="20"/>
                <w:szCs w:val="20"/>
              </w:rPr>
            </w:pPr>
            <w:r>
              <w:rPr>
                <w:spacing w:val="5"/>
                <w:sz w:val="20"/>
                <w:szCs w:val="20"/>
              </w:rPr>
              <w:t>吸力收集粉尘。</w:t>
            </w:r>
          </w:p>
          <w:p w14:paraId="5D92B503">
            <w:pPr>
              <w:pStyle w:val="6"/>
              <w:spacing w:before="152" w:line="360" w:lineRule="auto"/>
              <w:ind w:left="90" w:right="160" w:firstLine="421"/>
              <w:rPr>
                <w:sz w:val="20"/>
                <w:szCs w:val="20"/>
              </w:rPr>
            </w:pPr>
            <w:r>
              <w:rPr>
                <w:spacing w:val="9"/>
                <w:sz w:val="20"/>
                <w:szCs w:val="20"/>
              </w:rPr>
              <w:t>参考经验数据，采取上述粉尘收集方式收集率约90%，配套的小型脉冲除尘器除尘</w:t>
            </w:r>
            <w:r>
              <w:rPr>
                <w:spacing w:val="10"/>
                <w:sz w:val="20"/>
                <w:szCs w:val="20"/>
              </w:rPr>
              <w:t xml:space="preserve"> </w:t>
            </w:r>
            <w:r>
              <w:rPr>
                <w:spacing w:val="9"/>
                <w:sz w:val="20"/>
                <w:szCs w:val="20"/>
              </w:rPr>
              <w:t>效率取95%，收集的粉尘经除尘器处理后，极少部分粉尘随废气在车间内排放，未被收</w:t>
            </w:r>
            <w:r>
              <w:rPr>
                <w:spacing w:val="14"/>
                <w:sz w:val="20"/>
                <w:szCs w:val="20"/>
              </w:rPr>
              <w:t xml:space="preserve"> </w:t>
            </w:r>
            <w:r>
              <w:rPr>
                <w:spacing w:val="10"/>
                <w:sz w:val="20"/>
                <w:szCs w:val="20"/>
              </w:rPr>
              <w:t>集到的粉尘也以无组织形式在车间内排放。经计算，小</w:t>
            </w:r>
            <w:r>
              <w:rPr>
                <w:spacing w:val="9"/>
                <w:sz w:val="20"/>
                <w:szCs w:val="20"/>
              </w:rPr>
              <w:t>料上料平台粉尘总排放量约</w:t>
            </w:r>
          </w:p>
          <w:p w14:paraId="3E889708">
            <w:pPr>
              <w:pStyle w:val="6"/>
              <w:spacing w:before="30" w:line="355" w:lineRule="auto"/>
              <w:ind w:left="94" w:right="86" w:hanging="3"/>
              <w:rPr>
                <w:sz w:val="20"/>
                <w:szCs w:val="20"/>
              </w:rPr>
            </w:pPr>
            <w:r>
              <w:rPr>
                <w:spacing w:val="-1"/>
                <w:sz w:val="20"/>
                <w:szCs w:val="20"/>
              </w:rPr>
              <w:t>0.005t/a。通过封闭式车间对粉尘的阻挡和进出大</w:t>
            </w:r>
            <w:r>
              <w:rPr>
                <w:spacing w:val="-2"/>
                <w:sz w:val="20"/>
                <w:szCs w:val="20"/>
              </w:rPr>
              <w:t>门雾帘对粉尘的抑尘作用，对无组织粉尘</w:t>
            </w:r>
            <w:r>
              <w:rPr>
                <w:sz w:val="20"/>
                <w:szCs w:val="20"/>
              </w:rPr>
              <w:t xml:space="preserve"> </w:t>
            </w:r>
            <w:r>
              <w:rPr>
                <w:spacing w:val="8"/>
                <w:sz w:val="20"/>
                <w:szCs w:val="20"/>
              </w:rPr>
              <w:t>约有</w:t>
            </w:r>
            <w:r>
              <w:rPr>
                <w:rFonts w:ascii="Times New Roman" w:hAnsi="Times New Roman" w:eastAsia="Times New Roman" w:cs="Times New Roman"/>
                <w:spacing w:val="8"/>
                <w:sz w:val="20"/>
                <w:szCs w:val="20"/>
              </w:rPr>
              <w:t>70%</w:t>
            </w:r>
            <w:r>
              <w:rPr>
                <w:spacing w:val="8"/>
                <w:sz w:val="20"/>
                <w:szCs w:val="20"/>
              </w:rPr>
              <w:t>的抑尘效率。因此，小料上料环节无组织粉尘排放</w:t>
            </w:r>
            <w:r>
              <w:rPr>
                <w:spacing w:val="7"/>
                <w:sz w:val="20"/>
                <w:szCs w:val="20"/>
              </w:rPr>
              <w:t>量约</w:t>
            </w:r>
            <w:r>
              <w:rPr>
                <w:rFonts w:ascii="Times New Roman" w:hAnsi="Times New Roman" w:eastAsia="Times New Roman" w:cs="Times New Roman"/>
                <w:spacing w:val="7"/>
                <w:sz w:val="20"/>
                <w:szCs w:val="20"/>
              </w:rPr>
              <w:t>0.002t/a</w:t>
            </w:r>
            <w:r>
              <w:rPr>
                <w:spacing w:val="7"/>
                <w:sz w:val="20"/>
                <w:szCs w:val="20"/>
              </w:rPr>
              <w:t>。</w:t>
            </w:r>
          </w:p>
          <w:p w14:paraId="7C77A2F5">
            <w:pPr>
              <w:pStyle w:val="6"/>
              <w:spacing w:before="32" w:line="225" w:lineRule="auto"/>
              <w:ind w:left="508"/>
              <w:rPr>
                <w:sz w:val="20"/>
                <w:szCs w:val="20"/>
              </w:rPr>
            </w:pPr>
            <w:r>
              <w:rPr>
                <w:spacing w:val="9"/>
                <w:sz w:val="20"/>
                <w:szCs w:val="20"/>
              </w:rPr>
              <w:t>⑥物料混合搅拌粉尘</w:t>
            </w:r>
          </w:p>
          <w:p w14:paraId="0D4861EE">
            <w:pPr>
              <w:pStyle w:val="6"/>
              <w:spacing w:before="150" w:line="365" w:lineRule="auto"/>
              <w:ind w:left="89" w:right="67" w:firstLine="424"/>
              <w:rPr>
                <w:sz w:val="20"/>
                <w:szCs w:val="20"/>
              </w:rPr>
            </w:pPr>
            <w:r>
              <w:rPr>
                <w:spacing w:val="9"/>
                <w:sz w:val="20"/>
                <w:szCs w:val="20"/>
              </w:rPr>
              <w:t>项目生产时所有物料均通过计量装置计量后，经管道密闭输送进</w:t>
            </w:r>
            <w:r>
              <w:rPr>
                <w:spacing w:val="8"/>
                <w:sz w:val="20"/>
                <w:szCs w:val="20"/>
              </w:rPr>
              <w:t>入搅拌机。经过双</w:t>
            </w:r>
            <w:r>
              <w:rPr>
                <w:sz w:val="20"/>
                <w:szCs w:val="20"/>
              </w:rPr>
              <w:t xml:space="preserve"> </w:t>
            </w:r>
            <w:r>
              <w:rPr>
                <w:spacing w:val="9"/>
                <w:sz w:val="20"/>
                <w:szCs w:val="20"/>
              </w:rPr>
              <w:t>轴混合机（搅拌机）充分搅拌混合均匀后，即成为干混砂浆产品。项目所有原料均</w:t>
            </w:r>
            <w:r>
              <w:rPr>
                <w:spacing w:val="8"/>
                <w:sz w:val="20"/>
                <w:szCs w:val="20"/>
              </w:rPr>
              <w:t>为粉</w:t>
            </w:r>
            <w:r>
              <w:rPr>
                <w:sz w:val="20"/>
                <w:szCs w:val="20"/>
              </w:rPr>
              <w:t xml:space="preserve"> </w:t>
            </w:r>
            <w:r>
              <w:rPr>
                <w:spacing w:val="9"/>
                <w:sz w:val="20"/>
                <w:szCs w:val="20"/>
              </w:rPr>
              <w:t>料，搅拌过程会产生少量的粉尘。参考《排放源统计调查产排污核算方法和系数手册》</w:t>
            </w:r>
            <w:r>
              <w:rPr>
                <w:spacing w:val="17"/>
                <w:sz w:val="20"/>
                <w:szCs w:val="20"/>
              </w:rPr>
              <w:t xml:space="preserve"> </w:t>
            </w:r>
            <w:r>
              <w:rPr>
                <w:spacing w:val="7"/>
                <w:sz w:val="20"/>
                <w:szCs w:val="20"/>
              </w:rPr>
              <w:t>（公告</w:t>
            </w:r>
            <w:r>
              <w:rPr>
                <w:rFonts w:ascii="Times New Roman" w:hAnsi="Times New Roman" w:eastAsia="Times New Roman" w:cs="Times New Roman"/>
                <w:spacing w:val="7"/>
                <w:sz w:val="20"/>
                <w:szCs w:val="20"/>
              </w:rPr>
              <w:t>2021</w:t>
            </w:r>
            <w:r>
              <w:rPr>
                <w:spacing w:val="7"/>
                <w:sz w:val="20"/>
                <w:szCs w:val="20"/>
              </w:rPr>
              <w:t>年第</w:t>
            </w:r>
            <w:r>
              <w:rPr>
                <w:rFonts w:ascii="Times New Roman" w:hAnsi="Times New Roman" w:eastAsia="Times New Roman" w:cs="Times New Roman"/>
                <w:spacing w:val="7"/>
                <w:sz w:val="20"/>
                <w:szCs w:val="20"/>
              </w:rPr>
              <w:t>24</w:t>
            </w:r>
            <w:r>
              <w:rPr>
                <w:spacing w:val="7"/>
                <w:sz w:val="20"/>
                <w:szCs w:val="20"/>
              </w:rPr>
              <w:t>号）中“3021水泥制品制造(含 3022 砼结构构件、3029 其他</w:t>
            </w:r>
            <w:r>
              <w:rPr>
                <w:spacing w:val="6"/>
                <w:sz w:val="20"/>
                <w:szCs w:val="20"/>
              </w:rPr>
              <w:t>水泥类</w:t>
            </w:r>
            <w:r>
              <w:rPr>
                <w:sz w:val="20"/>
                <w:szCs w:val="20"/>
              </w:rPr>
              <w:t xml:space="preserve"> </w:t>
            </w:r>
            <w:r>
              <w:rPr>
                <w:spacing w:val="8"/>
                <w:sz w:val="20"/>
                <w:szCs w:val="20"/>
              </w:rPr>
              <w:t>似制品制造)行业系数手册</w:t>
            </w:r>
            <w:r>
              <w:rPr>
                <w:spacing w:val="-70"/>
                <w:sz w:val="20"/>
                <w:szCs w:val="20"/>
              </w:rPr>
              <w:t xml:space="preserve"> </w:t>
            </w:r>
            <w:r>
              <w:rPr>
                <w:spacing w:val="8"/>
                <w:sz w:val="20"/>
                <w:szCs w:val="20"/>
              </w:rPr>
              <w:t>”，混凝土制品物料混合</w:t>
            </w:r>
            <w:r>
              <w:rPr>
                <w:spacing w:val="7"/>
                <w:sz w:val="20"/>
                <w:szCs w:val="20"/>
              </w:rPr>
              <w:t>搅拌颗粒物产污系数为0.13</w:t>
            </w:r>
            <w:r>
              <w:rPr>
                <w:sz w:val="20"/>
                <w:szCs w:val="20"/>
              </w:rPr>
              <w:t>kg</w:t>
            </w:r>
            <w:r>
              <w:rPr>
                <w:spacing w:val="7"/>
                <w:sz w:val="20"/>
                <w:szCs w:val="20"/>
              </w:rPr>
              <w:t>/t-产</w:t>
            </w:r>
            <w:r>
              <w:rPr>
                <w:sz w:val="20"/>
                <w:szCs w:val="20"/>
              </w:rPr>
              <w:t xml:space="preserve"> </w:t>
            </w:r>
            <w:r>
              <w:rPr>
                <w:spacing w:val="9"/>
                <w:sz w:val="20"/>
                <w:szCs w:val="20"/>
              </w:rPr>
              <w:t>品。本项目年生产干混砂浆约30万吨，经计</w:t>
            </w:r>
            <w:r>
              <w:rPr>
                <w:spacing w:val="8"/>
                <w:sz w:val="20"/>
                <w:szCs w:val="20"/>
              </w:rPr>
              <w:t>算搅拌过程粉尘产生量约39t/a。</w:t>
            </w:r>
          </w:p>
          <w:p w14:paraId="20C42C7E">
            <w:pPr>
              <w:pStyle w:val="6"/>
              <w:spacing w:before="27" w:line="365" w:lineRule="auto"/>
              <w:ind w:left="89" w:right="15" w:firstLine="425"/>
              <w:rPr>
                <w:sz w:val="20"/>
                <w:szCs w:val="20"/>
              </w:rPr>
            </w:pPr>
            <w:r>
              <w:rPr>
                <w:b/>
                <w:bCs/>
                <w:spacing w:val="9"/>
                <w:sz w:val="20"/>
                <w:szCs w:val="20"/>
              </w:rPr>
              <w:t>治理措施</w:t>
            </w:r>
            <w:r>
              <w:rPr>
                <w:spacing w:val="9"/>
                <w:sz w:val="20"/>
                <w:szCs w:val="20"/>
              </w:rPr>
              <w:t>：根据设计，项目干混砂浆的搅拌机配套有布袋除尘器1台，对搅拌机进</w:t>
            </w:r>
            <w:r>
              <w:rPr>
                <w:spacing w:val="5"/>
                <w:sz w:val="20"/>
                <w:szCs w:val="20"/>
              </w:rPr>
              <w:t xml:space="preserve">  </w:t>
            </w:r>
            <w:r>
              <w:rPr>
                <w:spacing w:val="9"/>
                <w:sz w:val="20"/>
                <w:szCs w:val="20"/>
              </w:rPr>
              <w:t>行收尘处理。搅拌机进料为密闭螺旋输送进料，出料口也与底斗仓密闭式连接，考</w:t>
            </w:r>
            <w:r>
              <w:rPr>
                <w:spacing w:val="8"/>
                <w:sz w:val="20"/>
                <w:szCs w:val="20"/>
              </w:rPr>
              <w:t>虑物</w:t>
            </w:r>
            <w:r>
              <w:rPr>
                <w:sz w:val="20"/>
                <w:szCs w:val="20"/>
              </w:rPr>
              <w:t xml:space="preserve"> </w:t>
            </w:r>
            <w:r>
              <w:rPr>
                <w:spacing w:val="9"/>
                <w:sz w:val="20"/>
                <w:szCs w:val="20"/>
              </w:rPr>
              <w:t>料走向引起的气流走向因素，搅拌过程的粉尘几乎不会返回至螺旋输送进料装</w:t>
            </w:r>
            <w:r>
              <w:rPr>
                <w:spacing w:val="8"/>
                <w:sz w:val="20"/>
                <w:szCs w:val="20"/>
              </w:rPr>
              <w:t>置，主要</w:t>
            </w:r>
            <w:r>
              <w:rPr>
                <w:sz w:val="20"/>
                <w:szCs w:val="20"/>
              </w:rPr>
              <w:t xml:space="preserve"> </w:t>
            </w:r>
            <w:r>
              <w:rPr>
                <w:spacing w:val="9"/>
                <w:sz w:val="20"/>
                <w:szCs w:val="20"/>
              </w:rPr>
              <w:t>产生在搅拌机出料口。因此，搅拌机配套的除尘器设有收尘装置与搅拌机出料口密</w:t>
            </w:r>
            <w:r>
              <w:rPr>
                <w:spacing w:val="8"/>
                <w:sz w:val="20"/>
                <w:szCs w:val="20"/>
              </w:rPr>
              <w:t>闭连</w:t>
            </w:r>
            <w:r>
              <w:rPr>
                <w:sz w:val="20"/>
                <w:szCs w:val="20"/>
              </w:rPr>
              <w:t xml:space="preserve"> </w:t>
            </w:r>
            <w:r>
              <w:rPr>
                <w:spacing w:val="7"/>
                <w:sz w:val="20"/>
                <w:szCs w:val="20"/>
              </w:rPr>
              <w:t>接。参考经验数据，采取上述收尘方式，收尘效率取100%，袋式除尘器除尘效率取99%。</w:t>
            </w:r>
            <w:r>
              <w:rPr>
                <w:spacing w:val="17"/>
                <w:sz w:val="20"/>
                <w:szCs w:val="20"/>
              </w:rPr>
              <w:t xml:space="preserve"> </w:t>
            </w:r>
            <w:r>
              <w:rPr>
                <w:spacing w:val="8"/>
                <w:sz w:val="20"/>
                <w:szCs w:val="20"/>
              </w:rPr>
              <w:t>经计算，项目干混砂浆搅拌过程粉尘排放量约0.39t/a。</w:t>
            </w:r>
          </w:p>
          <w:p w14:paraId="574CDF1D">
            <w:pPr>
              <w:pStyle w:val="6"/>
              <w:spacing w:before="31" w:line="360" w:lineRule="auto"/>
              <w:ind w:left="90" w:right="88" w:firstLine="420"/>
              <w:rPr>
                <w:sz w:val="20"/>
                <w:szCs w:val="20"/>
              </w:rPr>
            </w:pPr>
            <w:r>
              <w:rPr>
                <w:b/>
                <w:bCs/>
                <w:spacing w:val="9"/>
                <w:sz w:val="20"/>
                <w:szCs w:val="20"/>
              </w:rPr>
              <w:t>排放方式</w:t>
            </w:r>
            <w:r>
              <w:rPr>
                <w:spacing w:val="9"/>
                <w:sz w:val="20"/>
                <w:szCs w:val="20"/>
              </w:rPr>
              <w:t>：根据设计资料，项目干混砂浆搅拌</w:t>
            </w:r>
            <w:r>
              <w:rPr>
                <w:spacing w:val="8"/>
                <w:sz w:val="20"/>
                <w:szCs w:val="20"/>
              </w:rPr>
              <w:t>环节产生的粉尘，拟利用球磨筛分环</w:t>
            </w:r>
            <w:r>
              <w:rPr>
                <w:sz w:val="20"/>
                <w:szCs w:val="20"/>
              </w:rPr>
              <w:t xml:space="preserve"> </w:t>
            </w:r>
            <w:r>
              <w:rPr>
                <w:spacing w:val="8"/>
                <w:sz w:val="20"/>
                <w:szCs w:val="20"/>
              </w:rPr>
              <w:t>节设置的排气筒实现有组织排放，排气筒编号</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002</w:t>
            </w:r>
            <w:r>
              <w:rPr>
                <w:rFonts w:ascii="Times New Roman" w:hAnsi="Times New Roman" w:eastAsia="Times New Roman" w:cs="Times New Roman"/>
                <w:spacing w:val="-6"/>
                <w:sz w:val="20"/>
                <w:szCs w:val="20"/>
              </w:rPr>
              <w:t xml:space="preserve"> </w:t>
            </w:r>
            <w:r>
              <w:rPr>
                <w:spacing w:val="8"/>
                <w:sz w:val="20"/>
                <w:szCs w:val="20"/>
              </w:rPr>
              <w:t>。由于干混砂浆产品气动放料至成</w:t>
            </w:r>
            <w:r>
              <w:rPr>
                <w:sz w:val="20"/>
                <w:szCs w:val="20"/>
              </w:rPr>
              <w:t xml:space="preserve"> </w:t>
            </w:r>
            <w:r>
              <w:rPr>
                <w:spacing w:val="9"/>
                <w:sz w:val="20"/>
                <w:szCs w:val="20"/>
              </w:rPr>
              <w:t>品仓环节的粉尘，也利用该排气筒排放，因此其达标排放情况在后文统一分析。</w:t>
            </w:r>
          </w:p>
          <w:p w14:paraId="71B6A631">
            <w:pPr>
              <w:pStyle w:val="6"/>
              <w:spacing w:before="30" w:line="225" w:lineRule="auto"/>
              <w:ind w:left="508"/>
              <w:rPr>
                <w:sz w:val="20"/>
                <w:szCs w:val="20"/>
              </w:rPr>
            </w:pPr>
            <w:r>
              <w:rPr>
                <w:spacing w:val="9"/>
                <w:sz w:val="20"/>
                <w:szCs w:val="20"/>
              </w:rPr>
              <w:t>⑦砂浆产品气动放料至成品仓及包装粉尘</w:t>
            </w:r>
          </w:p>
          <w:p w14:paraId="2001060D">
            <w:pPr>
              <w:pStyle w:val="6"/>
              <w:spacing w:before="158" w:line="350" w:lineRule="auto"/>
              <w:ind w:left="89" w:right="55" w:firstLine="421"/>
            </w:pPr>
            <w:r>
              <w:rPr>
                <w:spacing w:val="8"/>
                <w:sz w:val="20"/>
                <w:szCs w:val="20"/>
              </w:rPr>
              <w:t>本项目生产好的干混砂浆产品，通过封闭式管道气动放料至成品仓，仓容积</w:t>
            </w:r>
            <w:r>
              <w:rPr>
                <w:spacing w:val="7"/>
                <w:sz w:val="20"/>
                <w:szCs w:val="20"/>
              </w:rPr>
              <w:t>约5m</w:t>
            </w:r>
            <w:r>
              <w:rPr>
                <w:spacing w:val="7"/>
                <w:position w:val="10"/>
                <w:sz w:val="10"/>
                <w:szCs w:val="10"/>
              </w:rPr>
              <w:t>3</w:t>
            </w:r>
            <w:r>
              <w:rPr>
                <w:spacing w:val="7"/>
                <w:sz w:val="20"/>
                <w:szCs w:val="20"/>
              </w:rPr>
              <w:t>，</w:t>
            </w:r>
            <w:r>
              <w:rPr>
                <w:sz w:val="20"/>
                <w:szCs w:val="20"/>
              </w:rPr>
              <w:t xml:space="preserve"> </w:t>
            </w:r>
            <w:r>
              <w:rPr>
                <w:spacing w:val="9"/>
                <w:sz w:val="20"/>
                <w:szCs w:val="20"/>
              </w:rPr>
              <w:t>仓下采用密闭管道连接至软式包装机，袋装包装后成为袋装干混砂浆产品。整个生</w:t>
            </w:r>
            <w:r>
              <w:rPr>
                <w:spacing w:val="8"/>
                <w:sz w:val="20"/>
                <w:szCs w:val="20"/>
              </w:rPr>
              <w:t>产过</w:t>
            </w:r>
            <w:r>
              <w:rPr>
                <w:sz w:val="20"/>
                <w:szCs w:val="20"/>
              </w:rPr>
              <w:t xml:space="preserve"> </w:t>
            </w:r>
            <w:r>
              <w:rPr>
                <w:spacing w:val="9"/>
                <w:sz w:val="20"/>
                <w:szCs w:val="20"/>
              </w:rPr>
              <w:t>程，因气动放料及包装机放料会引起成品仓内压力变化，产生的粉尘会通过成品仓</w:t>
            </w:r>
            <w:r>
              <w:rPr>
                <w:spacing w:val="8"/>
                <w:sz w:val="20"/>
                <w:szCs w:val="20"/>
              </w:rPr>
              <w:t>仓顶</w:t>
            </w:r>
            <w:r>
              <w:rPr>
                <w:sz w:val="20"/>
                <w:szCs w:val="20"/>
              </w:rPr>
              <w:t xml:space="preserve"> </w:t>
            </w:r>
            <w:r>
              <w:rPr>
                <w:spacing w:val="2"/>
                <w:sz w:val="20"/>
                <w:szCs w:val="20"/>
              </w:rPr>
              <w:t>的呼吸口排放。</w:t>
            </w:r>
            <w:r>
              <w:rPr>
                <w:spacing w:val="2"/>
              </w:rPr>
              <w:t>参考《散逸性工业粉尘控制技术》中关于搅拌厂</w:t>
            </w:r>
            <w:r>
              <w:rPr>
                <w:spacing w:val="1"/>
              </w:rPr>
              <w:t>筒仓进料过程中逸</w:t>
            </w:r>
            <w:r>
              <w:t xml:space="preserve">  </w:t>
            </w:r>
            <w:r>
              <w:rPr>
                <w:spacing w:val="-3"/>
              </w:rPr>
              <w:t>散尘的产污系数</w:t>
            </w:r>
            <w:r>
              <w:rPr>
                <w:rFonts w:ascii="Times New Roman" w:hAnsi="Times New Roman" w:eastAsia="Times New Roman" w:cs="Times New Roman"/>
                <w:spacing w:val="-3"/>
              </w:rPr>
              <w:t>0.</w:t>
            </w:r>
            <w:r>
              <w:rPr>
                <w:rFonts w:ascii="Times New Roman" w:hAnsi="Times New Roman" w:eastAsia="Times New Roman" w:cs="Times New Roman"/>
                <w:spacing w:val="-16"/>
              </w:rPr>
              <w:t xml:space="preserve"> </w:t>
            </w:r>
            <w:r>
              <w:rPr>
                <w:rFonts w:ascii="Times New Roman" w:hAnsi="Times New Roman" w:eastAsia="Times New Roman" w:cs="Times New Roman"/>
                <w:spacing w:val="-3"/>
              </w:rPr>
              <w:t>12kg/t</w:t>
            </w:r>
            <w:r>
              <w:rPr>
                <w:spacing w:val="-3"/>
              </w:rPr>
              <w:t>。</w:t>
            </w:r>
          </w:p>
          <w:p w14:paraId="2C0F3E8F">
            <w:pPr>
              <w:pStyle w:val="6"/>
              <w:spacing w:before="19" w:line="320" w:lineRule="auto"/>
              <w:ind w:left="90" w:right="114" w:firstLine="441"/>
            </w:pPr>
            <w:r>
              <w:rPr>
                <w:spacing w:val="-1"/>
              </w:rPr>
              <w:t>根据工程分析，项目约</w:t>
            </w:r>
            <w:r>
              <w:rPr>
                <w:rFonts w:ascii="Times New Roman" w:hAnsi="Times New Roman" w:eastAsia="Times New Roman" w:cs="Times New Roman"/>
                <w:spacing w:val="-1"/>
              </w:rPr>
              <w:t>300000t/a</w:t>
            </w:r>
            <w:r>
              <w:rPr>
                <w:rFonts w:ascii="Times New Roman" w:hAnsi="Times New Roman" w:eastAsia="Times New Roman" w:cs="Times New Roman"/>
                <w:spacing w:val="-28"/>
              </w:rPr>
              <w:t xml:space="preserve"> </w:t>
            </w:r>
            <w:r>
              <w:rPr>
                <w:spacing w:val="-1"/>
              </w:rPr>
              <w:t>，全部气力输送至成品仓临时贮存，成品仓的</w:t>
            </w:r>
            <w:r>
              <w:t xml:space="preserve"> </w:t>
            </w:r>
            <w:r>
              <w:rPr>
                <w:spacing w:val="-2"/>
              </w:rPr>
              <w:t>逸散尘产污系数取</w:t>
            </w:r>
            <w:r>
              <w:rPr>
                <w:rFonts w:ascii="Times New Roman" w:hAnsi="Times New Roman" w:eastAsia="Times New Roman" w:cs="Times New Roman"/>
                <w:spacing w:val="-2"/>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12kg/t</w:t>
            </w:r>
            <w:r>
              <w:rPr>
                <w:rFonts w:ascii="Times New Roman" w:hAnsi="Times New Roman" w:eastAsia="Times New Roman" w:cs="Times New Roman"/>
                <w:spacing w:val="-30"/>
              </w:rPr>
              <w:t xml:space="preserve"> </w:t>
            </w:r>
            <w:r>
              <w:rPr>
                <w:spacing w:val="-2"/>
              </w:rPr>
              <w:t>，经计算粉尘产生量约</w:t>
            </w:r>
            <w:r>
              <w:rPr>
                <w:rFonts w:ascii="Times New Roman" w:hAnsi="Times New Roman" w:eastAsia="Times New Roman" w:cs="Times New Roman"/>
                <w:spacing w:val="-2"/>
              </w:rPr>
              <w:t>36t/a</w:t>
            </w:r>
            <w:r>
              <w:rPr>
                <w:spacing w:val="-2"/>
              </w:rPr>
              <w:t>。</w:t>
            </w:r>
          </w:p>
          <w:p w14:paraId="401316A8">
            <w:pPr>
              <w:pStyle w:val="6"/>
              <w:spacing w:before="34" w:line="303" w:lineRule="auto"/>
              <w:ind w:left="89" w:right="8" w:firstLine="447"/>
            </w:pPr>
            <w:r>
              <w:rPr>
                <w:b/>
                <w:bCs/>
                <w:spacing w:val="-4"/>
              </w:rPr>
              <w:t>治理措施</w:t>
            </w:r>
            <w:r>
              <w:rPr>
                <w:spacing w:val="-4"/>
              </w:rPr>
              <w:t>：根据设计，项目成品仓仓顶配备有布袋除尘器，属于无动力除尘器。</w:t>
            </w:r>
            <w:r>
              <w:rPr>
                <w:spacing w:val="1"/>
              </w:rPr>
              <w:t xml:space="preserve"> </w:t>
            </w:r>
            <w:r>
              <w:t>仓泄压呼吸时排放的粉尘经除尘器处理后，极少量的粉尘会逸</w:t>
            </w:r>
            <w:r>
              <w:rPr>
                <w:spacing w:val="-1"/>
              </w:rPr>
              <w:t>散至大气环境。除尘</w:t>
            </w:r>
            <w:r>
              <w:t xml:space="preserve">  </w:t>
            </w:r>
            <w:r>
              <w:rPr>
                <w:spacing w:val="-2"/>
              </w:rPr>
              <w:t>器与仓顶呼吸口密闭连接，收尘效率取</w:t>
            </w:r>
            <w:r>
              <w:rPr>
                <w:rFonts w:ascii="Times New Roman" w:hAnsi="Times New Roman" w:eastAsia="Times New Roman" w:cs="Times New Roman"/>
                <w:spacing w:val="-2"/>
              </w:rPr>
              <w:t>100%</w:t>
            </w:r>
            <w:r>
              <w:rPr>
                <w:rFonts w:ascii="Times New Roman" w:hAnsi="Times New Roman" w:eastAsia="Times New Roman" w:cs="Times New Roman"/>
                <w:spacing w:val="-20"/>
              </w:rPr>
              <w:t xml:space="preserve"> </w:t>
            </w:r>
            <w:r>
              <w:rPr>
                <w:spacing w:val="-2"/>
              </w:rPr>
              <w:t>，除尘效率取</w:t>
            </w:r>
            <w:r>
              <w:rPr>
                <w:rFonts w:ascii="Times New Roman" w:hAnsi="Times New Roman" w:eastAsia="Times New Roman" w:cs="Times New Roman"/>
                <w:spacing w:val="-2"/>
              </w:rPr>
              <w:t>99%</w:t>
            </w:r>
            <w:r>
              <w:rPr>
                <w:rFonts w:ascii="Times New Roman" w:hAnsi="Times New Roman" w:eastAsia="Times New Roman" w:cs="Times New Roman"/>
                <w:spacing w:val="-26"/>
              </w:rPr>
              <w:t xml:space="preserve"> </w:t>
            </w:r>
            <w:r>
              <w:rPr>
                <w:spacing w:val="-2"/>
              </w:rPr>
              <w:t>。经计算，项目成品</w:t>
            </w:r>
          </w:p>
        </w:tc>
      </w:tr>
    </w:tbl>
    <w:p w14:paraId="3988BEB5">
      <w:pPr>
        <w:pStyle w:val="2"/>
      </w:pPr>
    </w:p>
    <w:p w14:paraId="0874832C">
      <w:pPr>
        <w:sectPr>
          <w:footerReference r:id="rId68" w:type="default"/>
          <w:pgSz w:w="11907" w:h="16840"/>
          <w:pgMar w:top="1431" w:right="1490" w:bottom="1260" w:left="1489" w:header="0" w:footer="1080" w:gutter="0"/>
          <w:cols w:space="720" w:num="1"/>
        </w:sectPr>
      </w:pPr>
    </w:p>
    <w:p w14:paraId="1052686F">
      <w:pPr>
        <w:spacing w:before="28"/>
      </w:pPr>
    </w:p>
    <w:tbl>
      <w:tblPr>
        <w:tblStyle w:val="5"/>
        <w:tblW w:w="891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85"/>
        <w:gridCol w:w="1752"/>
        <w:gridCol w:w="6375"/>
      </w:tblGrid>
      <w:tr w14:paraId="374CAF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99" w:hRule="atLeast"/>
        </w:trPr>
        <w:tc>
          <w:tcPr>
            <w:tcW w:w="785" w:type="dxa"/>
            <w:vMerge w:val="restart"/>
            <w:tcBorders>
              <w:top w:val="single" w:color="000000" w:sz="2" w:space="0"/>
              <w:left w:val="single" w:color="000000" w:sz="6" w:space="0"/>
              <w:bottom w:val="nil"/>
              <w:right w:val="single" w:color="000000" w:sz="2" w:space="0"/>
            </w:tcBorders>
            <w:vAlign w:val="top"/>
          </w:tcPr>
          <w:p w14:paraId="42D75C08">
            <w:pPr>
              <w:rPr>
                <w:rFonts w:ascii="Arial"/>
                <w:sz w:val="21"/>
              </w:rPr>
            </w:pPr>
          </w:p>
        </w:tc>
        <w:tc>
          <w:tcPr>
            <w:tcW w:w="8127" w:type="dxa"/>
            <w:gridSpan w:val="2"/>
            <w:tcBorders>
              <w:top w:val="single" w:color="000000" w:sz="2" w:space="0"/>
              <w:left w:val="single" w:color="000000" w:sz="2" w:space="0"/>
              <w:right w:val="single" w:color="000000" w:sz="6" w:space="0"/>
            </w:tcBorders>
            <w:vAlign w:val="top"/>
          </w:tcPr>
          <w:p w14:paraId="253B5A7D">
            <w:pPr>
              <w:pStyle w:val="6"/>
              <w:spacing w:before="135" w:line="220" w:lineRule="auto"/>
              <w:ind w:left="89"/>
            </w:pPr>
            <w:r>
              <w:rPr>
                <w:spacing w:val="-1"/>
              </w:rPr>
              <w:t>仓粉尘排放量约</w:t>
            </w:r>
            <w:r>
              <w:rPr>
                <w:rFonts w:ascii="Times New Roman" w:hAnsi="Times New Roman" w:eastAsia="Times New Roman" w:cs="Times New Roman"/>
                <w:spacing w:val="-1"/>
              </w:rPr>
              <w:t>0.36t/a</w:t>
            </w:r>
            <w:r>
              <w:rPr>
                <w:spacing w:val="-1"/>
              </w:rPr>
              <w:t>。</w:t>
            </w:r>
          </w:p>
          <w:p w14:paraId="2C0A23E2">
            <w:pPr>
              <w:pStyle w:val="6"/>
              <w:spacing w:before="146" w:line="355" w:lineRule="auto"/>
              <w:ind w:left="90" w:right="103" w:firstLine="420"/>
              <w:rPr>
                <w:sz w:val="20"/>
                <w:szCs w:val="20"/>
              </w:rPr>
            </w:pPr>
            <w:r>
              <w:rPr>
                <w:b/>
                <w:bCs/>
                <w:spacing w:val="8"/>
                <w:sz w:val="20"/>
                <w:szCs w:val="20"/>
              </w:rPr>
              <w:t>排放方式</w:t>
            </w:r>
            <w:r>
              <w:rPr>
                <w:spacing w:val="8"/>
                <w:sz w:val="20"/>
                <w:szCs w:val="20"/>
              </w:rPr>
              <w:t>：根据设计资料，项目干混砂浆气动放料至成品仓以及包装环节的粉尘，</w:t>
            </w:r>
            <w:r>
              <w:rPr>
                <w:spacing w:val="5"/>
                <w:sz w:val="20"/>
                <w:szCs w:val="20"/>
              </w:rPr>
              <w:t xml:space="preserve"> </w:t>
            </w:r>
            <w:r>
              <w:rPr>
                <w:spacing w:val="9"/>
                <w:sz w:val="20"/>
                <w:szCs w:val="20"/>
              </w:rPr>
              <w:t>拟利用球磨筛分环节设置的排气筒实现有组织排放，排气筒编号</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002</w:t>
            </w:r>
            <w:r>
              <w:rPr>
                <w:spacing w:val="9"/>
                <w:sz w:val="20"/>
                <w:szCs w:val="20"/>
              </w:rPr>
              <w:t>。</w:t>
            </w:r>
          </w:p>
          <w:p w14:paraId="2E5E2FA3">
            <w:pPr>
              <w:pStyle w:val="6"/>
              <w:spacing w:before="32" w:line="227" w:lineRule="auto"/>
              <w:ind w:left="526"/>
              <w:rPr>
                <w:sz w:val="20"/>
                <w:szCs w:val="20"/>
              </w:rPr>
            </w:pPr>
            <w:r>
              <w:rPr>
                <w:spacing w:val="9"/>
                <w:sz w:val="20"/>
                <w:szCs w:val="20"/>
              </w:rPr>
              <w:t>因此，根据前文分析，本项目干混砂浆车间利用</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002</w:t>
            </w:r>
            <w:r>
              <w:rPr>
                <w:spacing w:val="9"/>
                <w:sz w:val="20"/>
                <w:szCs w:val="20"/>
              </w:rPr>
              <w:t>排气筒排放的粉尘量约</w:t>
            </w:r>
          </w:p>
          <w:p w14:paraId="039B97F8">
            <w:pPr>
              <w:pStyle w:val="6"/>
              <w:spacing w:before="152" w:line="227" w:lineRule="auto"/>
              <w:ind w:left="86"/>
              <w:rPr>
                <w:sz w:val="20"/>
                <w:szCs w:val="20"/>
              </w:rPr>
            </w:pPr>
            <w:r>
              <w:rPr>
                <w:rFonts w:ascii="Times New Roman" w:hAnsi="Times New Roman" w:eastAsia="Times New Roman" w:cs="Times New Roman"/>
                <w:spacing w:val="6"/>
                <w:sz w:val="20"/>
                <w:szCs w:val="20"/>
              </w:rPr>
              <w:t>2.514t/a</w:t>
            </w:r>
            <w:r>
              <w:rPr>
                <w:spacing w:val="6"/>
                <w:sz w:val="20"/>
                <w:szCs w:val="20"/>
              </w:rPr>
              <w:t>（搅拌机粉尘</w:t>
            </w:r>
            <w:r>
              <w:rPr>
                <w:rFonts w:ascii="Times New Roman" w:hAnsi="Times New Roman" w:eastAsia="Times New Roman" w:cs="Times New Roman"/>
                <w:spacing w:val="6"/>
                <w:sz w:val="20"/>
                <w:szCs w:val="20"/>
              </w:rPr>
              <w:t>0.39t/a+</w:t>
            </w:r>
            <w:r>
              <w:rPr>
                <w:spacing w:val="6"/>
                <w:sz w:val="20"/>
                <w:szCs w:val="20"/>
              </w:rPr>
              <w:t>成品仓粉尘</w:t>
            </w:r>
            <w:r>
              <w:rPr>
                <w:rFonts w:ascii="Times New Roman" w:hAnsi="Times New Roman" w:eastAsia="Times New Roman" w:cs="Times New Roman"/>
                <w:spacing w:val="6"/>
                <w:sz w:val="20"/>
                <w:szCs w:val="20"/>
              </w:rPr>
              <w:t>0.36t/a+</w:t>
            </w:r>
            <w:r>
              <w:rPr>
                <w:spacing w:val="6"/>
                <w:sz w:val="20"/>
                <w:szCs w:val="20"/>
              </w:rPr>
              <w:t>球磨筛分粉尘</w:t>
            </w:r>
            <w:r>
              <w:rPr>
                <w:rFonts w:ascii="Times New Roman" w:hAnsi="Times New Roman" w:eastAsia="Times New Roman" w:cs="Times New Roman"/>
                <w:spacing w:val="6"/>
                <w:sz w:val="20"/>
                <w:szCs w:val="20"/>
              </w:rPr>
              <w:t>1.764t/a</w:t>
            </w:r>
            <w:r>
              <w:rPr>
                <w:spacing w:val="17"/>
                <w:sz w:val="20"/>
                <w:szCs w:val="20"/>
              </w:rPr>
              <w:t>），</w:t>
            </w:r>
            <w:r>
              <w:rPr>
                <w:spacing w:val="6"/>
                <w:sz w:val="20"/>
                <w:szCs w:val="20"/>
              </w:rPr>
              <w:t>风机风量</w:t>
            </w:r>
          </w:p>
          <w:p w14:paraId="684DC05C">
            <w:pPr>
              <w:pStyle w:val="6"/>
              <w:spacing w:before="153" w:line="344" w:lineRule="auto"/>
              <w:ind w:left="92" w:right="10" w:hanging="6"/>
              <w:rPr>
                <w:sz w:val="20"/>
                <w:szCs w:val="20"/>
              </w:rPr>
            </w:pPr>
            <w:r>
              <w:rPr>
                <w:rFonts w:ascii="Times New Roman" w:hAnsi="Times New Roman" w:eastAsia="Times New Roman" w:cs="Times New Roman"/>
                <w:spacing w:val="5"/>
                <w:sz w:val="20"/>
                <w:szCs w:val="20"/>
              </w:rPr>
              <w:t>20000m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/h</w:t>
            </w:r>
            <w:r>
              <w:rPr>
                <w:rFonts w:ascii="Times New Roman" w:hAnsi="Times New Roman" w:eastAsia="Times New Roman" w:cs="Times New Roman"/>
                <w:spacing w:val="-23"/>
                <w:sz w:val="20"/>
                <w:szCs w:val="20"/>
              </w:rPr>
              <w:t xml:space="preserve"> </w:t>
            </w:r>
            <w:r>
              <w:rPr>
                <w:spacing w:val="5"/>
                <w:sz w:val="20"/>
                <w:szCs w:val="20"/>
              </w:rPr>
              <w:t>，排放速率</w:t>
            </w:r>
            <w:r>
              <w:rPr>
                <w:rFonts w:ascii="Times New Roman" w:hAnsi="Times New Roman" w:eastAsia="Times New Roman" w:cs="Times New Roman"/>
                <w:spacing w:val="5"/>
                <w:sz w:val="20"/>
                <w:szCs w:val="20"/>
              </w:rPr>
              <w:t>0.838</w:t>
            </w:r>
            <w:r>
              <w:rPr>
                <w:rFonts w:ascii="Times New Roman" w:hAnsi="Times New Roman" w:eastAsia="Times New Roman" w:cs="Times New Roman"/>
                <w:sz w:val="20"/>
                <w:szCs w:val="20"/>
              </w:rPr>
              <w:t>kg</w:t>
            </w:r>
            <w:r>
              <w:rPr>
                <w:rFonts w:ascii="Times New Roman" w:hAnsi="Times New Roman" w:eastAsia="Times New Roman" w:cs="Times New Roman"/>
                <w:spacing w:val="5"/>
                <w:sz w:val="20"/>
                <w:szCs w:val="20"/>
              </w:rPr>
              <w:t>/h</w:t>
            </w:r>
            <w:r>
              <w:rPr>
                <w:rFonts w:ascii="Times New Roman" w:hAnsi="Times New Roman" w:eastAsia="Times New Roman" w:cs="Times New Roman"/>
                <w:spacing w:val="-24"/>
                <w:sz w:val="20"/>
                <w:szCs w:val="20"/>
              </w:rPr>
              <w:t xml:space="preserve"> </w:t>
            </w:r>
            <w:r>
              <w:rPr>
                <w:spacing w:val="5"/>
                <w:sz w:val="20"/>
                <w:szCs w:val="20"/>
              </w:rPr>
              <w:t>，排放浓度</w:t>
            </w:r>
            <w:r>
              <w:rPr>
                <w:rFonts w:ascii="Times New Roman" w:hAnsi="Times New Roman" w:eastAsia="Times New Roman" w:cs="Times New Roman"/>
                <w:spacing w:val="5"/>
                <w:sz w:val="20"/>
                <w:szCs w:val="20"/>
              </w:rPr>
              <w:t>41.9</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8"/>
                <w:position w:val="6"/>
                <w:sz w:val="13"/>
                <w:szCs w:val="13"/>
              </w:rPr>
              <w:t xml:space="preserve"> </w:t>
            </w:r>
            <w:r>
              <w:rPr>
                <w:spacing w:val="5"/>
                <w:sz w:val="20"/>
                <w:szCs w:val="20"/>
              </w:rPr>
              <w:t>，排放浓度能够满</w:t>
            </w:r>
            <w:r>
              <w:rPr>
                <w:spacing w:val="4"/>
                <w:sz w:val="20"/>
                <w:szCs w:val="20"/>
              </w:rPr>
              <w:t>足《四川省水泥</w:t>
            </w:r>
            <w:r>
              <w:rPr>
                <w:sz w:val="20"/>
                <w:szCs w:val="20"/>
              </w:rPr>
              <w:t xml:space="preserve">  </w:t>
            </w:r>
            <w:r>
              <w:rPr>
                <w:spacing w:val="-6"/>
                <w:sz w:val="20"/>
                <w:szCs w:val="20"/>
              </w:rPr>
              <w:t>工业大气污染物排放标准》（</w:t>
            </w:r>
            <w:r>
              <w:rPr>
                <w:rFonts w:ascii="Times New Roman" w:hAnsi="Times New Roman" w:eastAsia="Times New Roman" w:cs="Times New Roman"/>
                <w:spacing w:val="-6"/>
                <w:sz w:val="20"/>
                <w:szCs w:val="20"/>
              </w:rPr>
              <w:t>DB51/2864-2021</w:t>
            </w:r>
            <w:r>
              <w:rPr>
                <w:spacing w:val="-6"/>
                <w:sz w:val="20"/>
                <w:szCs w:val="20"/>
              </w:rPr>
              <w:t>）表</w:t>
            </w:r>
            <w:r>
              <w:rPr>
                <w:rFonts w:ascii="Times New Roman" w:hAnsi="Times New Roman" w:eastAsia="Times New Roman" w:cs="Times New Roman"/>
                <w:spacing w:val="-6"/>
                <w:sz w:val="20"/>
                <w:szCs w:val="20"/>
              </w:rPr>
              <w:t>1</w:t>
            </w:r>
            <w:r>
              <w:rPr>
                <w:spacing w:val="-6"/>
                <w:sz w:val="20"/>
                <w:szCs w:val="20"/>
              </w:rPr>
              <w:t>相应的标准限值要求，能够实现达标排放。</w:t>
            </w:r>
          </w:p>
          <w:p w14:paraId="09881374">
            <w:pPr>
              <w:pStyle w:val="6"/>
              <w:spacing w:before="47" w:line="221" w:lineRule="auto"/>
              <w:ind w:left="538"/>
            </w:pPr>
            <w:r>
              <w:rPr>
                <w:b/>
                <w:bCs/>
                <w:spacing w:val="-4"/>
              </w:rPr>
              <w:t>（</w:t>
            </w:r>
            <w:r>
              <w:rPr>
                <w:rFonts w:ascii="Times New Roman" w:hAnsi="Times New Roman" w:eastAsia="Times New Roman" w:cs="Times New Roman"/>
                <w:b/>
                <w:bCs/>
                <w:spacing w:val="-4"/>
              </w:rPr>
              <w:t>4</w:t>
            </w:r>
            <w:r>
              <w:rPr>
                <w:b/>
                <w:bCs/>
                <w:spacing w:val="-4"/>
              </w:rPr>
              <w:t>）燃气锅炉废气</w:t>
            </w:r>
          </w:p>
          <w:p w14:paraId="465A8B6B">
            <w:pPr>
              <w:pStyle w:val="6"/>
              <w:spacing w:before="137" w:line="321" w:lineRule="auto"/>
              <w:ind w:left="110" w:right="100" w:firstLine="438"/>
            </w:pPr>
            <w:r>
              <w:rPr>
                <w:spacing w:val="-1"/>
              </w:rPr>
              <w:t>根据建设单位提供的资料，项目拟设置</w:t>
            </w:r>
            <w:r>
              <w:rPr>
                <w:rFonts w:ascii="Times New Roman" w:hAnsi="Times New Roman" w:eastAsia="Times New Roman" w:cs="Times New Roman"/>
                <w:spacing w:val="-1"/>
              </w:rPr>
              <w:t>1</w:t>
            </w:r>
            <w:r>
              <w:rPr>
                <w:spacing w:val="-1"/>
              </w:rPr>
              <w:t>台</w:t>
            </w:r>
            <w:r>
              <w:rPr>
                <w:rFonts w:ascii="Times New Roman" w:hAnsi="Times New Roman" w:eastAsia="Times New Roman" w:cs="Times New Roman"/>
                <w:spacing w:val="-1"/>
              </w:rPr>
              <w:t>8t/h</w:t>
            </w:r>
            <w:r>
              <w:rPr>
                <w:spacing w:val="-1"/>
              </w:rPr>
              <w:t>卧式室燃蒸汽锅炉，用于东岳电</w:t>
            </w:r>
            <w:r>
              <w:rPr>
                <w:spacing w:val="11"/>
              </w:rPr>
              <w:t xml:space="preserve"> </w:t>
            </w:r>
            <w:r>
              <w:rPr>
                <w:spacing w:val="-2"/>
              </w:rPr>
              <w:t>厂的蒸汽停供期间为车间提供蒸汽，预计年运天数约</w:t>
            </w:r>
            <w:r>
              <w:rPr>
                <w:rFonts w:ascii="Times New Roman" w:hAnsi="Times New Roman" w:eastAsia="Times New Roman" w:cs="Times New Roman"/>
                <w:spacing w:val="-2"/>
              </w:rPr>
              <w:t>30</w:t>
            </w:r>
            <w:r>
              <w:rPr>
                <w:spacing w:val="-2"/>
              </w:rPr>
              <w:t>天，</w:t>
            </w:r>
            <w:r>
              <w:rPr>
                <w:spacing w:val="-51"/>
              </w:rPr>
              <w:t xml:space="preserve"> </w:t>
            </w:r>
            <w:r>
              <w:rPr>
                <w:spacing w:val="-2"/>
              </w:rPr>
              <w:t>日运行</w:t>
            </w:r>
            <w:r>
              <w:rPr>
                <w:rFonts w:ascii="Times New Roman" w:hAnsi="Times New Roman" w:eastAsia="Times New Roman" w:cs="Times New Roman"/>
                <w:spacing w:val="-2"/>
              </w:rPr>
              <w:t>10</w:t>
            </w:r>
            <w:r>
              <w:rPr>
                <w:spacing w:val="-2"/>
              </w:rPr>
              <w:t>小时。</w:t>
            </w:r>
          </w:p>
          <w:p w14:paraId="595ECB6D">
            <w:pPr>
              <w:pStyle w:val="6"/>
              <w:spacing w:before="34" w:line="323" w:lineRule="auto"/>
              <w:ind w:left="100" w:right="131" w:firstLine="452"/>
            </w:pPr>
            <w:r>
              <w:rPr>
                <w:spacing w:val="-1"/>
              </w:rPr>
              <w:t>项目</w:t>
            </w:r>
            <w:r>
              <w:rPr>
                <w:rFonts w:ascii="Times New Roman" w:hAnsi="Times New Roman" w:eastAsia="Times New Roman" w:cs="Times New Roman"/>
                <w:spacing w:val="-1"/>
              </w:rPr>
              <w:t>8t/h</w:t>
            </w:r>
            <w:r>
              <w:rPr>
                <w:spacing w:val="-1"/>
              </w:rPr>
              <w:t>燃气锅炉年运行时间为</w:t>
            </w:r>
            <w:r>
              <w:rPr>
                <w:rFonts w:ascii="Times New Roman" w:hAnsi="Times New Roman" w:eastAsia="Times New Roman" w:cs="Times New Roman"/>
                <w:spacing w:val="-1"/>
              </w:rPr>
              <w:t>300h</w:t>
            </w:r>
            <w:r>
              <w:rPr>
                <w:rFonts w:ascii="Times New Roman" w:hAnsi="Times New Roman" w:eastAsia="Times New Roman" w:cs="Times New Roman"/>
                <w:spacing w:val="-31"/>
              </w:rPr>
              <w:t xml:space="preserve"> </w:t>
            </w:r>
            <w:r>
              <w:rPr>
                <w:spacing w:val="-1"/>
              </w:rPr>
              <w:t>，配备低氮燃烧器，烟气出口的氮氧</w:t>
            </w:r>
            <w:r>
              <w:rPr>
                <w:spacing w:val="-2"/>
              </w:rPr>
              <w:t>化物</w:t>
            </w:r>
            <w:r>
              <w:t xml:space="preserve"> </w:t>
            </w:r>
            <w:r>
              <w:rPr>
                <w:spacing w:val="-1"/>
              </w:rPr>
              <w:t>浓度控制值≤</w:t>
            </w:r>
            <w:r>
              <w:rPr>
                <w:rFonts w:ascii="Times New Roman" w:hAnsi="Times New Roman" w:eastAsia="Times New Roman" w:cs="Times New Roman"/>
                <w:spacing w:val="-1"/>
              </w:rPr>
              <w:t>30mg/m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6"/>
                <w:position w:val="7"/>
                <w:sz w:val="14"/>
                <w:szCs w:val="14"/>
              </w:rPr>
              <w:t xml:space="preserve"> </w:t>
            </w:r>
            <w:r>
              <w:rPr>
                <w:spacing w:val="-1"/>
              </w:rPr>
              <w:t>。</w:t>
            </w:r>
            <w:r>
              <w:rPr>
                <w:rFonts w:ascii="Times New Roman" w:hAnsi="Times New Roman" w:eastAsia="Times New Roman" w:cs="Times New Roman"/>
                <w:spacing w:val="-1"/>
              </w:rPr>
              <w:t>8t/h</w:t>
            </w:r>
            <w:r>
              <w:rPr>
                <w:spacing w:val="-1"/>
              </w:rPr>
              <w:t>燃气锅炉用气量为</w:t>
            </w:r>
            <w:r>
              <w:rPr>
                <w:rFonts w:ascii="Times New Roman" w:hAnsi="Times New Roman" w:eastAsia="Times New Roman" w:cs="Times New Roman"/>
                <w:spacing w:val="-1"/>
              </w:rPr>
              <w:t>585m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rFonts w:ascii="Times New Roman" w:hAnsi="Times New Roman" w:eastAsia="Times New Roman" w:cs="Times New Roman"/>
                <w:spacing w:val="-31"/>
              </w:rPr>
              <w:t xml:space="preserve"> </w:t>
            </w:r>
            <w:r>
              <w:rPr>
                <w:spacing w:val="-1"/>
              </w:rPr>
              <w:t>，运行期总用气量为</w:t>
            </w:r>
            <w:r>
              <w:rPr>
                <w:rFonts w:ascii="Times New Roman" w:hAnsi="Times New Roman" w:eastAsia="Times New Roman" w:cs="Times New Roman"/>
                <w:spacing w:val="-1"/>
              </w:rPr>
              <w:t>1</w:t>
            </w:r>
            <w:r>
              <w:rPr>
                <w:rFonts w:ascii="Times New Roman" w:hAnsi="Times New Roman" w:eastAsia="Times New Roman" w:cs="Times New Roman"/>
                <w:spacing w:val="-2"/>
              </w:rPr>
              <w:t>7.55</w:t>
            </w:r>
            <w:r>
              <w:rPr>
                <w:spacing w:val="-2"/>
              </w:rPr>
              <w:t>万</w:t>
            </w:r>
            <w:r>
              <w:t xml:space="preserve"> </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5"/>
                <w:position w:val="7"/>
                <w:sz w:val="14"/>
                <w:szCs w:val="14"/>
              </w:rPr>
              <w:t xml:space="preserve"> </w:t>
            </w:r>
            <w:r>
              <w:rPr>
                <w:spacing w:val="-2"/>
              </w:rPr>
              <w:t>，排放的干烟气量为</w:t>
            </w:r>
            <w:r>
              <w:rPr>
                <w:rFonts w:ascii="Times New Roman" w:hAnsi="Times New Roman" w:eastAsia="Times New Roman" w:cs="Times New Roman"/>
                <w:spacing w:val="-2"/>
              </w:rPr>
              <w:t>8000m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/h</w:t>
            </w:r>
            <w:r>
              <w:rPr>
                <w:spacing w:val="-2"/>
              </w:rPr>
              <w:t>。</w:t>
            </w:r>
          </w:p>
          <w:p w14:paraId="527E3905">
            <w:pPr>
              <w:pStyle w:val="6"/>
              <w:spacing w:before="49" w:line="314" w:lineRule="auto"/>
              <w:ind w:left="107" w:right="102" w:firstLine="441"/>
            </w:pPr>
            <w:r>
              <w:rPr>
                <w:spacing w:val="-2"/>
              </w:rPr>
              <w:t xml:space="preserve">根据《污染源源强核算技术指南 锅炉》 </w:t>
            </w:r>
            <w:r>
              <w:rPr>
                <w:rFonts w:ascii="Times New Roman" w:hAnsi="Times New Roman" w:eastAsia="Times New Roman" w:cs="Times New Roman"/>
                <w:spacing w:val="-2"/>
              </w:rPr>
              <w:t xml:space="preserve">(HJ 991-2018)  </w:t>
            </w:r>
            <w:r>
              <w:rPr>
                <w:spacing w:val="-2"/>
              </w:rPr>
              <w:t>，源</w:t>
            </w:r>
            <w:r>
              <w:rPr>
                <w:spacing w:val="-3"/>
              </w:rPr>
              <w:t>强核算时应优先考</w:t>
            </w:r>
            <w:r>
              <w:t xml:space="preserve"> </w:t>
            </w:r>
            <w:r>
              <w:rPr>
                <w:spacing w:val="-1"/>
              </w:rPr>
              <w:t>虑物料衡算法，其次为类比法，最后为产污系数法。</w:t>
            </w:r>
          </w:p>
          <w:p w14:paraId="6E8A1157">
            <w:pPr>
              <w:pStyle w:val="6"/>
              <w:spacing w:before="60" w:line="220" w:lineRule="auto"/>
              <w:ind w:left="542"/>
            </w:pPr>
            <w:r>
              <w:rPr>
                <w:rFonts w:ascii="Times New Roman" w:hAnsi="Times New Roman" w:eastAsia="Times New Roman" w:cs="Times New Roman"/>
                <w:spacing w:val="-1"/>
              </w:rPr>
              <w:t>A</w:t>
            </w:r>
            <w:r>
              <w:rPr>
                <w:spacing w:val="-1"/>
              </w:rPr>
              <w:t>、烟气量核算</w:t>
            </w:r>
          </w:p>
          <w:p w14:paraId="12C6277C">
            <w:pPr>
              <w:pStyle w:val="6"/>
              <w:spacing w:before="142" w:line="325" w:lineRule="auto"/>
              <w:ind w:left="107" w:right="122" w:firstLine="445"/>
            </w:pPr>
            <w:r>
              <w:rPr>
                <w:spacing w:val="-1"/>
              </w:rPr>
              <w:t>项目燃气锅炉干烟气量为</w:t>
            </w:r>
            <w:r>
              <w:rPr>
                <w:rFonts w:ascii="Times New Roman" w:hAnsi="Times New Roman" w:eastAsia="Times New Roman" w:cs="Times New Roman"/>
                <w:spacing w:val="-1"/>
              </w:rPr>
              <w:t>8000m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rFonts w:ascii="Times New Roman" w:hAnsi="Times New Roman" w:eastAsia="Times New Roman" w:cs="Times New Roman"/>
                <w:spacing w:val="-31"/>
              </w:rPr>
              <w:t xml:space="preserve"> </w:t>
            </w:r>
            <w:r>
              <w:rPr>
                <w:spacing w:val="-1"/>
              </w:rPr>
              <w:t>，</w:t>
            </w:r>
            <w:r>
              <w:rPr>
                <w:spacing w:val="-2"/>
              </w:rPr>
              <w:t>年运行时间为</w:t>
            </w:r>
            <w:r>
              <w:rPr>
                <w:rFonts w:ascii="Times New Roman" w:hAnsi="Times New Roman" w:eastAsia="Times New Roman" w:cs="Times New Roman"/>
                <w:spacing w:val="-2"/>
              </w:rPr>
              <w:t>300h</w:t>
            </w:r>
            <w:r>
              <w:rPr>
                <w:rFonts w:ascii="Times New Roman" w:hAnsi="Times New Roman" w:eastAsia="Times New Roman" w:cs="Times New Roman"/>
                <w:spacing w:val="-30"/>
              </w:rPr>
              <w:t xml:space="preserve"> </w:t>
            </w:r>
            <w:r>
              <w:rPr>
                <w:spacing w:val="-2"/>
              </w:rPr>
              <w:t>，即锅炉干烟气年排放</w:t>
            </w:r>
            <w:r>
              <w:t xml:space="preserve"> </w:t>
            </w:r>
            <w:r>
              <w:rPr>
                <w:spacing w:val="-1"/>
              </w:rPr>
              <w:t>量为</w:t>
            </w:r>
            <w:r>
              <w:rPr>
                <w:rFonts w:ascii="Times New Roman" w:hAnsi="Times New Roman" w:eastAsia="Times New Roman" w:cs="Times New Roman"/>
                <w:spacing w:val="-1"/>
              </w:rPr>
              <w:t>240</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/a</w:t>
            </w:r>
            <w:r>
              <w:rPr>
                <w:spacing w:val="-1"/>
              </w:rPr>
              <w:t>。</w:t>
            </w:r>
          </w:p>
          <w:p w14:paraId="635C6AB6">
            <w:pPr>
              <w:pStyle w:val="6"/>
              <w:spacing w:before="34" w:line="220" w:lineRule="auto"/>
              <w:ind w:left="544"/>
            </w:pPr>
            <w:r>
              <w:rPr>
                <w:rFonts w:ascii="Times New Roman" w:hAnsi="Times New Roman" w:eastAsia="Times New Roman" w:cs="Times New Roman"/>
                <w:spacing w:val="-1"/>
              </w:rPr>
              <w:t>B</w:t>
            </w:r>
            <w:r>
              <w:rPr>
                <w:spacing w:val="-1"/>
              </w:rPr>
              <w:t>、烟尘核算</w:t>
            </w:r>
          </w:p>
          <w:p w14:paraId="6857C632">
            <w:pPr>
              <w:pStyle w:val="6"/>
              <w:spacing w:before="139" w:line="330" w:lineRule="auto"/>
              <w:ind w:left="107" w:right="24" w:firstLine="441"/>
            </w:pPr>
            <w:r>
              <w:rPr>
                <w:spacing w:val="-2"/>
              </w:rPr>
              <w:t xml:space="preserve">根据《污染源源强核算技术指南 锅炉》 </w:t>
            </w:r>
            <w:r>
              <w:rPr>
                <w:rFonts w:ascii="Times New Roman" w:hAnsi="Times New Roman" w:eastAsia="Times New Roman" w:cs="Times New Roman"/>
                <w:spacing w:val="-2"/>
              </w:rPr>
              <w:t xml:space="preserve">(HJ 991-2018)  </w:t>
            </w:r>
            <w:r>
              <w:rPr>
                <w:spacing w:val="-2"/>
              </w:rPr>
              <w:t>，无</w:t>
            </w:r>
            <w:r>
              <w:rPr>
                <w:spacing w:val="-3"/>
              </w:rPr>
              <w:t>法获取锅炉烟气飞</w:t>
            </w:r>
            <w:r>
              <w:t xml:space="preserve"> 灰的参数；因此本次评价采用产污系数法核算烟</w:t>
            </w:r>
            <w:r>
              <w:rPr>
                <w:spacing w:val="-1"/>
              </w:rPr>
              <w:t>尘的产生情况。参照《环境保护实</w:t>
            </w:r>
            <w:r>
              <w:t xml:space="preserve"> 用数据手册》相关数据“燃烧</w:t>
            </w:r>
            <w:r>
              <w:rPr>
                <w:rFonts w:ascii="Times New Roman" w:hAnsi="Times New Roman" w:eastAsia="Times New Roman" w:cs="Times New Roman"/>
              </w:rPr>
              <w:t>1</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3</w:t>
            </w:r>
            <w:r>
              <w:t>天然气产生约</w:t>
            </w:r>
            <w:r>
              <w:rPr>
                <w:rFonts w:ascii="Times New Roman" w:hAnsi="Times New Roman" w:eastAsia="Times New Roman" w:cs="Times New Roman"/>
              </w:rPr>
              <w:t>2.4kg</w:t>
            </w:r>
            <w:r>
              <w:t>烟尘。项目</w:t>
            </w:r>
            <w:r>
              <w:rPr>
                <w:spacing w:val="-1"/>
              </w:rPr>
              <w:t>燃气锅炉年耗气</w:t>
            </w:r>
            <w:r>
              <w:t xml:space="preserve">  </w:t>
            </w:r>
            <w:r>
              <w:rPr>
                <w:spacing w:val="-4"/>
              </w:rPr>
              <w:t>量为</w:t>
            </w:r>
            <w:r>
              <w:rPr>
                <w:rFonts w:ascii="Times New Roman" w:hAnsi="Times New Roman" w:eastAsia="Times New Roman" w:cs="Times New Roman"/>
                <w:spacing w:val="-4"/>
              </w:rPr>
              <w:t>17.55</w:t>
            </w:r>
            <w:r>
              <w:rPr>
                <w:spacing w:val="-4"/>
              </w:rPr>
              <w:t>万</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。经计算，燃气锅炉废气的烟尘产生量为</w:t>
            </w:r>
            <w:r>
              <w:rPr>
                <w:rFonts w:ascii="Times New Roman" w:hAnsi="Times New Roman" w:eastAsia="Times New Roman" w:cs="Times New Roman"/>
                <w:spacing w:val="-4"/>
              </w:rPr>
              <w:t>0.042t/a</w:t>
            </w:r>
            <w:r>
              <w:rPr>
                <w:spacing w:val="-4"/>
              </w:rPr>
              <w:t>、排放速</w:t>
            </w:r>
            <w:r>
              <w:rPr>
                <w:spacing w:val="-5"/>
              </w:rPr>
              <w:t>率</w:t>
            </w:r>
            <w:r>
              <w:rPr>
                <w:rFonts w:ascii="Times New Roman" w:hAnsi="Times New Roman" w:eastAsia="Times New Roman" w:cs="Times New Roman"/>
                <w:spacing w:val="-5"/>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5"/>
              </w:rPr>
              <w:t>14kg/h</w:t>
            </w:r>
            <w:r>
              <w:rPr>
                <w:spacing w:val="-5"/>
              </w:rPr>
              <w:t>、</w:t>
            </w:r>
            <w:r>
              <w:t xml:space="preserve"> </w:t>
            </w:r>
            <w:r>
              <w:rPr>
                <w:spacing w:val="-1"/>
              </w:rPr>
              <w:t>排放浓度</w:t>
            </w:r>
            <w:r>
              <w:rPr>
                <w:rFonts w:ascii="Times New Roman" w:hAnsi="Times New Roman" w:eastAsia="Times New Roman" w:cs="Times New Roman"/>
                <w:spacing w:val="-1"/>
              </w:rPr>
              <w:t>17.5mg/m</w:t>
            </w:r>
            <w:r>
              <w:rPr>
                <w:rFonts w:ascii="Times New Roman" w:hAnsi="Times New Roman" w:eastAsia="Times New Roman" w:cs="Times New Roman"/>
                <w:spacing w:val="-1"/>
                <w:position w:val="6"/>
                <w:sz w:val="14"/>
                <w:szCs w:val="14"/>
              </w:rPr>
              <w:t>3</w:t>
            </w:r>
            <w:r>
              <w:rPr>
                <w:spacing w:val="-1"/>
              </w:rPr>
              <w:t>。</w:t>
            </w:r>
          </w:p>
          <w:p w14:paraId="1F63866D">
            <w:pPr>
              <w:pStyle w:val="6"/>
              <w:spacing w:before="56" w:line="220" w:lineRule="auto"/>
              <w:ind w:left="548"/>
            </w:pPr>
            <w:r>
              <w:rPr>
                <w:rFonts w:ascii="Times New Roman" w:hAnsi="Times New Roman" w:eastAsia="Times New Roman" w:cs="Times New Roman"/>
                <w:spacing w:val="-1"/>
              </w:rPr>
              <w:t>C</w:t>
            </w:r>
            <w:r>
              <w:rPr>
                <w:spacing w:val="-1"/>
              </w:rPr>
              <w:t>、</w:t>
            </w:r>
            <w:r>
              <w:rPr>
                <w:rFonts w:ascii="Times New Roman" w:hAnsi="Times New Roman" w:eastAsia="Times New Roman" w:cs="Times New Roman"/>
                <w:spacing w:val="-1"/>
              </w:rPr>
              <w:t>SO</w:t>
            </w:r>
            <w:r>
              <w:rPr>
                <w:rFonts w:ascii="Times New Roman" w:hAnsi="Times New Roman" w:eastAsia="Times New Roman" w:cs="Times New Roman"/>
                <w:spacing w:val="-1"/>
                <w:position w:val="-1"/>
                <w:sz w:val="14"/>
                <w:szCs w:val="14"/>
              </w:rPr>
              <w:t>2</w:t>
            </w:r>
            <w:r>
              <w:rPr>
                <w:spacing w:val="-1"/>
              </w:rPr>
              <w:t>核算</w:t>
            </w:r>
          </w:p>
          <w:p w14:paraId="590A1A11">
            <w:pPr>
              <w:pStyle w:val="6"/>
              <w:spacing w:before="140" w:line="295" w:lineRule="auto"/>
              <w:ind w:left="107" w:right="101" w:firstLine="441"/>
              <w:rPr>
                <w:rFonts w:ascii="Times New Roman" w:hAnsi="Times New Roman" w:eastAsia="Times New Roman" w:cs="Times New Roman"/>
              </w:rPr>
            </w:pPr>
            <w:r>
              <w:rPr>
                <w:spacing w:val="-1"/>
              </w:rPr>
              <w:t xml:space="preserve">根据《污染源源强核算技术指南 锅炉》 </w:t>
            </w:r>
            <w:r>
              <w:rPr>
                <w:rFonts w:ascii="Times New Roman" w:hAnsi="Times New Roman" w:eastAsia="Times New Roman" w:cs="Times New Roman"/>
                <w:spacing w:val="-1"/>
              </w:rPr>
              <w:t>(HJ 991-2</w:t>
            </w:r>
            <w:r>
              <w:rPr>
                <w:rFonts w:ascii="Times New Roman" w:hAnsi="Times New Roman" w:eastAsia="Times New Roman" w:cs="Times New Roman"/>
                <w:spacing w:val="-2"/>
              </w:rPr>
              <w:t xml:space="preserve">018)   </w:t>
            </w:r>
            <w:r>
              <w:rPr>
                <w:spacing w:val="-2"/>
              </w:rPr>
              <w:t>，</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4"/>
                <w:szCs w:val="14"/>
              </w:rPr>
              <w:t>2</w:t>
            </w:r>
            <w:r>
              <w:rPr>
                <w:spacing w:val="-2"/>
              </w:rPr>
              <w:t>源强优先采用物</w:t>
            </w:r>
            <w:r>
              <w:t xml:space="preserve"> </w:t>
            </w:r>
            <w:r>
              <w:rPr>
                <w:spacing w:val="-2"/>
              </w:rPr>
              <w:t>料平衡法。本项目</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4"/>
                <w:szCs w:val="14"/>
              </w:rPr>
              <w:t>2</w:t>
            </w:r>
            <w:r>
              <w:rPr>
                <w:spacing w:val="-2"/>
              </w:rPr>
              <w:t>排放量按照《污染源源强核算技术指南 锅炉》</w:t>
            </w:r>
            <w:r>
              <w:rPr>
                <w:spacing w:val="-24"/>
              </w:rPr>
              <w:t xml:space="preserve"> </w:t>
            </w:r>
            <w:r>
              <w:rPr>
                <w:rFonts w:ascii="Times New Roman" w:hAnsi="Times New Roman" w:eastAsia="Times New Roman" w:cs="Times New Roman"/>
                <w:spacing w:val="-2"/>
              </w:rPr>
              <w:t>(HJ 991-2018)</w:t>
            </w:r>
          </w:p>
        </w:tc>
      </w:tr>
      <w:tr w14:paraId="165314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14" w:hRule="atLeast"/>
        </w:trPr>
        <w:tc>
          <w:tcPr>
            <w:tcW w:w="785" w:type="dxa"/>
            <w:vMerge w:val="continue"/>
            <w:tcBorders>
              <w:top w:val="nil"/>
              <w:left w:val="single" w:color="000000" w:sz="6" w:space="0"/>
              <w:bottom w:val="nil"/>
              <w:right w:val="single" w:color="000000" w:sz="2" w:space="0"/>
            </w:tcBorders>
            <w:vAlign w:val="top"/>
          </w:tcPr>
          <w:p w14:paraId="5A2A37D5">
            <w:pPr>
              <w:rPr>
                <w:rFonts w:ascii="Arial"/>
                <w:sz w:val="21"/>
              </w:rPr>
            </w:pPr>
          </w:p>
        </w:tc>
        <w:tc>
          <w:tcPr>
            <w:tcW w:w="1752" w:type="dxa"/>
            <w:tcBorders>
              <w:left w:val="single" w:color="000000" w:sz="2" w:space="0"/>
            </w:tcBorders>
            <w:vAlign w:val="top"/>
          </w:tcPr>
          <w:p w14:paraId="1F17D803">
            <w:pPr>
              <w:pStyle w:val="6"/>
              <w:spacing w:before="96" w:line="211" w:lineRule="auto"/>
              <w:jc w:val="right"/>
            </w:pPr>
            <w:r>
              <w:rPr>
                <w:spacing w:val="-10"/>
              </w:rPr>
              <w:t>中公式</w:t>
            </w:r>
            <w:r>
              <w:rPr>
                <w:spacing w:val="9"/>
              </w:rPr>
              <w:t xml:space="preserve"> </w:t>
            </w:r>
            <w:r>
              <w:rPr>
                <w:rFonts w:ascii="Times New Roman" w:hAnsi="Times New Roman" w:eastAsia="Times New Roman" w:cs="Times New Roman"/>
                <w:spacing w:val="-10"/>
              </w:rPr>
              <w:t>(7)</w:t>
            </w:r>
            <w:r>
              <w:rPr>
                <w:spacing w:val="-10"/>
              </w:rPr>
              <w:t>核算：</w:t>
            </w:r>
          </w:p>
        </w:tc>
        <w:tc>
          <w:tcPr>
            <w:tcW w:w="6375" w:type="dxa"/>
            <w:tcBorders>
              <w:right w:val="single" w:color="000000" w:sz="6" w:space="0"/>
            </w:tcBorders>
            <w:vAlign w:val="top"/>
          </w:tcPr>
          <w:p w14:paraId="216638B2">
            <w:pPr>
              <w:spacing w:line="364" w:lineRule="auto"/>
              <w:rPr>
                <w:rFonts w:ascii="Arial"/>
                <w:sz w:val="21"/>
              </w:rPr>
            </w:pPr>
          </w:p>
          <w:p w14:paraId="6A85B249">
            <w:pPr>
              <w:spacing w:line="888" w:lineRule="exact"/>
              <w:ind w:firstLine="118"/>
            </w:pPr>
            <w:r>
              <w:rPr>
                <w:position w:val="-17"/>
              </w:rPr>
              <w:drawing>
                <wp:inline distT="0" distB="0" distL="0" distR="0">
                  <wp:extent cx="2762885" cy="563245"/>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257"/>
                          <a:stretch>
                            <a:fillRect/>
                          </a:stretch>
                        </pic:blipFill>
                        <pic:spPr>
                          <a:xfrm>
                            <a:off x="0" y="0"/>
                            <a:ext cx="2763011" cy="563879"/>
                          </a:xfrm>
                          <a:prstGeom prst="rect">
                            <a:avLst/>
                          </a:prstGeom>
                        </pic:spPr>
                      </pic:pic>
                    </a:graphicData>
                  </a:graphic>
                </wp:inline>
              </w:drawing>
            </w:r>
          </w:p>
        </w:tc>
      </w:tr>
      <w:tr w14:paraId="7414D9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86" w:hRule="atLeast"/>
        </w:trPr>
        <w:tc>
          <w:tcPr>
            <w:tcW w:w="785" w:type="dxa"/>
            <w:vMerge w:val="continue"/>
            <w:tcBorders>
              <w:top w:val="nil"/>
              <w:left w:val="single" w:color="000000" w:sz="6" w:space="0"/>
              <w:bottom w:val="single" w:color="000000" w:sz="6" w:space="0"/>
              <w:right w:val="single" w:color="000000" w:sz="2" w:space="0"/>
            </w:tcBorders>
            <w:vAlign w:val="top"/>
          </w:tcPr>
          <w:p w14:paraId="0B063042">
            <w:pPr>
              <w:rPr>
                <w:rFonts w:ascii="Arial"/>
                <w:sz w:val="21"/>
              </w:rPr>
            </w:pPr>
          </w:p>
        </w:tc>
        <w:tc>
          <w:tcPr>
            <w:tcW w:w="8127" w:type="dxa"/>
            <w:gridSpan w:val="2"/>
            <w:tcBorders>
              <w:left w:val="single" w:color="000000" w:sz="2" w:space="0"/>
              <w:bottom w:val="single" w:color="000000" w:sz="6" w:space="0"/>
              <w:right w:val="single" w:color="000000" w:sz="6" w:space="0"/>
            </w:tcBorders>
            <w:vAlign w:val="top"/>
          </w:tcPr>
          <w:p w14:paraId="09C3D936">
            <w:pPr>
              <w:pStyle w:val="6"/>
              <w:spacing w:before="85" w:line="305" w:lineRule="auto"/>
              <w:ind w:left="982" w:right="3560" w:hanging="429"/>
              <w:rPr>
                <w:rFonts w:ascii="Times New Roman" w:hAnsi="Times New Roman" w:eastAsia="Times New Roman" w:cs="Times New Roman"/>
              </w:rPr>
            </w:pPr>
            <w:r>
              <w:rPr>
                <w:spacing w:val="-1"/>
              </w:rPr>
              <w:t>式中</w:t>
            </w:r>
            <w:r>
              <w:rPr>
                <w:rFonts w:ascii="Times New Roman" w:hAnsi="Times New Roman" w:eastAsia="Times New Roman" w:cs="Times New Roman"/>
                <w:spacing w:val="-1"/>
              </w:rPr>
              <w:t>:E</w:t>
            </w:r>
            <w:r>
              <w:rPr>
                <w:rFonts w:ascii="Times New Roman" w:hAnsi="Times New Roman" w:eastAsia="Times New Roman" w:cs="Times New Roman"/>
                <w:spacing w:val="-1"/>
                <w:sz w:val="14"/>
                <w:szCs w:val="14"/>
              </w:rPr>
              <w:t>SO2</w:t>
            </w:r>
            <w:r>
              <w:rPr>
                <w:rFonts w:ascii="Times New Roman" w:hAnsi="Times New Roman" w:eastAsia="Times New Roman" w:cs="Times New Roman"/>
                <w:spacing w:val="-1"/>
              </w:rPr>
              <w:t>--</w:t>
            </w:r>
            <w:r>
              <w:rPr>
                <w:spacing w:val="-1"/>
              </w:rPr>
              <w:t>核算时段内二氧化硫排放量，</w:t>
            </w:r>
            <w:r>
              <w:rPr>
                <w:rFonts w:ascii="Times New Roman" w:hAnsi="Times New Roman" w:eastAsia="Times New Roman" w:cs="Times New Roman"/>
                <w:spacing w:val="-1"/>
              </w:rPr>
              <w:t>t;</w:t>
            </w:r>
            <w:r>
              <w:rPr>
                <w:rFonts w:ascii="Times New Roman" w:hAnsi="Times New Roman" w:eastAsia="Times New Roman" w:cs="Times New Roman"/>
                <w:spacing w:val="13"/>
              </w:rPr>
              <w:t xml:space="preserve"> </w:t>
            </w:r>
            <w:r>
              <w:rPr>
                <w:rFonts w:ascii="Times New Roman" w:hAnsi="Times New Roman" w:eastAsia="Times New Roman" w:cs="Times New Roman"/>
                <w:spacing w:val="-1"/>
              </w:rPr>
              <w:t>R--</w:t>
            </w:r>
            <w:r>
              <w:rPr>
                <w:spacing w:val="-1"/>
              </w:rPr>
              <w:t>核算时段内锅炉燃料耗量，万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9"/>
                <w:position w:val="7"/>
                <w:sz w:val="14"/>
                <w:szCs w:val="14"/>
              </w:rPr>
              <w:t xml:space="preserve"> </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S</w:t>
            </w:r>
            <w:r>
              <w:rPr>
                <w:rFonts w:ascii="Times New Roman" w:hAnsi="Times New Roman" w:eastAsia="Times New Roman" w:cs="Times New Roman"/>
                <w:spacing w:val="-1"/>
                <w:position w:val="-1"/>
                <w:sz w:val="14"/>
                <w:szCs w:val="14"/>
              </w:rPr>
              <w:t>t</w:t>
            </w:r>
            <w:r>
              <w:rPr>
                <w:rFonts w:ascii="Times New Roman" w:hAnsi="Times New Roman" w:eastAsia="Times New Roman" w:cs="Times New Roman"/>
                <w:spacing w:val="-1"/>
              </w:rPr>
              <w:t>--</w:t>
            </w:r>
            <w:r>
              <w:rPr>
                <w:spacing w:val="-1"/>
              </w:rPr>
              <w:t>燃料总硫的质量浓度，</w:t>
            </w:r>
            <w:r>
              <w:rPr>
                <w:rFonts w:ascii="Times New Roman" w:hAnsi="Times New Roman" w:eastAsia="Times New Roman" w:cs="Times New Roman"/>
                <w:spacing w:val="-1"/>
              </w:rPr>
              <w:t>mg/m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w:t>
            </w:r>
          </w:p>
        </w:tc>
      </w:tr>
    </w:tbl>
    <w:p w14:paraId="525D41DD">
      <w:pPr>
        <w:pStyle w:val="2"/>
      </w:pPr>
    </w:p>
    <w:p w14:paraId="25E94BEB">
      <w:pPr>
        <w:sectPr>
          <w:footerReference r:id="rId69" w:type="default"/>
          <w:pgSz w:w="11907" w:h="16840"/>
          <w:pgMar w:top="1431" w:right="1490" w:bottom="1260" w:left="1489" w:header="0" w:footer="1080" w:gutter="0"/>
          <w:cols w:space="720" w:num="1"/>
        </w:sectPr>
      </w:pPr>
    </w:p>
    <w:p w14:paraId="6E7F8AFA">
      <w:pPr>
        <w:spacing w:before="28"/>
      </w:pPr>
    </w:p>
    <w:tbl>
      <w:tblPr>
        <w:tblStyle w:val="5"/>
        <w:tblW w:w="891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85"/>
        <w:gridCol w:w="1743"/>
        <w:gridCol w:w="6384"/>
      </w:tblGrid>
      <w:tr w14:paraId="0DDA1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091" w:hRule="atLeast"/>
        </w:trPr>
        <w:tc>
          <w:tcPr>
            <w:tcW w:w="785" w:type="dxa"/>
            <w:vMerge w:val="restart"/>
            <w:tcBorders>
              <w:top w:val="single" w:color="000000" w:sz="2" w:space="0"/>
              <w:left w:val="single" w:color="000000" w:sz="6" w:space="0"/>
              <w:bottom w:val="nil"/>
              <w:right w:val="single" w:color="000000" w:sz="2" w:space="0"/>
            </w:tcBorders>
            <w:vAlign w:val="top"/>
          </w:tcPr>
          <w:p w14:paraId="7ACD5C00">
            <w:pPr>
              <w:rPr>
                <w:rFonts w:ascii="Arial"/>
                <w:sz w:val="21"/>
              </w:rPr>
            </w:pPr>
          </w:p>
        </w:tc>
        <w:tc>
          <w:tcPr>
            <w:tcW w:w="8127" w:type="dxa"/>
            <w:gridSpan w:val="2"/>
            <w:tcBorders>
              <w:top w:val="single" w:color="000000" w:sz="2" w:space="0"/>
              <w:left w:val="single" w:color="000000" w:sz="2" w:space="0"/>
              <w:right w:val="single" w:color="000000" w:sz="6" w:space="0"/>
            </w:tcBorders>
            <w:vAlign w:val="top"/>
          </w:tcPr>
          <w:p w14:paraId="6B0C5902">
            <w:pPr>
              <w:pStyle w:val="6"/>
              <w:spacing w:before="137" w:line="213" w:lineRule="auto"/>
              <w:ind w:left="983"/>
              <w:rPr>
                <w:rFonts w:ascii="Times New Roman" w:hAnsi="Times New Roman" w:eastAsia="Times New Roman" w:cs="Times New Roman"/>
              </w:rPr>
            </w:pPr>
            <w:r>
              <w:rPr>
                <w:rFonts w:ascii="Times New Roman" w:hAnsi="Times New Roman" w:eastAsia="Times New Roman" w:cs="Times New Roman"/>
                <w:spacing w:val="-1"/>
              </w:rPr>
              <w:t>Ƞ</w:t>
            </w:r>
            <w:r>
              <w:rPr>
                <w:rFonts w:ascii="Times New Roman" w:hAnsi="Times New Roman" w:eastAsia="Times New Roman" w:cs="Times New Roman"/>
                <w:spacing w:val="-1"/>
                <w:sz w:val="14"/>
                <w:szCs w:val="14"/>
              </w:rPr>
              <w:t>S</w:t>
            </w:r>
            <w:r>
              <w:rPr>
                <w:rFonts w:ascii="Times New Roman" w:hAnsi="Times New Roman" w:eastAsia="Times New Roman" w:cs="Times New Roman"/>
                <w:spacing w:val="-1"/>
              </w:rPr>
              <w:t>--</w:t>
            </w:r>
            <w:r>
              <w:rPr>
                <w:spacing w:val="-1"/>
              </w:rPr>
              <w:t>脱硫效率，</w:t>
            </w:r>
            <w:r>
              <w:rPr>
                <w:rFonts w:ascii="Times New Roman" w:hAnsi="Times New Roman" w:eastAsia="Times New Roman" w:cs="Times New Roman"/>
                <w:spacing w:val="-1"/>
              </w:rPr>
              <w:t>%;</w:t>
            </w:r>
          </w:p>
          <w:p w14:paraId="7F68F749">
            <w:pPr>
              <w:pStyle w:val="6"/>
              <w:spacing w:before="152" w:line="219" w:lineRule="auto"/>
              <w:ind w:left="983"/>
            </w:pPr>
            <w:r>
              <w:rPr>
                <w:rFonts w:ascii="Times New Roman" w:hAnsi="Times New Roman" w:eastAsia="Times New Roman" w:cs="Times New Roman"/>
              </w:rPr>
              <w:t>K--</w:t>
            </w:r>
            <w:r>
              <w:t>燃料中的硫燃烧后氧化成二氧化硫的份额，量纲一</w:t>
            </w:r>
            <w:r>
              <w:rPr>
                <w:spacing w:val="-1"/>
              </w:rPr>
              <w:t>的量；</w:t>
            </w:r>
          </w:p>
          <w:p w14:paraId="5E695B09">
            <w:pPr>
              <w:pStyle w:val="6"/>
              <w:spacing w:before="142" w:line="312" w:lineRule="auto"/>
              <w:ind w:left="107" w:right="100" w:firstLine="442"/>
            </w:pPr>
            <w:r>
              <w:rPr>
                <w:spacing w:val="-2"/>
              </w:rPr>
              <w:t>其中</w:t>
            </w:r>
            <w:r>
              <w:rPr>
                <w:rFonts w:ascii="Times New Roman" w:hAnsi="Times New Roman" w:eastAsia="Times New Roman" w:cs="Times New Roman"/>
                <w:spacing w:val="-2"/>
              </w:rPr>
              <w:t>R</w:t>
            </w:r>
            <w:r>
              <w:rPr>
                <w:spacing w:val="-2"/>
              </w:rPr>
              <w:t>核算时段内燃气锅炉燃料耗量为</w:t>
            </w:r>
            <w:r>
              <w:rPr>
                <w:rFonts w:ascii="Times New Roman" w:hAnsi="Times New Roman" w:eastAsia="Times New Roman" w:cs="Times New Roman"/>
                <w:spacing w:val="-2"/>
              </w:rPr>
              <w:t>17.55</w:t>
            </w:r>
            <w:r>
              <w:rPr>
                <w:spacing w:val="-2"/>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spacing w:val="-2"/>
              </w:rPr>
              <w:t>。脱硫效率</w:t>
            </w:r>
            <w:r>
              <w:rPr>
                <w:rFonts w:ascii="Times New Roman" w:hAnsi="Times New Roman" w:eastAsia="Times New Roman" w:cs="Times New Roman"/>
                <w:spacing w:val="-2"/>
              </w:rPr>
              <w:t>Ƞ</w:t>
            </w:r>
            <w:r>
              <w:rPr>
                <w:rFonts w:ascii="Times New Roman" w:hAnsi="Times New Roman" w:eastAsia="Times New Roman" w:cs="Times New Roman"/>
                <w:spacing w:val="-2"/>
                <w:position w:val="-1"/>
                <w:sz w:val="14"/>
                <w:szCs w:val="14"/>
              </w:rPr>
              <w:t>S</w:t>
            </w:r>
            <w:r>
              <w:rPr>
                <w:spacing w:val="-2"/>
              </w:rPr>
              <w:t>取值为</w:t>
            </w:r>
            <w:r>
              <w:rPr>
                <w:rFonts w:ascii="Times New Roman" w:hAnsi="Times New Roman" w:eastAsia="Times New Roman" w:cs="Times New Roman"/>
                <w:spacing w:val="-2"/>
              </w:rPr>
              <w:t>0</w:t>
            </w:r>
            <w:r>
              <w:rPr>
                <w:spacing w:val="-2"/>
              </w:rPr>
              <w:t>，</w:t>
            </w:r>
            <w:r>
              <w:rPr>
                <w:rFonts w:ascii="Times New Roman" w:hAnsi="Times New Roman" w:eastAsia="Times New Roman" w:cs="Times New Roman"/>
                <w:spacing w:val="-2"/>
              </w:rPr>
              <w:t>K</w:t>
            </w:r>
            <w:r>
              <w:rPr>
                <w:spacing w:val="-2"/>
              </w:rPr>
              <w:t>值参</w:t>
            </w:r>
            <w:r>
              <w:rPr>
                <w:spacing w:val="13"/>
              </w:rPr>
              <w:t xml:space="preserve"> </w:t>
            </w:r>
            <w:r>
              <w:rPr>
                <w:spacing w:val="-2"/>
              </w:rPr>
              <w:t>考其附录</w:t>
            </w:r>
            <w:r>
              <w:rPr>
                <w:rFonts w:ascii="Times New Roman" w:hAnsi="Times New Roman" w:eastAsia="Times New Roman" w:cs="Times New Roman"/>
                <w:spacing w:val="-2"/>
              </w:rPr>
              <w:t>B</w:t>
            </w:r>
            <w:r>
              <w:rPr>
                <w:spacing w:val="-2"/>
              </w:rPr>
              <w:t>取</w:t>
            </w:r>
            <w:r>
              <w:rPr>
                <w:rFonts w:ascii="Times New Roman" w:hAnsi="Times New Roman" w:eastAsia="Times New Roman" w:cs="Times New Roman"/>
                <w:spacing w:val="-2"/>
              </w:rPr>
              <w:t>1.0</w:t>
            </w:r>
            <w:r>
              <w:rPr>
                <w:rFonts w:ascii="Times New Roman" w:hAnsi="Times New Roman" w:eastAsia="Times New Roman" w:cs="Times New Roman"/>
                <w:spacing w:val="-14"/>
              </w:rPr>
              <w:t xml:space="preserve"> </w:t>
            </w:r>
            <w:r>
              <w:rPr>
                <w:spacing w:val="-2"/>
              </w:rPr>
              <w:t>。天然气含硫量</w:t>
            </w:r>
            <w:r>
              <w:rPr>
                <w:rFonts w:ascii="Times New Roman" w:hAnsi="Times New Roman" w:eastAsia="Times New Roman" w:cs="Times New Roman"/>
                <w:spacing w:val="-2"/>
              </w:rPr>
              <w:t>100mg/m</w:t>
            </w:r>
            <w:r>
              <w:rPr>
                <w:rFonts w:ascii="Times New Roman" w:hAnsi="Times New Roman" w:eastAsia="Times New Roman" w:cs="Times New Roman"/>
                <w:spacing w:val="-2"/>
                <w:position w:val="7"/>
                <w:sz w:val="14"/>
                <w:szCs w:val="14"/>
              </w:rPr>
              <w:t>3</w:t>
            </w:r>
            <w:r>
              <w:rPr>
                <w:spacing w:val="-2"/>
              </w:rPr>
              <w:t>。</w:t>
            </w:r>
          </w:p>
          <w:p w14:paraId="5B05477E">
            <w:pPr>
              <w:pStyle w:val="6"/>
              <w:spacing w:before="64" w:line="319" w:lineRule="auto"/>
              <w:ind w:left="124" w:right="100" w:firstLine="426"/>
            </w:pPr>
            <w:r>
              <w:rPr>
                <w:spacing w:val="-3"/>
              </w:rPr>
              <w:t>经计算，燃气锅炉烟气的</w:t>
            </w:r>
            <w:r>
              <w:rPr>
                <w:rFonts w:ascii="Times New Roman" w:hAnsi="Times New Roman" w:eastAsia="Times New Roman" w:cs="Times New Roman"/>
                <w:spacing w:val="-3"/>
              </w:rPr>
              <w:t>SO</w:t>
            </w:r>
            <w:r>
              <w:rPr>
                <w:rFonts w:ascii="Times New Roman" w:hAnsi="Times New Roman" w:eastAsia="Times New Roman" w:cs="Times New Roman"/>
                <w:spacing w:val="-3"/>
                <w:position w:val="-1"/>
                <w:sz w:val="14"/>
                <w:szCs w:val="14"/>
              </w:rPr>
              <w:t>2</w:t>
            </w:r>
            <w:r>
              <w:rPr>
                <w:spacing w:val="-3"/>
              </w:rPr>
              <w:t>排放量为</w:t>
            </w:r>
            <w:r>
              <w:rPr>
                <w:rFonts w:ascii="Times New Roman" w:hAnsi="Times New Roman" w:eastAsia="Times New Roman" w:cs="Times New Roman"/>
                <w:spacing w:val="-3"/>
              </w:rPr>
              <w:t>0.0351t/a</w:t>
            </w:r>
            <w:r>
              <w:rPr>
                <w:spacing w:val="-3"/>
              </w:rPr>
              <w:t>、排放速率</w:t>
            </w:r>
            <w:r>
              <w:rPr>
                <w:rFonts w:ascii="Times New Roman" w:hAnsi="Times New Roman" w:eastAsia="Times New Roman" w:cs="Times New Roman"/>
                <w:spacing w:val="-3"/>
              </w:rPr>
              <w:t>0.</w:t>
            </w:r>
            <w:r>
              <w:rPr>
                <w:rFonts w:ascii="Times New Roman" w:hAnsi="Times New Roman" w:eastAsia="Times New Roman" w:cs="Times New Roman"/>
                <w:spacing w:val="-15"/>
              </w:rPr>
              <w:t xml:space="preserve"> </w:t>
            </w:r>
            <w:r>
              <w:rPr>
                <w:rFonts w:ascii="Times New Roman" w:hAnsi="Times New Roman" w:eastAsia="Times New Roman" w:cs="Times New Roman"/>
                <w:spacing w:val="-3"/>
              </w:rPr>
              <w:t>117kg/h</w:t>
            </w:r>
            <w:r>
              <w:rPr>
                <w:spacing w:val="-3"/>
              </w:rPr>
              <w:t>、排放浓度</w:t>
            </w:r>
            <w:r>
              <w:t xml:space="preserve"> </w:t>
            </w:r>
            <w:r>
              <w:rPr>
                <w:rFonts w:ascii="Times New Roman" w:hAnsi="Times New Roman" w:eastAsia="Times New Roman" w:cs="Times New Roman"/>
                <w:spacing w:val="-3"/>
              </w:rPr>
              <w:t>14.625mg/m</w:t>
            </w:r>
            <w:r>
              <w:rPr>
                <w:rFonts w:ascii="Times New Roman" w:hAnsi="Times New Roman" w:eastAsia="Times New Roman" w:cs="Times New Roman"/>
                <w:spacing w:val="-3"/>
                <w:position w:val="7"/>
                <w:sz w:val="14"/>
                <w:szCs w:val="14"/>
              </w:rPr>
              <w:t>3</w:t>
            </w:r>
            <w:r>
              <w:rPr>
                <w:spacing w:val="-3"/>
              </w:rPr>
              <w:t>。</w:t>
            </w:r>
          </w:p>
          <w:p w14:paraId="6932035E">
            <w:pPr>
              <w:pStyle w:val="6"/>
              <w:spacing w:before="46" w:line="219" w:lineRule="auto"/>
              <w:ind w:left="544"/>
            </w:pPr>
            <w:r>
              <w:rPr>
                <w:rFonts w:ascii="Times New Roman" w:hAnsi="Times New Roman" w:eastAsia="Times New Roman" w:cs="Times New Roman"/>
                <w:spacing w:val="-1"/>
              </w:rPr>
              <w:t>D</w:t>
            </w:r>
            <w:r>
              <w:rPr>
                <w:spacing w:val="-1"/>
              </w:rPr>
              <w:t>、氮氧化物核算</w:t>
            </w:r>
          </w:p>
          <w:p w14:paraId="104E4E54">
            <w:pPr>
              <w:pStyle w:val="6"/>
              <w:spacing w:before="143" w:line="316" w:lineRule="auto"/>
              <w:ind w:left="109" w:right="102" w:firstLine="439"/>
            </w:pPr>
            <w:r>
              <w:rPr>
                <w:spacing w:val="-2"/>
              </w:rPr>
              <w:t xml:space="preserve">根据《污染源源强核算技术指南 锅炉》 </w:t>
            </w:r>
            <w:r>
              <w:rPr>
                <w:rFonts w:ascii="Times New Roman" w:hAnsi="Times New Roman" w:eastAsia="Times New Roman" w:cs="Times New Roman"/>
                <w:spacing w:val="-2"/>
              </w:rPr>
              <w:t xml:space="preserve">(HJ 991-2018)  </w:t>
            </w:r>
            <w:r>
              <w:rPr>
                <w:spacing w:val="-2"/>
              </w:rPr>
              <w:t>，锅</w:t>
            </w:r>
            <w:r>
              <w:rPr>
                <w:spacing w:val="-3"/>
              </w:rPr>
              <w:t>炉废气污染源强核</w:t>
            </w:r>
            <w:r>
              <w:t xml:space="preserve"> 算参数可采用锅炉生产商热平衡计算、控制性</w:t>
            </w:r>
            <w:r>
              <w:rPr>
                <w:spacing w:val="-1"/>
              </w:rPr>
              <w:t>能保证值等资料取值。</w:t>
            </w:r>
          </w:p>
          <w:p w14:paraId="0D477381">
            <w:pPr>
              <w:pStyle w:val="6"/>
              <w:spacing w:before="55" w:line="213" w:lineRule="auto"/>
              <w:ind w:left="549"/>
              <w:rPr>
                <w:rFonts w:ascii="Times New Roman" w:hAnsi="Times New Roman" w:eastAsia="Times New Roman" w:cs="Times New Roman"/>
              </w:rPr>
            </w:pPr>
            <w:r>
              <w:t xml:space="preserve">本项目氮氧化物排放量参照《污染源源强核算技术指南 锅炉》 </w:t>
            </w:r>
            <w:r>
              <w:rPr>
                <w:rFonts w:ascii="Times New Roman" w:hAnsi="Times New Roman" w:eastAsia="Times New Roman" w:cs="Times New Roman"/>
              </w:rPr>
              <w:t>(</w:t>
            </w:r>
            <w:r>
              <w:rPr>
                <w:rFonts w:ascii="Times New Roman" w:hAnsi="Times New Roman" w:eastAsia="Times New Roman" w:cs="Times New Roman"/>
                <w:spacing w:val="-1"/>
              </w:rPr>
              <w:t>HJ 991-2018)</w:t>
            </w:r>
          </w:p>
        </w:tc>
      </w:tr>
      <w:tr w14:paraId="3CE5FA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91" w:hRule="atLeast"/>
        </w:trPr>
        <w:tc>
          <w:tcPr>
            <w:tcW w:w="785" w:type="dxa"/>
            <w:vMerge w:val="continue"/>
            <w:tcBorders>
              <w:top w:val="nil"/>
              <w:left w:val="single" w:color="000000" w:sz="6" w:space="0"/>
              <w:bottom w:val="nil"/>
              <w:right w:val="single" w:color="000000" w:sz="2" w:space="0"/>
            </w:tcBorders>
            <w:vAlign w:val="top"/>
          </w:tcPr>
          <w:p w14:paraId="0A0E1CA5">
            <w:pPr>
              <w:rPr>
                <w:rFonts w:ascii="Arial"/>
                <w:sz w:val="21"/>
              </w:rPr>
            </w:pPr>
          </w:p>
        </w:tc>
        <w:tc>
          <w:tcPr>
            <w:tcW w:w="1743" w:type="dxa"/>
            <w:tcBorders>
              <w:left w:val="single" w:color="000000" w:sz="2" w:space="0"/>
            </w:tcBorders>
            <w:vAlign w:val="top"/>
          </w:tcPr>
          <w:p w14:paraId="230A8CE8">
            <w:pPr>
              <w:pStyle w:val="6"/>
              <w:spacing w:before="88" w:line="211" w:lineRule="auto"/>
              <w:ind w:left="128"/>
            </w:pPr>
            <w:r>
              <w:rPr>
                <w:spacing w:val="-4"/>
              </w:rPr>
              <w:t>中公式</w:t>
            </w:r>
            <w:r>
              <w:rPr>
                <w:rFonts w:ascii="Times New Roman" w:hAnsi="Times New Roman" w:eastAsia="Times New Roman" w:cs="Times New Roman"/>
                <w:spacing w:val="-4"/>
              </w:rPr>
              <w:t>(5)</w:t>
            </w:r>
            <w:r>
              <w:rPr>
                <w:spacing w:val="-4"/>
              </w:rPr>
              <w:t>核算。</w:t>
            </w:r>
          </w:p>
        </w:tc>
        <w:tc>
          <w:tcPr>
            <w:tcW w:w="6384" w:type="dxa"/>
            <w:tcBorders>
              <w:right w:val="single" w:color="000000" w:sz="6" w:space="0"/>
            </w:tcBorders>
            <w:vAlign w:val="top"/>
          </w:tcPr>
          <w:p w14:paraId="5061FE74">
            <w:pPr>
              <w:spacing w:line="356" w:lineRule="auto"/>
              <w:rPr>
                <w:rFonts w:ascii="Arial"/>
                <w:sz w:val="21"/>
              </w:rPr>
            </w:pPr>
          </w:p>
          <w:p w14:paraId="326EDE98">
            <w:pPr>
              <w:spacing w:line="1064" w:lineRule="exact"/>
              <w:ind w:firstLine="201"/>
            </w:pPr>
            <w:r>
              <w:rPr>
                <w:position w:val="-21"/>
              </w:rPr>
              <w:drawing>
                <wp:inline distT="0" distB="0" distL="0" distR="0">
                  <wp:extent cx="2669540" cy="675005"/>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258"/>
                          <a:stretch>
                            <a:fillRect/>
                          </a:stretch>
                        </pic:blipFill>
                        <pic:spPr>
                          <a:xfrm>
                            <a:off x="0" y="0"/>
                            <a:ext cx="2670047" cy="675132"/>
                          </a:xfrm>
                          <a:prstGeom prst="rect">
                            <a:avLst/>
                          </a:prstGeom>
                        </pic:spPr>
                      </pic:pic>
                    </a:graphicData>
                  </a:graphic>
                </wp:inline>
              </w:drawing>
            </w:r>
          </w:p>
        </w:tc>
      </w:tr>
      <w:tr w14:paraId="6FB875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25" w:hRule="atLeast"/>
        </w:trPr>
        <w:tc>
          <w:tcPr>
            <w:tcW w:w="785" w:type="dxa"/>
            <w:vMerge w:val="continue"/>
            <w:tcBorders>
              <w:top w:val="nil"/>
              <w:left w:val="single" w:color="000000" w:sz="6" w:space="0"/>
              <w:bottom w:val="single" w:color="000000" w:sz="6" w:space="0"/>
              <w:right w:val="single" w:color="000000" w:sz="2" w:space="0"/>
            </w:tcBorders>
            <w:vAlign w:val="top"/>
          </w:tcPr>
          <w:p w14:paraId="2938274B">
            <w:pPr>
              <w:rPr>
                <w:rFonts w:ascii="Arial"/>
                <w:sz w:val="21"/>
              </w:rPr>
            </w:pPr>
          </w:p>
        </w:tc>
        <w:tc>
          <w:tcPr>
            <w:tcW w:w="8127" w:type="dxa"/>
            <w:gridSpan w:val="2"/>
            <w:tcBorders>
              <w:left w:val="single" w:color="000000" w:sz="2" w:space="0"/>
              <w:bottom w:val="single" w:color="000000" w:sz="6" w:space="0"/>
              <w:right w:val="single" w:color="000000" w:sz="6" w:space="0"/>
            </w:tcBorders>
            <w:vAlign w:val="top"/>
          </w:tcPr>
          <w:p w14:paraId="6D5ED18C">
            <w:pPr>
              <w:pStyle w:val="6"/>
              <w:spacing w:before="80" w:line="213" w:lineRule="auto"/>
              <w:ind w:left="553"/>
              <w:rPr>
                <w:rFonts w:ascii="Times New Roman" w:hAnsi="Times New Roman" w:eastAsia="Times New Roman" w:cs="Times New Roman"/>
              </w:rPr>
            </w:pPr>
            <w:r>
              <w:rPr>
                <w:spacing w:val="-1"/>
              </w:rPr>
              <w:t>式中：</w:t>
            </w:r>
            <w:r>
              <w:rPr>
                <w:rFonts w:ascii="Times New Roman" w:hAnsi="Times New Roman" w:eastAsia="Times New Roman" w:cs="Times New Roman"/>
                <w:spacing w:val="-1"/>
              </w:rPr>
              <w:t>E</w:t>
            </w:r>
            <w:r>
              <w:rPr>
                <w:rFonts w:ascii="Times New Roman" w:hAnsi="Times New Roman" w:eastAsia="Times New Roman" w:cs="Times New Roman"/>
                <w:spacing w:val="-1"/>
                <w:position w:val="-1"/>
                <w:sz w:val="14"/>
                <w:szCs w:val="14"/>
              </w:rPr>
              <w:t>NOx</w:t>
            </w:r>
            <w:r>
              <w:rPr>
                <w:rFonts w:ascii="Times New Roman" w:hAnsi="Times New Roman" w:eastAsia="Times New Roman" w:cs="Times New Roman"/>
                <w:spacing w:val="-1"/>
              </w:rPr>
              <w:t>---</w:t>
            </w:r>
            <w:r>
              <w:rPr>
                <w:spacing w:val="-1"/>
              </w:rPr>
              <w:t>核算时段内氮氧化物排放量，</w:t>
            </w:r>
            <w:r>
              <w:rPr>
                <w:rFonts w:ascii="Times New Roman" w:hAnsi="Times New Roman" w:eastAsia="Times New Roman" w:cs="Times New Roman"/>
                <w:spacing w:val="-1"/>
              </w:rPr>
              <w:t>t;</w:t>
            </w:r>
          </w:p>
          <w:p w14:paraId="2AE6F902">
            <w:pPr>
              <w:pStyle w:val="6"/>
              <w:spacing w:before="150" w:line="312" w:lineRule="auto"/>
              <w:ind w:left="1208" w:right="2259" w:firstLine="1"/>
            </w:pPr>
            <w:r>
              <w:rPr>
                <w:rFonts w:ascii="Times New Roman" w:hAnsi="Times New Roman" w:eastAsia="Times New Roman" w:cs="Times New Roman"/>
                <w:spacing w:val="-2"/>
              </w:rPr>
              <w:t>ρ</w:t>
            </w:r>
            <w:r>
              <w:rPr>
                <w:rFonts w:ascii="Times New Roman" w:hAnsi="Times New Roman" w:eastAsia="Times New Roman" w:cs="Times New Roman"/>
                <w:spacing w:val="-2"/>
                <w:position w:val="-1"/>
                <w:sz w:val="14"/>
                <w:szCs w:val="14"/>
              </w:rPr>
              <w:t>NOx</w:t>
            </w:r>
            <w:r>
              <w:rPr>
                <w:rFonts w:ascii="Times New Roman" w:hAnsi="Times New Roman" w:eastAsia="Times New Roman" w:cs="Times New Roman"/>
                <w:spacing w:val="-2"/>
              </w:rPr>
              <w:t>---</w:t>
            </w:r>
            <w:r>
              <w:rPr>
                <w:spacing w:val="-2"/>
              </w:rPr>
              <w:t>锅炉炉膛出口氮氧化物质量浓度，</w:t>
            </w:r>
            <w:r>
              <w:rPr>
                <w:rFonts w:ascii="Times New Roman" w:hAnsi="Times New Roman" w:eastAsia="Times New Roman" w:cs="Times New Roman"/>
                <w:spacing w:val="-2"/>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spacing w:val="-3"/>
              </w:rPr>
              <w:t>；</w:t>
            </w:r>
            <w:r>
              <w:t xml:space="preserve"> </w:t>
            </w:r>
            <w:r>
              <w:rPr>
                <w:rFonts w:ascii="Times New Roman" w:hAnsi="Times New Roman" w:eastAsia="Times New Roman" w:cs="Times New Roman"/>
                <w:spacing w:val="-1"/>
              </w:rPr>
              <w:t>Q---</w:t>
            </w:r>
            <w:r>
              <w:rPr>
                <w:spacing w:val="-1"/>
              </w:rPr>
              <w:t>核算时段内标态干烟气排放量，</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spacing w:val="-1"/>
              </w:rPr>
              <w:t>；</w:t>
            </w:r>
          </w:p>
          <w:p w14:paraId="42FB62D4">
            <w:pPr>
              <w:pStyle w:val="6"/>
              <w:spacing w:before="64" w:line="213" w:lineRule="auto"/>
              <w:ind w:left="1204"/>
            </w:pPr>
            <w:r>
              <w:rPr>
                <w:rFonts w:ascii="Times New Roman" w:hAnsi="Times New Roman" w:eastAsia="Times New Roman" w:cs="Times New Roman"/>
                <w:spacing w:val="-1"/>
              </w:rPr>
              <w:t>Ƞ</w:t>
            </w:r>
            <w:r>
              <w:rPr>
                <w:rFonts w:ascii="Times New Roman" w:hAnsi="Times New Roman" w:eastAsia="Times New Roman" w:cs="Times New Roman"/>
                <w:spacing w:val="-1"/>
                <w:position w:val="-1"/>
                <w:sz w:val="14"/>
                <w:szCs w:val="14"/>
              </w:rPr>
              <w:t>NOx</w:t>
            </w:r>
            <w:r>
              <w:rPr>
                <w:rFonts w:ascii="Times New Roman" w:hAnsi="Times New Roman" w:eastAsia="Times New Roman" w:cs="Times New Roman"/>
                <w:spacing w:val="-1"/>
              </w:rPr>
              <w:t>---</w:t>
            </w:r>
            <w:r>
              <w:rPr>
                <w:spacing w:val="-1"/>
              </w:rPr>
              <w:t>脱硝效率，</w:t>
            </w:r>
            <w:r>
              <w:rPr>
                <w:rFonts w:ascii="Times New Roman" w:hAnsi="Times New Roman" w:eastAsia="Times New Roman" w:cs="Times New Roman"/>
                <w:spacing w:val="-1"/>
              </w:rPr>
              <w:t>%</w:t>
            </w:r>
            <w:r>
              <w:rPr>
                <w:spacing w:val="-1"/>
              </w:rPr>
              <w:t>。</w:t>
            </w:r>
          </w:p>
          <w:p w14:paraId="68CFF139">
            <w:pPr>
              <w:pStyle w:val="6"/>
              <w:spacing w:before="154" w:line="333" w:lineRule="auto"/>
              <w:ind w:left="105" w:right="42" w:firstLine="443"/>
            </w:pPr>
            <w:r>
              <w:rPr>
                <w:b/>
                <w:bCs/>
                <w:spacing w:val="-1"/>
              </w:rPr>
              <w:t>根据建设单位提供的锅炉设备资料，本项目蒸汽发生器配套有低氮燃烧设</w:t>
            </w:r>
            <w:r>
              <w:rPr>
                <w:b/>
                <w:bCs/>
                <w:spacing w:val="-2"/>
              </w:rPr>
              <w:t>备，</w:t>
            </w:r>
            <w:r>
              <w:t xml:space="preserve"> </w:t>
            </w:r>
            <w:r>
              <w:rPr>
                <w:b/>
                <w:bCs/>
                <w:spacing w:val="-4"/>
              </w:rPr>
              <w:t>烟气出口的氮氧化物浓度控制值为≤</w:t>
            </w:r>
            <w:r>
              <w:rPr>
                <w:rFonts w:ascii="Times New Roman" w:hAnsi="Times New Roman" w:eastAsia="Times New Roman" w:cs="Times New Roman"/>
                <w:b/>
                <w:bCs/>
                <w:spacing w:val="-4"/>
              </w:rPr>
              <w:t>30mg/m</w:t>
            </w:r>
            <w:r>
              <w:rPr>
                <w:rFonts w:ascii="Times New Roman" w:hAnsi="Times New Roman" w:eastAsia="Times New Roman" w:cs="Times New Roman"/>
                <w:b/>
                <w:bCs/>
                <w:spacing w:val="-4"/>
                <w:position w:val="7"/>
                <w:sz w:val="14"/>
                <w:szCs w:val="14"/>
              </w:rPr>
              <w:t>3</w:t>
            </w:r>
            <w:r>
              <w:rPr>
                <w:b/>
                <w:bCs/>
                <w:spacing w:val="-4"/>
              </w:rPr>
              <w:t>。</w:t>
            </w:r>
            <w:r>
              <w:rPr>
                <w:spacing w:val="-4"/>
              </w:rPr>
              <w:t>本次环评按照控制值的最大值计算，</w:t>
            </w:r>
            <w:r>
              <w:rPr>
                <w:spacing w:val="1"/>
              </w:rPr>
              <w:t xml:space="preserve"> </w:t>
            </w:r>
            <w:r>
              <w:rPr>
                <w:spacing w:val="-1"/>
              </w:rPr>
              <w:t>氮氧化物浓度取</w:t>
            </w:r>
            <w:r>
              <w:rPr>
                <w:rFonts w:ascii="Times New Roman" w:hAnsi="Times New Roman" w:eastAsia="Times New Roman" w:cs="Times New Roman"/>
                <w:spacing w:val="-1"/>
              </w:rPr>
              <w:t>30mg/m</w:t>
            </w:r>
            <w:r>
              <w:rPr>
                <w:rFonts w:ascii="Times New Roman" w:hAnsi="Times New Roman" w:eastAsia="Times New Roman" w:cs="Times New Roman"/>
                <w:spacing w:val="-1"/>
                <w:position w:val="7"/>
                <w:sz w:val="14"/>
                <w:szCs w:val="14"/>
              </w:rPr>
              <w:t xml:space="preserve">3 </w:t>
            </w:r>
            <w:r>
              <w:rPr>
                <w:spacing w:val="-1"/>
              </w:rPr>
              <w:t>。燃气锅炉干烟气年</w:t>
            </w:r>
            <w:r>
              <w:rPr>
                <w:spacing w:val="-2"/>
              </w:rPr>
              <w:t>排气量</w:t>
            </w:r>
            <w:r>
              <w:rPr>
                <w:rFonts w:ascii="Times New Roman" w:hAnsi="Times New Roman" w:eastAsia="Times New Roman" w:cs="Times New Roman"/>
                <w:spacing w:val="-2"/>
              </w:rPr>
              <w:t>240</w:t>
            </w:r>
            <w:r>
              <w:rPr>
                <w:spacing w:val="-2"/>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30"/>
              </w:rPr>
              <w:t xml:space="preserve"> </w:t>
            </w:r>
            <w:r>
              <w:rPr>
                <w:spacing w:val="-2"/>
              </w:rPr>
              <w:t>，则氮氧化物排放量</w:t>
            </w:r>
            <w:r>
              <w:t xml:space="preserve"> </w:t>
            </w:r>
            <w:r>
              <w:rPr>
                <w:spacing w:val="-2"/>
              </w:rPr>
              <w:t>为</w:t>
            </w:r>
            <w:r>
              <w:rPr>
                <w:rFonts w:ascii="Times New Roman" w:hAnsi="Times New Roman" w:eastAsia="Times New Roman" w:cs="Times New Roman"/>
                <w:spacing w:val="-2"/>
              </w:rPr>
              <w:t>0.072t/a</w:t>
            </w:r>
            <w:r>
              <w:rPr>
                <w:rFonts w:ascii="Times New Roman" w:hAnsi="Times New Roman" w:eastAsia="Times New Roman" w:cs="Times New Roman"/>
                <w:spacing w:val="-23"/>
              </w:rPr>
              <w:t xml:space="preserve"> </w:t>
            </w:r>
            <w:r>
              <w:rPr>
                <w:spacing w:val="-2"/>
              </w:rPr>
              <w:t>、速率</w:t>
            </w:r>
            <w:r>
              <w:rPr>
                <w:rFonts w:ascii="Times New Roman" w:hAnsi="Times New Roman" w:eastAsia="Times New Roman" w:cs="Times New Roman"/>
                <w:spacing w:val="-2"/>
              </w:rPr>
              <w:t>0.24kg/h</w:t>
            </w:r>
            <w:r>
              <w:rPr>
                <w:rFonts w:ascii="Times New Roman" w:hAnsi="Times New Roman" w:eastAsia="Times New Roman" w:cs="Times New Roman"/>
                <w:spacing w:val="-31"/>
              </w:rPr>
              <w:t xml:space="preserve"> </w:t>
            </w:r>
            <w:r>
              <w:rPr>
                <w:spacing w:val="-2"/>
              </w:rPr>
              <w:t>、浓度</w:t>
            </w:r>
            <w:r>
              <w:rPr>
                <w:rFonts w:ascii="Times New Roman" w:hAnsi="Times New Roman" w:eastAsia="Times New Roman" w:cs="Times New Roman"/>
                <w:spacing w:val="-2"/>
              </w:rPr>
              <w:t>30mg/m</w:t>
            </w:r>
            <w:r>
              <w:rPr>
                <w:rFonts w:ascii="Times New Roman" w:hAnsi="Times New Roman" w:eastAsia="Times New Roman" w:cs="Times New Roman"/>
                <w:spacing w:val="-2"/>
                <w:position w:val="7"/>
                <w:sz w:val="14"/>
                <w:szCs w:val="14"/>
              </w:rPr>
              <w:t>3</w:t>
            </w:r>
            <w:r>
              <w:rPr>
                <w:spacing w:val="-2"/>
              </w:rPr>
              <w:t>。</w:t>
            </w:r>
          </w:p>
          <w:p w14:paraId="078F10CF">
            <w:pPr>
              <w:pStyle w:val="6"/>
              <w:spacing w:before="45" w:line="321" w:lineRule="auto"/>
              <w:ind w:left="97" w:firstLine="437"/>
            </w:pPr>
            <w:r>
              <w:rPr>
                <w:spacing w:val="-6"/>
              </w:rPr>
              <w:t>项目燃气锅炉烟气中的颗粒物、</w:t>
            </w:r>
            <w:r>
              <w:rPr>
                <w:rFonts w:ascii="Times New Roman" w:hAnsi="Times New Roman" w:eastAsia="Times New Roman" w:cs="Times New Roman"/>
                <w:spacing w:val="-6"/>
              </w:rPr>
              <w:t>SO</w:t>
            </w:r>
            <w:r>
              <w:rPr>
                <w:rFonts w:ascii="Times New Roman" w:hAnsi="Times New Roman" w:eastAsia="Times New Roman" w:cs="Times New Roman"/>
                <w:spacing w:val="-6"/>
                <w:position w:val="-1"/>
                <w:sz w:val="14"/>
                <w:szCs w:val="14"/>
              </w:rPr>
              <w:t>2</w:t>
            </w:r>
            <w:r>
              <w:rPr>
                <w:spacing w:val="-6"/>
              </w:rPr>
              <w:t>、</w:t>
            </w:r>
            <w:r>
              <w:rPr>
                <w:rFonts w:ascii="Times New Roman" w:hAnsi="Times New Roman" w:eastAsia="Times New Roman" w:cs="Times New Roman"/>
                <w:spacing w:val="-6"/>
              </w:rPr>
              <w:t>NO</w:t>
            </w:r>
            <w:r>
              <w:rPr>
                <w:rFonts w:ascii="Times New Roman" w:hAnsi="Times New Roman" w:eastAsia="Times New Roman" w:cs="Times New Roman"/>
                <w:spacing w:val="-6"/>
                <w:position w:val="-1"/>
                <w:sz w:val="14"/>
                <w:szCs w:val="14"/>
              </w:rPr>
              <w:t>x</w:t>
            </w:r>
            <w:r>
              <w:rPr>
                <w:rFonts w:ascii="Times New Roman" w:hAnsi="Times New Roman" w:eastAsia="Times New Roman" w:cs="Times New Roman"/>
                <w:spacing w:val="-5"/>
                <w:position w:val="-1"/>
                <w:sz w:val="14"/>
                <w:szCs w:val="14"/>
              </w:rPr>
              <w:t xml:space="preserve"> </w:t>
            </w:r>
            <w:r>
              <w:rPr>
                <w:spacing w:val="-6"/>
              </w:rPr>
              <w:t>能够满足《锅炉大气污染物排放标准》</w:t>
            </w:r>
            <w:r>
              <w:t xml:space="preserve"> </w:t>
            </w:r>
            <w:r>
              <w:rPr>
                <w:spacing w:val="-1"/>
              </w:rPr>
              <w:t>（</w:t>
            </w:r>
            <w:r>
              <w:rPr>
                <w:rFonts w:ascii="Times New Roman" w:hAnsi="Times New Roman" w:eastAsia="Times New Roman" w:cs="Times New Roman"/>
                <w:spacing w:val="-1"/>
              </w:rPr>
              <w:t>GB</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1"/>
              </w:rPr>
              <w:t>13271-2014</w:t>
            </w:r>
            <w:r>
              <w:rPr>
                <w:spacing w:val="-1"/>
              </w:rPr>
              <w:t>）表</w:t>
            </w:r>
            <w:r>
              <w:rPr>
                <w:rFonts w:ascii="Times New Roman" w:hAnsi="Times New Roman" w:eastAsia="Times New Roman" w:cs="Times New Roman"/>
                <w:spacing w:val="-1"/>
              </w:rPr>
              <w:t>3</w:t>
            </w:r>
            <w:r>
              <w:rPr>
                <w:spacing w:val="-1"/>
              </w:rPr>
              <w:t>中的特别排放限值。本项</w:t>
            </w:r>
            <w:r>
              <w:rPr>
                <w:spacing w:val="-2"/>
              </w:rPr>
              <w:t>目燃气锅炉设置一根</w:t>
            </w:r>
            <w:r>
              <w:rPr>
                <w:rFonts w:ascii="Times New Roman" w:hAnsi="Times New Roman" w:eastAsia="Times New Roman" w:cs="Times New Roman"/>
                <w:spacing w:val="-2"/>
              </w:rPr>
              <w:t>8m</w:t>
            </w:r>
            <w:r>
              <w:rPr>
                <w:spacing w:val="-2"/>
              </w:rPr>
              <w:t>高烟囱</w:t>
            </w:r>
          </w:p>
          <w:p w14:paraId="04601417">
            <w:pPr>
              <w:pStyle w:val="6"/>
              <w:spacing w:before="35" w:line="220" w:lineRule="auto"/>
              <w:ind w:left="97"/>
            </w:pPr>
            <w:r>
              <w:rPr>
                <w:spacing w:val="-1"/>
              </w:rPr>
              <w:t>（</w:t>
            </w:r>
            <w:r>
              <w:rPr>
                <w:rFonts w:ascii="Times New Roman" w:hAnsi="Times New Roman" w:eastAsia="Times New Roman" w:cs="Times New Roman"/>
                <w:spacing w:val="-1"/>
              </w:rPr>
              <w:t>DA003</w:t>
            </w:r>
            <w:r>
              <w:rPr>
                <w:spacing w:val="2"/>
              </w:rPr>
              <w:t>），</w:t>
            </w:r>
            <w:r>
              <w:rPr>
                <w:spacing w:val="-1"/>
              </w:rPr>
              <w:t>将烟气经烟囱引至厂房屋顶排放。</w:t>
            </w:r>
          </w:p>
          <w:p w14:paraId="7BB8615C">
            <w:pPr>
              <w:pStyle w:val="6"/>
              <w:spacing w:before="139" w:line="219" w:lineRule="auto"/>
              <w:ind w:left="548"/>
            </w:pPr>
            <w:r>
              <w:rPr>
                <w:b/>
                <w:bCs/>
                <w:spacing w:val="-3"/>
              </w:rPr>
              <w:t>低氮燃烧技术介绍：</w:t>
            </w:r>
          </w:p>
          <w:p w14:paraId="22CF0FF6">
            <w:pPr>
              <w:pStyle w:val="6"/>
              <w:spacing w:before="148" w:line="341" w:lineRule="auto"/>
              <w:ind w:left="111" w:right="105" w:firstLine="415"/>
              <w:rPr>
                <w:sz w:val="20"/>
                <w:szCs w:val="20"/>
              </w:rPr>
            </w:pPr>
            <w:r>
              <w:rPr>
                <w:spacing w:val="10"/>
                <w:sz w:val="20"/>
                <w:szCs w:val="20"/>
              </w:rPr>
              <w:t>本项目燃气锅炉配备有低氮燃烧器，采用烟气外循环</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FGR</w:t>
            </w:r>
            <w:r>
              <w:rPr>
                <w:rFonts w:ascii="Times New Roman" w:hAnsi="Times New Roman" w:eastAsia="Times New Roman" w:cs="Times New Roman"/>
                <w:spacing w:val="10"/>
                <w:sz w:val="20"/>
                <w:szCs w:val="20"/>
              </w:rPr>
              <w:t>)</w:t>
            </w:r>
            <w:r>
              <w:rPr>
                <w:spacing w:val="10"/>
                <w:sz w:val="20"/>
                <w:szCs w:val="20"/>
              </w:rPr>
              <w:t xml:space="preserve">技术。它是一种非常有 </w:t>
            </w:r>
            <w:r>
              <w:rPr>
                <w:spacing w:val="9"/>
                <w:sz w:val="20"/>
                <w:szCs w:val="20"/>
              </w:rPr>
              <w:t>效的减少</w:t>
            </w:r>
            <w:r>
              <w:fldChar w:fldCharType="begin"/>
            </w:r>
            <w:r>
              <w:instrText xml:space="preserve"> HYPERLINK "https://www.ebico-cn.com/?5xyFrom=baidu-NT" </w:instrText>
            </w:r>
            <w:r>
              <w:fldChar w:fldCharType="separate"/>
            </w:r>
            <w:r>
              <w:rPr>
                <w:spacing w:val="9"/>
                <w:sz w:val="20"/>
                <w:szCs w:val="20"/>
              </w:rPr>
              <w:t>燃烧器</w:t>
            </w:r>
            <w:r>
              <w:rPr>
                <w:spacing w:val="9"/>
                <w:sz w:val="20"/>
                <w:szCs w:val="20"/>
              </w:rPr>
              <w:fldChar w:fldCharType="end"/>
            </w:r>
            <w:r>
              <w:rPr>
                <w:spacing w:val="9"/>
                <w:sz w:val="20"/>
                <w:szCs w:val="20"/>
              </w:rPr>
              <w:t>中氮氧化物排放的技术，对</w:t>
            </w:r>
            <w:r>
              <w:fldChar w:fldCharType="begin"/>
            </w:r>
            <w:r>
              <w:instrText xml:space="preserve"> HYPERLINK "https://www.ebico-cn.com/?5xyFrom=baidu-NT" </w:instrText>
            </w:r>
            <w:r>
              <w:fldChar w:fldCharType="separate"/>
            </w:r>
            <w:r>
              <w:rPr>
                <w:spacing w:val="9"/>
                <w:sz w:val="20"/>
                <w:szCs w:val="20"/>
              </w:rPr>
              <w:t>燃气燃烧器</w:t>
            </w:r>
            <w:r>
              <w:rPr>
                <w:spacing w:val="9"/>
                <w:sz w:val="20"/>
                <w:szCs w:val="20"/>
              </w:rPr>
              <w:fldChar w:fldCharType="end"/>
            </w:r>
            <w:r>
              <w:rPr>
                <w:spacing w:val="9"/>
                <w:sz w:val="20"/>
                <w:szCs w:val="20"/>
              </w:rPr>
              <w:t>的影响尤其显著。</w:t>
            </w:r>
          </w:p>
          <w:p w14:paraId="2133F591">
            <w:pPr>
              <w:pStyle w:val="6"/>
              <w:spacing w:before="60" w:line="227" w:lineRule="auto"/>
              <w:ind w:left="510"/>
              <w:rPr>
                <w:sz w:val="20"/>
                <w:szCs w:val="20"/>
              </w:rPr>
            </w:pPr>
            <w:r>
              <w:rPr>
                <w:spacing w:val="10"/>
                <w:sz w:val="20"/>
                <w:szCs w:val="20"/>
              </w:rPr>
              <w:t>烟气外循环</w:t>
            </w:r>
            <w:r>
              <w:rPr>
                <w:rFonts w:ascii="Times New Roman" w:hAnsi="Times New Roman" w:eastAsia="Times New Roman" w:cs="Times New Roman"/>
                <w:sz w:val="20"/>
                <w:szCs w:val="20"/>
              </w:rPr>
              <w:t>FGR</w:t>
            </w:r>
            <w:r>
              <w:rPr>
                <w:spacing w:val="10"/>
                <w:sz w:val="20"/>
                <w:szCs w:val="20"/>
              </w:rPr>
              <w:t>的本质是通过将燃烧产生的烟气重新引入燃烧区域来控制燃烧温</w:t>
            </w:r>
          </w:p>
          <w:p w14:paraId="1A7F52E7">
            <w:pPr>
              <w:pStyle w:val="6"/>
              <w:spacing w:before="157" w:line="339" w:lineRule="auto"/>
              <w:ind w:left="89" w:right="86"/>
              <w:rPr>
                <w:sz w:val="20"/>
                <w:szCs w:val="20"/>
              </w:rPr>
            </w:pPr>
            <w:r>
              <w:rPr>
                <w:spacing w:val="9"/>
                <w:sz w:val="20"/>
                <w:szCs w:val="20"/>
              </w:rPr>
              <w:t>度的氧化物浓度，从而达到减少氮氧化物排放和节能的效果。烟气外循环燃烧，将</w:t>
            </w:r>
            <w:r>
              <w:rPr>
                <w:spacing w:val="8"/>
                <w:sz w:val="20"/>
                <w:szCs w:val="20"/>
              </w:rPr>
              <w:t>部分</w:t>
            </w:r>
            <w:r>
              <w:rPr>
                <w:sz w:val="20"/>
                <w:szCs w:val="20"/>
              </w:rPr>
              <w:t xml:space="preserve"> </w:t>
            </w:r>
            <w:r>
              <w:rPr>
                <w:spacing w:val="9"/>
                <w:sz w:val="20"/>
                <w:szCs w:val="20"/>
              </w:rPr>
              <w:t>烟气与空气混合后送至燃烧室助燃，混合后的助燃风可以有效降低燃烧室内</w:t>
            </w:r>
            <w:r>
              <w:rPr>
                <w:spacing w:val="8"/>
                <w:sz w:val="20"/>
                <w:szCs w:val="20"/>
              </w:rPr>
              <w:t>温度和氧量</w:t>
            </w:r>
            <w:r>
              <w:rPr>
                <w:sz w:val="20"/>
                <w:szCs w:val="20"/>
              </w:rPr>
              <w:t xml:space="preserve"> </w:t>
            </w:r>
            <w:r>
              <w:rPr>
                <w:spacing w:val="10"/>
                <w:sz w:val="20"/>
                <w:szCs w:val="20"/>
              </w:rPr>
              <w:t>浓度。其减排机制可以是热型的</w:t>
            </w:r>
            <w:r>
              <w:rPr>
                <w:rFonts w:ascii="Times New Roman" w:hAnsi="Times New Roman" w:eastAsia="Times New Roman" w:cs="Times New Roman"/>
                <w:sz w:val="20"/>
                <w:szCs w:val="20"/>
              </w:rPr>
              <w:t>NOx</w:t>
            </w:r>
            <w:r>
              <w:rPr>
                <w:spacing w:val="10"/>
                <w:sz w:val="20"/>
                <w:szCs w:val="20"/>
              </w:rPr>
              <w:t>解释生成机制。在高温</w:t>
            </w:r>
            <w:r>
              <w:rPr>
                <w:spacing w:val="9"/>
                <w:sz w:val="20"/>
                <w:szCs w:val="20"/>
              </w:rPr>
              <w:t>条件下，空气中的氮被氧化</w:t>
            </w:r>
            <w:r>
              <w:rPr>
                <w:sz w:val="20"/>
                <w:szCs w:val="20"/>
              </w:rPr>
              <w:t xml:space="preserve"> </w:t>
            </w:r>
            <w:r>
              <w:rPr>
                <w:spacing w:val="8"/>
                <w:sz w:val="20"/>
                <w:szCs w:val="20"/>
              </w:rPr>
              <w:t>形成</w:t>
            </w:r>
            <w:r>
              <w:rPr>
                <w:rFonts w:ascii="Times New Roman" w:hAnsi="Times New Roman" w:eastAsia="Times New Roman" w:cs="Times New Roman"/>
                <w:sz w:val="20"/>
                <w:szCs w:val="20"/>
              </w:rPr>
              <w:t>NOx</w:t>
            </w:r>
            <w:r>
              <w:rPr>
                <w:rFonts w:ascii="Times New Roman" w:hAnsi="Times New Roman" w:eastAsia="Times New Roman" w:cs="Times New Roman"/>
                <w:spacing w:val="-16"/>
                <w:sz w:val="20"/>
                <w:szCs w:val="20"/>
              </w:rPr>
              <w:t xml:space="preserve"> </w:t>
            </w:r>
            <w:r>
              <w:rPr>
                <w:spacing w:val="8"/>
                <w:sz w:val="20"/>
                <w:szCs w:val="20"/>
              </w:rPr>
              <w:t>，称为热力型</w:t>
            </w:r>
            <w:r>
              <w:rPr>
                <w:rFonts w:ascii="Times New Roman" w:hAnsi="Times New Roman" w:eastAsia="Times New Roman" w:cs="Times New Roman"/>
                <w:sz w:val="20"/>
                <w:szCs w:val="20"/>
              </w:rPr>
              <w:t>NOx</w:t>
            </w:r>
            <w:r>
              <w:rPr>
                <w:spacing w:val="8"/>
                <w:sz w:val="20"/>
                <w:szCs w:val="20"/>
              </w:rPr>
              <w:t>（</w:t>
            </w:r>
            <w:r>
              <w:rPr>
                <w:rFonts w:ascii="Times New Roman" w:hAnsi="Times New Roman" w:eastAsia="Times New Roman" w:cs="Times New Roman"/>
                <w:sz w:val="20"/>
                <w:szCs w:val="20"/>
              </w:rPr>
              <w:t>ThermalNOx</w:t>
            </w:r>
            <w:r>
              <w:rPr>
                <w:spacing w:val="8"/>
                <w:sz w:val="20"/>
                <w:szCs w:val="20"/>
              </w:rPr>
              <w:t>）。外循环系统将助燃空气与烟气混合，送至</w:t>
            </w:r>
          </w:p>
        </w:tc>
      </w:tr>
    </w:tbl>
    <w:p w14:paraId="77D2D873">
      <w:pPr>
        <w:pStyle w:val="2"/>
      </w:pPr>
    </w:p>
    <w:p w14:paraId="1B122F6C">
      <w:pPr>
        <w:sectPr>
          <w:footerReference r:id="rId70" w:type="default"/>
          <w:pgSz w:w="11907" w:h="16840"/>
          <w:pgMar w:top="1431" w:right="1490" w:bottom="1260" w:left="1489" w:header="0" w:footer="1080" w:gutter="0"/>
          <w:cols w:space="720" w:num="1"/>
        </w:sectPr>
      </w:pPr>
    </w:p>
    <w:p w14:paraId="35537D97">
      <w:pPr>
        <w:spacing w:before="2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46"/>
        <w:gridCol w:w="434"/>
        <w:gridCol w:w="1182"/>
        <w:gridCol w:w="973"/>
        <w:gridCol w:w="807"/>
        <w:gridCol w:w="718"/>
        <w:gridCol w:w="1812"/>
        <w:gridCol w:w="790"/>
        <w:gridCol w:w="1110"/>
        <w:gridCol w:w="155"/>
      </w:tblGrid>
      <w:tr w14:paraId="7B02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4" w:hRule="atLeast"/>
        </w:trPr>
        <w:tc>
          <w:tcPr>
            <w:tcW w:w="785" w:type="dxa"/>
            <w:vMerge w:val="restart"/>
            <w:tcBorders>
              <w:left w:val="single" w:color="000000" w:sz="6" w:space="0"/>
              <w:bottom w:val="nil"/>
            </w:tcBorders>
            <w:vAlign w:val="top"/>
          </w:tcPr>
          <w:p w14:paraId="6DF48CEC">
            <w:pPr>
              <w:rPr>
                <w:rFonts w:ascii="Arial"/>
                <w:sz w:val="21"/>
              </w:rPr>
            </w:pPr>
          </w:p>
        </w:tc>
        <w:tc>
          <w:tcPr>
            <w:tcW w:w="8127" w:type="dxa"/>
            <w:gridSpan w:val="10"/>
            <w:tcBorders>
              <w:right w:val="single" w:color="000000" w:sz="6" w:space="0"/>
            </w:tcBorders>
            <w:vAlign w:val="top"/>
          </w:tcPr>
          <w:p w14:paraId="1541FC34">
            <w:pPr>
              <w:pStyle w:val="6"/>
              <w:spacing w:before="145" w:line="227" w:lineRule="auto"/>
              <w:ind w:left="90"/>
              <w:rPr>
                <w:sz w:val="20"/>
                <w:szCs w:val="20"/>
              </w:rPr>
            </w:pPr>
            <w:r>
              <w:rPr>
                <w:spacing w:val="7"/>
                <w:sz w:val="20"/>
                <w:szCs w:val="20"/>
              </w:rPr>
              <w:t>燃烧头进行重新燃烧。</w:t>
            </w:r>
          </w:p>
          <w:p w14:paraId="2AD97267">
            <w:pPr>
              <w:pStyle w:val="6"/>
              <w:spacing w:before="152" w:line="228" w:lineRule="auto"/>
              <w:ind w:left="537"/>
              <w:rPr>
                <w:sz w:val="20"/>
                <w:szCs w:val="20"/>
              </w:rPr>
            </w:pPr>
            <w:r>
              <w:rPr>
                <w:spacing w:val="7"/>
                <w:sz w:val="20"/>
                <w:szCs w:val="20"/>
              </w:rPr>
              <w:t>（</w:t>
            </w:r>
            <w:r>
              <w:rPr>
                <w:rFonts w:ascii="Times New Roman" w:hAnsi="Times New Roman" w:eastAsia="Times New Roman" w:cs="Times New Roman"/>
                <w:spacing w:val="7"/>
                <w:sz w:val="20"/>
                <w:szCs w:val="20"/>
              </w:rPr>
              <w:t>5</w:t>
            </w:r>
            <w:r>
              <w:rPr>
                <w:spacing w:val="7"/>
                <w:sz w:val="20"/>
                <w:szCs w:val="20"/>
              </w:rPr>
              <w:t>）车辆运输扬尘</w:t>
            </w:r>
          </w:p>
          <w:p w14:paraId="18539D55">
            <w:pPr>
              <w:pStyle w:val="6"/>
              <w:spacing w:before="152" w:line="360" w:lineRule="auto"/>
              <w:ind w:left="106" w:right="102" w:firstLine="424"/>
              <w:jc w:val="both"/>
              <w:rPr>
                <w:sz w:val="20"/>
                <w:szCs w:val="20"/>
              </w:rPr>
            </w:pPr>
            <w:r>
              <w:rPr>
                <w:spacing w:val="8"/>
                <w:sz w:val="20"/>
                <w:szCs w:val="20"/>
              </w:rPr>
              <w:t>项目所用原料和生产的产品均利用汽车进行运输，主要依托附近村道</w:t>
            </w:r>
            <w:r>
              <w:rPr>
                <w:spacing w:val="7"/>
                <w:sz w:val="20"/>
                <w:szCs w:val="20"/>
              </w:rPr>
              <w:t>公路。运输车</w:t>
            </w:r>
            <w:r>
              <w:rPr>
                <w:sz w:val="20"/>
                <w:szCs w:val="20"/>
              </w:rPr>
              <w:t xml:space="preserve"> </w:t>
            </w:r>
            <w:r>
              <w:rPr>
                <w:spacing w:val="8"/>
                <w:sz w:val="20"/>
                <w:szCs w:val="20"/>
              </w:rPr>
              <w:t>辆车身及轮胎携带有少量粉尘，在行驶途中会产生少量的道路扬尘，会对道路沿线环境</w:t>
            </w:r>
            <w:r>
              <w:rPr>
                <w:sz w:val="20"/>
                <w:szCs w:val="20"/>
              </w:rPr>
              <w:t xml:space="preserve"> </w:t>
            </w:r>
            <w:r>
              <w:rPr>
                <w:spacing w:val="7"/>
                <w:sz w:val="20"/>
                <w:szCs w:val="20"/>
              </w:rPr>
              <w:t>造成不利影响。</w:t>
            </w:r>
          </w:p>
          <w:p w14:paraId="5945071F">
            <w:pPr>
              <w:pStyle w:val="6"/>
              <w:spacing w:before="30" w:line="362" w:lineRule="auto"/>
              <w:ind w:left="106" w:right="102" w:firstLine="425"/>
              <w:jc w:val="both"/>
              <w:rPr>
                <w:sz w:val="20"/>
                <w:szCs w:val="20"/>
              </w:rPr>
            </w:pPr>
            <w:r>
              <w:rPr>
                <w:b/>
                <w:bCs/>
                <w:spacing w:val="7"/>
                <w:sz w:val="20"/>
                <w:szCs w:val="20"/>
              </w:rPr>
              <w:t>治理措施：</w:t>
            </w:r>
            <w:r>
              <w:rPr>
                <w:spacing w:val="7"/>
                <w:sz w:val="20"/>
                <w:szCs w:val="20"/>
              </w:rPr>
              <w:t>通过对厂区地面、运输道路全部采取硬化措施。在进出口建设车辆冲洗</w:t>
            </w:r>
            <w:r>
              <w:rPr>
                <w:spacing w:val="18"/>
                <w:sz w:val="20"/>
                <w:szCs w:val="20"/>
              </w:rPr>
              <w:t xml:space="preserve"> </w:t>
            </w:r>
            <w:r>
              <w:rPr>
                <w:spacing w:val="8"/>
                <w:sz w:val="20"/>
                <w:szCs w:val="20"/>
              </w:rPr>
              <w:t>设施，安排专人负责进出车辆的冲洗。合理安排运输时间，避免大风天气运输；加强车</w:t>
            </w:r>
            <w:r>
              <w:rPr>
                <w:spacing w:val="3"/>
                <w:sz w:val="20"/>
                <w:szCs w:val="20"/>
              </w:rPr>
              <w:t xml:space="preserve"> </w:t>
            </w:r>
            <w:r>
              <w:rPr>
                <w:spacing w:val="8"/>
                <w:sz w:val="20"/>
                <w:szCs w:val="20"/>
              </w:rPr>
              <w:t>辆运输管理，避免车速过快，加盖篷布，减小扬尘的产生。强化厂区内部卫生管理，安</w:t>
            </w:r>
            <w:r>
              <w:rPr>
                <w:spacing w:val="3"/>
                <w:sz w:val="20"/>
                <w:szCs w:val="20"/>
              </w:rPr>
              <w:t xml:space="preserve"> </w:t>
            </w:r>
            <w:r>
              <w:rPr>
                <w:spacing w:val="9"/>
                <w:sz w:val="20"/>
                <w:szCs w:val="20"/>
              </w:rPr>
              <w:t>排专人适时对厂区地面进行洒水、清扫，保持清洁卫生。</w:t>
            </w:r>
          </w:p>
          <w:p w14:paraId="092C7EB9">
            <w:pPr>
              <w:pStyle w:val="6"/>
              <w:spacing w:before="33" w:line="227" w:lineRule="auto"/>
              <w:ind w:left="510"/>
              <w:rPr>
                <w:sz w:val="20"/>
                <w:szCs w:val="20"/>
              </w:rPr>
            </w:pPr>
            <w:r>
              <w:rPr>
                <w:spacing w:val="9"/>
                <w:sz w:val="20"/>
                <w:szCs w:val="20"/>
              </w:rPr>
              <w:t>通过采取上述扬尘防治措施，能够有效降低道路扬尘的污染影响。</w:t>
            </w:r>
          </w:p>
          <w:p w14:paraId="004B45BB">
            <w:pPr>
              <w:pStyle w:val="6"/>
              <w:spacing w:before="144" w:line="221" w:lineRule="auto"/>
              <w:ind w:left="96"/>
            </w:pPr>
            <w:r>
              <w:rPr>
                <w:rFonts w:ascii="Times New Roman" w:hAnsi="Times New Roman" w:eastAsia="Times New Roman" w:cs="Times New Roman"/>
                <w:b/>
                <w:bCs/>
                <w:spacing w:val="-3"/>
              </w:rPr>
              <w:t>1.2</w:t>
            </w:r>
            <w:r>
              <w:rPr>
                <w:b/>
                <w:bCs/>
                <w:spacing w:val="-3"/>
              </w:rPr>
              <w:t>废气排放情况</w:t>
            </w:r>
          </w:p>
          <w:p w14:paraId="408FB19D">
            <w:pPr>
              <w:spacing w:before="173" w:line="221" w:lineRule="auto"/>
              <w:ind w:left="1517"/>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废气产生环节、污染物种</w:t>
            </w:r>
            <w:r>
              <w:rPr>
                <w:rFonts w:ascii="黑体" w:hAnsi="黑体" w:eastAsia="黑体" w:cs="黑体"/>
                <w:spacing w:val="-1"/>
                <w:sz w:val="18"/>
                <w:szCs w:val="18"/>
              </w:rPr>
              <w:t>类、排放形式及污染防治设施表</w:t>
            </w:r>
          </w:p>
        </w:tc>
      </w:tr>
      <w:tr w14:paraId="18585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3EDF2608">
            <w:pPr>
              <w:rPr>
                <w:rFonts w:ascii="Arial"/>
                <w:sz w:val="21"/>
              </w:rPr>
            </w:pPr>
          </w:p>
        </w:tc>
        <w:tc>
          <w:tcPr>
            <w:tcW w:w="146" w:type="dxa"/>
            <w:vMerge w:val="restart"/>
            <w:tcBorders>
              <w:top w:val="nil"/>
              <w:bottom w:val="nil"/>
            </w:tcBorders>
            <w:vAlign w:val="top"/>
          </w:tcPr>
          <w:p w14:paraId="7E81D2DD">
            <w:pPr>
              <w:rPr>
                <w:rFonts w:ascii="Arial"/>
                <w:sz w:val="21"/>
              </w:rPr>
            </w:pPr>
          </w:p>
        </w:tc>
        <w:tc>
          <w:tcPr>
            <w:tcW w:w="434" w:type="dxa"/>
            <w:vAlign w:val="top"/>
          </w:tcPr>
          <w:p w14:paraId="529711F2">
            <w:pPr>
              <w:pStyle w:val="6"/>
              <w:spacing w:before="60" w:line="201" w:lineRule="auto"/>
              <w:ind w:left="54"/>
              <w:rPr>
                <w:sz w:val="16"/>
                <w:szCs w:val="16"/>
              </w:rPr>
            </w:pPr>
            <w:r>
              <w:rPr>
                <w:spacing w:val="-2"/>
                <w:sz w:val="16"/>
                <w:szCs w:val="16"/>
              </w:rPr>
              <w:t>序号</w:t>
            </w:r>
          </w:p>
        </w:tc>
        <w:tc>
          <w:tcPr>
            <w:tcW w:w="1182" w:type="dxa"/>
            <w:vAlign w:val="top"/>
          </w:tcPr>
          <w:p w14:paraId="149E5323">
            <w:pPr>
              <w:pStyle w:val="6"/>
              <w:spacing w:before="60" w:line="201" w:lineRule="auto"/>
              <w:ind w:left="32"/>
              <w:rPr>
                <w:sz w:val="16"/>
                <w:szCs w:val="16"/>
              </w:rPr>
            </w:pPr>
            <w:r>
              <w:rPr>
                <w:spacing w:val="-1"/>
                <w:sz w:val="16"/>
                <w:szCs w:val="16"/>
              </w:rPr>
              <w:t>污染物产生设施</w:t>
            </w:r>
          </w:p>
        </w:tc>
        <w:tc>
          <w:tcPr>
            <w:tcW w:w="973" w:type="dxa"/>
            <w:vAlign w:val="top"/>
          </w:tcPr>
          <w:p w14:paraId="08F0FF4E">
            <w:pPr>
              <w:pStyle w:val="6"/>
              <w:spacing w:before="60" w:line="201" w:lineRule="auto"/>
              <w:ind w:left="8"/>
              <w:rPr>
                <w:sz w:val="16"/>
                <w:szCs w:val="16"/>
              </w:rPr>
            </w:pPr>
            <w:r>
              <w:rPr>
                <w:spacing w:val="-1"/>
                <w:sz w:val="16"/>
                <w:szCs w:val="16"/>
              </w:rPr>
              <w:t>废气产污环节</w:t>
            </w:r>
          </w:p>
        </w:tc>
        <w:tc>
          <w:tcPr>
            <w:tcW w:w="807" w:type="dxa"/>
            <w:vAlign w:val="top"/>
          </w:tcPr>
          <w:p w14:paraId="5DA63AEB">
            <w:pPr>
              <w:pStyle w:val="6"/>
              <w:spacing w:before="60" w:line="201" w:lineRule="auto"/>
              <w:jc w:val="right"/>
              <w:rPr>
                <w:sz w:val="16"/>
                <w:szCs w:val="16"/>
              </w:rPr>
            </w:pPr>
            <w:r>
              <w:rPr>
                <w:spacing w:val="-2"/>
                <w:sz w:val="16"/>
                <w:szCs w:val="16"/>
              </w:rPr>
              <w:t>污染物种类</w:t>
            </w:r>
          </w:p>
        </w:tc>
        <w:tc>
          <w:tcPr>
            <w:tcW w:w="718" w:type="dxa"/>
            <w:vAlign w:val="top"/>
          </w:tcPr>
          <w:p w14:paraId="309527F6">
            <w:pPr>
              <w:pStyle w:val="6"/>
              <w:spacing w:before="60" w:line="201" w:lineRule="auto"/>
              <w:ind w:left="43"/>
              <w:rPr>
                <w:sz w:val="16"/>
                <w:szCs w:val="16"/>
              </w:rPr>
            </w:pPr>
            <w:r>
              <w:rPr>
                <w:spacing w:val="-2"/>
                <w:sz w:val="16"/>
                <w:szCs w:val="16"/>
              </w:rPr>
              <w:t>排放形式</w:t>
            </w:r>
          </w:p>
        </w:tc>
        <w:tc>
          <w:tcPr>
            <w:tcW w:w="1812" w:type="dxa"/>
            <w:vAlign w:val="top"/>
          </w:tcPr>
          <w:p w14:paraId="43272CD9">
            <w:pPr>
              <w:pStyle w:val="6"/>
              <w:spacing w:before="60" w:line="201" w:lineRule="auto"/>
              <w:ind w:left="192"/>
              <w:rPr>
                <w:sz w:val="16"/>
                <w:szCs w:val="16"/>
              </w:rPr>
            </w:pPr>
            <w:r>
              <w:rPr>
                <w:spacing w:val="-1"/>
                <w:sz w:val="16"/>
                <w:szCs w:val="16"/>
              </w:rPr>
              <w:t>污染物治理设施名称</w:t>
            </w:r>
          </w:p>
        </w:tc>
        <w:tc>
          <w:tcPr>
            <w:tcW w:w="790" w:type="dxa"/>
            <w:vAlign w:val="top"/>
          </w:tcPr>
          <w:p w14:paraId="2F413EB3">
            <w:pPr>
              <w:pStyle w:val="6"/>
              <w:spacing w:before="60" w:line="201" w:lineRule="auto"/>
              <w:jc w:val="right"/>
              <w:rPr>
                <w:sz w:val="16"/>
                <w:szCs w:val="16"/>
              </w:rPr>
            </w:pPr>
            <w:r>
              <w:rPr>
                <w:spacing w:val="-4"/>
                <w:sz w:val="16"/>
                <w:szCs w:val="16"/>
              </w:rPr>
              <w:t>排放口类型</w:t>
            </w:r>
          </w:p>
        </w:tc>
        <w:tc>
          <w:tcPr>
            <w:tcW w:w="1110" w:type="dxa"/>
            <w:vAlign w:val="top"/>
          </w:tcPr>
          <w:p w14:paraId="27C86A4C">
            <w:pPr>
              <w:pStyle w:val="6"/>
              <w:spacing w:before="60" w:line="201" w:lineRule="auto"/>
              <w:ind w:left="243"/>
              <w:rPr>
                <w:sz w:val="16"/>
                <w:szCs w:val="16"/>
              </w:rPr>
            </w:pPr>
            <w:r>
              <w:rPr>
                <w:spacing w:val="-2"/>
                <w:sz w:val="16"/>
                <w:szCs w:val="16"/>
              </w:rPr>
              <w:t>执行标准</w:t>
            </w:r>
          </w:p>
        </w:tc>
        <w:tc>
          <w:tcPr>
            <w:tcW w:w="155" w:type="dxa"/>
            <w:vMerge w:val="restart"/>
            <w:tcBorders>
              <w:top w:val="nil"/>
              <w:bottom w:val="nil"/>
              <w:right w:val="single" w:color="000000" w:sz="6" w:space="0"/>
            </w:tcBorders>
            <w:vAlign w:val="top"/>
          </w:tcPr>
          <w:p w14:paraId="6B29B584">
            <w:pPr>
              <w:rPr>
                <w:rFonts w:ascii="Arial"/>
                <w:sz w:val="21"/>
              </w:rPr>
            </w:pPr>
          </w:p>
        </w:tc>
      </w:tr>
      <w:tr w14:paraId="584D9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1F695679">
            <w:pPr>
              <w:rPr>
                <w:rFonts w:ascii="Arial"/>
                <w:sz w:val="21"/>
              </w:rPr>
            </w:pPr>
          </w:p>
        </w:tc>
        <w:tc>
          <w:tcPr>
            <w:tcW w:w="146" w:type="dxa"/>
            <w:vMerge w:val="continue"/>
            <w:tcBorders>
              <w:top w:val="nil"/>
              <w:bottom w:val="nil"/>
            </w:tcBorders>
            <w:vAlign w:val="top"/>
          </w:tcPr>
          <w:p w14:paraId="1752A431">
            <w:pPr>
              <w:rPr>
                <w:rFonts w:ascii="Arial"/>
                <w:sz w:val="21"/>
              </w:rPr>
            </w:pPr>
          </w:p>
        </w:tc>
        <w:tc>
          <w:tcPr>
            <w:tcW w:w="434" w:type="dxa"/>
            <w:vAlign w:val="top"/>
          </w:tcPr>
          <w:p w14:paraId="05445B1E">
            <w:pPr>
              <w:spacing w:before="88" w:line="189" w:lineRule="auto"/>
              <w:ind w:left="187"/>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182" w:type="dxa"/>
            <w:vAlign w:val="top"/>
          </w:tcPr>
          <w:p w14:paraId="4F86759E">
            <w:pPr>
              <w:pStyle w:val="6"/>
              <w:spacing w:before="59" w:line="202" w:lineRule="auto"/>
              <w:ind w:left="353"/>
              <w:rPr>
                <w:sz w:val="16"/>
                <w:szCs w:val="16"/>
              </w:rPr>
            </w:pPr>
            <w:r>
              <w:rPr>
                <w:spacing w:val="-3"/>
                <w:sz w:val="16"/>
                <w:szCs w:val="16"/>
              </w:rPr>
              <w:t>卸料口</w:t>
            </w:r>
          </w:p>
        </w:tc>
        <w:tc>
          <w:tcPr>
            <w:tcW w:w="973" w:type="dxa"/>
            <w:vAlign w:val="top"/>
          </w:tcPr>
          <w:p w14:paraId="32E4C786">
            <w:pPr>
              <w:pStyle w:val="6"/>
              <w:spacing w:before="59" w:line="202" w:lineRule="auto"/>
              <w:ind w:left="10"/>
              <w:rPr>
                <w:sz w:val="16"/>
                <w:szCs w:val="16"/>
              </w:rPr>
            </w:pPr>
            <w:r>
              <w:rPr>
                <w:spacing w:val="-2"/>
                <w:sz w:val="16"/>
                <w:szCs w:val="16"/>
              </w:rPr>
              <w:t>建筑垃圾卸料</w:t>
            </w:r>
          </w:p>
        </w:tc>
        <w:tc>
          <w:tcPr>
            <w:tcW w:w="807" w:type="dxa"/>
            <w:vAlign w:val="top"/>
          </w:tcPr>
          <w:p w14:paraId="122144B9">
            <w:pPr>
              <w:pStyle w:val="6"/>
              <w:spacing w:before="59" w:line="202" w:lineRule="auto"/>
              <w:ind w:left="247"/>
              <w:rPr>
                <w:sz w:val="16"/>
                <w:szCs w:val="16"/>
              </w:rPr>
            </w:pPr>
            <w:r>
              <w:rPr>
                <w:spacing w:val="-2"/>
                <w:sz w:val="16"/>
                <w:szCs w:val="16"/>
              </w:rPr>
              <w:t>粉尘</w:t>
            </w:r>
          </w:p>
        </w:tc>
        <w:tc>
          <w:tcPr>
            <w:tcW w:w="718" w:type="dxa"/>
            <w:vAlign w:val="top"/>
          </w:tcPr>
          <w:p w14:paraId="666CA77F">
            <w:pPr>
              <w:pStyle w:val="6"/>
              <w:spacing w:before="59" w:line="202" w:lineRule="auto"/>
              <w:ind w:left="123"/>
              <w:rPr>
                <w:sz w:val="16"/>
                <w:szCs w:val="16"/>
              </w:rPr>
            </w:pPr>
            <w:r>
              <w:rPr>
                <w:spacing w:val="-2"/>
                <w:sz w:val="16"/>
                <w:szCs w:val="16"/>
              </w:rPr>
              <w:t>无组织</w:t>
            </w:r>
          </w:p>
        </w:tc>
        <w:tc>
          <w:tcPr>
            <w:tcW w:w="1812" w:type="dxa"/>
            <w:vAlign w:val="top"/>
          </w:tcPr>
          <w:p w14:paraId="205BE2F1">
            <w:pPr>
              <w:pStyle w:val="6"/>
              <w:spacing w:before="59" w:line="202" w:lineRule="auto"/>
              <w:ind w:left="36"/>
              <w:rPr>
                <w:sz w:val="16"/>
                <w:szCs w:val="16"/>
              </w:rPr>
            </w:pPr>
            <w:r>
              <w:rPr>
                <w:spacing w:val="-1"/>
                <w:sz w:val="16"/>
                <w:szCs w:val="16"/>
              </w:rPr>
              <w:t>喷雾、三面及顶部设围挡</w:t>
            </w:r>
          </w:p>
        </w:tc>
        <w:tc>
          <w:tcPr>
            <w:tcW w:w="790" w:type="dxa"/>
            <w:vAlign w:val="top"/>
          </w:tcPr>
          <w:p w14:paraId="71E9E894">
            <w:pPr>
              <w:spacing w:before="84"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restart"/>
            <w:tcBorders>
              <w:bottom w:val="nil"/>
            </w:tcBorders>
            <w:vAlign w:val="top"/>
          </w:tcPr>
          <w:p w14:paraId="48CE51AA">
            <w:pPr>
              <w:pStyle w:val="6"/>
              <w:spacing w:before="74" w:line="264" w:lineRule="auto"/>
              <w:ind w:left="3" w:firstLine="1"/>
              <w:rPr>
                <w:sz w:val="16"/>
                <w:szCs w:val="16"/>
              </w:rPr>
            </w:pPr>
            <w:r>
              <w:rPr>
                <w:spacing w:val="-3"/>
                <w:sz w:val="16"/>
                <w:szCs w:val="16"/>
              </w:rPr>
              <w:t>《四川省水泥工</w:t>
            </w:r>
            <w:r>
              <w:rPr>
                <w:sz w:val="16"/>
                <w:szCs w:val="16"/>
              </w:rPr>
              <w:t xml:space="preserve"> </w:t>
            </w:r>
            <w:r>
              <w:rPr>
                <w:spacing w:val="-3"/>
                <w:sz w:val="16"/>
                <w:szCs w:val="16"/>
              </w:rPr>
              <w:t>业大气污染物排</w:t>
            </w:r>
          </w:p>
          <w:p w14:paraId="3F503226">
            <w:pPr>
              <w:pStyle w:val="6"/>
              <w:spacing w:before="22" w:line="221" w:lineRule="auto"/>
              <w:ind w:left="243"/>
              <w:rPr>
                <w:sz w:val="16"/>
                <w:szCs w:val="16"/>
              </w:rPr>
            </w:pPr>
            <w:r>
              <w:rPr>
                <w:spacing w:val="-2"/>
                <w:sz w:val="16"/>
                <w:szCs w:val="16"/>
              </w:rPr>
              <w:t>放标准》</w:t>
            </w:r>
          </w:p>
          <w:p w14:paraId="79EC1E55">
            <w:pPr>
              <w:pStyle w:val="6"/>
              <w:spacing w:before="47" w:line="248" w:lineRule="auto"/>
              <w:ind w:left="395" w:hanging="387"/>
              <w:rPr>
                <w:sz w:val="16"/>
                <w:szCs w:val="16"/>
              </w:rPr>
            </w:pPr>
            <w:r>
              <w:rPr>
                <w:spacing w:val="-2"/>
                <w:sz w:val="16"/>
                <w:szCs w:val="16"/>
              </w:rPr>
              <w:t>（</w:t>
            </w:r>
            <w:r>
              <w:rPr>
                <w:rFonts w:ascii="Times New Roman" w:hAnsi="Times New Roman" w:eastAsia="Times New Roman" w:cs="Times New Roman"/>
                <w:spacing w:val="-2"/>
                <w:sz w:val="16"/>
                <w:szCs w:val="16"/>
              </w:rPr>
              <w:t>DB51/2864-20</w:t>
            </w:r>
            <w:r>
              <w:rPr>
                <w:rFonts w:ascii="Times New Roman" w:hAnsi="Times New Roman" w:eastAsia="Times New Roman" w:cs="Times New Roman"/>
                <w:spacing w:val="1"/>
                <w:sz w:val="16"/>
                <w:szCs w:val="16"/>
              </w:rPr>
              <w:t xml:space="preserve"> </w:t>
            </w:r>
            <w:r>
              <w:rPr>
                <w:rFonts w:ascii="Times New Roman" w:hAnsi="Times New Roman" w:eastAsia="Times New Roman" w:cs="Times New Roman"/>
                <w:spacing w:val="-2"/>
                <w:sz w:val="16"/>
                <w:szCs w:val="16"/>
              </w:rPr>
              <w:t>21</w:t>
            </w:r>
            <w:r>
              <w:rPr>
                <w:spacing w:val="-2"/>
                <w:sz w:val="16"/>
                <w:szCs w:val="16"/>
              </w:rPr>
              <w:t>）</w:t>
            </w:r>
          </w:p>
        </w:tc>
        <w:tc>
          <w:tcPr>
            <w:tcW w:w="155" w:type="dxa"/>
            <w:vMerge w:val="continue"/>
            <w:tcBorders>
              <w:top w:val="nil"/>
              <w:bottom w:val="nil"/>
              <w:right w:val="single" w:color="000000" w:sz="6" w:space="0"/>
            </w:tcBorders>
            <w:vAlign w:val="top"/>
          </w:tcPr>
          <w:p w14:paraId="2809A159">
            <w:pPr>
              <w:rPr>
                <w:rFonts w:ascii="Arial"/>
                <w:sz w:val="21"/>
              </w:rPr>
            </w:pPr>
          </w:p>
        </w:tc>
      </w:tr>
      <w:tr w14:paraId="1C60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4DEFC49F">
            <w:pPr>
              <w:rPr>
                <w:rFonts w:ascii="Arial"/>
                <w:sz w:val="21"/>
              </w:rPr>
            </w:pPr>
          </w:p>
        </w:tc>
        <w:tc>
          <w:tcPr>
            <w:tcW w:w="146" w:type="dxa"/>
            <w:vMerge w:val="continue"/>
            <w:tcBorders>
              <w:top w:val="nil"/>
              <w:bottom w:val="nil"/>
            </w:tcBorders>
            <w:vAlign w:val="top"/>
          </w:tcPr>
          <w:p w14:paraId="5DC185A2">
            <w:pPr>
              <w:rPr>
                <w:rFonts w:ascii="Arial"/>
                <w:sz w:val="21"/>
              </w:rPr>
            </w:pPr>
          </w:p>
        </w:tc>
        <w:tc>
          <w:tcPr>
            <w:tcW w:w="434" w:type="dxa"/>
            <w:vAlign w:val="top"/>
          </w:tcPr>
          <w:p w14:paraId="0FF73B69">
            <w:pPr>
              <w:spacing w:before="207" w:line="189" w:lineRule="auto"/>
              <w:ind w:left="172"/>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182" w:type="dxa"/>
            <w:vAlign w:val="top"/>
          </w:tcPr>
          <w:p w14:paraId="7E42071C">
            <w:pPr>
              <w:pStyle w:val="6"/>
              <w:spacing w:before="179" w:line="220" w:lineRule="auto"/>
              <w:ind w:left="30"/>
              <w:rPr>
                <w:sz w:val="16"/>
                <w:szCs w:val="16"/>
              </w:rPr>
            </w:pPr>
            <w:r>
              <w:rPr>
                <w:spacing w:val="-1"/>
                <w:sz w:val="16"/>
                <w:szCs w:val="16"/>
              </w:rPr>
              <w:t>破碎机、筛分机</w:t>
            </w:r>
          </w:p>
        </w:tc>
        <w:tc>
          <w:tcPr>
            <w:tcW w:w="973" w:type="dxa"/>
            <w:vAlign w:val="top"/>
          </w:tcPr>
          <w:p w14:paraId="0E905786">
            <w:pPr>
              <w:pStyle w:val="6"/>
              <w:spacing w:before="59" w:line="239" w:lineRule="auto"/>
              <w:ind w:left="328" w:right="5" w:hanging="318"/>
              <w:rPr>
                <w:sz w:val="16"/>
                <w:szCs w:val="16"/>
              </w:rPr>
            </w:pPr>
            <w:r>
              <w:rPr>
                <w:spacing w:val="-2"/>
                <w:sz w:val="16"/>
                <w:szCs w:val="16"/>
              </w:rPr>
              <w:t>建筑垃圾破碎</w:t>
            </w:r>
            <w:r>
              <w:rPr>
                <w:spacing w:val="2"/>
                <w:sz w:val="16"/>
                <w:szCs w:val="16"/>
              </w:rPr>
              <w:t xml:space="preserve"> </w:t>
            </w:r>
            <w:r>
              <w:rPr>
                <w:spacing w:val="-3"/>
                <w:sz w:val="16"/>
                <w:szCs w:val="16"/>
              </w:rPr>
              <w:t>筛分</w:t>
            </w:r>
          </w:p>
        </w:tc>
        <w:tc>
          <w:tcPr>
            <w:tcW w:w="807" w:type="dxa"/>
            <w:vAlign w:val="top"/>
          </w:tcPr>
          <w:p w14:paraId="57038E8B">
            <w:pPr>
              <w:pStyle w:val="6"/>
              <w:spacing w:before="180" w:line="220" w:lineRule="auto"/>
              <w:ind w:left="247"/>
              <w:rPr>
                <w:sz w:val="16"/>
                <w:szCs w:val="16"/>
              </w:rPr>
            </w:pPr>
            <w:r>
              <w:rPr>
                <w:spacing w:val="-2"/>
                <w:sz w:val="16"/>
                <w:szCs w:val="16"/>
              </w:rPr>
              <w:t>粉尘</w:t>
            </w:r>
          </w:p>
        </w:tc>
        <w:tc>
          <w:tcPr>
            <w:tcW w:w="718" w:type="dxa"/>
            <w:vAlign w:val="top"/>
          </w:tcPr>
          <w:p w14:paraId="60127917">
            <w:pPr>
              <w:pStyle w:val="6"/>
              <w:spacing w:before="179" w:line="221" w:lineRule="auto"/>
              <w:ind w:left="123"/>
              <w:rPr>
                <w:sz w:val="16"/>
                <w:szCs w:val="16"/>
              </w:rPr>
            </w:pPr>
            <w:r>
              <w:rPr>
                <w:spacing w:val="-2"/>
                <w:sz w:val="16"/>
                <w:szCs w:val="16"/>
              </w:rPr>
              <w:t>无组织</w:t>
            </w:r>
          </w:p>
        </w:tc>
        <w:tc>
          <w:tcPr>
            <w:tcW w:w="1812" w:type="dxa"/>
            <w:vAlign w:val="top"/>
          </w:tcPr>
          <w:p w14:paraId="285D3839">
            <w:pPr>
              <w:pStyle w:val="6"/>
              <w:spacing w:before="59" w:line="239" w:lineRule="auto"/>
              <w:ind w:left="113" w:right="20" w:hanging="82"/>
              <w:rPr>
                <w:sz w:val="16"/>
                <w:szCs w:val="16"/>
              </w:rPr>
            </w:pPr>
            <w:r>
              <w:rPr>
                <w:spacing w:val="-1"/>
                <w:sz w:val="16"/>
                <w:szCs w:val="16"/>
              </w:rPr>
              <w:t>密闭型设备、设除尘器收</w:t>
            </w:r>
            <w:r>
              <w:rPr>
                <w:spacing w:val="4"/>
                <w:sz w:val="16"/>
                <w:szCs w:val="16"/>
              </w:rPr>
              <w:t xml:space="preserve"> </w:t>
            </w:r>
            <w:r>
              <w:rPr>
                <w:spacing w:val="-1"/>
                <w:sz w:val="16"/>
                <w:szCs w:val="16"/>
              </w:rPr>
              <w:t>尘、地下堆场喷雾降尘</w:t>
            </w:r>
          </w:p>
        </w:tc>
        <w:tc>
          <w:tcPr>
            <w:tcW w:w="790" w:type="dxa"/>
            <w:vAlign w:val="top"/>
          </w:tcPr>
          <w:p w14:paraId="63483EF8">
            <w:pPr>
              <w:spacing w:before="204"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bottom w:val="nil"/>
            </w:tcBorders>
            <w:vAlign w:val="top"/>
          </w:tcPr>
          <w:p w14:paraId="4D88703B">
            <w:pPr>
              <w:rPr>
                <w:rFonts w:ascii="Arial"/>
                <w:sz w:val="21"/>
              </w:rPr>
            </w:pPr>
          </w:p>
        </w:tc>
        <w:tc>
          <w:tcPr>
            <w:tcW w:w="155" w:type="dxa"/>
            <w:vMerge w:val="continue"/>
            <w:tcBorders>
              <w:top w:val="nil"/>
              <w:bottom w:val="nil"/>
              <w:right w:val="single" w:color="000000" w:sz="6" w:space="0"/>
            </w:tcBorders>
            <w:vAlign w:val="top"/>
          </w:tcPr>
          <w:p w14:paraId="419C7AC9">
            <w:pPr>
              <w:rPr>
                <w:rFonts w:ascii="Arial"/>
                <w:sz w:val="21"/>
              </w:rPr>
            </w:pPr>
          </w:p>
        </w:tc>
      </w:tr>
      <w:tr w14:paraId="2FCEC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85" w:type="dxa"/>
            <w:vMerge w:val="continue"/>
            <w:tcBorders>
              <w:top w:val="nil"/>
              <w:left w:val="single" w:color="000000" w:sz="6" w:space="0"/>
              <w:bottom w:val="nil"/>
            </w:tcBorders>
            <w:vAlign w:val="top"/>
          </w:tcPr>
          <w:p w14:paraId="7110ACAF">
            <w:pPr>
              <w:rPr>
                <w:rFonts w:ascii="Arial"/>
                <w:sz w:val="21"/>
              </w:rPr>
            </w:pPr>
          </w:p>
        </w:tc>
        <w:tc>
          <w:tcPr>
            <w:tcW w:w="146" w:type="dxa"/>
            <w:vMerge w:val="continue"/>
            <w:tcBorders>
              <w:top w:val="nil"/>
              <w:bottom w:val="nil"/>
            </w:tcBorders>
            <w:vAlign w:val="top"/>
          </w:tcPr>
          <w:p w14:paraId="591F4D00">
            <w:pPr>
              <w:rPr>
                <w:rFonts w:ascii="Arial"/>
                <w:sz w:val="21"/>
              </w:rPr>
            </w:pPr>
          </w:p>
        </w:tc>
        <w:tc>
          <w:tcPr>
            <w:tcW w:w="434" w:type="dxa"/>
            <w:vAlign w:val="top"/>
          </w:tcPr>
          <w:p w14:paraId="50CDD8C2">
            <w:pPr>
              <w:spacing w:before="88" w:line="189" w:lineRule="auto"/>
              <w:ind w:left="175"/>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182" w:type="dxa"/>
            <w:vAlign w:val="top"/>
          </w:tcPr>
          <w:p w14:paraId="760DA848">
            <w:pPr>
              <w:pStyle w:val="6"/>
              <w:spacing w:before="59" w:line="202" w:lineRule="auto"/>
              <w:ind w:left="272"/>
              <w:rPr>
                <w:sz w:val="16"/>
                <w:szCs w:val="16"/>
              </w:rPr>
            </w:pPr>
            <w:r>
              <w:rPr>
                <w:spacing w:val="-2"/>
                <w:sz w:val="16"/>
                <w:szCs w:val="16"/>
              </w:rPr>
              <w:t>上料料斗</w:t>
            </w:r>
          </w:p>
        </w:tc>
        <w:tc>
          <w:tcPr>
            <w:tcW w:w="973" w:type="dxa"/>
            <w:vAlign w:val="top"/>
          </w:tcPr>
          <w:p w14:paraId="4DAD6565">
            <w:pPr>
              <w:pStyle w:val="6"/>
              <w:spacing w:before="59" w:line="202" w:lineRule="auto"/>
              <w:ind w:left="166"/>
              <w:rPr>
                <w:sz w:val="16"/>
                <w:szCs w:val="16"/>
              </w:rPr>
            </w:pPr>
            <w:r>
              <w:rPr>
                <w:spacing w:val="-2"/>
                <w:sz w:val="16"/>
                <w:szCs w:val="16"/>
              </w:rPr>
              <w:t>输送上料</w:t>
            </w:r>
          </w:p>
        </w:tc>
        <w:tc>
          <w:tcPr>
            <w:tcW w:w="807" w:type="dxa"/>
            <w:vAlign w:val="top"/>
          </w:tcPr>
          <w:p w14:paraId="29E59959">
            <w:pPr>
              <w:pStyle w:val="6"/>
              <w:spacing w:before="59" w:line="202" w:lineRule="auto"/>
              <w:ind w:left="247"/>
              <w:rPr>
                <w:sz w:val="16"/>
                <w:szCs w:val="16"/>
              </w:rPr>
            </w:pPr>
            <w:r>
              <w:rPr>
                <w:spacing w:val="-2"/>
                <w:sz w:val="16"/>
                <w:szCs w:val="16"/>
              </w:rPr>
              <w:t>粉尘</w:t>
            </w:r>
          </w:p>
        </w:tc>
        <w:tc>
          <w:tcPr>
            <w:tcW w:w="718" w:type="dxa"/>
            <w:vAlign w:val="top"/>
          </w:tcPr>
          <w:p w14:paraId="2259D85B">
            <w:pPr>
              <w:pStyle w:val="6"/>
              <w:spacing w:before="59" w:line="202" w:lineRule="auto"/>
              <w:ind w:left="123"/>
              <w:rPr>
                <w:sz w:val="16"/>
                <w:szCs w:val="16"/>
              </w:rPr>
            </w:pPr>
            <w:r>
              <w:rPr>
                <w:spacing w:val="-2"/>
                <w:sz w:val="16"/>
                <w:szCs w:val="16"/>
              </w:rPr>
              <w:t>无组织</w:t>
            </w:r>
          </w:p>
        </w:tc>
        <w:tc>
          <w:tcPr>
            <w:tcW w:w="1812" w:type="dxa"/>
            <w:vAlign w:val="top"/>
          </w:tcPr>
          <w:p w14:paraId="658C3A15">
            <w:pPr>
              <w:pStyle w:val="6"/>
              <w:spacing w:before="70" w:line="217" w:lineRule="auto"/>
              <w:ind w:left="85"/>
              <w:rPr>
                <w:sz w:val="14"/>
                <w:szCs w:val="14"/>
              </w:rPr>
            </w:pPr>
            <w:r>
              <w:rPr>
                <w:spacing w:val="9"/>
                <w:sz w:val="14"/>
                <w:szCs w:val="14"/>
              </w:rPr>
              <w:t>料斗三面围挡、喷雾降尘</w:t>
            </w:r>
          </w:p>
        </w:tc>
        <w:tc>
          <w:tcPr>
            <w:tcW w:w="790" w:type="dxa"/>
            <w:vAlign w:val="top"/>
          </w:tcPr>
          <w:p w14:paraId="5AA7D790">
            <w:pPr>
              <w:spacing w:before="85"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bottom w:val="nil"/>
            </w:tcBorders>
            <w:vAlign w:val="top"/>
          </w:tcPr>
          <w:p w14:paraId="4913F1AA">
            <w:pPr>
              <w:rPr>
                <w:rFonts w:ascii="Arial"/>
                <w:sz w:val="21"/>
              </w:rPr>
            </w:pPr>
          </w:p>
        </w:tc>
        <w:tc>
          <w:tcPr>
            <w:tcW w:w="155" w:type="dxa"/>
            <w:vMerge w:val="continue"/>
            <w:tcBorders>
              <w:top w:val="nil"/>
              <w:bottom w:val="nil"/>
              <w:right w:val="single" w:color="000000" w:sz="6" w:space="0"/>
            </w:tcBorders>
            <w:vAlign w:val="top"/>
          </w:tcPr>
          <w:p w14:paraId="5325571A">
            <w:pPr>
              <w:rPr>
                <w:rFonts w:ascii="Arial"/>
                <w:sz w:val="21"/>
              </w:rPr>
            </w:pPr>
          </w:p>
        </w:tc>
      </w:tr>
      <w:tr w14:paraId="5B89C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0097D03C">
            <w:pPr>
              <w:rPr>
                <w:rFonts w:ascii="Arial"/>
                <w:sz w:val="21"/>
              </w:rPr>
            </w:pPr>
          </w:p>
        </w:tc>
        <w:tc>
          <w:tcPr>
            <w:tcW w:w="146" w:type="dxa"/>
            <w:vMerge w:val="continue"/>
            <w:tcBorders>
              <w:top w:val="nil"/>
              <w:bottom w:val="nil"/>
            </w:tcBorders>
            <w:vAlign w:val="top"/>
          </w:tcPr>
          <w:p w14:paraId="50E3B125">
            <w:pPr>
              <w:rPr>
                <w:rFonts w:ascii="Arial"/>
                <w:sz w:val="21"/>
              </w:rPr>
            </w:pPr>
          </w:p>
        </w:tc>
        <w:tc>
          <w:tcPr>
            <w:tcW w:w="434" w:type="dxa"/>
            <w:vAlign w:val="top"/>
          </w:tcPr>
          <w:p w14:paraId="45C8F006">
            <w:pPr>
              <w:spacing w:before="87" w:line="189" w:lineRule="auto"/>
              <w:ind w:left="171"/>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182" w:type="dxa"/>
            <w:vAlign w:val="top"/>
          </w:tcPr>
          <w:p w14:paraId="31544035">
            <w:pPr>
              <w:pStyle w:val="6"/>
              <w:spacing w:before="70" w:line="217" w:lineRule="auto"/>
              <w:jc w:val="right"/>
              <w:rPr>
                <w:sz w:val="14"/>
                <w:szCs w:val="14"/>
              </w:rPr>
            </w:pPr>
            <w:r>
              <w:rPr>
                <w:spacing w:val="7"/>
                <w:sz w:val="14"/>
                <w:szCs w:val="14"/>
              </w:rPr>
              <w:t>砌块车间粉料筒仓</w:t>
            </w:r>
          </w:p>
        </w:tc>
        <w:tc>
          <w:tcPr>
            <w:tcW w:w="973" w:type="dxa"/>
            <w:vAlign w:val="top"/>
          </w:tcPr>
          <w:p w14:paraId="11281134">
            <w:pPr>
              <w:pStyle w:val="6"/>
              <w:spacing w:before="59" w:line="202" w:lineRule="auto"/>
              <w:ind w:left="166"/>
              <w:rPr>
                <w:sz w:val="16"/>
                <w:szCs w:val="16"/>
              </w:rPr>
            </w:pPr>
            <w:r>
              <w:rPr>
                <w:spacing w:val="-2"/>
                <w:sz w:val="16"/>
                <w:szCs w:val="16"/>
              </w:rPr>
              <w:t>粉料贮存</w:t>
            </w:r>
          </w:p>
        </w:tc>
        <w:tc>
          <w:tcPr>
            <w:tcW w:w="807" w:type="dxa"/>
            <w:vAlign w:val="top"/>
          </w:tcPr>
          <w:p w14:paraId="34E4DF1B">
            <w:pPr>
              <w:pStyle w:val="6"/>
              <w:spacing w:before="59" w:line="202" w:lineRule="auto"/>
              <w:ind w:left="247"/>
              <w:rPr>
                <w:sz w:val="16"/>
                <w:szCs w:val="16"/>
              </w:rPr>
            </w:pPr>
            <w:r>
              <w:rPr>
                <w:spacing w:val="-2"/>
                <w:sz w:val="16"/>
                <w:szCs w:val="16"/>
              </w:rPr>
              <w:t>粉尘</w:t>
            </w:r>
          </w:p>
        </w:tc>
        <w:tc>
          <w:tcPr>
            <w:tcW w:w="718" w:type="dxa"/>
            <w:vAlign w:val="top"/>
          </w:tcPr>
          <w:p w14:paraId="6984B3EB">
            <w:pPr>
              <w:pStyle w:val="6"/>
              <w:spacing w:before="59" w:line="202" w:lineRule="auto"/>
              <w:ind w:left="123"/>
              <w:rPr>
                <w:sz w:val="16"/>
                <w:szCs w:val="16"/>
              </w:rPr>
            </w:pPr>
            <w:r>
              <w:rPr>
                <w:spacing w:val="-2"/>
                <w:sz w:val="16"/>
                <w:szCs w:val="16"/>
              </w:rPr>
              <w:t>无组织</w:t>
            </w:r>
          </w:p>
        </w:tc>
        <w:tc>
          <w:tcPr>
            <w:tcW w:w="1812" w:type="dxa"/>
            <w:vAlign w:val="top"/>
          </w:tcPr>
          <w:p w14:paraId="6ED5EC1F">
            <w:pPr>
              <w:pStyle w:val="6"/>
              <w:spacing w:before="70" w:line="217" w:lineRule="auto"/>
              <w:ind w:left="85"/>
              <w:rPr>
                <w:sz w:val="14"/>
                <w:szCs w:val="14"/>
              </w:rPr>
            </w:pPr>
            <w:r>
              <w:rPr>
                <w:spacing w:val="9"/>
                <w:sz w:val="14"/>
                <w:szCs w:val="14"/>
              </w:rPr>
              <w:t>每个筒仓均设仓顶除尘器</w:t>
            </w:r>
          </w:p>
        </w:tc>
        <w:tc>
          <w:tcPr>
            <w:tcW w:w="790" w:type="dxa"/>
            <w:vAlign w:val="top"/>
          </w:tcPr>
          <w:p w14:paraId="437643B4">
            <w:pPr>
              <w:spacing w:before="84"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tcBorders>
            <w:vAlign w:val="top"/>
          </w:tcPr>
          <w:p w14:paraId="1DEC9B93">
            <w:pPr>
              <w:rPr>
                <w:rFonts w:ascii="Arial"/>
                <w:sz w:val="21"/>
              </w:rPr>
            </w:pPr>
          </w:p>
        </w:tc>
        <w:tc>
          <w:tcPr>
            <w:tcW w:w="155" w:type="dxa"/>
            <w:vMerge w:val="continue"/>
            <w:tcBorders>
              <w:top w:val="nil"/>
              <w:bottom w:val="nil"/>
              <w:right w:val="single" w:color="000000" w:sz="6" w:space="0"/>
            </w:tcBorders>
            <w:vAlign w:val="top"/>
          </w:tcPr>
          <w:p w14:paraId="23673341">
            <w:pPr>
              <w:rPr>
                <w:rFonts w:ascii="Arial"/>
                <w:sz w:val="21"/>
              </w:rPr>
            </w:pPr>
          </w:p>
        </w:tc>
      </w:tr>
      <w:tr w14:paraId="61CE7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85" w:type="dxa"/>
            <w:vMerge w:val="continue"/>
            <w:tcBorders>
              <w:top w:val="nil"/>
              <w:left w:val="single" w:color="000000" w:sz="6" w:space="0"/>
              <w:bottom w:val="nil"/>
            </w:tcBorders>
            <w:vAlign w:val="top"/>
          </w:tcPr>
          <w:p w14:paraId="276A269C">
            <w:pPr>
              <w:rPr>
                <w:rFonts w:ascii="Arial"/>
                <w:sz w:val="21"/>
              </w:rPr>
            </w:pPr>
          </w:p>
        </w:tc>
        <w:tc>
          <w:tcPr>
            <w:tcW w:w="146" w:type="dxa"/>
            <w:vMerge w:val="continue"/>
            <w:tcBorders>
              <w:top w:val="nil"/>
              <w:bottom w:val="nil"/>
            </w:tcBorders>
            <w:vAlign w:val="top"/>
          </w:tcPr>
          <w:p w14:paraId="1387BE66">
            <w:pPr>
              <w:rPr>
                <w:rFonts w:ascii="Arial"/>
                <w:sz w:val="21"/>
              </w:rPr>
            </w:pPr>
          </w:p>
        </w:tc>
        <w:tc>
          <w:tcPr>
            <w:tcW w:w="434" w:type="dxa"/>
            <w:vAlign w:val="top"/>
          </w:tcPr>
          <w:p w14:paraId="1B212014">
            <w:pPr>
              <w:spacing w:line="260" w:lineRule="auto"/>
              <w:rPr>
                <w:rFonts w:ascii="Arial"/>
                <w:sz w:val="21"/>
              </w:rPr>
            </w:pPr>
          </w:p>
          <w:p w14:paraId="5B0A40AA">
            <w:pPr>
              <w:spacing w:line="260" w:lineRule="auto"/>
              <w:rPr>
                <w:rFonts w:ascii="Arial"/>
                <w:sz w:val="21"/>
              </w:rPr>
            </w:pPr>
          </w:p>
          <w:p w14:paraId="4389FF1C">
            <w:pPr>
              <w:spacing w:before="46" w:line="186" w:lineRule="auto"/>
              <w:ind w:left="176"/>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182" w:type="dxa"/>
            <w:vAlign w:val="top"/>
          </w:tcPr>
          <w:p w14:paraId="3CE888DA">
            <w:pPr>
              <w:spacing w:line="242" w:lineRule="auto"/>
              <w:rPr>
                <w:rFonts w:ascii="Arial"/>
                <w:sz w:val="21"/>
              </w:rPr>
            </w:pPr>
          </w:p>
          <w:p w14:paraId="6E9BE96F">
            <w:pPr>
              <w:spacing w:line="242" w:lineRule="auto"/>
              <w:rPr>
                <w:rFonts w:ascii="Arial"/>
                <w:sz w:val="21"/>
              </w:rPr>
            </w:pPr>
          </w:p>
          <w:p w14:paraId="3D52D966">
            <w:pPr>
              <w:pStyle w:val="6"/>
              <w:spacing w:before="52" w:line="220" w:lineRule="auto"/>
              <w:ind w:left="31"/>
              <w:rPr>
                <w:sz w:val="16"/>
                <w:szCs w:val="16"/>
              </w:rPr>
            </w:pPr>
            <w:r>
              <w:rPr>
                <w:spacing w:val="-1"/>
                <w:sz w:val="16"/>
                <w:szCs w:val="16"/>
              </w:rPr>
              <w:t>浸漆槽、烤漆房</w:t>
            </w:r>
          </w:p>
        </w:tc>
        <w:tc>
          <w:tcPr>
            <w:tcW w:w="973" w:type="dxa"/>
            <w:vAlign w:val="top"/>
          </w:tcPr>
          <w:p w14:paraId="774D4A7A">
            <w:pPr>
              <w:spacing w:line="242" w:lineRule="auto"/>
              <w:rPr>
                <w:rFonts w:ascii="Arial"/>
                <w:sz w:val="21"/>
              </w:rPr>
            </w:pPr>
          </w:p>
          <w:p w14:paraId="439C0C86">
            <w:pPr>
              <w:spacing w:line="242" w:lineRule="auto"/>
              <w:rPr>
                <w:rFonts w:ascii="Arial"/>
                <w:sz w:val="21"/>
              </w:rPr>
            </w:pPr>
          </w:p>
          <w:p w14:paraId="6DA004AC">
            <w:pPr>
              <w:pStyle w:val="6"/>
              <w:spacing w:before="52" w:line="220" w:lineRule="auto"/>
              <w:ind w:left="167"/>
              <w:rPr>
                <w:sz w:val="16"/>
                <w:szCs w:val="16"/>
              </w:rPr>
            </w:pPr>
            <w:r>
              <w:rPr>
                <w:spacing w:val="-2"/>
                <w:sz w:val="16"/>
                <w:szCs w:val="16"/>
              </w:rPr>
              <w:t>浸漆烤漆</w:t>
            </w:r>
          </w:p>
        </w:tc>
        <w:tc>
          <w:tcPr>
            <w:tcW w:w="807" w:type="dxa"/>
            <w:vAlign w:val="top"/>
          </w:tcPr>
          <w:p w14:paraId="7BBD5FBD">
            <w:pPr>
              <w:spacing w:line="259" w:lineRule="auto"/>
              <w:rPr>
                <w:rFonts w:ascii="Arial"/>
                <w:sz w:val="21"/>
              </w:rPr>
            </w:pPr>
          </w:p>
          <w:p w14:paraId="2145EDE1">
            <w:pPr>
              <w:spacing w:line="259" w:lineRule="auto"/>
              <w:rPr>
                <w:rFonts w:ascii="Arial"/>
                <w:sz w:val="21"/>
              </w:rPr>
            </w:pPr>
          </w:p>
          <w:p w14:paraId="238CF1D9">
            <w:pPr>
              <w:spacing w:before="46" w:line="195" w:lineRule="auto"/>
              <w:ind w:left="214"/>
              <w:rPr>
                <w:rFonts w:ascii="Times New Roman" w:hAnsi="Times New Roman" w:eastAsia="Times New Roman" w:cs="Times New Roman"/>
                <w:sz w:val="10"/>
                <w:szCs w:val="10"/>
              </w:rPr>
            </w:pPr>
            <w:r>
              <w:rPr>
                <w:rFonts w:ascii="Times New Roman" w:hAnsi="Times New Roman" w:eastAsia="Times New Roman" w:cs="Times New Roman"/>
                <w:spacing w:val="-1"/>
                <w:sz w:val="16"/>
                <w:szCs w:val="16"/>
              </w:rPr>
              <w:t>VOC</w:t>
            </w:r>
            <w:r>
              <w:rPr>
                <w:rFonts w:ascii="Times New Roman" w:hAnsi="Times New Roman" w:eastAsia="Times New Roman" w:cs="Times New Roman"/>
                <w:spacing w:val="-1"/>
                <w:position w:val="-1"/>
                <w:sz w:val="10"/>
                <w:szCs w:val="10"/>
              </w:rPr>
              <w:t>s</w:t>
            </w:r>
          </w:p>
        </w:tc>
        <w:tc>
          <w:tcPr>
            <w:tcW w:w="718" w:type="dxa"/>
            <w:vAlign w:val="top"/>
          </w:tcPr>
          <w:p w14:paraId="5C2AC50A">
            <w:pPr>
              <w:spacing w:line="242" w:lineRule="auto"/>
              <w:rPr>
                <w:rFonts w:ascii="Arial"/>
                <w:sz w:val="21"/>
              </w:rPr>
            </w:pPr>
          </w:p>
          <w:p w14:paraId="1E5AE30F">
            <w:pPr>
              <w:spacing w:line="242" w:lineRule="auto"/>
              <w:rPr>
                <w:rFonts w:ascii="Arial"/>
                <w:sz w:val="21"/>
              </w:rPr>
            </w:pPr>
          </w:p>
          <w:p w14:paraId="0E0EA745">
            <w:pPr>
              <w:pStyle w:val="6"/>
              <w:spacing w:before="52" w:line="221" w:lineRule="auto"/>
              <w:ind w:left="122"/>
              <w:rPr>
                <w:sz w:val="16"/>
                <w:szCs w:val="16"/>
              </w:rPr>
            </w:pPr>
            <w:r>
              <w:rPr>
                <w:spacing w:val="-2"/>
                <w:sz w:val="16"/>
                <w:szCs w:val="16"/>
              </w:rPr>
              <w:t>有组织</w:t>
            </w:r>
          </w:p>
        </w:tc>
        <w:tc>
          <w:tcPr>
            <w:tcW w:w="1812" w:type="dxa"/>
            <w:vAlign w:val="top"/>
          </w:tcPr>
          <w:p w14:paraId="57762250">
            <w:pPr>
              <w:spacing w:line="263" w:lineRule="auto"/>
              <w:rPr>
                <w:rFonts w:ascii="Arial"/>
                <w:sz w:val="21"/>
              </w:rPr>
            </w:pPr>
          </w:p>
          <w:p w14:paraId="407296EF">
            <w:pPr>
              <w:pStyle w:val="6"/>
              <w:spacing w:before="45" w:line="293" w:lineRule="auto"/>
              <w:ind w:left="88" w:hanging="89"/>
              <w:rPr>
                <w:sz w:val="16"/>
                <w:szCs w:val="16"/>
              </w:rPr>
            </w:pPr>
            <w:r>
              <w:rPr>
                <w:spacing w:val="7"/>
                <w:sz w:val="14"/>
                <w:szCs w:val="14"/>
              </w:rPr>
              <w:t>负压收集，设“</w:t>
            </w:r>
            <w:r>
              <w:rPr>
                <w:rFonts w:ascii="Times New Roman" w:hAnsi="Times New Roman" w:eastAsia="Times New Roman" w:cs="Times New Roman"/>
                <w:sz w:val="14"/>
                <w:szCs w:val="14"/>
              </w:rPr>
              <w:t>UV</w:t>
            </w:r>
            <w:r>
              <w:rPr>
                <w:rFonts w:ascii="Times New Roman" w:hAnsi="Times New Roman" w:eastAsia="Times New Roman" w:cs="Times New Roman"/>
                <w:spacing w:val="7"/>
                <w:sz w:val="14"/>
                <w:szCs w:val="14"/>
              </w:rPr>
              <w:t xml:space="preserve"> </w:t>
            </w:r>
            <w:r>
              <w:rPr>
                <w:spacing w:val="7"/>
                <w:sz w:val="14"/>
                <w:szCs w:val="14"/>
              </w:rPr>
              <w:t>光解</w:t>
            </w:r>
            <w:r>
              <w:rPr>
                <w:rFonts w:ascii="Times New Roman" w:hAnsi="Times New Roman" w:eastAsia="Times New Roman" w:cs="Times New Roman"/>
                <w:spacing w:val="7"/>
                <w:sz w:val="14"/>
                <w:szCs w:val="14"/>
              </w:rPr>
              <w:t>+</w:t>
            </w:r>
            <w:r>
              <w:rPr>
                <w:spacing w:val="7"/>
                <w:sz w:val="14"/>
                <w:szCs w:val="14"/>
              </w:rPr>
              <w:t>两</w:t>
            </w:r>
            <w:r>
              <w:rPr>
                <w:spacing w:val="5"/>
                <w:sz w:val="14"/>
                <w:szCs w:val="14"/>
              </w:rPr>
              <w:t xml:space="preserve"> 级活性炭吸附</w:t>
            </w:r>
            <w:r>
              <w:rPr>
                <w:spacing w:val="-44"/>
                <w:sz w:val="14"/>
                <w:szCs w:val="14"/>
              </w:rPr>
              <w:t xml:space="preserve"> </w:t>
            </w:r>
            <w:r>
              <w:rPr>
                <w:spacing w:val="5"/>
                <w:sz w:val="14"/>
                <w:szCs w:val="14"/>
              </w:rPr>
              <w:t>”处理，经</w:t>
            </w:r>
            <w:r>
              <w:rPr>
                <w:sz w:val="14"/>
                <w:szCs w:val="14"/>
              </w:rPr>
              <w:t xml:space="preserve">  </w:t>
            </w:r>
            <w:r>
              <w:rPr>
                <w:rFonts w:ascii="Times New Roman" w:hAnsi="Times New Roman" w:eastAsia="Times New Roman" w:cs="Times New Roman"/>
                <w:spacing w:val="2"/>
                <w:sz w:val="14"/>
                <w:szCs w:val="14"/>
              </w:rPr>
              <w:t>15</w:t>
            </w:r>
            <w:r>
              <w:rPr>
                <w:rFonts w:ascii="Times New Roman" w:hAnsi="Times New Roman" w:eastAsia="Times New Roman" w:cs="Times New Roman"/>
                <w:sz w:val="14"/>
                <w:szCs w:val="14"/>
              </w:rPr>
              <w:t>m</w:t>
            </w:r>
            <w:r>
              <w:rPr>
                <w:rFonts w:ascii="Times New Roman" w:hAnsi="Times New Roman" w:eastAsia="Times New Roman" w:cs="Times New Roman"/>
                <w:sz w:val="16"/>
                <w:szCs w:val="16"/>
              </w:rPr>
              <w:t>DA</w:t>
            </w:r>
            <w:r>
              <w:rPr>
                <w:rFonts w:ascii="Times New Roman" w:hAnsi="Times New Roman" w:eastAsia="Times New Roman" w:cs="Times New Roman"/>
                <w:spacing w:val="2"/>
                <w:sz w:val="16"/>
                <w:szCs w:val="16"/>
              </w:rPr>
              <w:t xml:space="preserve">001 </w:t>
            </w:r>
            <w:r>
              <w:rPr>
                <w:spacing w:val="2"/>
                <w:sz w:val="16"/>
                <w:szCs w:val="16"/>
              </w:rPr>
              <w:t>排气筒排放</w:t>
            </w:r>
          </w:p>
        </w:tc>
        <w:tc>
          <w:tcPr>
            <w:tcW w:w="790" w:type="dxa"/>
            <w:vAlign w:val="top"/>
          </w:tcPr>
          <w:p w14:paraId="2EF39B04">
            <w:pPr>
              <w:spacing w:line="257" w:lineRule="auto"/>
              <w:rPr>
                <w:rFonts w:ascii="Arial"/>
                <w:sz w:val="21"/>
              </w:rPr>
            </w:pPr>
          </w:p>
          <w:p w14:paraId="7C8396A9">
            <w:pPr>
              <w:spacing w:line="258" w:lineRule="auto"/>
              <w:rPr>
                <w:rFonts w:ascii="Arial"/>
                <w:sz w:val="21"/>
              </w:rPr>
            </w:pPr>
          </w:p>
          <w:p w14:paraId="68AEC00A">
            <w:pPr>
              <w:spacing w:before="46"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Align w:val="top"/>
          </w:tcPr>
          <w:p w14:paraId="49295DB2">
            <w:pPr>
              <w:pStyle w:val="6"/>
              <w:spacing w:before="59" w:line="264" w:lineRule="auto"/>
              <w:ind w:left="6" w:hanging="1"/>
              <w:rPr>
                <w:sz w:val="16"/>
                <w:szCs w:val="16"/>
              </w:rPr>
            </w:pPr>
            <w:r>
              <w:rPr>
                <w:spacing w:val="-3"/>
                <w:sz w:val="16"/>
                <w:szCs w:val="16"/>
              </w:rPr>
              <w:t>《四川省固定污</w:t>
            </w:r>
            <w:r>
              <w:rPr>
                <w:sz w:val="16"/>
                <w:szCs w:val="16"/>
              </w:rPr>
              <w:t xml:space="preserve"> </w:t>
            </w:r>
            <w:r>
              <w:rPr>
                <w:spacing w:val="-4"/>
                <w:sz w:val="16"/>
                <w:szCs w:val="16"/>
              </w:rPr>
              <w:t>染源大气挥发性</w:t>
            </w:r>
          </w:p>
          <w:p w14:paraId="461E248A">
            <w:pPr>
              <w:pStyle w:val="6"/>
              <w:spacing w:before="22" w:line="252" w:lineRule="auto"/>
              <w:ind w:left="55" w:right="34" w:firstLine="30"/>
              <w:jc w:val="both"/>
              <w:rPr>
                <w:sz w:val="16"/>
                <w:szCs w:val="16"/>
              </w:rPr>
            </w:pPr>
            <w:r>
              <w:rPr>
                <w:spacing w:val="-2"/>
                <w:sz w:val="16"/>
                <w:szCs w:val="16"/>
              </w:rPr>
              <w:t>有机物排放标</w:t>
            </w:r>
            <w:r>
              <w:rPr>
                <w:spacing w:val="4"/>
                <w:sz w:val="16"/>
                <w:szCs w:val="16"/>
              </w:rPr>
              <w:t xml:space="preserve"> </w:t>
            </w:r>
            <w:r>
              <w:rPr>
                <w:spacing w:val="-6"/>
                <w:sz w:val="16"/>
                <w:szCs w:val="16"/>
              </w:rPr>
              <w:t>准》（</w:t>
            </w:r>
            <w:r>
              <w:rPr>
                <w:rFonts w:ascii="Times New Roman" w:hAnsi="Times New Roman" w:eastAsia="Times New Roman" w:cs="Times New Roman"/>
                <w:spacing w:val="-6"/>
                <w:sz w:val="16"/>
                <w:szCs w:val="16"/>
              </w:rPr>
              <w:t xml:space="preserve">DB51 </w:t>
            </w:r>
            <w:r>
              <w:rPr>
                <w:spacing w:val="-6"/>
                <w:sz w:val="16"/>
                <w:szCs w:val="16"/>
              </w:rPr>
              <w:t>∕</w:t>
            </w:r>
            <w:r>
              <w:rPr>
                <w:spacing w:val="5"/>
                <w:sz w:val="16"/>
                <w:szCs w:val="16"/>
              </w:rPr>
              <w:t xml:space="preserve"> </w:t>
            </w:r>
            <w:r>
              <w:rPr>
                <w:rFonts w:ascii="Times New Roman" w:hAnsi="Times New Roman" w:eastAsia="Times New Roman" w:cs="Times New Roman"/>
                <w:spacing w:val="7"/>
                <w:sz w:val="16"/>
                <w:szCs w:val="16"/>
              </w:rPr>
              <w:t>2377-2017</w:t>
            </w:r>
            <w:r>
              <w:rPr>
                <w:spacing w:val="7"/>
                <w:sz w:val="16"/>
                <w:szCs w:val="16"/>
              </w:rPr>
              <w:t>）</w:t>
            </w:r>
          </w:p>
        </w:tc>
        <w:tc>
          <w:tcPr>
            <w:tcW w:w="155" w:type="dxa"/>
            <w:vMerge w:val="continue"/>
            <w:tcBorders>
              <w:top w:val="nil"/>
              <w:bottom w:val="nil"/>
              <w:right w:val="single" w:color="000000" w:sz="6" w:space="0"/>
            </w:tcBorders>
            <w:vAlign w:val="top"/>
          </w:tcPr>
          <w:p w14:paraId="0AD25C88">
            <w:pPr>
              <w:rPr>
                <w:rFonts w:ascii="Arial"/>
                <w:sz w:val="21"/>
              </w:rPr>
            </w:pPr>
          </w:p>
        </w:tc>
      </w:tr>
      <w:tr w14:paraId="563D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5" w:type="dxa"/>
            <w:vMerge w:val="continue"/>
            <w:tcBorders>
              <w:top w:val="nil"/>
              <w:left w:val="single" w:color="000000" w:sz="6" w:space="0"/>
              <w:bottom w:val="nil"/>
            </w:tcBorders>
            <w:vAlign w:val="top"/>
          </w:tcPr>
          <w:p w14:paraId="2E44CB71">
            <w:pPr>
              <w:rPr>
                <w:rFonts w:ascii="Arial"/>
                <w:sz w:val="21"/>
              </w:rPr>
            </w:pPr>
          </w:p>
        </w:tc>
        <w:tc>
          <w:tcPr>
            <w:tcW w:w="146" w:type="dxa"/>
            <w:vMerge w:val="continue"/>
            <w:tcBorders>
              <w:top w:val="nil"/>
              <w:bottom w:val="nil"/>
            </w:tcBorders>
            <w:vAlign w:val="top"/>
          </w:tcPr>
          <w:p w14:paraId="659E166E">
            <w:pPr>
              <w:rPr>
                <w:rFonts w:ascii="Arial"/>
                <w:sz w:val="21"/>
              </w:rPr>
            </w:pPr>
          </w:p>
        </w:tc>
        <w:tc>
          <w:tcPr>
            <w:tcW w:w="434" w:type="dxa"/>
            <w:vAlign w:val="top"/>
          </w:tcPr>
          <w:p w14:paraId="2EF694FF">
            <w:pPr>
              <w:spacing w:line="282" w:lineRule="auto"/>
              <w:rPr>
                <w:rFonts w:ascii="Arial"/>
                <w:sz w:val="21"/>
              </w:rPr>
            </w:pPr>
          </w:p>
          <w:p w14:paraId="2428F34E">
            <w:pPr>
              <w:spacing w:before="46" w:line="189" w:lineRule="auto"/>
              <w:ind w:left="175"/>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182" w:type="dxa"/>
            <w:vAlign w:val="top"/>
          </w:tcPr>
          <w:p w14:paraId="03C5BA02">
            <w:pPr>
              <w:spacing w:line="248" w:lineRule="auto"/>
              <w:rPr>
                <w:rFonts w:ascii="Arial"/>
                <w:sz w:val="21"/>
              </w:rPr>
            </w:pPr>
          </w:p>
          <w:p w14:paraId="36B1B066">
            <w:pPr>
              <w:pStyle w:val="6"/>
              <w:spacing w:before="52" w:line="220" w:lineRule="auto"/>
              <w:ind w:left="188"/>
              <w:rPr>
                <w:sz w:val="16"/>
                <w:szCs w:val="16"/>
              </w:rPr>
            </w:pPr>
            <w:r>
              <w:rPr>
                <w:spacing w:val="-1"/>
                <w:sz w:val="16"/>
                <w:szCs w:val="16"/>
              </w:rPr>
              <w:t>钢筋切割机</w:t>
            </w:r>
          </w:p>
        </w:tc>
        <w:tc>
          <w:tcPr>
            <w:tcW w:w="973" w:type="dxa"/>
            <w:vAlign w:val="top"/>
          </w:tcPr>
          <w:p w14:paraId="2672EADB">
            <w:pPr>
              <w:spacing w:line="249" w:lineRule="auto"/>
              <w:rPr>
                <w:rFonts w:ascii="Arial"/>
                <w:sz w:val="21"/>
              </w:rPr>
            </w:pPr>
          </w:p>
          <w:p w14:paraId="07998672">
            <w:pPr>
              <w:pStyle w:val="6"/>
              <w:spacing w:before="52" w:line="220" w:lineRule="auto"/>
              <w:ind w:left="165"/>
              <w:rPr>
                <w:sz w:val="16"/>
                <w:szCs w:val="16"/>
              </w:rPr>
            </w:pPr>
            <w:r>
              <w:rPr>
                <w:spacing w:val="-2"/>
                <w:sz w:val="16"/>
                <w:szCs w:val="16"/>
              </w:rPr>
              <w:t>钢筋切割</w:t>
            </w:r>
          </w:p>
        </w:tc>
        <w:tc>
          <w:tcPr>
            <w:tcW w:w="807" w:type="dxa"/>
            <w:vAlign w:val="top"/>
          </w:tcPr>
          <w:p w14:paraId="2C0D4DA8">
            <w:pPr>
              <w:spacing w:line="249" w:lineRule="auto"/>
              <w:rPr>
                <w:rFonts w:ascii="Arial"/>
                <w:sz w:val="21"/>
              </w:rPr>
            </w:pPr>
          </w:p>
          <w:p w14:paraId="2B074659">
            <w:pPr>
              <w:pStyle w:val="6"/>
              <w:spacing w:before="52" w:line="220" w:lineRule="auto"/>
              <w:ind w:left="247"/>
              <w:rPr>
                <w:sz w:val="16"/>
                <w:szCs w:val="16"/>
              </w:rPr>
            </w:pPr>
            <w:r>
              <w:rPr>
                <w:spacing w:val="-2"/>
                <w:sz w:val="16"/>
                <w:szCs w:val="16"/>
              </w:rPr>
              <w:t>粉尘</w:t>
            </w:r>
          </w:p>
        </w:tc>
        <w:tc>
          <w:tcPr>
            <w:tcW w:w="718" w:type="dxa"/>
            <w:vAlign w:val="top"/>
          </w:tcPr>
          <w:p w14:paraId="46ABE8FE">
            <w:pPr>
              <w:spacing w:line="249" w:lineRule="auto"/>
              <w:rPr>
                <w:rFonts w:ascii="Arial"/>
                <w:sz w:val="21"/>
              </w:rPr>
            </w:pPr>
          </w:p>
          <w:p w14:paraId="483631BD">
            <w:pPr>
              <w:pStyle w:val="6"/>
              <w:spacing w:before="52" w:line="221" w:lineRule="auto"/>
              <w:ind w:left="123"/>
              <w:rPr>
                <w:sz w:val="16"/>
                <w:szCs w:val="16"/>
              </w:rPr>
            </w:pPr>
            <w:r>
              <w:rPr>
                <w:spacing w:val="-2"/>
                <w:sz w:val="16"/>
                <w:szCs w:val="16"/>
              </w:rPr>
              <w:t>无组织</w:t>
            </w:r>
          </w:p>
        </w:tc>
        <w:tc>
          <w:tcPr>
            <w:tcW w:w="1812" w:type="dxa"/>
            <w:vAlign w:val="top"/>
          </w:tcPr>
          <w:p w14:paraId="6F5AE8C5">
            <w:pPr>
              <w:pStyle w:val="6"/>
              <w:spacing w:before="73" w:line="230" w:lineRule="auto"/>
              <w:ind w:left="13"/>
              <w:rPr>
                <w:sz w:val="14"/>
                <w:szCs w:val="14"/>
              </w:rPr>
            </w:pPr>
            <w:r>
              <w:rPr>
                <w:spacing w:val="9"/>
                <w:sz w:val="14"/>
                <w:szCs w:val="14"/>
              </w:rPr>
              <w:t>设专用加工车间、切割机配</w:t>
            </w:r>
          </w:p>
          <w:p w14:paraId="686D0F57">
            <w:pPr>
              <w:pStyle w:val="6"/>
              <w:spacing w:before="65" w:line="231" w:lineRule="auto"/>
              <w:ind w:left="19"/>
              <w:rPr>
                <w:sz w:val="14"/>
                <w:szCs w:val="14"/>
              </w:rPr>
            </w:pPr>
            <w:r>
              <w:rPr>
                <w:spacing w:val="8"/>
                <w:sz w:val="14"/>
                <w:szCs w:val="14"/>
              </w:rPr>
              <w:t>除尘器、利用封闭式车间控</w:t>
            </w:r>
          </w:p>
          <w:p w14:paraId="4C065B25">
            <w:pPr>
              <w:pStyle w:val="6"/>
              <w:spacing w:before="64" w:line="213" w:lineRule="auto"/>
              <w:ind w:left="462"/>
              <w:rPr>
                <w:sz w:val="14"/>
                <w:szCs w:val="14"/>
              </w:rPr>
            </w:pPr>
            <w:r>
              <w:rPr>
                <w:spacing w:val="8"/>
                <w:sz w:val="14"/>
                <w:szCs w:val="14"/>
              </w:rPr>
              <w:t>制无组织粉尘</w:t>
            </w:r>
          </w:p>
        </w:tc>
        <w:tc>
          <w:tcPr>
            <w:tcW w:w="790" w:type="dxa"/>
            <w:vAlign w:val="top"/>
          </w:tcPr>
          <w:p w14:paraId="273F001D">
            <w:pPr>
              <w:spacing w:line="279" w:lineRule="auto"/>
              <w:rPr>
                <w:rFonts w:ascii="Arial"/>
                <w:sz w:val="21"/>
              </w:rPr>
            </w:pPr>
          </w:p>
          <w:p w14:paraId="29594074">
            <w:pPr>
              <w:spacing w:before="46"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restart"/>
            <w:tcBorders>
              <w:bottom w:val="nil"/>
            </w:tcBorders>
            <w:vAlign w:val="top"/>
          </w:tcPr>
          <w:p w14:paraId="60876CB5">
            <w:pPr>
              <w:spacing w:line="372" w:lineRule="auto"/>
              <w:rPr>
                <w:rFonts w:ascii="Arial"/>
                <w:sz w:val="21"/>
              </w:rPr>
            </w:pPr>
          </w:p>
          <w:p w14:paraId="1705DB46">
            <w:pPr>
              <w:pStyle w:val="6"/>
              <w:spacing w:before="52" w:line="264" w:lineRule="auto"/>
              <w:ind w:left="85" w:hanging="80"/>
              <w:rPr>
                <w:sz w:val="16"/>
                <w:szCs w:val="16"/>
              </w:rPr>
            </w:pPr>
            <w:r>
              <w:rPr>
                <w:spacing w:val="-3"/>
                <w:sz w:val="16"/>
                <w:szCs w:val="16"/>
              </w:rPr>
              <w:t>《大气污染物综</w:t>
            </w:r>
            <w:r>
              <w:rPr>
                <w:sz w:val="16"/>
                <w:szCs w:val="16"/>
              </w:rPr>
              <w:t xml:space="preserve"> </w:t>
            </w:r>
            <w:r>
              <w:rPr>
                <w:spacing w:val="-3"/>
                <w:sz w:val="16"/>
                <w:szCs w:val="16"/>
              </w:rPr>
              <w:t>合排放标准》</w:t>
            </w:r>
          </w:p>
          <w:p w14:paraId="4817B466">
            <w:pPr>
              <w:spacing w:before="47" w:line="193" w:lineRule="auto"/>
              <w:jc w:val="right"/>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(GB16297-1996)</w:t>
            </w:r>
          </w:p>
        </w:tc>
        <w:tc>
          <w:tcPr>
            <w:tcW w:w="155" w:type="dxa"/>
            <w:vMerge w:val="continue"/>
            <w:tcBorders>
              <w:top w:val="nil"/>
              <w:bottom w:val="nil"/>
              <w:right w:val="single" w:color="000000" w:sz="6" w:space="0"/>
            </w:tcBorders>
            <w:vAlign w:val="top"/>
          </w:tcPr>
          <w:p w14:paraId="6A3F709D">
            <w:pPr>
              <w:rPr>
                <w:rFonts w:ascii="Arial"/>
                <w:sz w:val="21"/>
              </w:rPr>
            </w:pPr>
          </w:p>
        </w:tc>
      </w:tr>
      <w:tr w14:paraId="33134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785" w:type="dxa"/>
            <w:vMerge w:val="continue"/>
            <w:tcBorders>
              <w:top w:val="nil"/>
              <w:left w:val="single" w:color="000000" w:sz="6" w:space="0"/>
              <w:bottom w:val="nil"/>
            </w:tcBorders>
            <w:vAlign w:val="top"/>
          </w:tcPr>
          <w:p w14:paraId="5B7D074C">
            <w:pPr>
              <w:rPr>
                <w:rFonts w:ascii="Arial"/>
                <w:sz w:val="21"/>
              </w:rPr>
            </w:pPr>
          </w:p>
        </w:tc>
        <w:tc>
          <w:tcPr>
            <w:tcW w:w="146" w:type="dxa"/>
            <w:vMerge w:val="continue"/>
            <w:tcBorders>
              <w:top w:val="nil"/>
              <w:bottom w:val="nil"/>
            </w:tcBorders>
            <w:vAlign w:val="top"/>
          </w:tcPr>
          <w:p w14:paraId="69770DC2">
            <w:pPr>
              <w:rPr>
                <w:rFonts w:ascii="Arial"/>
                <w:sz w:val="21"/>
              </w:rPr>
            </w:pPr>
          </w:p>
        </w:tc>
        <w:tc>
          <w:tcPr>
            <w:tcW w:w="434" w:type="dxa"/>
            <w:vAlign w:val="top"/>
          </w:tcPr>
          <w:p w14:paraId="4958CD5F">
            <w:pPr>
              <w:spacing w:line="285" w:lineRule="auto"/>
              <w:rPr>
                <w:rFonts w:ascii="Arial"/>
                <w:sz w:val="21"/>
              </w:rPr>
            </w:pPr>
          </w:p>
          <w:p w14:paraId="05D19C7A">
            <w:pPr>
              <w:spacing w:before="46" w:line="186" w:lineRule="auto"/>
              <w:ind w:left="174"/>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182" w:type="dxa"/>
            <w:vAlign w:val="top"/>
          </w:tcPr>
          <w:p w14:paraId="602BD78D">
            <w:pPr>
              <w:spacing w:line="249" w:lineRule="auto"/>
              <w:rPr>
                <w:rFonts w:ascii="Arial"/>
                <w:sz w:val="21"/>
              </w:rPr>
            </w:pPr>
          </w:p>
          <w:p w14:paraId="18EB1ED4">
            <w:pPr>
              <w:pStyle w:val="6"/>
              <w:spacing w:before="52" w:line="220" w:lineRule="auto"/>
              <w:ind w:left="349"/>
              <w:rPr>
                <w:sz w:val="16"/>
                <w:szCs w:val="16"/>
              </w:rPr>
            </w:pPr>
            <w:r>
              <w:rPr>
                <w:spacing w:val="-2"/>
                <w:sz w:val="16"/>
                <w:szCs w:val="16"/>
              </w:rPr>
              <w:t>碰焊机</w:t>
            </w:r>
          </w:p>
        </w:tc>
        <w:tc>
          <w:tcPr>
            <w:tcW w:w="973" w:type="dxa"/>
            <w:vAlign w:val="top"/>
          </w:tcPr>
          <w:p w14:paraId="56459F20">
            <w:pPr>
              <w:spacing w:line="249" w:lineRule="auto"/>
              <w:rPr>
                <w:rFonts w:ascii="Arial"/>
                <w:sz w:val="21"/>
              </w:rPr>
            </w:pPr>
          </w:p>
          <w:p w14:paraId="2D132270">
            <w:pPr>
              <w:pStyle w:val="6"/>
              <w:spacing w:before="52" w:line="220" w:lineRule="auto"/>
              <w:ind w:left="165"/>
              <w:rPr>
                <w:sz w:val="16"/>
                <w:szCs w:val="16"/>
              </w:rPr>
            </w:pPr>
            <w:r>
              <w:rPr>
                <w:spacing w:val="-2"/>
                <w:sz w:val="16"/>
                <w:szCs w:val="16"/>
              </w:rPr>
              <w:t>钢筋焊接</w:t>
            </w:r>
          </w:p>
        </w:tc>
        <w:tc>
          <w:tcPr>
            <w:tcW w:w="807" w:type="dxa"/>
            <w:vAlign w:val="top"/>
          </w:tcPr>
          <w:p w14:paraId="2BA9A584">
            <w:pPr>
              <w:spacing w:line="249" w:lineRule="auto"/>
              <w:rPr>
                <w:rFonts w:ascii="Arial"/>
                <w:sz w:val="21"/>
              </w:rPr>
            </w:pPr>
          </w:p>
          <w:p w14:paraId="4586876B">
            <w:pPr>
              <w:pStyle w:val="6"/>
              <w:spacing w:before="52" w:line="222" w:lineRule="auto"/>
              <w:ind w:left="248"/>
              <w:rPr>
                <w:sz w:val="16"/>
                <w:szCs w:val="16"/>
              </w:rPr>
            </w:pPr>
            <w:r>
              <w:rPr>
                <w:spacing w:val="-3"/>
                <w:sz w:val="16"/>
                <w:szCs w:val="16"/>
              </w:rPr>
              <w:t>烟尘</w:t>
            </w:r>
          </w:p>
        </w:tc>
        <w:tc>
          <w:tcPr>
            <w:tcW w:w="718" w:type="dxa"/>
            <w:vAlign w:val="top"/>
          </w:tcPr>
          <w:p w14:paraId="7BB5726B">
            <w:pPr>
              <w:spacing w:line="249" w:lineRule="auto"/>
              <w:rPr>
                <w:rFonts w:ascii="Arial"/>
                <w:sz w:val="21"/>
              </w:rPr>
            </w:pPr>
          </w:p>
          <w:p w14:paraId="6BCA0CAF">
            <w:pPr>
              <w:pStyle w:val="6"/>
              <w:spacing w:before="52" w:line="221" w:lineRule="auto"/>
              <w:ind w:left="123"/>
              <w:rPr>
                <w:sz w:val="16"/>
                <w:szCs w:val="16"/>
              </w:rPr>
            </w:pPr>
            <w:r>
              <w:rPr>
                <w:spacing w:val="-2"/>
                <w:sz w:val="16"/>
                <w:szCs w:val="16"/>
              </w:rPr>
              <w:t>无组织</w:t>
            </w:r>
          </w:p>
        </w:tc>
        <w:tc>
          <w:tcPr>
            <w:tcW w:w="1812" w:type="dxa"/>
            <w:vAlign w:val="top"/>
          </w:tcPr>
          <w:p w14:paraId="2E253497">
            <w:pPr>
              <w:pStyle w:val="6"/>
              <w:spacing w:before="63" w:line="220" w:lineRule="auto"/>
              <w:jc w:val="right"/>
              <w:rPr>
                <w:sz w:val="16"/>
                <w:szCs w:val="16"/>
              </w:rPr>
            </w:pPr>
            <w:r>
              <w:rPr>
                <w:spacing w:val="5"/>
                <w:sz w:val="14"/>
                <w:szCs w:val="14"/>
              </w:rPr>
              <w:t>设专用加工车间、配</w:t>
            </w:r>
            <w:r>
              <w:rPr>
                <w:spacing w:val="5"/>
                <w:sz w:val="16"/>
                <w:szCs w:val="16"/>
              </w:rPr>
              <w:t>焊烟净</w:t>
            </w:r>
          </w:p>
          <w:p w14:paraId="732D2722">
            <w:pPr>
              <w:pStyle w:val="6"/>
              <w:spacing w:before="48" w:line="222" w:lineRule="auto"/>
              <w:jc w:val="right"/>
              <w:rPr>
                <w:sz w:val="14"/>
                <w:szCs w:val="14"/>
              </w:rPr>
            </w:pPr>
            <w:r>
              <w:rPr>
                <w:spacing w:val="5"/>
                <w:sz w:val="16"/>
                <w:szCs w:val="16"/>
              </w:rPr>
              <w:t>化器、</w:t>
            </w:r>
            <w:r>
              <w:rPr>
                <w:spacing w:val="5"/>
                <w:sz w:val="14"/>
                <w:szCs w:val="14"/>
              </w:rPr>
              <w:t>利用封闭式车间控制</w:t>
            </w:r>
          </w:p>
          <w:p w14:paraId="4126DCAC">
            <w:pPr>
              <w:pStyle w:val="6"/>
              <w:spacing w:before="57" w:line="212" w:lineRule="auto"/>
              <w:ind w:left="537"/>
              <w:rPr>
                <w:sz w:val="14"/>
                <w:szCs w:val="14"/>
              </w:rPr>
            </w:pPr>
            <w:r>
              <w:rPr>
                <w:spacing w:val="8"/>
                <w:sz w:val="14"/>
                <w:szCs w:val="14"/>
              </w:rPr>
              <w:t>无组织粉尘</w:t>
            </w:r>
          </w:p>
        </w:tc>
        <w:tc>
          <w:tcPr>
            <w:tcW w:w="790" w:type="dxa"/>
            <w:vAlign w:val="top"/>
          </w:tcPr>
          <w:p w14:paraId="7052050C">
            <w:pPr>
              <w:spacing w:line="280" w:lineRule="auto"/>
              <w:rPr>
                <w:rFonts w:ascii="Arial"/>
                <w:sz w:val="21"/>
              </w:rPr>
            </w:pPr>
          </w:p>
          <w:p w14:paraId="008333FF">
            <w:pPr>
              <w:spacing w:before="46"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tcBorders>
            <w:vAlign w:val="top"/>
          </w:tcPr>
          <w:p w14:paraId="77AD7D06">
            <w:pPr>
              <w:rPr>
                <w:rFonts w:ascii="Arial"/>
                <w:sz w:val="21"/>
              </w:rPr>
            </w:pPr>
          </w:p>
        </w:tc>
        <w:tc>
          <w:tcPr>
            <w:tcW w:w="155" w:type="dxa"/>
            <w:vMerge w:val="continue"/>
            <w:tcBorders>
              <w:top w:val="nil"/>
              <w:bottom w:val="nil"/>
              <w:right w:val="single" w:color="000000" w:sz="6" w:space="0"/>
            </w:tcBorders>
            <w:vAlign w:val="top"/>
          </w:tcPr>
          <w:p w14:paraId="12A9841A">
            <w:pPr>
              <w:rPr>
                <w:rFonts w:ascii="Arial"/>
                <w:sz w:val="21"/>
              </w:rPr>
            </w:pPr>
          </w:p>
        </w:tc>
      </w:tr>
      <w:tr w14:paraId="11928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785" w:type="dxa"/>
            <w:vMerge w:val="continue"/>
            <w:tcBorders>
              <w:top w:val="nil"/>
              <w:left w:val="single" w:color="000000" w:sz="6" w:space="0"/>
              <w:bottom w:val="nil"/>
            </w:tcBorders>
            <w:vAlign w:val="top"/>
          </w:tcPr>
          <w:p w14:paraId="4F20EF6F">
            <w:pPr>
              <w:rPr>
                <w:rFonts w:ascii="Arial"/>
                <w:sz w:val="21"/>
              </w:rPr>
            </w:pPr>
          </w:p>
        </w:tc>
        <w:tc>
          <w:tcPr>
            <w:tcW w:w="146" w:type="dxa"/>
            <w:vMerge w:val="continue"/>
            <w:tcBorders>
              <w:top w:val="nil"/>
              <w:bottom w:val="nil"/>
            </w:tcBorders>
            <w:vAlign w:val="top"/>
          </w:tcPr>
          <w:p w14:paraId="37E4C3ED">
            <w:pPr>
              <w:rPr>
                <w:rFonts w:ascii="Arial"/>
                <w:sz w:val="21"/>
              </w:rPr>
            </w:pPr>
          </w:p>
        </w:tc>
        <w:tc>
          <w:tcPr>
            <w:tcW w:w="434" w:type="dxa"/>
            <w:vAlign w:val="top"/>
          </w:tcPr>
          <w:p w14:paraId="5D09EF3C">
            <w:pPr>
              <w:spacing w:before="211" w:line="189" w:lineRule="auto"/>
              <w:ind w:left="178"/>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182" w:type="dxa"/>
            <w:vAlign w:val="top"/>
          </w:tcPr>
          <w:p w14:paraId="5DD7DB96">
            <w:pPr>
              <w:pStyle w:val="6"/>
              <w:spacing w:before="73" w:line="264" w:lineRule="auto"/>
              <w:ind w:left="447" w:hanging="448"/>
              <w:rPr>
                <w:sz w:val="14"/>
                <w:szCs w:val="14"/>
              </w:rPr>
            </w:pPr>
            <w:r>
              <w:rPr>
                <w:spacing w:val="7"/>
                <w:sz w:val="14"/>
                <w:szCs w:val="14"/>
              </w:rPr>
              <w:t>干混砂浆车间粉料</w:t>
            </w:r>
            <w:r>
              <w:rPr>
                <w:sz w:val="14"/>
                <w:szCs w:val="14"/>
              </w:rPr>
              <w:t xml:space="preserve"> </w:t>
            </w:r>
            <w:r>
              <w:rPr>
                <w:spacing w:val="2"/>
                <w:sz w:val="14"/>
                <w:szCs w:val="14"/>
              </w:rPr>
              <w:t>筒仓</w:t>
            </w:r>
          </w:p>
        </w:tc>
        <w:tc>
          <w:tcPr>
            <w:tcW w:w="973" w:type="dxa"/>
            <w:vAlign w:val="top"/>
          </w:tcPr>
          <w:p w14:paraId="5B0CC108">
            <w:pPr>
              <w:pStyle w:val="6"/>
              <w:spacing w:before="184" w:line="220" w:lineRule="auto"/>
              <w:ind w:left="166"/>
              <w:rPr>
                <w:sz w:val="16"/>
                <w:szCs w:val="16"/>
              </w:rPr>
            </w:pPr>
            <w:r>
              <w:rPr>
                <w:spacing w:val="-2"/>
                <w:sz w:val="16"/>
                <w:szCs w:val="16"/>
              </w:rPr>
              <w:t>粉料贮存</w:t>
            </w:r>
          </w:p>
        </w:tc>
        <w:tc>
          <w:tcPr>
            <w:tcW w:w="807" w:type="dxa"/>
            <w:vAlign w:val="top"/>
          </w:tcPr>
          <w:p w14:paraId="2FB2B7FD">
            <w:pPr>
              <w:pStyle w:val="6"/>
              <w:spacing w:before="184" w:line="220" w:lineRule="auto"/>
              <w:ind w:left="247"/>
              <w:rPr>
                <w:sz w:val="16"/>
                <w:szCs w:val="16"/>
              </w:rPr>
            </w:pPr>
            <w:r>
              <w:rPr>
                <w:spacing w:val="-2"/>
                <w:sz w:val="16"/>
                <w:szCs w:val="16"/>
              </w:rPr>
              <w:t>粉尘</w:t>
            </w:r>
          </w:p>
        </w:tc>
        <w:tc>
          <w:tcPr>
            <w:tcW w:w="718" w:type="dxa"/>
            <w:vAlign w:val="top"/>
          </w:tcPr>
          <w:p w14:paraId="17CDDACA">
            <w:pPr>
              <w:pStyle w:val="6"/>
              <w:spacing w:before="183" w:line="221" w:lineRule="auto"/>
              <w:ind w:left="123"/>
              <w:rPr>
                <w:sz w:val="16"/>
                <w:szCs w:val="16"/>
              </w:rPr>
            </w:pPr>
            <w:r>
              <w:rPr>
                <w:spacing w:val="-2"/>
                <w:sz w:val="16"/>
                <w:szCs w:val="16"/>
              </w:rPr>
              <w:t>无组织</w:t>
            </w:r>
          </w:p>
        </w:tc>
        <w:tc>
          <w:tcPr>
            <w:tcW w:w="1812" w:type="dxa"/>
            <w:vAlign w:val="top"/>
          </w:tcPr>
          <w:p w14:paraId="15A124BE">
            <w:pPr>
              <w:pStyle w:val="6"/>
              <w:spacing w:before="194" w:line="231" w:lineRule="auto"/>
              <w:ind w:left="85"/>
              <w:rPr>
                <w:sz w:val="14"/>
                <w:szCs w:val="14"/>
              </w:rPr>
            </w:pPr>
            <w:r>
              <w:rPr>
                <w:spacing w:val="9"/>
                <w:sz w:val="14"/>
                <w:szCs w:val="14"/>
              </w:rPr>
              <w:t>每个筒仓均设仓顶除尘器</w:t>
            </w:r>
          </w:p>
        </w:tc>
        <w:tc>
          <w:tcPr>
            <w:tcW w:w="790" w:type="dxa"/>
            <w:vAlign w:val="top"/>
          </w:tcPr>
          <w:p w14:paraId="3226D5A8">
            <w:pPr>
              <w:spacing w:before="208"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restart"/>
            <w:tcBorders>
              <w:bottom w:val="nil"/>
            </w:tcBorders>
            <w:vAlign w:val="top"/>
          </w:tcPr>
          <w:p w14:paraId="6D7E433F">
            <w:pPr>
              <w:spacing w:line="280" w:lineRule="auto"/>
              <w:rPr>
                <w:rFonts w:ascii="Arial"/>
                <w:sz w:val="21"/>
              </w:rPr>
            </w:pPr>
          </w:p>
          <w:p w14:paraId="38474809">
            <w:pPr>
              <w:spacing w:line="281" w:lineRule="auto"/>
              <w:rPr>
                <w:rFonts w:ascii="Arial"/>
                <w:sz w:val="21"/>
              </w:rPr>
            </w:pPr>
          </w:p>
          <w:p w14:paraId="098B74B4">
            <w:pPr>
              <w:spacing w:line="281" w:lineRule="auto"/>
              <w:rPr>
                <w:rFonts w:ascii="Arial"/>
                <w:sz w:val="21"/>
              </w:rPr>
            </w:pPr>
          </w:p>
          <w:p w14:paraId="03B26CB7">
            <w:pPr>
              <w:spacing w:line="281" w:lineRule="auto"/>
              <w:rPr>
                <w:rFonts w:ascii="Arial"/>
                <w:sz w:val="21"/>
              </w:rPr>
            </w:pPr>
          </w:p>
          <w:p w14:paraId="45D8F7FE">
            <w:pPr>
              <w:spacing w:line="281" w:lineRule="auto"/>
              <w:rPr>
                <w:rFonts w:ascii="Arial"/>
                <w:sz w:val="21"/>
              </w:rPr>
            </w:pPr>
          </w:p>
          <w:p w14:paraId="703EDA5E">
            <w:pPr>
              <w:pStyle w:val="6"/>
              <w:spacing w:before="52" w:line="264" w:lineRule="auto"/>
              <w:ind w:left="3" w:firstLine="1"/>
              <w:rPr>
                <w:sz w:val="16"/>
                <w:szCs w:val="16"/>
              </w:rPr>
            </w:pPr>
            <w:r>
              <w:rPr>
                <w:spacing w:val="-3"/>
                <w:sz w:val="16"/>
                <w:szCs w:val="16"/>
              </w:rPr>
              <w:t>《四川省水泥工</w:t>
            </w:r>
            <w:r>
              <w:rPr>
                <w:sz w:val="16"/>
                <w:szCs w:val="16"/>
              </w:rPr>
              <w:t xml:space="preserve"> </w:t>
            </w:r>
            <w:r>
              <w:rPr>
                <w:spacing w:val="-3"/>
                <w:sz w:val="16"/>
                <w:szCs w:val="16"/>
              </w:rPr>
              <w:t>业大气污染物排</w:t>
            </w:r>
          </w:p>
          <w:p w14:paraId="0151D890">
            <w:pPr>
              <w:pStyle w:val="6"/>
              <w:spacing w:before="22" w:line="221" w:lineRule="auto"/>
              <w:ind w:left="243"/>
              <w:rPr>
                <w:sz w:val="16"/>
                <w:szCs w:val="16"/>
              </w:rPr>
            </w:pPr>
            <w:r>
              <w:rPr>
                <w:spacing w:val="-2"/>
                <w:sz w:val="16"/>
                <w:szCs w:val="16"/>
              </w:rPr>
              <w:t>放标准》</w:t>
            </w:r>
          </w:p>
          <w:p w14:paraId="6B534811">
            <w:pPr>
              <w:pStyle w:val="6"/>
              <w:spacing w:before="47" w:line="270" w:lineRule="auto"/>
              <w:ind w:left="395" w:hanging="387"/>
              <w:rPr>
                <w:sz w:val="16"/>
                <w:szCs w:val="16"/>
              </w:rPr>
            </w:pPr>
            <w:r>
              <w:rPr>
                <w:spacing w:val="-2"/>
                <w:sz w:val="16"/>
                <w:szCs w:val="16"/>
              </w:rPr>
              <w:t>（</w:t>
            </w:r>
            <w:r>
              <w:rPr>
                <w:rFonts w:ascii="Times New Roman" w:hAnsi="Times New Roman" w:eastAsia="Times New Roman" w:cs="Times New Roman"/>
                <w:spacing w:val="-2"/>
                <w:sz w:val="16"/>
                <w:szCs w:val="16"/>
              </w:rPr>
              <w:t>DB51/2864-20</w:t>
            </w:r>
            <w:r>
              <w:rPr>
                <w:rFonts w:ascii="Times New Roman" w:hAnsi="Times New Roman" w:eastAsia="Times New Roman" w:cs="Times New Roman"/>
                <w:spacing w:val="1"/>
                <w:sz w:val="16"/>
                <w:szCs w:val="16"/>
              </w:rPr>
              <w:t xml:space="preserve"> </w:t>
            </w:r>
            <w:r>
              <w:rPr>
                <w:rFonts w:ascii="Times New Roman" w:hAnsi="Times New Roman" w:eastAsia="Times New Roman" w:cs="Times New Roman"/>
                <w:spacing w:val="-2"/>
                <w:sz w:val="16"/>
                <w:szCs w:val="16"/>
              </w:rPr>
              <w:t>21</w:t>
            </w:r>
            <w:r>
              <w:rPr>
                <w:spacing w:val="-2"/>
                <w:sz w:val="16"/>
                <w:szCs w:val="16"/>
              </w:rPr>
              <w:t>）</w:t>
            </w:r>
          </w:p>
        </w:tc>
        <w:tc>
          <w:tcPr>
            <w:tcW w:w="155" w:type="dxa"/>
            <w:vMerge w:val="continue"/>
            <w:tcBorders>
              <w:top w:val="nil"/>
              <w:bottom w:val="nil"/>
              <w:right w:val="single" w:color="000000" w:sz="6" w:space="0"/>
            </w:tcBorders>
            <w:vAlign w:val="top"/>
          </w:tcPr>
          <w:p w14:paraId="650DE172">
            <w:pPr>
              <w:rPr>
                <w:rFonts w:ascii="Arial"/>
                <w:sz w:val="21"/>
              </w:rPr>
            </w:pPr>
          </w:p>
        </w:tc>
      </w:tr>
      <w:tr w14:paraId="79B1D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4EC22AF">
            <w:pPr>
              <w:rPr>
                <w:rFonts w:ascii="Arial"/>
                <w:sz w:val="21"/>
              </w:rPr>
            </w:pPr>
          </w:p>
        </w:tc>
        <w:tc>
          <w:tcPr>
            <w:tcW w:w="146" w:type="dxa"/>
            <w:vMerge w:val="continue"/>
            <w:tcBorders>
              <w:top w:val="nil"/>
              <w:bottom w:val="nil"/>
            </w:tcBorders>
            <w:vAlign w:val="top"/>
          </w:tcPr>
          <w:p w14:paraId="1A0D2652">
            <w:pPr>
              <w:rPr>
                <w:rFonts w:ascii="Arial"/>
                <w:sz w:val="21"/>
              </w:rPr>
            </w:pPr>
          </w:p>
        </w:tc>
        <w:tc>
          <w:tcPr>
            <w:tcW w:w="434" w:type="dxa"/>
            <w:vAlign w:val="top"/>
          </w:tcPr>
          <w:p w14:paraId="77175FDD">
            <w:pPr>
              <w:spacing w:before="212" w:line="189" w:lineRule="auto"/>
              <w:ind w:left="175"/>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182" w:type="dxa"/>
            <w:vAlign w:val="top"/>
          </w:tcPr>
          <w:p w14:paraId="78D141C9">
            <w:pPr>
              <w:pStyle w:val="6"/>
              <w:spacing w:before="184" w:line="220" w:lineRule="auto"/>
              <w:ind w:left="350"/>
              <w:rPr>
                <w:sz w:val="16"/>
                <w:szCs w:val="16"/>
              </w:rPr>
            </w:pPr>
            <w:r>
              <w:rPr>
                <w:spacing w:val="-2"/>
                <w:sz w:val="16"/>
                <w:szCs w:val="16"/>
              </w:rPr>
              <w:t>搅拌机</w:t>
            </w:r>
          </w:p>
        </w:tc>
        <w:tc>
          <w:tcPr>
            <w:tcW w:w="973" w:type="dxa"/>
            <w:vAlign w:val="top"/>
          </w:tcPr>
          <w:p w14:paraId="75427141">
            <w:pPr>
              <w:pStyle w:val="6"/>
              <w:spacing w:before="184" w:line="220" w:lineRule="auto"/>
              <w:ind w:left="168"/>
              <w:rPr>
                <w:sz w:val="16"/>
                <w:szCs w:val="16"/>
              </w:rPr>
            </w:pPr>
            <w:r>
              <w:rPr>
                <w:spacing w:val="-2"/>
                <w:sz w:val="16"/>
                <w:szCs w:val="16"/>
              </w:rPr>
              <w:t>混合搅拌</w:t>
            </w:r>
          </w:p>
        </w:tc>
        <w:tc>
          <w:tcPr>
            <w:tcW w:w="807" w:type="dxa"/>
            <w:vAlign w:val="top"/>
          </w:tcPr>
          <w:p w14:paraId="7EF61F7A">
            <w:pPr>
              <w:pStyle w:val="6"/>
              <w:spacing w:before="184" w:line="220" w:lineRule="auto"/>
              <w:ind w:left="247"/>
              <w:rPr>
                <w:sz w:val="16"/>
                <w:szCs w:val="16"/>
              </w:rPr>
            </w:pPr>
            <w:r>
              <w:rPr>
                <w:spacing w:val="-2"/>
                <w:sz w:val="16"/>
                <w:szCs w:val="16"/>
              </w:rPr>
              <w:t>粉尘</w:t>
            </w:r>
          </w:p>
        </w:tc>
        <w:tc>
          <w:tcPr>
            <w:tcW w:w="718" w:type="dxa"/>
            <w:vAlign w:val="top"/>
          </w:tcPr>
          <w:p w14:paraId="14032EF8">
            <w:pPr>
              <w:pStyle w:val="6"/>
              <w:spacing w:before="184" w:line="221" w:lineRule="auto"/>
              <w:ind w:left="122"/>
              <w:rPr>
                <w:sz w:val="16"/>
                <w:szCs w:val="16"/>
              </w:rPr>
            </w:pPr>
            <w:r>
              <w:rPr>
                <w:spacing w:val="-2"/>
                <w:sz w:val="16"/>
                <w:szCs w:val="16"/>
              </w:rPr>
              <w:t>有组织</w:t>
            </w:r>
          </w:p>
        </w:tc>
        <w:tc>
          <w:tcPr>
            <w:tcW w:w="1812" w:type="dxa"/>
            <w:vAlign w:val="top"/>
          </w:tcPr>
          <w:p w14:paraId="523BA515">
            <w:pPr>
              <w:pStyle w:val="6"/>
              <w:spacing w:before="64" w:line="236" w:lineRule="auto"/>
              <w:ind w:left="126" w:right="100" w:hanging="12"/>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15mDA002 </w:t>
            </w:r>
            <w:r>
              <w:rPr>
                <w:spacing w:val="-2"/>
                <w:sz w:val="16"/>
                <w:szCs w:val="16"/>
              </w:rPr>
              <w:t>排气筒排放</w:t>
            </w:r>
          </w:p>
        </w:tc>
        <w:tc>
          <w:tcPr>
            <w:tcW w:w="790" w:type="dxa"/>
            <w:vMerge w:val="restart"/>
            <w:tcBorders>
              <w:bottom w:val="nil"/>
            </w:tcBorders>
            <w:vAlign w:val="top"/>
          </w:tcPr>
          <w:p w14:paraId="7C8F3E9B">
            <w:pPr>
              <w:spacing w:line="309" w:lineRule="auto"/>
              <w:rPr>
                <w:rFonts w:ascii="Arial"/>
                <w:sz w:val="21"/>
              </w:rPr>
            </w:pPr>
          </w:p>
          <w:p w14:paraId="1DFA77A0">
            <w:pPr>
              <w:spacing w:line="309" w:lineRule="auto"/>
              <w:rPr>
                <w:rFonts w:ascii="Arial"/>
                <w:sz w:val="21"/>
              </w:rPr>
            </w:pPr>
          </w:p>
          <w:p w14:paraId="65C8173B">
            <w:pPr>
              <w:pStyle w:val="6"/>
              <w:spacing w:before="52" w:line="222" w:lineRule="auto"/>
              <w:jc w:val="right"/>
              <w:rPr>
                <w:sz w:val="16"/>
                <w:szCs w:val="16"/>
              </w:rPr>
            </w:pPr>
            <w:r>
              <w:rPr>
                <w:spacing w:val="-4"/>
                <w:sz w:val="16"/>
                <w:szCs w:val="16"/>
              </w:rPr>
              <w:t>一般排放口</w:t>
            </w:r>
          </w:p>
        </w:tc>
        <w:tc>
          <w:tcPr>
            <w:tcW w:w="1110" w:type="dxa"/>
            <w:vMerge w:val="continue"/>
            <w:tcBorders>
              <w:top w:val="nil"/>
              <w:bottom w:val="nil"/>
            </w:tcBorders>
            <w:vAlign w:val="top"/>
          </w:tcPr>
          <w:p w14:paraId="31523560">
            <w:pPr>
              <w:rPr>
                <w:rFonts w:ascii="Arial"/>
                <w:sz w:val="21"/>
              </w:rPr>
            </w:pPr>
          </w:p>
        </w:tc>
        <w:tc>
          <w:tcPr>
            <w:tcW w:w="155" w:type="dxa"/>
            <w:vMerge w:val="continue"/>
            <w:tcBorders>
              <w:top w:val="nil"/>
              <w:bottom w:val="nil"/>
              <w:right w:val="single" w:color="000000" w:sz="6" w:space="0"/>
            </w:tcBorders>
            <w:vAlign w:val="top"/>
          </w:tcPr>
          <w:p w14:paraId="18F0D490">
            <w:pPr>
              <w:rPr>
                <w:rFonts w:ascii="Arial"/>
                <w:sz w:val="21"/>
              </w:rPr>
            </w:pPr>
          </w:p>
        </w:tc>
      </w:tr>
      <w:tr w14:paraId="6DB88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7A84EB99">
            <w:pPr>
              <w:rPr>
                <w:rFonts w:ascii="Arial"/>
                <w:sz w:val="21"/>
              </w:rPr>
            </w:pPr>
          </w:p>
        </w:tc>
        <w:tc>
          <w:tcPr>
            <w:tcW w:w="146" w:type="dxa"/>
            <w:vMerge w:val="continue"/>
            <w:tcBorders>
              <w:top w:val="nil"/>
              <w:bottom w:val="nil"/>
            </w:tcBorders>
            <w:vAlign w:val="top"/>
          </w:tcPr>
          <w:p w14:paraId="3788509A">
            <w:pPr>
              <w:rPr>
                <w:rFonts w:ascii="Arial"/>
                <w:sz w:val="21"/>
              </w:rPr>
            </w:pPr>
          </w:p>
        </w:tc>
        <w:tc>
          <w:tcPr>
            <w:tcW w:w="434" w:type="dxa"/>
            <w:vAlign w:val="top"/>
          </w:tcPr>
          <w:p w14:paraId="62EBD44F">
            <w:pPr>
              <w:spacing w:before="212"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10</w:t>
            </w:r>
          </w:p>
        </w:tc>
        <w:tc>
          <w:tcPr>
            <w:tcW w:w="1182" w:type="dxa"/>
            <w:vAlign w:val="top"/>
          </w:tcPr>
          <w:p w14:paraId="425683DB">
            <w:pPr>
              <w:pStyle w:val="6"/>
              <w:spacing w:before="64" w:line="236" w:lineRule="auto"/>
              <w:ind w:left="514" w:right="30" w:hanging="482"/>
              <w:rPr>
                <w:sz w:val="16"/>
                <w:szCs w:val="16"/>
              </w:rPr>
            </w:pPr>
            <w:r>
              <w:rPr>
                <w:spacing w:val="-1"/>
                <w:sz w:val="16"/>
                <w:szCs w:val="16"/>
              </w:rPr>
              <w:t>成品仓及包装系</w:t>
            </w:r>
            <w:r>
              <w:rPr>
                <w:sz w:val="16"/>
                <w:szCs w:val="16"/>
              </w:rPr>
              <w:t xml:space="preserve"> 统</w:t>
            </w:r>
          </w:p>
        </w:tc>
        <w:tc>
          <w:tcPr>
            <w:tcW w:w="973" w:type="dxa"/>
            <w:vAlign w:val="top"/>
          </w:tcPr>
          <w:p w14:paraId="0D22E90B">
            <w:pPr>
              <w:pStyle w:val="6"/>
              <w:spacing w:before="64" w:line="236" w:lineRule="auto"/>
              <w:ind w:left="8" w:right="5" w:firstLine="1"/>
              <w:rPr>
                <w:sz w:val="16"/>
                <w:szCs w:val="16"/>
              </w:rPr>
            </w:pPr>
            <w:r>
              <w:rPr>
                <w:spacing w:val="-2"/>
                <w:sz w:val="16"/>
                <w:szCs w:val="16"/>
              </w:rPr>
              <w:t>气动放料成品</w:t>
            </w:r>
            <w:r>
              <w:rPr>
                <w:spacing w:val="4"/>
                <w:sz w:val="16"/>
                <w:szCs w:val="16"/>
              </w:rPr>
              <w:t xml:space="preserve"> </w:t>
            </w:r>
            <w:r>
              <w:rPr>
                <w:spacing w:val="-1"/>
                <w:sz w:val="16"/>
                <w:szCs w:val="16"/>
              </w:rPr>
              <w:t>仓，袋装包装</w:t>
            </w:r>
          </w:p>
        </w:tc>
        <w:tc>
          <w:tcPr>
            <w:tcW w:w="807" w:type="dxa"/>
            <w:vAlign w:val="top"/>
          </w:tcPr>
          <w:p w14:paraId="3C6D8814">
            <w:pPr>
              <w:pStyle w:val="6"/>
              <w:spacing w:before="185" w:line="220" w:lineRule="auto"/>
              <w:ind w:left="247"/>
              <w:rPr>
                <w:sz w:val="16"/>
                <w:szCs w:val="16"/>
              </w:rPr>
            </w:pPr>
            <w:r>
              <w:rPr>
                <w:spacing w:val="-2"/>
                <w:sz w:val="16"/>
                <w:szCs w:val="16"/>
              </w:rPr>
              <w:t>粉尘</w:t>
            </w:r>
          </w:p>
        </w:tc>
        <w:tc>
          <w:tcPr>
            <w:tcW w:w="718" w:type="dxa"/>
            <w:vAlign w:val="top"/>
          </w:tcPr>
          <w:p w14:paraId="19961F75">
            <w:pPr>
              <w:pStyle w:val="6"/>
              <w:spacing w:before="185" w:line="221" w:lineRule="auto"/>
              <w:ind w:left="122"/>
              <w:rPr>
                <w:sz w:val="16"/>
                <w:szCs w:val="16"/>
              </w:rPr>
            </w:pPr>
            <w:r>
              <w:rPr>
                <w:spacing w:val="-2"/>
                <w:sz w:val="16"/>
                <w:szCs w:val="16"/>
              </w:rPr>
              <w:t>有组织</w:t>
            </w:r>
          </w:p>
        </w:tc>
        <w:tc>
          <w:tcPr>
            <w:tcW w:w="1812" w:type="dxa"/>
            <w:vAlign w:val="top"/>
          </w:tcPr>
          <w:p w14:paraId="599E7EC2">
            <w:pPr>
              <w:pStyle w:val="6"/>
              <w:spacing w:before="64" w:line="236" w:lineRule="auto"/>
              <w:ind w:left="126" w:right="100" w:hanging="12"/>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15mDA002 </w:t>
            </w:r>
            <w:r>
              <w:rPr>
                <w:spacing w:val="-2"/>
                <w:sz w:val="16"/>
                <w:szCs w:val="16"/>
              </w:rPr>
              <w:t>排气筒排放</w:t>
            </w:r>
          </w:p>
        </w:tc>
        <w:tc>
          <w:tcPr>
            <w:tcW w:w="790" w:type="dxa"/>
            <w:vMerge w:val="continue"/>
            <w:tcBorders>
              <w:top w:val="nil"/>
              <w:bottom w:val="nil"/>
            </w:tcBorders>
            <w:vAlign w:val="top"/>
          </w:tcPr>
          <w:p w14:paraId="0ED25722">
            <w:pPr>
              <w:rPr>
                <w:rFonts w:ascii="Arial"/>
                <w:sz w:val="21"/>
              </w:rPr>
            </w:pPr>
          </w:p>
        </w:tc>
        <w:tc>
          <w:tcPr>
            <w:tcW w:w="1110" w:type="dxa"/>
            <w:vMerge w:val="continue"/>
            <w:tcBorders>
              <w:top w:val="nil"/>
              <w:bottom w:val="nil"/>
            </w:tcBorders>
            <w:vAlign w:val="top"/>
          </w:tcPr>
          <w:p w14:paraId="7E287188">
            <w:pPr>
              <w:rPr>
                <w:rFonts w:ascii="Arial"/>
                <w:sz w:val="21"/>
              </w:rPr>
            </w:pPr>
          </w:p>
        </w:tc>
        <w:tc>
          <w:tcPr>
            <w:tcW w:w="155" w:type="dxa"/>
            <w:vMerge w:val="continue"/>
            <w:tcBorders>
              <w:top w:val="nil"/>
              <w:bottom w:val="nil"/>
              <w:right w:val="single" w:color="000000" w:sz="6" w:space="0"/>
            </w:tcBorders>
            <w:vAlign w:val="top"/>
          </w:tcPr>
          <w:p w14:paraId="6D59B9F7">
            <w:pPr>
              <w:rPr>
                <w:rFonts w:ascii="Arial"/>
                <w:sz w:val="21"/>
              </w:rPr>
            </w:pPr>
          </w:p>
        </w:tc>
      </w:tr>
      <w:tr w14:paraId="5DAB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55BBD9F2">
            <w:pPr>
              <w:rPr>
                <w:rFonts w:ascii="Arial"/>
                <w:sz w:val="21"/>
              </w:rPr>
            </w:pPr>
          </w:p>
        </w:tc>
        <w:tc>
          <w:tcPr>
            <w:tcW w:w="146" w:type="dxa"/>
            <w:vMerge w:val="continue"/>
            <w:tcBorders>
              <w:top w:val="nil"/>
              <w:bottom w:val="nil"/>
            </w:tcBorders>
            <w:vAlign w:val="top"/>
          </w:tcPr>
          <w:p w14:paraId="74962FE7">
            <w:pPr>
              <w:rPr>
                <w:rFonts w:ascii="Arial"/>
                <w:sz w:val="21"/>
              </w:rPr>
            </w:pPr>
          </w:p>
        </w:tc>
        <w:tc>
          <w:tcPr>
            <w:tcW w:w="434" w:type="dxa"/>
            <w:vAlign w:val="top"/>
          </w:tcPr>
          <w:p w14:paraId="0E6D1FB6">
            <w:pPr>
              <w:spacing w:before="213" w:line="189" w:lineRule="auto"/>
              <w:ind w:left="149"/>
              <w:rPr>
                <w:rFonts w:ascii="Times New Roman" w:hAnsi="Times New Roman" w:eastAsia="Times New Roman" w:cs="Times New Roman"/>
                <w:sz w:val="16"/>
                <w:szCs w:val="16"/>
              </w:rPr>
            </w:pPr>
            <w:r>
              <w:rPr>
                <w:rFonts w:ascii="Times New Roman" w:hAnsi="Times New Roman" w:eastAsia="Times New Roman" w:cs="Times New Roman"/>
                <w:spacing w:val="-10"/>
                <w:sz w:val="16"/>
                <w:szCs w:val="16"/>
              </w:rPr>
              <w:t>11</w:t>
            </w:r>
          </w:p>
        </w:tc>
        <w:tc>
          <w:tcPr>
            <w:tcW w:w="1182" w:type="dxa"/>
            <w:vMerge w:val="restart"/>
            <w:tcBorders>
              <w:bottom w:val="nil"/>
            </w:tcBorders>
            <w:vAlign w:val="top"/>
          </w:tcPr>
          <w:p w14:paraId="43C256FD">
            <w:pPr>
              <w:spacing w:line="378" w:lineRule="auto"/>
              <w:rPr>
                <w:rFonts w:ascii="Arial"/>
                <w:sz w:val="21"/>
              </w:rPr>
            </w:pPr>
          </w:p>
          <w:p w14:paraId="01E88C03">
            <w:pPr>
              <w:pStyle w:val="6"/>
              <w:spacing w:before="52" w:line="220" w:lineRule="auto"/>
              <w:ind w:left="31"/>
              <w:rPr>
                <w:sz w:val="16"/>
                <w:szCs w:val="16"/>
              </w:rPr>
            </w:pPr>
            <w:r>
              <w:rPr>
                <w:spacing w:val="-1"/>
                <w:sz w:val="16"/>
                <w:szCs w:val="16"/>
              </w:rPr>
              <w:t>球磨机、筛分机</w:t>
            </w:r>
          </w:p>
        </w:tc>
        <w:tc>
          <w:tcPr>
            <w:tcW w:w="973" w:type="dxa"/>
            <w:vMerge w:val="restart"/>
            <w:tcBorders>
              <w:bottom w:val="nil"/>
            </w:tcBorders>
            <w:vAlign w:val="top"/>
          </w:tcPr>
          <w:p w14:paraId="626942CC">
            <w:pPr>
              <w:spacing w:line="259" w:lineRule="auto"/>
              <w:rPr>
                <w:rFonts w:ascii="Arial"/>
                <w:sz w:val="21"/>
              </w:rPr>
            </w:pPr>
          </w:p>
          <w:p w14:paraId="481C2EAB">
            <w:pPr>
              <w:pStyle w:val="6"/>
              <w:spacing w:before="52" w:line="263" w:lineRule="auto"/>
              <w:ind w:left="249" w:right="190" w:hanging="82"/>
              <w:rPr>
                <w:sz w:val="16"/>
                <w:szCs w:val="16"/>
              </w:rPr>
            </w:pPr>
            <w:r>
              <w:rPr>
                <w:spacing w:val="-8"/>
                <w:sz w:val="16"/>
                <w:szCs w:val="16"/>
              </w:rPr>
              <w:t>球磨机、</w:t>
            </w:r>
            <w:r>
              <w:rPr>
                <w:spacing w:val="1"/>
                <w:sz w:val="16"/>
                <w:szCs w:val="16"/>
              </w:rPr>
              <w:t xml:space="preserve"> </w:t>
            </w:r>
            <w:r>
              <w:rPr>
                <w:spacing w:val="-2"/>
                <w:sz w:val="16"/>
                <w:szCs w:val="16"/>
              </w:rPr>
              <w:t>筛分机</w:t>
            </w:r>
          </w:p>
        </w:tc>
        <w:tc>
          <w:tcPr>
            <w:tcW w:w="807" w:type="dxa"/>
            <w:vAlign w:val="top"/>
          </w:tcPr>
          <w:p w14:paraId="15C1DFF8">
            <w:pPr>
              <w:pStyle w:val="6"/>
              <w:spacing w:before="185" w:line="220" w:lineRule="auto"/>
              <w:ind w:left="247"/>
              <w:rPr>
                <w:sz w:val="16"/>
                <w:szCs w:val="16"/>
              </w:rPr>
            </w:pPr>
            <w:r>
              <w:rPr>
                <w:spacing w:val="-2"/>
                <w:sz w:val="16"/>
                <w:szCs w:val="16"/>
              </w:rPr>
              <w:t>粉尘</w:t>
            </w:r>
          </w:p>
        </w:tc>
        <w:tc>
          <w:tcPr>
            <w:tcW w:w="718" w:type="dxa"/>
            <w:vAlign w:val="top"/>
          </w:tcPr>
          <w:p w14:paraId="23803897">
            <w:pPr>
              <w:pStyle w:val="6"/>
              <w:spacing w:before="185" w:line="221" w:lineRule="auto"/>
              <w:ind w:left="122"/>
              <w:rPr>
                <w:sz w:val="16"/>
                <w:szCs w:val="16"/>
              </w:rPr>
            </w:pPr>
            <w:r>
              <w:rPr>
                <w:spacing w:val="-2"/>
                <w:sz w:val="16"/>
                <w:szCs w:val="16"/>
              </w:rPr>
              <w:t>有组织</w:t>
            </w:r>
          </w:p>
        </w:tc>
        <w:tc>
          <w:tcPr>
            <w:tcW w:w="1812" w:type="dxa"/>
            <w:vAlign w:val="top"/>
          </w:tcPr>
          <w:p w14:paraId="279CA90C">
            <w:pPr>
              <w:pStyle w:val="6"/>
              <w:spacing w:before="64" w:line="236" w:lineRule="auto"/>
              <w:ind w:left="126" w:right="100" w:hanging="12"/>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15mDA002 </w:t>
            </w:r>
            <w:r>
              <w:rPr>
                <w:spacing w:val="-2"/>
                <w:sz w:val="16"/>
                <w:szCs w:val="16"/>
              </w:rPr>
              <w:t>排气筒排放</w:t>
            </w:r>
          </w:p>
        </w:tc>
        <w:tc>
          <w:tcPr>
            <w:tcW w:w="790" w:type="dxa"/>
            <w:vMerge w:val="continue"/>
            <w:tcBorders>
              <w:top w:val="nil"/>
            </w:tcBorders>
            <w:vAlign w:val="top"/>
          </w:tcPr>
          <w:p w14:paraId="346C811D">
            <w:pPr>
              <w:rPr>
                <w:rFonts w:ascii="Arial"/>
                <w:sz w:val="21"/>
              </w:rPr>
            </w:pPr>
          </w:p>
        </w:tc>
        <w:tc>
          <w:tcPr>
            <w:tcW w:w="1110" w:type="dxa"/>
            <w:vMerge w:val="continue"/>
            <w:tcBorders>
              <w:top w:val="nil"/>
              <w:bottom w:val="nil"/>
            </w:tcBorders>
            <w:vAlign w:val="top"/>
          </w:tcPr>
          <w:p w14:paraId="26BA6E17">
            <w:pPr>
              <w:rPr>
                <w:rFonts w:ascii="Arial"/>
                <w:sz w:val="21"/>
              </w:rPr>
            </w:pPr>
          </w:p>
        </w:tc>
        <w:tc>
          <w:tcPr>
            <w:tcW w:w="155" w:type="dxa"/>
            <w:vMerge w:val="continue"/>
            <w:tcBorders>
              <w:top w:val="nil"/>
              <w:bottom w:val="nil"/>
              <w:right w:val="single" w:color="000000" w:sz="6" w:space="0"/>
            </w:tcBorders>
            <w:vAlign w:val="top"/>
          </w:tcPr>
          <w:p w14:paraId="4944D98C">
            <w:pPr>
              <w:rPr>
                <w:rFonts w:ascii="Arial"/>
                <w:sz w:val="21"/>
              </w:rPr>
            </w:pPr>
          </w:p>
        </w:tc>
      </w:tr>
      <w:tr w14:paraId="48233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5" w:type="dxa"/>
            <w:vMerge w:val="continue"/>
            <w:tcBorders>
              <w:top w:val="nil"/>
              <w:left w:val="single" w:color="000000" w:sz="6" w:space="0"/>
              <w:bottom w:val="nil"/>
            </w:tcBorders>
            <w:vAlign w:val="top"/>
          </w:tcPr>
          <w:p w14:paraId="6FEA5B03">
            <w:pPr>
              <w:rPr>
                <w:rFonts w:ascii="Arial"/>
                <w:sz w:val="21"/>
              </w:rPr>
            </w:pPr>
          </w:p>
        </w:tc>
        <w:tc>
          <w:tcPr>
            <w:tcW w:w="146" w:type="dxa"/>
            <w:vMerge w:val="continue"/>
            <w:tcBorders>
              <w:top w:val="nil"/>
              <w:bottom w:val="nil"/>
            </w:tcBorders>
            <w:vAlign w:val="top"/>
          </w:tcPr>
          <w:p w14:paraId="39C72006">
            <w:pPr>
              <w:rPr>
                <w:rFonts w:ascii="Arial"/>
                <w:sz w:val="21"/>
              </w:rPr>
            </w:pPr>
          </w:p>
        </w:tc>
        <w:tc>
          <w:tcPr>
            <w:tcW w:w="434" w:type="dxa"/>
            <w:vAlign w:val="top"/>
          </w:tcPr>
          <w:p w14:paraId="4AC61D0B">
            <w:pPr>
              <w:spacing w:before="216"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12</w:t>
            </w:r>
          </w:p>
        </w:tc>
        <w:tc>
          <w:tcPr>
            <w:tcW w:w="1182" w:type="dxa"/>
            <w:vMerge w:val="continue"/>
            <w:tcBorders>
              <w:top w:val="nil"/>
            </w:tcBorders>
            <w:vAlign w:val="top"/>
          </w:tcPr>
          <w:p w14:paraId="4C0BC3CC">
            <w:pPr>
              <w:rPr>
                <w:rFonts w:ascii="Arial"/>
                <w:sz w:val="21"/>
              </w:rPr>
            </w:pPr>
          </w:p>
        </w:tc>
        <w:tc>
          <w:tcPr>
            <w:tcW w:w="973" w:type="dxa"/>
            <w:vMerge w:val="continue"/>
            <w:tcBorders>
              <w:top w:val="nil"/>
            </w:tcBorders>
            <w:vAlign w:val="top"/>
          </w:tcPr>
          <w:p w14:paraId="669185CE">
            <w:pPr>
              <w:rPr>
                <w:rFonts w:ascii="Arial"/>
                <w:sz w:val="21"/>
              </w:rPr>
            </w:pPr>
          </w:p>
        </w:tc>
        <w:tc>
          <w:tcPr>
            <w:tcW w:w="807" w:type="dxa"/>
            <w:vAlign w:val="top"/>
          </w:tcPr>
          <w:p w14:paraId="5F6BA24D">
            <w:pPr>
              <w:pStyle w:val="6"/>
              <w:spacing w:before="188" w:line="220" w:lineRule="auto"/>
              <w:ind w:left="247"/>
              <w:rPr>
                <w:sz w:val="16"/>
                <w:szCs w:val="16"/>
              </w:rPr>
            </w:pPr>
            <w:r>
              <w:rPr>
                <w:spacing w:val="-2"/>
                <w:sz w:val="16"/>
                <w:szCs w:val="16"/>
              </w:rPr>
              <w:t>粉尘</w:t>
            </w:r>
          </w:p>
        </w:tc>
        <w:tc>
          <w:tcPr>
            <w:tcW w:w="718" w:type="dxa"/>
            <w:vAlign w:val="top"/>
          </w:tcPr>
          <w:p w14:paraId="25D94420">
            <w:pPr>
              <w:pStyle w:val="6"/>
              <w:spacing w:before="188" w:line="221" w:lineRule="auto"/>
              <w:ind w:left="123"/>
              <w:rPr>
                <w:sz w:val="16"/>
                <w:szCs w:val="16"/>
              </w:rPr>
            </w:pPr>
            <w:r>
              <w:rPr>
                <w:spacing w:val="-2"/>
                <w:sz w:val="16"/>
                <w:szCs w:val="16"/>
              </w:rPr>
              <w:t>无组织</w:t>
            </w:r>
          </w:p>
        </w:tc>
        <w:tc>
          <w:tcPr>
            <w:tcW w:w="1812" w:type="dxa"/>
            <w:vAlign w:val="top"/>
          </w:tcPr>
          <w:p w14:paraId="6D432138">
            <w:pPr>
              <w:pStyle w:val="6"/>
              <w:spacing w:before="79" w:line="261" w:lineRule="auto"/>
              <w:ind w:left="538" w:right="4" w:hanging="527"/>
              <w:rPr>
                <w:sz w:val="14"/>
                <w:szCs w:val="14"/>
              </w:rPr>
            </w:pPr>
            <w:r>
              <w:rPr>
                <w:spacing w:val="9"/>
                <w:sz w:val="14"/>
                <w:szCs w:val="14"/>
              </w:rPr>
              <w:t>利用封闭式车间，进出大门</w:t>
            </w:r>
            <w:r>
              <w:rPr>
                <w:spacing w:val="2"/>
                <w:sz w:val="14"/>
                <w:szCs w:val="14"/>
              </w:rPr>
              <w:t xml:space="preserve"> </w:t>
            </w:r>
            <w:r>
              <w:rPr>
                <w:spacing w:val="8"/>
                <w:sz w:val="14"/>
                <w:szCs w:val="14"/>
              </w:rPr>
              <w:t>设雾帘降尘</w:t>
            </w:r>
          </w:p>
        </w:tc>
        <w:tc>
          <w:tcPr>
            <w:tcW w:w="790" w:type="dxa"/>
            <w:vAlign w:val="top"/>
          </w:tcPr>
          <w:p w14:paraId="1E736197">
            <w:pPr>
              <w:spacing w:before="213"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bottom w:val="nil"/>
            </w:tcBorders>
            <w:vAlign w:val="top"/>
          </w:tcPr>
          <w:p w14:paraId="4A1BE304">
            <w:pPr>
              <w:rPr>
                <w:rFonts w:ascii="Arial"/>
                <w:sz w:val="21"/>
              </w:rPr>
            </w:pPr>
          </w:p>
        </w:tc>
        <w:tc>
          <w:tcPr>
            <w:tcW w:w="155" w:type="dxa"/>
            <w:vMerge w:val="continue"/>
            <w:tcBorders>
              <w:top w:val="nil"/>
              <w:bottom w:val="nil"/>
              <w:right w:val="single" w:color="000000" w:sz="6" w:space="0"/>
            </w:tcBorders>
            <w:vAlign w:val="top"/>
          </w:tcPr>
          <w:p w14:paraId="27B531B2">
            <w:pPr>
              <w:rPr>
                <w:rFonts w:ascii="Arial"/>
                <w:sz w:val="21"/>
              </w:rPr>
            </w:pPr>
          </w:p>
        </w:tc>
      </w:tr>
      <w:tr w14:paraId="11756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5" w:type="dxa"/>
            <w:vMerge w:val="continue"/>
            <w:tcBorders>
              <w:top w:val="nil"/>
              <w:left w:val="single" w:color="000000" w:sz="6" w:space="0"/>
              <w:bottom w:val="nil"/>
            </w:tcBorders>
            <w:vAlign w:val="top"/>
          </w:tcPr>
          <w:p w14:paraId="160362AB">
            <w:pPr>
              <w:rPr>
                <w:rFonts w:ascii="Arial"/>
                <w:sz w:val="21"/>
              </w:rPr>
            </w:pPr>
          </w:p>
        </w:tc>
        <w:tc>
          <w:tcPr>
            <w:tcW w:w="146" w:type="dxa"/>
            <w:vMerge w:val="continue"/>
            <w:tcBorders>
              <w:top w:val="nil"/>
              <w:bottom w:val="nil"/>
            </w:tcBorders>
            <w:vAlign w:val="top"/>
          </w:tcPr>
          <w:p w14:paraId="5C43528B">
            <w:pPr>
              <w:rPr>
                <w:rFonts w:ascii="Arial"/>
                <w:sz w:val="21"/>
              </w:rPr>
            </w:pPr>
          </w:p>
        </w:tc>
        <w:tc>
          <w:tcPr>
            <w:tcW w:w="434" w:type="dxa"/>
            <w:vAlign w:val="top"/>
          </w:tcPr>
          <w:p w14:paraId="5223DCA5">
            <w:pPr>
              <w:spacing w:line="288" w:lineRule="auto"/>
              <w:rPr>
                <w:rFonts w:ascii="Arial"/>
                <w:sz w:val="21"/>
              </w:rPr>
            </w:pPr>
          </w:p>
          <w:p w14:paraId="66E771E6">
            <w:pPr>
              <w:spacing w:before="46"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13</w:t>
            </w:r>
          </w:p>
        </w:tc>
        <w:tc>
          <w:tcPr>
            <w:tcW w:w="1182" w:type="dxa"/>
            <w:vAlign w:val="top"/>
          </w:tcPr>
          <w:p w14:paraId="4E41055B">
            <w:pPr>
              <w:spacing w:line="254" w:lineRule="auto"/>
              <w:rPr>
                <w:rFonts w:ascii="Arial"/>
                <w:sz w:val="21"/>
              </w:rPr>
            </w:pPr>
          </w:p>
          <w:p w14:paraId="0D059392">
            <w:pPr>
              <w:pStyle w:val="6"/>
              <w:spacing w:before="52" w:line="220" w:lineRule="auto"/>
              <w:ind w:left="350"/>
              <w:rPr>
                <w:sz w:val="16"/>
                <w:szCs w:val="16"/>
              </w:rPr>
            </w:pPr>
            <w:r>
              <w:rPr>
                <w:spacing w:val="-2"/>
                <w:sz w:val="16"/>
                <w:szCs w:val="16"/>
              </w:rPr>
              <w:t>烘干机</w:t>
            </w:r>
          </w:p>
        </w:tc>
        <w:tc>
          <w:tcPr>
            <w:tcW w:w="973" w:type="dxa"/>
            <w:vAlign w:val="top"/>
          </w:tcPr>
          <w:p w14:paraId="36264D7E">
            <w:pPr>
              <w:spacing w:line="254" w:lineRule="auto"/>
              <w:rPr>
                <w:rFonts w:ascii="Arial"/>
                <w:sz w:val="21"/>
              </w:rPr>
            </w:pPr>
          </w:p>
          <w:p w14:paraId="5FE01FB6">
            <w:pPr>
              <w:pStyle w:val="6"/>
              <w:spacing w:before="52" w:line="220" w:lineRule="auto"/>
              <w:ind w:left="166"/>
              <w:rPr>
                <w:sz w:val="16"/>
                <w:szCs w:val="16"/>
              </w:rPr>
            </w:pPr>
            <w:r>
              <w:rPr>
                <w:spacing w:val="-2"/>
                <w:sz w:val="16"/>
                <w:szCs w:val="16"/>
              </w:rPr>
              <w:t>黄沙烘干</w:t>
            </w:r>
          </w:p>
        </w:tc>
        <w:tc>
          <w:tcPr>
            <w:tcW w:w="807" w:type="dxa"/>
            <w:vAlign w:val="top"/>
          </w:tcPr>
          <w:p w14:paraId="5CCAAF1C">
            <w:pPr>
              <w:spacing w:line="254" w:lineRule="auto"/>
              <w:rPr>
                <w:rFonts w:ascii="Arial"/>
                <w:sz w:val="21"/>
              </w:rPr>
            </w:pPr>
          </w:p>
          <w:p w14:paraId="2B27A5ED">
            <w:pPr>
              <w:pStyle w:val="6"/>
              <w:spacing w:before="52" w:line="220" w:lineRule="auto"/>
              <w:ind w:left="247"/>
              <w:rPr>
                <w:sz w:val="16"/>
                <w:szCs w:val="16"/>
              </w:rPr>
            </w:pPr>
            <w:r>
              <w:rPr>
                <w:spacing w:val="-2"/>
                <w:sz w:val="16"/>
                <w:szCs w:val="16"/>
              </w:rPr>
              <w:t>粉尘</w:t>
            </w:r>
          </w:p>
        </w:tc>
        <w:tc>
          <w:tcPr>
            <w:tcW w:w="718" w:type="dxa"/>
            <w:vAlign w:val="top"/>
          </w:tcPr>
          <w:p w14:paraId="02F1757A">
            <w:pPr>
              <w:spacing w:line="254" w:lineRule="auto"/>
              <w:rPr>
                <w:rFonts w:ascii="Arial"/>
                <w:sz w:val="21"/>
              </w:rPr>
            </w:pPr>
          </w:p>
          <w:p w14:paraId="087B88FA">
            <w:pPr>
              <w:pStyle w:val="6"/>
              <w:spacing w:before="52" w:line="221" w:lineRule="auto"/>
              <w:ind w:left="123"/>
              <w:rPr>
                <w:sz w:val="16"/>
                <w:szCs w:val="16"/>
              </w:rPr>
            </w:pPr>
            <w:r>
              <w:rPr>
                <w:spacing w:val="-2"/>
                <w:sz w:val="16"/>
                <w:szCs w:val="16"/>
              </w:rPr>
              <w:t>无组织</w:t>
            </w:r>
          </w:p>
        </w:tc>
        <w:tc>
          <w:tcPr>
            <w:tcW w:w="1812" w:type="dxa"/>
            <w:vAlign w:val="top"/>
          </w:tcPr>
          <w:p w14:paraId="3A1A1F2F">
            <w:pPr>
              <w:pStyle w:val="6"/>
              <w:spacing w:before="68" w:line="220" w:lineRule="auto"/>
              <w:jc w:val="right"/>
              <w:rPr>
                <w:sz w:val="14"/>
                <w:szCs w:val="14"/>
              </w:rPr>
            </w:pPr>
            <w:r>
              <w:rPr>
                <w:spacing w:val="-5"/>
                <w:sz w:val="16"/>
                <w:szCs w:val="16"/>
              </w:rPr>
              <w:t>设除尘器收集处理，</w:t>
            </w:r>
            <w:r>
              <w:rPr>
                <w:spacing w:val="-5"/>
                <w:sz w:val="14"/>
                <w:szCs w:val="14"/>
              </w:rPr>
              <w:t>利用封</w:t>
            </w:r>
          </w:p>
          <w:p w14:paraId="731560F2">
            <w:pPr>
              <w:pStyle w:val="6"/>
              <w:spacing w:before="59" w:line="231" w:lineRule="auto"/>
              <w:ind w:right="4"/>
              <w:jc w:val="right"/>
              <w:rPr>
                <w:sz w:val="14"/>
                <w:szCs w:val="14"/>
              </w:rPr>
            </w:pPr>
            <w:r>
              <w:rPr>
                <w:spacing w:val="8"/>
                <w:sz w:val="14"/>
                <w:szCs w:val="14"/>
              </w:rPr>
              <w:t>闭式车间，进出大门设雾帘</w:t>
            </w:r>
          </w:p>
          <w:p w14:paraId="1AA87D58">
            <w:pPr>
              <w:pStyle w:val="6"/>
              <w:spacing w:before="64" w:line="205" w:lineRule="auto"/>
              <w:ind w:left="773"/>
              <w:rPr>
                <w:sz w:val="14"/>
                <w:szCs w:val="14"/>
              </w:rPr>
            </w:pPr>
            <w:r>
              <w:rPr>
                <w:sz w:val="14"/>
                <w:szCs w:val="14"/>
              </w:rPr>
              <w:t>降尘</w:t>
            </w:r>
          </w:p>
        </w:tc>
        <w:tc>
          <w:tcPr>
            <w:tcW w:w="790" w:type="dxa"/>
            <w:vAlign w:val="top"/>
          </w:tcPr>
          <w:p w14:paraId="3B290138">
            <w:pPr>
              <w:spacing w:line="285" w:lineRule="auto"/>
              <w:rPr>
                <w:rFonts w:ascii="Arial"/>
                <w:sz w:val="21"/>
              </w:rPr>
            </w:pPr>
          </w:p>
          <w:p w14:paraId="63241750">
            <w:pPr>
              <w:spacing w:before="46"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bottom w:val="nil"/>
            </w:tcBorders>
            <w:vAlign w:val="top"/>
          </w:tcPr>
          <w:p w14:paraId="48AE01DF">
            <w:pPr>
              <w:rPr>
                <w:rFonts w:ascii="Arial"/>
                <w:sz w:val="21"/>
              </w:rPr>
            </w:pPr>
          </w:p>
        </w:tc>
        <w:tc>
          <w:tcPr>
            <w:tcW w:w="155" w:type="dxa"/>
            <w:vMerge w:val="continue"/>
            <w:tcBorders>
              <w:top w:val="nil"/>
              <w:bottom w:val="nil"/>
              <w:right w:val="single" w:color="000000" w:sz="6" w:space="0"/>
            </w:tcBorders>
            <w:vAlign w:val="top"/>
          </w:tcPr>
          <w:p w14:paraId="45B8E541">
            <w:pPr>
              <w:rPr>
                <w:rFonts w:ascii="Arial"/>
                <w:sz w:val="21"/>
              </w:rPr>
            </w:pPr>
          </w:p>
        </w:tc>
      </w:tr>
      <w:tr w14:paraId="65AC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5" w:type="dxa"/>
            <w:vMerge w:val="continue"/>
            <w:tcBorders>
              <w:top w:val="nil"/>
              <w:left w:val="single" w:color="000000" w:sz="6" w:space="0"/>
              <w:bottom w:val="nil"/>
            </w:tcBorders>
            <w:vAlign w:val="top"/>
          </w:tcPr>
          <w:p w14:paraId="0020C4A8">
            <w:pPr>
              <w:rPr>
                <w:rFonts w:ascii="Arial"/>
                <w:sz w:val="21"/>
              </w:rPr>
            </w:pPr>
          </w:p>
        </w:tc>
        <w:tc>
          <w:tcPr>
            <w:tcW w:w="146" w:type="dxa"/>
            <w:vMerge w:val="continue"/>
            <w:tcBorders>
              <w:top w:val="nil"/>
              <w:bottom w:val="nil"/>
            </w:tcBorders>
            <w:vAlign w:val="top"/>
          </w:tcPr>
          <w:p w14:paraId="75F6E929">
            <w:pPr>
              <w:rPr>
                <w:rFonts w:ascii="Arial"/>
                <w:sz w:val="21"/>
              </w:rPr>
            </w:pPr>
          </w:p>
        </w:tc>
        <w:tc>
          <w:tcPr>
            <w:tcW w:w="434" w:type="dxa"/>
            <w:vAlign w:val="top"/>
          </w:tcPr>
          <w:p w14:paraId="132555B6">
            <w:pPr>
              <w:spacing w:before="216"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14</w:t>
            </w:r>
          </w:p>
        </w:tc>
        <w:tc>
          <w:tcPr>
            <w:tcW w:w="1182" w:type="dxa"/>
            <w:vAlign w:val="top"/>
          </w:tcPr>
          <w:p w14:paraId="4563B1EA">
            <w:pPr>
              <w:pStyle w:val="6"/>
              <w:spacing w:before="188" w:line="221" w:lineRule="auto"/>
              <w:ind w:left="272"/>
              <w:rPr>
                <w:sz w:val="16"/>
                <w:szCs w:val="16"/>
              </w:rPr>
            </w:pPr>
            <w:r>
              <w:rPr>
                <w:spacing w:val="-2"/>
                <w:sz w:val="16"/>
                <w:szCs w:val="16"/>
              </w:rPr>
              <w:t>上料平台</w:t>
            </w:r>
          </w:p>
        </w:tc>
        <w:tc>
          <w:tcPr>
            <w:tcW w:w="973" w:type="dxa"/>
            <w:vAlign w:val="top"/>
          </w:tcPr>
          <w:p w14:paraId="2EAE73C8">
            <w:pPr>
              <w:pStyle w:val="6"/>
              <w:spacing w:before="188" w:line="221" w:lineRule="auto"/>
              <w:ind w:left="171"/>
              <w:rPr>
                <w:sz w:val="16"/>
                <w:szCs w:val="16"/>
              </w:rPr>
            </w:pPr>
            <w:r>
              <w:rPr>
                <w:spacing w:val="-3"/>
                <w:sz w:val="16"/>
                <w:szCs w:val="16"/>
              </w:rPr>
              <w:t>小料上料</w:t>
            </w:r>
          </w:p>
        </w:tc>
        <w:tc>
          <w:tcPr>
            <w:tcW w:w="807" w:type="dxa"/>
            <w:vAlign w:val="top"/>
          </w:tcPr>
          <w:p w14:paraId="3A2C23F3">
            <w:pPr>
              <w:pStyle w:val="6"/>
              <w:spacing w:before="189" w:line="220" w:lineRule="auto"/>
              <w:ind w:left="247"/>
              <w:rPr>
                <w:sz w:val="16"/>
                <w:szCs w:val="16"/>
              </w:rPr>
            </w:pPr>
            <w:r>
              <w:rPr>
                <w:spacing w:val="-2"/>
                <w:sz w:val="16"/>
                <w:szCs w:val="16"/>
              </w:rPr>
              <w:t>粉尘</w:t>
            </w:r>
          </w:p>
        </w:tc>
        <w:tc>
          <w:tcPr>
            <w:tcW w:w="718" w:type="dxa"/>
            <w:vAlign w:val="top"/>
          </w:tcPr>
          <w:p w14:paraId="65AE86F7">
            <w:pPr>
              <w:pStyle w:val="6"/>
              <w:spacing w:before="188" w:line="221" w:lineRule="auto"/>
              <w:ind w:left="123"/>
              <w:rPr>
                <w:sz w:val="16"/>
                <w:szCs w:val="16"/>
              </w:rPr>
            </w:pPr>
            <w:r>
              <w:rPr>
                <w:spacing w:val="-2"/>
                <w:sz w:val="16"/>
                <w:szCs w:val="16"/>
              </w:rPr>
              <w:t>无组织</w:t>
            </w:r>
          </w:p>
        </w:tc>
        <w:tc>
          <w:tcPr>
            <w:tcW w:w="1812" w:type="dxa"/>
            <w:vAlign w:val="top"/>
          </w:tcPr>
          <w:p w14:paraId="3FFBC29A">
            <w:pPr>
              <w:pStyle w:val="6"/>
              <w:spacing w:before="69" w:line="234" w:lineRule="auto"/>
              <w:ind w:left="592" w:right="20" w:hanging="562"/>
              <w:rPr>
                <w:sz w:val="16"/>
                <w:szCs w:val="16"/>
              </w:rPr>
            </w:pPr>
            <w:r>
              <w:rPr>
                <w:spacing w:val="-1"/>
                <w:sz w:val="16"/>
                <w:szCs w:val="16"/>
              </w:rPr>
              <w:t>配套脉冲除尘器、密闭螺</w:t>
            </w:r>
            <w:r>
              <w:rPr>
                <w:spacing w:val="5"/>
                <w:sz w:val="16"/>
                <w:szCs w:val="16"/>
              </w:rPr>
              <w:t xml:space="preserve"> </w:t>
            </w:r>
            <w:r>
              <w:rPr>
                <w:spacing w:val="-2"/>
                <w:sz w:val="16"/>
                <w:szCs w:val="16"/>
              </w:rPr>
              <w:t>旋式输送</w:t>
            </w:r>
          </w:p>
        </w:tc>
        <w:tc>
          <w:tcPr>
            <w:tcW w:w="790" w:type="dxa"/>
            <w:vAlign w:val="top"/>
          </w:tcPr>
          <w:p w14:paraId="41FAC7BD">
            <w:pPr>
              <w:spacing w:before="213"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bottom w:val="nil"/>
            </w:tcBorders>
            <w:vAlign w:val="top"/>
          </w:tcPr>
          <w:p w14:paraId="4C356446">
            <w:pPr>
              <w:rPr>
                <w:rFonts w:ascii="Arial"/>
                <w:sz w:val="21"/>
              </w:rPr>
            </w:pPr>
          </w:p>
        </w:tc>
        <w:tc>
          <w:tcPr>
            <w:tcW w:w="155" w:type="dxa"/>
            <w:vMerge w:val="continue"/>
            <w:tcBorders>
              <w:top w:val="nil"/>
              <w:bottom w:val="nil"/>
              <w:right w:val="single" w:color="000000" w:sz="6" w:space="0"/>
            </w:tcBorders>
            <w:vAlign w:val="top"/>
          </w:tcPr>
          <w:p w14:paraId="1BF07A93">
            <w:pPr>
              <w:rPr>
                <w:rFonts w:ascii="Arial"/>
                <w:sz w:val="21"/>
              </w:rPr>
            </w:pPr>
          </w:p>
        </w:tc>
      </w:tr>
      <w:tr w14:paraId="049F2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85" w:type="dxa"/>
            <w:vMerge w:val="continue"/>
            <w:tcBorders>
              <w:top w:val="nil"/>
              <w:left w:val="single" w:color="000000" w:sz="6" w:space="0"/>
              <w:bottom w:val="nil"/>
            </w:tcBorders>
            <w:vAlign w:val="top"/>
          </w:tcPr>
          <w:p w14:paraId="5E21C2E4">
            <w:pPr>
              <w:rPr>
                <w:rFonts w:ascii="Arial"/>
                <w:sz w:val="21"/>
              </w:rPr>
            </w:pPr>
          </w:p>
        </w:tc>
        <w:tc>
          <w:tcPr>
            <w:tcW w:w="146" w:type="dxa"/>
            <w:vMerge w:val="continue"/>
            <w:tcBorders>
              <w:top w:val="nil"/>
              <w:bottom w:val="nil"/>
            </w:tcBorders>
            <w:vAlign w:val="top"/>
          </w:tcPr>
          <w:p w14:paraId="11B3ECEC">
            <w:pPr>
              <w:rPr>
                <w:rFonts w:ascii="Arial"/>
                <w:sz w:val="21"/>
              </w:rPr>
            </w:pPr>
          </w:p>
        </w:tc>
        <w:tc>
          <w:tcPr>
            <w:tcW w:w="434" w:type="dxa"/>
            <w:vAlign w:val="top"/>
          </w:tcPr>
          <w:p w14:paraId="5C72D061">
            <w:pPr>
              <w:spacing w:before="141"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15</w:t>
            </w:r>
          </w:p>
        </w:tc>
        <w:tc>
          <w:tcPr>
            <w:tcW w:w="1182" w:type="dxa"/>
            <w:vAlign w:val="top"/>
          </w:tcPr>
          <w:p w14:paraId="5F42944C">
            <w:pPr>
              <w:pStyle w:val="6"/>
              <w:spacing w:before="143" w:line="231" w:lineRule="auto"/>
              <w:ind w:left="290"/>
              <w:rPr>
                <w:sz w:val="14"/>
                <w:szCs w:val="14"/>
              </w:rPr>
            </w:pPr>
            <w:r>
              <w:rPr>
                <w:spacing w:val="7"/>
                <w:sz w:val="14"/>
                <w:szCs w:val="14"/>
              </w:rPr>
              <w:t>运输车辆</w:t>
            </w:r>
          </w:p>
        </w:tc>
        <w:tc>
          <w:tcPr>
            <w:tcW w:w="973" w:type="dxa"/>
            <w:vAlign w:val="top"/>
          </w:tcPr>
          <w:p w14:paraId="66A1D329">
            <w:pPr>
              <w:pStyle w:val="6"/>
              <w:spacing w:before="143" w:line="231" w:lineRule="auto"/>
              <w:ind w:left="188"/>
              <w:rPr>
                <w:sz w:val="14"/>
                <w:szCs w:val="14"/>
              </w:rPr>
            </w:pPr>
            <w:r>
              <w:rPr>
                <w:spacing w:val="7"/>
                <w:sz w:val="14"/>
                <w:szCs w:val="14"/>
              </w:rPr>
              <w:t>运输作业</w:t>
            </w:r>
          </w:p>
        </w:tc>
        <w:tc>
          <w:tcPr>
            <w:tcW w:w="807" w:type="dxa"/>
            <w:vAlign w:val="top"/>
          </w:tcPr>
          <w:p w14:paraId="0B13E4F4">
            <w:pPr>
              <w:pStyle w:val="6"/>
              <w:spacing w:before="143" w:line="231" w:lineRule="auto"/>
              <w:ind w:left="256"/>
              <w:rPr>
                <w:sz w:val="14"/>
                <w:szCs w:val="14"/>
              </w:rPr>
            </w:pPr>
            <w:r>
              <w:rPr>
                <w:spacing w:val="6"/>
                <w:sz w:val="14"/>
                <w:szCs w:val="14"/>
              </w:rPr>
              <w:t>粉尘</w:t>
            </w:r>
          </w:p>
        </w:tc>
        <w:tc>
          <w:tcPr>
            <w:tcW w:w="718" w:type="dxa"/>
            <w:vAlign w:val="top"/>
          </w:tcPr>
          <w:p w14:paraId="766123F7">
            <w:pPr>
              <w:pStyle w:val="6"/>
              <w:spacing w:before="143" w:line="232" w:lineRule="auto"/>
              <w:ind w:left="137"/>
              <w:rPr>
                <w:sz w:val="14"/>
                <w:szCs w:val="14"/>
              </w:rPr>
            </w:pPr>
            <w:r>
              <w:rPr>
                <w:spacing w:val="7"/>
                <w:sz w:val="14"/>
                <w:szCs w:val="14"/>
              </w:rPr>
              <w:t>无组织</w:t>
            </w:r>
          </w:p>
        </w:tc>
        <w:tc>
          <w:tcPr>
            <w:tcW w:w="1812" w:type="dxa"/>
            <w:vAlign w:val="top"/>
          </w:tcPr>
          <w:p w14:paraId="39BA29D7">
            <w:pPr>
              <w:pStyle w:val="6"/>
              <w:spacing w:before="143" w:line="231" w:lineRule="auto"/>
              <w:ind w:left="87"/>
              <w:rPr>
                <w:sz w:val="14"/>
                <w:szCs w:val="14"/>
              </w:rPr>
            </w:pPr>
            <w:r>
              <w:rPr>
                <w:spacing w:val="9"/>
                <w:sz w:val="14"/>
                <w:szCs w:val="14"/>
              </w:rPr>
              <w:t>厂区地面硬化、车辆冲洗</w:t>
            </w:r>
          </w:p>
        </w:tc>
        <w:tc>
          <w:tcPr>
            <w:tcW w:w="790" w:type="dxa"/>
            <w:vAlign w:val="top"/>
          </w:tcPr>
          <w:p w14:paraId="77A31E50">
            <w:pPr>
              <w:spacing w:before="138" w:line="193" w:lineRule="auto"/>
              <w:ind w:left="374"/>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1110" w:type="dxa"/>
            <w:vMerge w:val="continue"/>
            <w:tcBorders>
              <w:top w:val="nil"/>
            </w:tcBorders>
            <w:vAlign w:val="top"/>
          </w:tcPr>
          <w:p w14:paraId="3B393179">
            <w:pPr>
              <w:rPr>
                <w:rFonts w:ascii="Arial"/>
                <w:sz w:val="21"/>
              </w:rPr>
            </w:pPr>
          </w:p>
        </w:tc>
        <w:tc>
          <w:tcPr>
            <w:tcW w:w="155" w:type="dxa"/>
            <w:vMerge w:val="continue"/>
            <w:tcBorders>
              <w:top w:val="nil"/>
              <w:bottom w:val="nil"/>
              <w:right w:val="single" w:color="000000" w:sz="6" w:space="0"/>
            </w:tcBorders>
            <w:vAlign w:val="top"/>
          </w:tcPr>
          <w:p w14:paraId="59397CDB">
            <w:pPr>
              <w:rPr>
                <w:rFonts w:ascii="Arial"/>
                <w:sz w:val="21"/>
              </w:rPr>
            </w:pPr>
          </w:p>
        </w:tc>
      </w:tr>
      <w:tr w14:paraId="45C7C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85" w:type="dxa"/>
            <w:vMerge w:val="continue"/>
            <w:tcBorders>
              <w:top w:val="nil"/>
              <w:left w:val="single" w:color="000000" w:sz="6" w:space="0"/>
              <w:bottom w:val="single" w:color="000000" w:sz="6" w:space="0"/>
            </w:tcBorders>
            <w:vAlign w:val="top"/>
          </w:tcPr>
          <w:p w14:paraId="0C75D133">
            <w:pPr>
              <w:rPr>
                <w:rFonts w:ascii="Arial"/>
                <w:sz w:val="21"/>
              </w:rPr>
            </w:pPr>
          </w:p>
        </w:tc>
        <w:tc>
          <w:tcPr>
            <w:tcW w:w="146" w:type="dxa"/>
            <w:vMerge w:val="continue"/>
            <w:tcBorders>
              <w:top w:val="nil"/>
              <w:bottom w:val="single" w:color="000000" w:sz="6" w:space="0"/>
            </w:tcBorders>
            <w:vAlign w:val="top"/>
          </w:tcPr>
          <w:p w14:paraId="7E0D5F37">
            <w:pPr>
              <w:rPr>
                <w:rFonts w:ascii="Arial"/>
                <w:sz w:val="21"/>
              </w:rPr>
            </w:pPr>
          </w:p>
        </w:tc>
        <w:tc>
          <w:tcPr>
            <w:tcW w:w="434" w:type="dxa"/>
            <w:tcBorders>
              <w:bottom w:val="single" w:color="000000" w:sz="6" w:space="0"/>
            </w:tcBorders>
            <w:vAlign w:val="top"/>
          </w:tcPr>
          <w:p w14:paraId="145B0549">
            <w:pPr>
              <w:spacing w:before="97" w:line="189" w:lineRule="auto"/>
              <w:ind w:left="146"/>
              <w:rPr>
                <w:rFonts w:ascii="Times New Roman" w:hAnsi="Times New Roman" w:eastAsia="Times New Roman" w:cs="Times New Roman"/>
                <w:sz w:val="16"/>
                <w:szCs w:val="16"/>
              </w:rPr>
            </w:pPr>
            <w:r>
              <w:rPr>
                <w:rFonts w:ascii="Times New Roman" w:hAnsi="Times New Roman" w:eastAsia="Times New Roman" w:cs="Times New Roman"/>
                <w:spacing w:val="-9"/>
                <w:sz w:val="16"/>
                <w:szCs w:val="16"/>
              </w:rPr>
              <w:t>16</w:t>
            </w:r>
          </w:p>
        </w:tc>
        <w:tc>
          <w:tcPr>
            <w:tcW w:w="1182" w:type="dxa"/>
            <w:tcBorders>
              <w:bottom w:val="single" w:color="000000" w:sz="6" w:space="0"/>
            </w:tcBorders>
            <w:vAlign w:val="top"/>
          </w:tcPr>
          <w:p w14:paraId="3BE9C24A">
            <w:pPr>
              <w:pStyle w:val="6"/>
              <w:spacing w:before="69" w:line="221" w:lineRule="auto"/>
              <w:ind w:left="272"/>
              <w:rPr>
                <w:sz w:val="16"/>
                <w:szCs w:val="16"/>
              </w:rPr>
            </w:pPr>
            <w:r>
              <w:rPr>
                <w:spacing w:val="-2"/>
                <w:sz w:val="16"/>
                <w:szCs w:val="16"/>
              </w:rPr>
              <w:t>燃气锅炉</w:t>
            </w:r>
          </w:p>
        </w:tc>
        <w:tc>
          <w:tcPr>
            <w:tcW w:w="973" w:type="dxa"/>
            <w:tcBorders>
              <w:bottom w:val="single" w:color="000000" w:sz="6" w:space="0"/>
            </w:tcBorders>
            <w:vAlign w:val="top"/>
          </w:tcPr>
          <w:p w14:paraId="320B037A">
            <w:pPr>
              <w:pStyle w:val="6"/>
              <w:spacing w:before="69" w:line="220" w:lineRule="auto"/>
              <w:ind w:left="91"/>
              <w:rPr>
                <w:sz w:val="16"/>
                <w:szCs w:val="16"/>
              </w:rPr>
            </w:pPr>
            <w:r>
              <w:rPr>
                <w:spacing w:val="-2"/>
                <w:sz w:val="16"/>
                <w:szCs w:val="16"/>
              </w:rPr>
              <w:t>天然气燃烧</w:t>
            </w:r>
          </w:p>
        </w:tc>
        <w:tc>
          <w:tcPr>
            <w:tcW w:w="807" w:type="dxa"/>
            <w:tcBorders>
              <w:bottom w:val="single" w:color="000000" w:sz="6" w:space="0"/>
            </w:tcBorders>
            <w:vAlign w:val="top"/>
          </w:tcPr>
          <w:p w14:paraId="33E98921">
            <w:pPr>
              <w:spacing w:before="97" w:line="192" w:lineRule="auto"/>
              <w:ind w:left="282"/>
              <w:rPr>
                <w:rFonts w:ascii="Times New Roman" w:hAnsi="Times New Roman" w:eastAsia="Times New Roman" w:cs="Times New Roman"/>
                <w:sz w:val="10"/>
                <w:szCs w:val="10"/>
              </w:rPr>
            </w:pPr>
            <w:r>
              <w:rPr>
                <w:rFonts w:ascii="Times New Roman" w:hAnsi="Times New Roman" w:eastAsia="Times New Roman" w:cs="Times New Roman"/>
                <w:spacing w:val="-4"/>
                <w:sz w:val="16"/>
                <w:szCs w:val="16"/>
              </w:rPr>
              <w:t>SO</w:t>
            </w:r>
            <w:r>
              <w:rPr>
                <w:rFonts w:ascii="Times New Roman" w:hAnsi="Times New Roman" w:eastAsia="Times New Roman" w:cs="Times New Roman"/>
                <w:spacing w:val="-4"/>
                <w:position w:val="-1"/>
                <w:sz w:val="10"/>
                <w:szCs w:val="10"/>
              </w:rPr>
              <w:t>2</w:t>
            </w:r>
          </w:p>
        </w:tc>
        <w:tc>
          <w:tcPr>
            <w:tcW w:w="718" w:type="dxa"/>
            <w:tcBorders>
              <w:bottom w:val="single" w:color="000000" w:sz="6" w:space="0"/>
            </w:tcBorders>
            <w:vAlign w:val="top"/>
          </w:tcPr>
          <w:p w14:paraId="6C816D42">
            <w:pPr>
              <w:pStyle w:val="6"/>
              <w:spacing w:before="69" w:line="221" w:lineRule="auto"/>
              <w:ind w:left="122"/>
              <w:rPr>
                <w:sz w:val="16"/>
                <w:szCs w:val="16"/>
              </w:rPr>
            </w:pPr>
            <w:r>
              <w:rPr>
                <w:spacing w:val="-2"/>
                <w:sz w:val="16"/>
                <w:szCs w:val="16"/>
              </w:rPr>
              <w:t>有组织</w:t>
            </w:r>
          </w:p>
        </w:tc>
        <w:tc>
          <w:tcPr>
            <w:tcW w:w="1812" w:type="dxa"/>
            <w:tcBorders>
              <w:bottom w:val="single" w:color="000000" w:sz="6" w:space="0"/>
            </w:tcBorders>
            <w:vAlign w:val="top"/>
          </w:tcPr>
          <w:p w14:paraId="6E80BE6A">
            <w:pPr>
              <w:pStyle w:val="6"/>
              <w:spacing w:before="69" w:line="220" w:lineRule="auto"/>
              <w:jc w:val="right"/>
              <w:rPr>
                <w:rFonts w:ascii="Times New Roman" w:hAnsi="Times New Roman" w:eastAsia="Times New Roman" w:cs="Times New Roman"/>
                <w:sz w:val="16"/>
                <w:szCs w:val="16"/>
              </w:rPr>
            </w:pPr>
            <w:r>
              <w:rPr>
                <w:spacing w:val="-5"/>
                <w:sz w:val="16"/>
                <w:szCs w:val="16"/>
              </w:rPr>
              <w:t>设低氮</w:t>
            </w:r>
            <w:r>
              <w:rPr>
                <w:spacing w:val="-4"/>
                <w:sz w:val="16"/>
                <w:szCs w:val="16"/>
              </w:rPr>
              <w:t>燃烧器，废气经</w:t>
            </w:r>
            <w:r>
              <w:rPr>
                <w:spacing w:val="-31"/>
                <w:sz w:val="16"/>
                <w:szCs w:val="16"/>
              </w:rPr>
              <w:t xml:space="preserve"> </w:t>
            </w:r>
            <w:r>
              <w:rPr>
                <w:rFonts w:ascii="Times New Roman" w:hAnsi="Times New Roman" w:eastAsia="Times New Roman" w:cs="Times New Roman"/>
                <w:spacing w:val="-4"/>
                <w:sz w:val="16"/>
                <w:szCs w:val="16"/>
              </w:rPr>
              <w:t>8</w:t>
            </w:r>
            <w:r>
              <w:rPr>
                <w:rFonts w:ascii="Times New Roman" w:hAnsi="Times New Roman" w:eastAsia="Times New Roman" w:cs="Times New Roman"/>
                <w:spacing w:val="-1"/>
                <w:sz w:val="16"/>
                <w:szCs w:val="16"/>
              </w:rPr>
              <w:t>m</w:t>
            </w:r>
          </w:p>
        </w:tc>
        <w:tc>
          <w:tcPr>
            <w:tcW w:w="790" w:type="dxa"/>
            <w:tcBorders>
              <w:bottom w:val="single" w:color="000000" w:sz="6" w:space="0"/>
            </w:tcBorders>
            <w:vAlign w:val="top"/>
          </w:tcPr>
          <w:p w14:paraId="1B1866A3">
            <w:pPr>
              <w:pStyle w:val="6"/>
              <w:spacing w:before="69" w:line="222" w:lineRule="auto"/>
              <w:jc w:val="right"/>
              <w:rPr>
                <w:sz w:val="16"/>
                <w:szCs w:val="16"/>
              </w:rPr>
            </w:pPr>
            <w:r>
              <w:rPr>
                <w:spacing w:val="-4"/>
                <w:sz w:val="16"/>
                <w:szCs w:val="16"/>
              </w:rPr>
              <w:t>主要排放口</w:t>
            </w:r>
          </w:p>
        </w:tc>
        <w:tc>
          <w:tcPr>
            <w:tcW w:w="1110" w:type="dxa"/>
            <w:tcBorders>
              <w:bottom w:val="single" w:color="000000" w:sz="6" w:space="0"/>
            </w:tcBorders>
            <w:vAlign w:val="top"/>
          </w:tcPr>
          <w:p w14:paraId="0F3CFBBE">
            <w:pPr>
              <w:pStyle w:val="6"/>
              <w:spacing w:before="69" w:line="221" w:lineRule="auto"/>
              <w:jc w:val="right"/>
              <w:rPr>
                <w:sz w:val="16"/>
                <w:szCs w:val="16"/>
              </w:rPr>
            </w:pPr>
            <w:r>
              <w:rPr>
                <w:spacing w:val="-3"/>
                <w:sz w:val="16"/>
                <w:szCs w:val="16"/>
              </w:rPr>
              <w:t>《锅炉大气污染</w:t>
            </w:r>
          </w:p>
        </w:tc>
        <w:tc>
          <w:tcPr>
            <w:tcW w:w="155" w:type="dxa"/>
            <w:vMerge w:val="continue"/>
            <w:tcBorders>
              <w:top w:val="nil"/>
              <w:bottom w:val="single" w:color="000000" w:sz="6" w:space="0"/>
              <w:right w:val="single" w:color="000000" w:sz="6" w:space="0"/>
            </w:tcBorders>
            <w:vAlign w:val="top"/>
          </w:tcPr>
          <w:p w14:paraId="1ECD896E">
            <w:pPr>
              <w:rPr>
                <w:rFonts w:ascii="Arial"/>
                <w:sz w:val="21"/>
              </w:rPr>
            </w:pPr>
          </w:p>
        </w:tc>
      </w:tr>
    </w:tbl>
    <w:p w14:paraId="383E00E7">
      <w:pPr>
        <w:pStyle w:val="2"/>
      </w:pPr>
    </w:p>
    <w:p w14:paraId="321AE7CE">
      <w:pPr>
        <w:sectPr>
          <w:footerReference r:id="rId71" w:type="default"/>
          <w:pgSz w:w="11907" w:h="16840"/>
          <w:pgMar w:top="1431" w:right="1490" w:bottom="1260" w:left="1489" w:header="0" w:footer="1080" w:gutter="0"/>
          <w:cols w:space="720" w:num="1"/>
        </w:sectPr>
      </w:pPr>
    </w:p>
    <w:p w14:paraId="31089004">
      <w:pPr>
        <w:spacing w:before="28"/>
      </w:pPr>
      <w:r>
        <w:pict>
          <v:shape id="_x0000_s1122" o:spid="_x0000_s1122" style="position:absolute;left:0pt;margin-left:515.7pt;margin-top:143pt;height:478pt;width:0.5pt;mso-position-horizontal-relative:page;mso-position-vertical-relative:page;z-index:251854848;mso-width-relative:page;mso-height-relative:page;" filled="f" stroked="t" coordsize="10,9560" o:allowincell="f" path="m4,0l4,9560e">
            <v:fill on="f" focussize="0,0"/>
            <v:stroke weight="0.48pt" color="#000000" miterlimit="2" joinstyle="bevel"/>
            <v:imagedata o:title=""/>
            <o:lock v:ext="edit"/>
          </v:shape>
        </w:pict>
      </w:r>
      <w:r>
        <w:pict>
          <v:shape id="_x0000_s1123" o:spid="_x0000_s1123" style="position:absolute;left:0pt;margin-left:117.95pt;margin-top:142.55pt;height:478.5pt;width:0.5pt;mso-position-horizontal-relative:page;mso-position-vertical-relative:page;z-index:251853824;mso-width-relative:page;mso-height-relative:page;" filled="f" stroked="t" coordsize="10,9570" o:allowincell="f" path="m4,0l4,9569e">
            <v:fill on="f" focussize="0,0"/>
            <v:stroke weight="0.48pt" color="#000000" miterlimit="2" joinstyle="bevel"/>
            <v:imagedata o:title=""/>
            <o:lock v:ext="edit"/>
          </v:shape>
        </w:pict>
      </w: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557"/>
        <w:gridCol w:w="825"/>
        <w:gridCol w:w="357"/>
        <w:gridCol w:w="484"/>
        <w:gridCol w:w="489"/>
        <w:gridCol w:w="302"/>
        <w:gridCol w:w="505"/>
        <w:gridCol w:w="177"/>
        <w:gridCol w:w="541"/>
        <w:gridCol w:w="1141"/>
        <w:gridCol w:w="671"/>
        <w:gridCol w:w="416"/>
        <w:gridCol w:w="373"/>
        <w:gridCol w:w="681"/>
        <w:gridCol w:w="429"/>
        <w:gridCol w:w="179"/>
      </w:tblGrid>
      <w:tr w14:paraId="7A58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785" w:type="dxa"/>
            <w:vMerge w:val="restart"/>
            <w:tcBorders>
              <w:left w:val="single" w:color="000000" w:sz="6" w:space="0"/>
              <w:bottom w:val="nil"/>
            </w:tcBorders>
            <w:vAlign w:val="top"/>
          </w:tcPr>
          <w:p w14:paraId="3B56031B">
            <w:pPr>
              <w:rPr>
                <w:rFonts w:ascii="Arial"/>
                <w:sz w:val="21"/>
              </w:rPr>
            </w:pPr>
          </w:p>
        </w:tc>
        <w:tc>
          <w:tcPr>
            <w:tcW w:w="557" w:type="dxa"/>
            <w:vMerge w:val="restart"/>
            <w:tcBorders>
              <w:bottom w:val="nil"/>
            </w:tcBorders>
            <w:vAlign w:val="top"/>
          </w:tcPr>
          <w:p w14:paraId="737061D0">
            <w:pPr>
              <w:rPr>
                <w:rFonts w:ascii="Arial"/>
                <w:sz w:val="21"/>
              </w:rPr>
            </w:pPr>
            <w:r>
              <w:pict>
                <v:shape id="_x0000_s1124" o:spid="_x0000_s1124" style="position:absolute;left:0pt;margin-left:6.8pt;margin-top:0.5pt;height:37pt;width:0.5pt;mso-position-horizontal-relative:page;mso-position-vertical-relative:page;z-index:251852800;mso-width-relative:page;mso-height-relative:page;" filled="f" stroked="t" coordsize="10,740" path="m4,0l4,739e">
                  <v:fill on="f" focussize="0,0"/>
                  <v:stroke weight="0.48pt" color="#000000" miterlimit="2" joinstyle="bevel"/>
                  <v:imagedata o:title=""/>
                  <o:lock v:ext="edit"/>
                </v:shape>
              </w:pict>
            </w:r>
          </w:p>
        </w:tc>
        <w:tc>
          <w:tcPr>
            <w:tcW w:w="1182" w:type="dxa"/>
            <w:gridSpan w:val="2"/>
            <w:vMerge w:val="restart"/>
            <w:tcBorders>
              <w:bottom w:val="nil"/>
            </w:tcBorders>
            <w:vAlign w:val="top"/>
          </w:tcPr>
          <w:p w14:paraId="070E21B4">
            <w:pPr>
              <w:rPr>
                <w:rFonts w:ascii="Arial"/>
                <w:sz w:val="21"/>
              </w:rPr>
            </w:pPr>
          </w:p>
        </w:tc>
        <w:tc>
          <w:tcPr>
            <w:tcW w:w="973" w:type="dxa"/>
            <w:gridSpan w:val="2"/>
            <w:vMerge w:val="restart"/>
            <w:tcBorders>
              <w:bottom w:val="nil"/>
            </w:tcBorders>
            <w:vAlign w:val="top"/>
          </w:tcPr>
          <w:p w14:paraId="52B1BC60">
            <w:pPr>
              <w:rPr>
                <w:rFonts w:ascii="Arial"/>
                <w:sz w:val="21"/>
              </w:rPr>
            </w:pPr>
          </w:p>
        </w:tc>
        <w:tc>
          <w:tcPr>
            <w:tcW w:w="807" w:type="dxa"/>
            <w:gridSpan w:val="2"/>
            <w:vAlign w:val="top"/>
          </w:tcPr>
          <w:p w14:paraId="399CC76D">
            <w:pPr>
              <w:spacing w:before="97" w:line="192" w:lineRule="auto"/>
              <w:ind w:left="279"/>
              <w:rPr>
                <w:rFonts w:ascii="Times New Roman" w:hAnsi="Times New Roman" w:eastAsia="Times New Roman" w:cs="Times New Roman"/>
                <w:sz w:val="10"/>
                <w:szCs w:val="10"/>
              </w:rPr>
            </w:pPr>
            <w:r>
              <w:rPr>
                <w:rFonts w:ascii="Times New Roman" w:hAnsi="Times New Roman" w:eastAsia="Times New Roman" w:cs="Times New Roman"/>
                <w:sz w:val="16"/>
                <w:szCs w:val="16"/>
              </w:rPr>
              <w:t>NO</w:t>
            </w:r>
            <w:r>
              <w:rPr>
                <w:rFonts w:ascii="Times New Roman" w:hAnsi="Times New Roman" w:eastAsia="Times New Roman" w:cs="Times New Roman"/>
                <w:position w:val="-1"/>
                <w:sz w:val="10"/>
                <w:szCs w:val="10"/>
              </w:rPr>
              <w:t>x</w:t>
            </w:r>
          </w:p>
        </w:tc>
        <w:tc>
          <w:tcPr>
            <w:tcW w:w="718" w:type="dxa"/>
            <w:gridSpan w:val="2"/>
            <w:vMerge w:val="restart"/>
            <w:tcBorders>
              <w:bottom w:val="nil"/>
            </w:tcBorders>
            <w:vAlign w:val="top"/>
          </w:tcPr>
          <w:p w14:paraId="5D5B7828">
            <w:pPr>
              <w:rPr>
                <w:rFonts w:ascii="Arial"/>
                <w:sz w:val="21"/>
              </w:rPr>
            </w:pPr>
          </w:p>
        </w:tc>
        <w:tc>
          <w:tcPr>
            <w:tcW w:w="1812" w:type="dxa"/>
            <w:gridSpan w:val="2"/>
            <w:vMerge w:val="restart"/>
            <w:tcBorders>
              <w:bottom w:val="nil"/>
            </w:tcBorders>
            <w:vAlign w:val="top"/>
          </w:tcPr>
          <w:p w14:paraId="13CF88EA">
            <w:pPr>
              <w:pStyle w:val="6"/>
              <w:spacing w:before="69" w:line="264" w:lineRule="auto"/>
              <w:ind w:left="772" w:hanging="714"/>
              <w:rPr>
                <w:sz w:val="16"/>
                <w:szCs w:val="16"/>
              </w:rPr>
            </w:pPr>
            <w:r>
              <w:rPr>
                <w:spacing w:val="-2"/>
                <w:sz w:val="16"/>
                <w:szCs w:val="16"/>
              </w:rPr>
              <w:t>高排气筒引至锅炉房屋顶</w:t>
            </w:r>
            <w:r>
              <w:rPr>
                <w:spacing w:val="9"/>
                <w:sz w:val="16"/>
                <w:szCs w:val="16"/>
              </w:rPr>
              <w:t xml:space="preserve"> </w:t>
            </w:r>
            <w:r>
              <w:rPr>
                <w:spacing w:val="-3"/>
                <w:sz w:val="16"/>
                <w:szCs w:val="16"/>
              </w:rPr>
              <w:t>排放</w:t>
            </w:r>
          </w:p>
        </w:tc>
        <w:tc>
          <w:tcPr>
            <w:tcW w:w="789" w:type="dxa"/>
            <w:gridSpan w:val="2"/>
            <w:vMerge w:val="restart"/>
            <w:tcBorders>
              <w:bottom w:val="nil"/>
            </w:tcBorders>
            <w:vAlign w:val="top"/>
          </w:tcPr>
          <w:p w14:paraId="2D8199AD">
            <w:pPr>
              <w:rPr>
                <w:rFonts w:ascii="Arial"/>
                <w:sz w:val="21"/>
              </w:rPr>
            </w:pPr>
          </w:p>
        </w:tc>
        <w:tc>
          <w:tcPr>
            <w:tcW w:w="1110" w:type="dxa"/>
            <w:gridSpan w:val="2"/>
            <w:vMerge w:val="restart"/>
            <w:tcBorders>
              <w:bottom w:val="nil"/>
            </w:tcBorders>
            <w:vAlign w:val="top"/>
          </w:tcPr>
          <w:p w14:paraId="621AB0B7">
            <w:pPr>
              <w:pStyle w:val="6"/>
              <w:spacing w:before="69" w:line="221" w:lineRule="auto"/>
              <w:ind w:left="109"/>
              <w:rPr>
                <w:sz w:val="16"/>
                <w:szCs w:val="16"/>
              </w:rPr>
            </w:pPr>
            <w:r>
              <w:rPr>
                <w:spacing w:val="-1"/>
                <w:sz w:val="16"/>
                <w:szCs w:val="16"/>
              </w:rPr>
              <w:t>物排放标准》</w:t>
            </w:r>
          </w:p>
          <w:p w14:paraId="3F74E4D2">
            <w:pPr>
              <w:pStyle w:val="6"/>
              <w:spacing w:before="48" w:line="233" w:lineRule="auto"/>
              <w:ind w:left="402"/>
              <w:rPr>
                <w:rFonts w:ascii="Times New Roman" w:hAnsi="Times New Roman" w:eastAsia="Times New Roman" w:cs="Times New Roman"/>
                <w:sz w:val="16"/>
                <w:szCs w:val="16"/>
              </w:rPr>
            </w:pPr>
            <w:r>
              <w:rPr>
                <w:spacing w:val="-4"/>
                <w:sz w:val="16"/>
                <w:szCs w:val="16"/>
              </w:rPr>
              <w:t>（</w:t>
            </w:r>
            <w:r>
              <w:rPr>
                <w:rFonts w:ascii="Times New Roman" w:hAnsi="Times New Roman" w:eastAsia="Times New Roman" w:cs="Times New Roman"/>
                <w:spacing w:val="-4"/>
                <w:sz w:val="16"/>
                <w:szCs w:val="16"/>
              </w:rPr>
              <w:t>GB</w:t>
            </w:r>
          </w:p>
          <w:p w14:paraId="659256A0">
            <w:pPr>
              <w:pStyle w:val="6"/>
              <w:spacing w:before="37" w:line="208" w:lineRule="auto"/>
              <w:ind w:left="134"/>
              <w:rPr>
                <w:sz w:val="16"/>
                <w:szCs w:val="16"/>
              </w:rPr>
            </w:pPr>
            <w:r>
              <w:rPr>
                <w:rFonts w:ascii="Times New Roman" w:hAnsi="Times New Roman" w:eastAsia="Times New Roman" w:cs="Times New Roman"/>
                <w:spacing w:val="-2"/>
                <w:sz w:val="16"/>
                <w:szCs w:val="16"/>
              </w:rPr>
              <w:t>13271-2014</w:t>
            </w:r>
            <w:r>
              <w:rPr>
                <w:spacing w:val="-2"/>
                <w:sz w:val="16"/>
                <w:szCs w:val="16"/>
              </w:rPr>
              <w:t>）</w:t>
            </w:r>
          </w:p>
        </w:tc>
        <w:tc>
          <w:tcPr>
            <w:tcW w:w="179" w:type="dxa"/>
            <w:vMerge w:val="restart"/>
            <w:tcBorders>
              <w:bottom w:val="nil"/>
              <w:right w:val="single" w:color="000000" w:sz="6" w:space="0"/>
            </w:tcBorders>
            <w:vAlign w:val="top"/>
          </w:tcPr>
          <w:p w14:paraId="17D6DED5">
            <w:pPr>
              <w:rPr>
                <w:rFonts w:ascii="Arial"/>
                <w:sz w:val="21"/>
              </w:rPr>
            </w:pPr>
          </w:p>
        </w:tc>
      </w:tr>
      <w:tr w14:paraId="1C65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85" w:type="dxa"/>
            <w:vMerge w:val="continue"/>
            <w:tcBorders>
              <w:top w:val="nil"/>
              <w:left w:val="single" w:color="000000" w:sz="6" w:space="0"/>
              <w:bottom w:val="nil"/>
            </w:tcBorders>
            <w:vAlign w:val="top"/>
          </w:tcPr>
          <w:p w14:paraId="3AAF464F">
            <w:pPr>
              <w:rPr>
                <w:rFonts w:ascii="Arial"/>
                <w:sz w:val="21"/>
              </w:rPr>
            </w:pPr>
          </w:p>
        </w:tc>
        <w:tc>
          <w:tcPr>
            <w:tcW w:w="557" w:type="dxa"/>
            <w:vMerge w:val="continue"/>
            <w:tcBorders>
              <w:top w:val="nil"/>
            </w:tcBorders>
            <w:vAlign w:val="top"/>
          </w:tcPr>
          <w:p w14:paraId="5A0E8A3A">
            <w:pPr>
              <w:rPr>
                <w:rFonts w:ascii="Arial"/>
                <w:sz w:val="21"/>
              </w:rPr>
            </w:pPr>
          </w:p>
        </w:tc>
        <w:tc>
          <w:tcPr>
            <w:tcW w:w="1182" w:type="dxa"/>
            <w:gridSpan w:val="2"/>
            <w:vMerge w:val="continue"/>
            <w:tcBorders>
              <w:top w:val="nil"/>
            </w:tcBorders>
            <w:vAlign w:val="top"/>
          </w:tcPr>
          <w:p w14:paraId="05515FA7">
            <w:pPr>
              <w:rPr>
                <w:rFonts w:ascii="Arial"/>
                <w:sz w:val="21"/>
              </w:rPr>
            </w:pPr>
          </w:p>
        </w:tc>
        <w:tc>
          <w:tcPr>
            <w:tcW w:w="973" w:type="dxa"/>
            <w:gridSpan w:val="2"/>
            <w:vMerge w:val="continue"/>
            <w:tcBorders>
              <w:top w:val="nil"/>
            </w:tcBorders>
            <w:vAlign w:val="top"/>
          </w:tcPr>
          <w:p w14:paraId="66A1ACEA">
            <w:pPr>
              <w:rPr>
                <w:rFonts w:ascii="Arial"/>
                <w:sz w:val="21"/>
              </w:rPr>
            </w:pPr>
          </w:p>
        </w:tc>
        <w:tc>
          <w:tcPr>
            <w:tcW w:w="807" w:type="dxa"/>
            <w:gridSpan w:val="2"/>
            <w:vAlign w:val="top"/>
          </w:tcPr>
          <w:p w14:paraId="4BFAA9D8">
            <w:pPr>
              <w:pStyle w:val="6"/>
              <w:spacing w:before="169" w:line="221" w:lineRule="auto"/>
              <w:ind w:left="188"/>
              <w:rPr>
                <w:sz w:val="16"/>
                <w:szCs w:val="16"/>
              </w:rPr>
            </w:pPr>
            <w:r>
              <w:rPr>
                <w:spacing w:val="-2"/>
                <w:sz w:val="16"/>
                <w:szCs w:val="16"/>
              </w:rPr>
              <w:t>颗粒物</w:t>
            </w:r>
          </w:p>
        </w:tc>
        <w:tc>
          <w:tcPr>
            <w:tcW w:w="718" w:type="dxa"/>
            <w:gridSpan w:val="2"/>
            <w:vMerge w:val="continue"/>
            <w:tcBorders>
              <w:top w:val="nil"/>
            </w:tcBorders>
            <w:vAlign w:val="top"/>
          </w:tcPr>
          <w:p w14:paraId="0F8A2A89">
            <w:pPr>
              <w:rPr>
                <w:rFonts w:ascii="Arial"/>
                <w:sz w:val="21"/>
              </w:rPr>
            </w:pPr>
          </w:p>
        </w:tc>
        <w:tc>
          <w:tcPr>
            <w:tcW w:w="1812" w:type="dxa"/>
            <w:gridSpan w:val="2"/>
            <w:vMerge w:val="continue"/>
            <w:tcBorders>
              <w:top w:val="nil"/>
            </w:tcBorders>
            <w:vAlign w:val="top"/>
          </w:tcPr>
          <w:p w14:paraId="6EE71836">
            <w:pPr>
              <w:rPr>
                <w:rFonts w:ascii="Arial"/>
                <w:sz w:val="21"/>
              </w:rPr>
            </w:pPr>
          </w:p>
        </w:tc>
        <w:tc>
          <w:tcPr>
            <w:tcW w:w="789" w:type="dxa"/>
            <w:gridSpan w:val="2"/>
            <w:vMerge w:val="continue"/>
            <w:tcBorders>
              <w:top w:val="nil"/>
            </w:tcBorders>
            <w:vAlign w:val="top"/>
          </w:tcPr>
          <w:p w14:paraId="214C4959">
            <w:pPr>
              <w:rPr>
                <w:rFonts w:ascii="Arial"/>
                <w:sz w:val="21"/>
              </w:rPr>
            </w:pPr>
          </w:p>
        </w:tc>
        <w:tc>
          <w:tcPr>
            <w:tcW w:w="1110" w:type="dxa"/>
            <w:gridSpan w:val="2"/>
            <w:vMerge w:val="continue"/>
            <w:tcBorders>
              <w:top w:val="nil"/>
            </w:tcBorders>
            <w:vAlign w:val="top"/>
          </w:tcPr>
          <w:p w14:paraId="2DC0BC6D">
            <w:pPr>
              <w:rPr>
                <w:rFonts w:ascii="Arial"/>
                <w:sz w:val="21"/>
              </w:rPr>
            </w:pPr>
          </w:p>
        </w:tc>
        <w:tc>
          <w:tcPr>
            <w:tcW w:w="179" w:type="dxa"/>
            <w:vMerge w:val="continue"/>
            <w:tcBorders>
              <w:top w:val="nil"/>
              <w:bottom w:val="nil"/>
              <w:right w:val="single" w:color="000000" w:sz="6" w:space="0"/>
            </w:tcBorders>
            <w:vAlign w:val="top"/>
          </w:tcPr>
          <w:p w14:paraId="6AA0BFFF">
            <w:pPr>
              <w:rPr>
                <w:rFonts w:ascii="Arial"/>
                <w:sz w:val="21"/>
              </w:rPr>
            </w:pPr>
          </w:p>
        </w:tc>
      </w:tr>
      <w:tr w14:paraId="3BF37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5" w:type="dxa"/>
            <w:vMerge w:val="continue"/>
            <w:tcBorders>
              <w:top w:val="nil"/>
              <w:left w:val="single" w:color="000000" w:sz="6" w:space="0"/>
              <w:bottom w:val="nil"/>
            </w:tcBorders>
            <w:vAlign w:val="top"/>
          </w:tcPr>
          <w:p w14:paraId="6615293F">
            <w:pPr>
              <w:rPr>
                <w:rFonts w:ascii="Arial"/>
                <w:sz w:val="21"/>
              </w:rPr>
            </w:pPr>
          </w:p>
        </w:tc>
        <w:tc>
          <w:tcPr>
            <w:tcW w:w="8127" w:type="dxa"/>
            <w:gridSpan w:val="16"/>
            <w:tcBorders>
              <w:right w:val="single" w:color="000000" w:sz="6" w:space="0"/>
            </w:tcBorders>
            <w:vAlign w:val="top"/>
          </w:tcPr>
          <w:p w14:paraId="6D32A4EC">
            <w:pPr>
              <w:spacing w:before="166" w:line="222" w:lineRule="auto"/>
              <w:ind w:left="2979"/>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4-4      </w:t>
            </w:r>
            <w:r>
              <w:rPr>
                <w:rFonts w:ascii="黑体" w:hAnsi="黑体" w:eastAsia="黑体" w:cs="黑体"/>
                <w:spacing w:val="-1"/>
                <w:sz w:val="18"/>
                <w:szCs w:val="18"/>
              </w:rPr>
              <w:t>大气污染物排放表</w:t>
            </w:r>
          </w:p>
        </w:tc>
      </w:tr>
      <w:tr w14:paraId="60B3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3738D6CD">
            <w:pPr>
              <w:rPr>
                <w:rFonts w:ascii="Arial"/>
                <w:sz w:val="21"/>
              </w:rPr>
            </w:pPr>
          </w:p>
        </w:tc>
        <w:tc>
          <w:tcPr>
            <w:tcW w:w="557" w:type="dxa"/>
            <w:vMerge w:val="restart"/>
            <w:tcBorders>
              <w:bottom w:val="nil"/>
            </w:tcBorders>
            <w:vAlign w:val="top"/>
          </w:tcPr>
          <w:p w14:paraId="3EA15C2A">
            <w:pPr>
              <w:spacing w:line="262" w:lineRule="auto"/>
              <w:rPr>
                <w:rFonts w:ascii="Arial"/>
                <w:sz w:val="21"/>
              </w:rPr>
            </w:pPr>
          </w:p>
          <w:p w14:paraId="677C0FA7">
            <w:pPr>
              <w:pStyle w:val="6"/>
              <w:spacing w:before="45" w:line="233" w:lineRule="auto"/>
              <w:ind w:left="168"/>
              <w:rPr>
                <w:sz w:val="14"/>
                <w:szCs w:val="14"/>
              </w:rPr>
            </w:pPr>
            <w:r>
              <w:rPr>
                <w:spacing w:val="6"/>
                <w:sz w:val="14"/>
                <w:szCs w:val="14"/>
              </w:rPr>
              <w:t>序号</w:t>
            </w:r>
          </w:p>
        </w:tc>
        <w:tc>
          <w:tcPr>
            <w:tcW w:w="825" w:type="dxa"/>
            <w:vMerge w:val="restart"/>
            <w:tcBorders>
              <w:bottom w:val="nil"/>
            </w:tcBorders>
            <w:vAlign w:val="top"/>
          </w:tcPr>
          <w:p w14:paraId="7FCA288C">
            <w:pPr>
              <w:pStyle w:val="6"/>
              <w:spacing w:before="189" w:line="301" w:lineRule="auto"/>
              <w:ind w:left="258" w:right="118" w:hanging="148"/>
              <w:rPr>
                <w:sz w:val="14"/>
                <w:szCs w:val="14"/>
              </w:rPr>
            </w:pPr>
            <w:r>
              <w:rPr>
                <w:spacing w:val="7"/>
                <w:sz w:val="14"/>
                <w:szCs w:val="14"/>
              </w:rPr>
              <w:t>生产设施</w:t>
            </w:r>
            <w:r>
              <w:rPr>
                <w:spacing w:val="1"/>
                <w:sz w:val="14"/>
                <w:szCs w:val="14"/>
              </w:rPr>
              <w:t xml:space="preserve"> </w:t>
            </w:r>
            <w:r>
              <w:rPr>
                <w:spacing w:val="5"/>
                <w:sz w:val="14"/>
                <w:szCs w:val="14"/>
              </w:rPr>
              <w:t>编号</w:t>
            </w:r>
          </w:p>
        </w:tc>
        <w:tc>
          <w:tcPr>
            <w:tcW w:w="841" w:type="dxa"/>
            <w:gridSpan w:val="2"/>
            <w:vMerge w:val="restart"/>
            <w:tcBorders>
              <w:bottom w:val="nil"/>
            </w:tcBorders>
            <w:vAlign w:val="top"/>
          </w:tcPr>
          <w:p w14:paraId="2B92AA80">
            <w:pPr>
              <w:pStyle w:val="6"/>
              <w:spacing w:before="190" w:line="302" w:lineRule="auto"/>
              <w:ind w:left="341" w:right="50" w:hanging="298"/>
              <w:rPr>
                <w:sz w:val="14"/>
                <w:szCs w:val="14"/>
              </w:rPr>
            </w:pPr>
            <w:r>
              <w:rPr>
                <w:spacing w:val="8"/>
                <w:sz w:val="14"/>
                <w:szCs w:val="14"/>
              </w:rPr>
              <w:t>生产设施名</w:t>
            </w:r>
            <w:r>
              <w:rPr>
                <w:sz w:val="14"/>
                <w:szCs w:val="14"/>
              </w:rPr>
              <w:t xml:space="preserve"> </w:t>
            </w:r>
            <w:r>
              <w:rPr>
                <w:spacing w:val="3"/>
                <w:sz w:val="14"/>
                <w:szCs w:val="14"/>
              </w:rPr>
              <w:t>称</w:t>
            </w:r>
          </w:p>
        </w:tc>
        <w:tc>
          <w:tcPr>
            <w:tcW w:w="791" w:type="dxa"/>
            <w:gridSpan w:val="2"/>
            <w:vMerge w:val="restart"/>
            <w:tcBorders>
              <w:bottom w:val="nil"/>
            </w:tcBorders>
            <w:vAlign w:val="top"/>
          </w:tcPr>
          <w:p w14:paraId="46BAFCB8">
            <w:pPr>
              <w:spacing w:line="262" w:lineRule="auto"/>
              <w:rPr>
                <w:rFonts w:ascii="Arial"/>
                <w:sz w:val="21"/>
              </w:rPr>
            </w:pPr>
          </w:p>
          <w:p w14:paraId="0E238877">
            <w:pPr>
              <w:pStyle w:val="6"/>
              <w:spacing w:before="46" w:line="231" w:lineRule="auto"/>
              <w:ind w:left="21"/>
              <w:rPr>
                <w:sz w:val="14"/>
                <w:szCs w:val="14"/>
              </w:rPr>
            </w:pPr>
            <w:r>
              <w:rPr>
                <w:spacing w:val="8"/>
                <w:sz w:val="14"/>
                <w:szCs w:val="14"/>
              </w:rPr>
              <w:t>污染物种类</w:t>
            </w:r>
          </w:p>
        </w:tc>
        <w:tc>
          <w:tcPr>
            <w:tcW w:w="682" w:type="dxa"/>
            <w:gridSpan w:val="2"/>
            <w:vMerge w:val="restart"/>
            <w:tcBorders>
              <w:bottom w:val="nil"/>
            </w:tcBorders>
            <w:vAlign w:val="top"/>
          </w:tcPr>
          <w:p w14:paraId="0387E22D">
            <w:pPr>
              <w:pStyle w:val="6"/>
              <w:spacing w:before="190" w:line="307" w:lineRule="auto"/>
              <w:ind w:left="122" w:right="119" w:hanging="8"/>
              <w:rPr>
                <w:sz w:val="14"/>
                <w:szCs w:val="14"/>
              </w:rPr>
            </w:pPr>
            <w:r>
              <w:rPr>
                <w:spacing w:val="7"/>
                <w:sz w:val="14"/>
                <w:szCs w:val="14"/>
              </w:rPr>
              <w:t>排放量</w:t>
            </w:r>
            <w:r>
              <w:rPr>
                <w:spacing w:val="1"/>
                <w:sz w:val="14"/>
                <w:szCs w:val="14"/>
              </w:rPr>
              <w:t xml:space="preserve"> </w:t>
            </w:r>
            <w:r>
              <w:rPr>
                <w:sz w:val="14"/>
                <w:szCs w:val="14"/>
              </w:rPr>
              <w:t>（</w:t>
            </w:r>
            <w:r>
              <w:rPr>
                <w:rFonts w:ascii="Times New Roman" w:hAnsi="Times New Roman" w:eastAsia="Times New Roman" w:cs="Times New Roman"/>
                <w:sz w:val="14"/>
                <w:szCs w:val="14"/>
              </w:rPr>
              <w:t>t/a</w:t>
            </w:r>
            <w:r>
              <w:rPr>
                <w:sz w:val="14"/>
                <w:szCs w:val="14"/>
              </w:rPr>
              <w:t>）</w:t>
            </w:r>
          </w:p>
        </w:tc>
        <w:tc>
          <w:tcPr>
            <w:tcW w:w="1682" w:type="dxa"/>
            <w:gridSpan w:val="2"/>
            <w:vMerge w:val="restart"/>
            <w:tcBorders>
              <w:bottom w:val="nil"/>
            </w:tcBorders>
            <w:vAlign w:val="top"/>
          </w:tcPr>
          <w:p w14:paraId="6AEECA78">
            <w:pPr>
              <w:pStyle w:val="6"/>
              <w:spacing w:before="188" w:line="302" w:lineRule="auto"/>
              <w:ind w:left="691" w:right="392" w:hanging="298"/>
              <w:rPr>
                <w:sz w:val="14"/>
                <w:szCs w:val="14"/>
              </w:rPr>
            </w:pPr>
            <w:r>
              <w:rPr>
                <w:spacing w:val="8"/>
                <w:sz w:val="14"/>
                <w:szCs w:val="14"/>
              </w:rPr>
              <w:t>主要污染防治</w:t>
            </w:r>
            <w:r>
              <w:rPr>
                <w:spacing w:val="1"/>
                <w:sz w:val="14"/>
                <w:szCs w:val="14"/>
              </w:rPr>
              <w:t xml:space="preserve"> </w:t>
            </w:r>
            <w:r>
              <w:rPr>
                <w:spacing w:val="5"/>
                <w:sz w:val="14"/>
                <w:szCs w:val="14"/>
              </w:rPr>
              <w:t>措施</w:t>
            </w:r>
          </w:p>
        </w:tc>
        <w:tc>
          <w:tcPr>
            <w:tcW w:w="2141" w:type="dxa"/>
            <w:gridSpan w:val="4"/>
            <w:vAlign w:val="top"/>
          </w:tcPr>
          <w:p w14:paraId="7F58610E">
            <w:pPr>
              <w:pStyle w:val="6"/>
              <w:spacing w:before="65" w:line="224" w:lineRule="auto"/>
              <w:ind w:left="189"/>
              <w:rPr>
                <w:sz w:val="14"/>
                <w:szCs w:val="14"/>
              </w:rPr>
            </w:pPr>
            <w:r>
              <w:rPr>
                <w:spacing w:val="8"/>
                <w:sz w:val="14"/>
                <w:szCs w:val="14"/>
              </w:rPr>
              <w:t>国家或地方污染物排放标准</w:t>
            </w:r>
          </w:p>
        </w:tc>
        <w:tc>
          <w:tcPr>
            <w:tcW w:w="608" w:type="dxa"/>
            <w:gridSpan w:val="2"/>
            <w:vMerge w:val="restart"/>
            <w:tcBorders>
              <w:bottom w:val="nil"/>
              <w:right w:val="single" w:color="000000" w:sz="6" w:space="0"/>
            </w:tcBorders>
            <w:vAlign w:val="top"/>
          </w:tcPr>
          <w:p w14:paraId="445B17BC">
            <w:pPr>
              <w:pStyle w:val="6"/>
              <w:spacing w:before="189" w:line="301" w:lineRule="auto"/>
              <w:ind w:left="114" w:right="191"/>
              <w:rPr>
                <w:sz w:val="14"/>
                <w:szCs w:val="14"/>
              </w:rPr>
            </w:pPr>
            <w:r>
              <w:rPr>
                <w:spacing w:val="5"/>
                <w:sz w:val="14"/>
                <w:szCs w:val="14"/>
              </w:rPr>
              <w:t>其他</w:t>
            </w:r>
            <w:r>
              <w:rPr>
                <w:sz w:val="14"/>
                <w:szCs w:val="14"/>
              </w:rPr>
              <w:t xml:space="preserve"> </w:t>
            </w:r>
            <w:r>
              <w:rPr>
                <w:spacing w:val="5"/>
                <w:sz w:val="14"/>
                <w:szCs w:val="14"/>
              </w:rPr>
              <w:t>信息</w:t>
            </w:r>
          </w:p>
        </w:tc>
      </w:tr>
      <w:tr w14:paraId="05919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7C9B5B1">
            <w:pPr>
              <w:rPr>
                <w:rFonts w:ascii="Arial"/>
                <w:sz w:val="21"/>
              </w:rPr>
            </w:pPr>
          </w:p>
        </w:tc>
        <w:tc>
          <w:tcPr>
            <w:tcW w:w="557" w:type="dxa"/>
            <w:vMerge w:val="continue"/>
            <w:tcBorders>
              <w:top w:val="nil"/>
            </w:tcBorders>
            <w:vAlign w:val="top"/>
          </w:tcPr>
          <w:p w14:paraId="46316830">
            <w:pPr>
              <w:rPr>
                <w:rFonts w:ascii="Arial"/>
                <w:sz w:val="21"/>
              </w:rPr>
            </w:pPr>
          </w:p>
        </w:tc>
        <w:tc>
          <w:tcPr>
            <w:tcW w:w="825" w:type="dxa"/>
            <w:vMerge w:val="continue"/>
            <w:tcBorders>
              <w:top w:val="nil"/>
            </w:tcBorders>
            <w:vAlign w:val="top"/>
          </w:tcPr>
          <w:p w14:paraId="7ECEACC2">
            <w:pPr>
              <w:rPr>
                <w:rFonts w:ascii="Arial"/>
                <w:sz w:val="21"/>
              </w:rPr>
            </w:pPr>
          </w:p>
        </w:tc>
        <w:tc>
          <w:tcPr>
            <w:tcW w:w="841" w:type="dxa"/>
            <w:gridSpan w:val="2"/>
            <w:vMerge w:val="continue"/>
            <w:tcBorders>
              <w:top w:val="nil"/>
            </w:tcBorders>
            <w:vAlign w:val="top"/>
          </w:tcPr>
          <w:p w14:paraId="7D43C7BF">
            <w:pPr>
              <w:rPr>
                <w:rFonts w:ascii="Arial"/>
                <w:sz w:val="21"/>
              </w:rPr>
            </w:pPr>
          </w:p>
        </w:tc>
        <w:tc>
          <w:tcPr>
            <w:tcW w:w="791" w:type="dxa"/>
            <w:gridSpan w:val="2"/>
            <w:vMerge w:val="continue"/>
            <w:tcBorders>
              <w:top w:val="nil"/>
            </w:tcBorders>
            <w:vAlign w:val="top"/>
          </w:tcPr>
          <w:p w14:paraId="10F743C0">
            <w:pPr>
              <w:rPr>
                <w:rFonts w:ascii="Arial"/>
                <w:sz w:val="21"/>
              </w:rPr>
            </w:pPr>
          </w:p>
        </w:tc>
        <w:tc>
          <w:tcPr>
            <w:tcW w:w="682" w:type="dxa"/>
            <w:gridSpan w:val="2"/>
            <w:vMerge w:val="continue"/>
            <w:tcBorders>
              <w:top w:val="nil"/>
            </w:tcBorders>
            <w:vAlign w:val="top"/>
          </w:tcPr>
          <w:p w14:paraId="130D917B">
            <w:pPr>
              <w:rPr>
                <w:rFonts w:ascii="Arial"/>
                <w:sz w:val="21"/>
              </w:rPr>
            </w:pPr>
          </w:p>
        </w:tc>
        <w:tc>
          <w:tcPr>
            <w:tcW w:w="1682" w:type="dxa"/>
            <w:gridSpan w:val="2"/>
            <w:vMerge w:val="continue"/>
            <w:tcBorders>
              <w:top w:val="nil"/>
            </w:tcBorders>
            <w:vAlign w:val="top"/>
          </w:tcPr>
          <w:p w14:paraId="2CE487A8">
            <w:pPr>
              <w:rPr>
                <w:rFonts w:ascii="Arial"/>
                <w:sz w:val="21"/>
              </w:rPr>
            </w:pPr>
          </w:p>
        </w:tc>
        <w:tc>
          <w:tcPr>
            <w:tcW w:w="1087" w:type="dxa"/>
            <w:gridSpan w:val="2"/>
            <w:vAlign w:val="top"/>
          </w:tcPr>
          <w:p w14:paraId="6381355B">
            <w:pPr>
              <w:pStyle w:val="6"/>
              <w:spacing w:before="184" w:line="233" w:lineRule="auto"/>
              <w:ind w:left="399"/>
              <w:rPr>
                <w:sz w:val="14"/>
                <w:szCs w:val="14"/>
              </w:rPr>
            </w:pPr>
            <w:r>
              <w:rPr>
                <w:spacing w:val="5"/>
                <w:sz w:val="14"/>
                <w:szCs w:val="14"/>
              </w:rPr>
              <w:t>名称</w:t>
            </w:r>
          </w:p>
        </w:tc>
        <w:tc>
          <w:tcPr>
            <w:tcW w:w="1054" w:type="dxa"/>
            <w:gridSpan w:val="2"/>
            <w:vAlign w:val="top"/>
          </w:tcPr>
          <w:p w14:paraId="1EDD07B1">
            <w:pPr>
              <w:pStyle w:val="6"/>
              <w:spacing w:before="64" w:line="270" w:lineRule="auto"/>
              <w:ind w:left="233" w:hanging="224"/>
              <w:rPr>
                <w:sz w:val="14"/>
                <w:szCs w:val="14"/>
              </w:rPr>
            </w:pPr>
            <w:r>
              <w:rPr>
                <w:spacing w:val="8"/>
                <w:sz w:val="14"/>
                <w:szCs w:val="14"/>
              </w:rPr>
              <w:t>排放限值（速率</w:t>
            </w:r>
            <w:r>
              <w:rPr>
                <w:spacing w:val="2"/>
                <w:sz w:val="14"/>
                <w:szCs w:val="14"/>
              </w:rPr>
              <w:t xml:space="preserve"> </w:t>
            </w:r>
            <w:r>
              <w:rPr>
                <w:spacing w:val="4"/>
                <w:sz w:val="14"/>
                <w:szCs w:val="14"/>
              </w:rPr>
              <w:t>或浓度）</w:t>
            </w:r>
          </w:p>
        </w:tc>
        <w:tc>
          <w:tcPr>
            <w:tcW w:w="608" w:type="dxa"/>
            <w:gridSpan w:val="2"/>
            <w:vMerge w:val="continue"/>
            <w:tcBorders>
              <w:top w:val="nil"/>
              <w:right w:val="single" w:color="000000" w:sz="6" w:space="0"/>
            </w:tcBorders>
            <w:vAlign w:val="top"/>
          </w:tcPr>
          <w:p w14:paraId="7BD6958A">
            <w:pPr>
              <w:rPr>
                <w:rFonts w:ascii="Arial"/>
                <w:sz w:val="21"/>
              </w:rPr>
            </w:pPr>
          </w:p>
        </w:tc>
      </w:tr>
      <w:tr w14:paraId="522A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6ADF77D2">
            <w:pPr>
              <w:rPr>
                <w:rFonts w:ascii="Arial"/>
                <w:sz w:val="21"/>
              </w:rPr>
            </w:pPr>
          </w:p>
        </w:tc>
        <w:tc>
          <w:tcPr>
            <w:tcW w:w="557" w:type="dxa"/>
            <w:vAlign w:val="top"/>
          </w:tcPr>
          <w:p w14:paraId="6870DC48">
            <w:pPr>
              <w:spacing w:before="90" w:line="198" w:lineRule="auto"/>
              <w:ind w:left="293"/>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c>
          <w:tcPr>
            <w:tcW w:w="825" w:type="dxa"/>
            <w:vAlign w:val="top"/>
          </w:tcPr>
          <w:p w14:paraId="3EEADF8A">
            <w:pPr>
              <w:spacing w:before="9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0001</w:t>
            </w:r>
          </w:p>
        </w:tc>
        <w:tc>
          <w:tcPr>
            <w:tcW w:w="841" w:type="dxa"/>
            <w:gridSpan w:val="2"/>
            <w:vAlign w:val="top"/>
          </w:tcPr>
          <w:p w14:paraId="66C2E240">
            <w:pPr>
              <w:pStyle w:val="6"/>
              <w:spacing w:before="65" w:line="224" w:lineRule="auto"/>
              <w:ind w:left="194"/>
              <w:rPr>
                <w:sz w:val="14"/>
                <w:szCs w:val="14"/>
              </w:rPr>
            </w:pPr>
            <w:r>
              <w:rPr>
                <w:spacing w:val="6"/>
                <w:sz w:val="14"/>
                <w:szCs w:val="14"/>
              </w:rPr>
              <w:t>卸料口</w:t>
            </w:r>
          </w:p>
        </w:tc>
        <w:tc>
          <w:tcPr>
            <w:tcW w:w="791" w:type="dxa"/>
            <w:gridSpan w:val="2"/>
            <w:vAlign w:val="top"/>
          </w:tcPr>
          <w:p w14:paraId="1583EEC3">
            <w:pPr>
              <w:pStyle w:val="6"/>
              <w:spacing w:before="65" w:line="224" w:lineRule="auto"/>
              <w:ind w:left="242"/>
              <w:rPr>
                <w:sz w:val="14"/>
                <w:szCs w:val="14"/>
              </w:rPr>
            </w:pPr>
            <w:r>
              <w:rPr>
                <w:spacing w:val="6"/>
                <w:sz w:val="14"/>
                <w:szCs w:val="14"/>
              </w:rPr>
              <w:t>粉尘</w:t>
            </w:r>
          </w:p>
        </w:tc>
        <w:tc>
          <w:tcPr>
            <w:tcW w:w="682" w:type="dxa"/>
            <w:gridSpan w:val="2"/>
            <w:vAlign w:val="top"/>
          </w:tcPr>
          <w:p w14:paraId="0ED805DE">
            <w:pPr>
              <w:spacing w:before="90"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0.608</w:t>
            </w:r>
          </w:p>
        </w:tc>
        <w:tc>
          <w:tcPr>
            <w:tcW w:w="1682" w:type="dxa"/>
            <w:gridSpan w:val="2"/>
            <w:vAlign w:val="top"/>
          </w:tcPr>
          <w:p w14:paraId="2743586D">
            <w:pPr>
              <w:pStyle w:val="6"/>
              <w:spacing w:before="54" w:line="208" w:lineRule="auto"/>
              <w:jc w:val="right"/>
              <w:rPr>
                <w:sz w:val="16"/>
                <w:szCs w:val="16"/>
              </w:rPr>
            </w:pPr>
            <w:r>
              <w:rPr>
                <w:spacing w:val="-8"/>
                <w:sz w:val="16"/>
                <w:szCs w:val="16"/>
              </w:rPr>
              <w:t>喷雾、三面及顶部设围挡</w:t>
            </w:r>
          </w:p>
        </w:tc>
        <w:tc>
          <w:tcPr>
            <w:tcW w:w="1087" w:type="dxa"/>
            <w:gridSpan w:val="2"/>
            <w:vMerge w:val="restart"/>
            <w:tcBorders>
              <w:bottom w:val="nil"/>
            </w:tcBorders>
            <w:vAlign w:val="top"/>
          </w:tcPr>
          <w:p w14:paraId="1E761A7C">
            <w:pPr>
              <w:pStyle w:val="6"/>
              <w:spacing w:before="190" w:line="273" w:lineRule="auto"/>
              <w:ind w:left="33" w:right="19" w:firstLine="34"/>
              <w:rPr>
                <w:rFonts w:ascii="Times New Roman" w:hAnsi="Times New Roman" w:eastAsia="Times New Roman" w:cs="Times New Roman"/>
                <w:sz w:val="16"/>
                <w:szCs w:val="16"/>
              </w:rPr>
            </w:pPr>
            <w:r>
              <w:rPr>
                <w:spacing w:val="-2"/>
                <w:sz w:val="16"/>
                <w:szCs w:val="16"/>
              </w:rPr>
              <w:t>《四川省水泥</w:t>
            </w:r>
            <w:r>
              <w:rPr>
                <w:spacing w:val="3"/>
                <w:sz w:val="16"/>
                <w:szCs w:val="16"/>
              </w:rPr>
              <w:t xml:space="preserve"> </w:t>
            </w:r>
            <w:r>
              <w:rPr>
                <w:spacing w:val="4"/>
                <w:sz w:val="16"/>
                <w:szCs w:val="16"/>
              </w:rPr>
              <w:t>工业大气污染</w:t>
            </w:r>
            <w:r>
              <w:rPr>
                <w:spacing w:val="2"/>
                <w:sz w:val="16"/>
                <w:szCs w:val="16"/>
              </w:rPr>
              <w:t xml:space="preserve"> </w:t>
            </w:r>
            <w:r>
              <w:rPr>
                <w:spacing w:val="3"/>
                <w:sz w:val="16"/>
                <w:szCs w:val="16"/>
              </w:rPr>
              <w:t>物排放标准》</w:t>
            </w:r>
            <w:r>
              <w:rPr>
                <w:spacing w:val="1"/>
                <w:sz w:val="16"/>
                <w:szCs w:val="16"/>
              </w:rPr>
              <w:t xml:space="preserve"> </w:t>
            </w:r>
            <w:r>
              <w:rPr>
                <w:spacing w:val="-1"/>
                <w:sz w:val="16"/>
                <w:szCs w:val="16"/>
              </w:rPr>
              <w:t>（</w:t>
            </w:r>
            <w:r>
              <w:rPr>
                <w:rFonts w:ascii="Times New Roman" w:hAnsi="Times New Roman" w:eastAsia="Times New Roman" w:cs="Times New Roman"/>
                <w:spacing w:val="-1"/>
                <w:sz w:val="16"/>
                <w:szCs w:val="16"/>
              </w:rPr>
              <w:t>DB51/2864-2</w:t>
            </w:r>
          </w:p>
          <w:p w14:paraId="31DD0DB1">
            <w:pPr>
              <w:pStyle w:val="6"/>
              <w:spacing w:before="11" w:line="233" w:lineRule="auto"/>
              <w:ind w:left="347"/>
              <w:rPr>
                <w:sz w:val="16"/>
                <w:szCs w:val="16"/>
              </w:rPr>
            </w:pPr>
            <w:r>
              <w:rPr>
                <w:rFonts w:ascii="Times New Roman" w:hAnsi="Times New Roman" w:eastAsia="Times New Roman" w:cs="Times New Roman"/>
                <w:spacing w:val="-2"/>
                <w:sz w:val="16"/>
                <w:szCs w:val="16"/>
              </w:rPr>
              <w:t>021</w:t>
            </w:r>
            <w:r>
              <w:rPr>
                <w:spacing w:val="-2"/>
                <w:sz w:val="16"/>
                <w:szCs w:val="16"/>
              </w:rPr>
              <w:t>）</w:t>
            </w:r>
          </w:p>
        </w:tc>
        <w:tc>
          <w:tcPr>
            <w:tcW w:w="1054" w:type="dxa"/>
            <w:gridSpan w:val="2"/>
            <w:vMerge w:val="restart"/>
            <w:tcBorders>
              <w:bottom w:val="nil"/>
            </w:tcBorders>
            <w:vAlign w:val="top"/>
          </w:tcPr>
          <w:p w14:paraId="5C294BB7">
            <w:pPr>
              <w:spacing w:line="324" w:lineRule="auto"/>
              <w:rPr>
                <w:rFonts w:ascii="Arial"/>
                <w:sz w:val="21"/>
              </w:rPr>
            </w:pPr>
          </w:p>
          <w:p w14:paraId="24DA87D6">
            <w:pPr>
              <w:spacing w:line="325" w:lineRule="auto"/>
              <w:rPr>
                <w:rFonts w:ascii="Arial"/>
                <w:sz w:val="21"/>
              </w:rPr>
            </w:pPr>
          </w:p>
          <w:p w14:paraId="0DA08A8D">
            <w:pPr>
              <w:spacing w:before="40" w:line="218" w:lineRule="auto"/>
              <w:ind w:left="239"/>
              <w:rPr>
                <w:rFonts w:ascii="Times New Roman" w:hAnsi="Times New Roman" w:eastAsia="Times New Roman" w:cs="Times New Roman"/>
                <w:sz w:val="9"/>
                <w:szCs w:val="9"/>
              </w:rPr>
            </w:pPr>
            <w:r>
              <w:rPr>
                <w:rFonts w:ascii="Times New Roman" w:hAnsi="Times New Roman" w:eastAsia="Times New Roman" w:cs="Times New Roman"/>
                <w:spacing w:val="5"/>
                <w:sz w:val="14"/>
                <w:szCs w:val="14"/>
              </w:rPr>
              <w:t>0.3</w:t>
            </w:r>
            <w:r>
              <w:rPr>
                <w:rFonts w:ascii="Times New Roman" w:hAnsi="Times New Roman" w:eastAsia="Times New Roman" w:cs="Times New Roman"/>
                <w:sz w:val="14"/>
                <w:szCs w:val="14"/>
              </w:rPr>
              <w:t>mg</w:t>
            </w:r>
            <w:r>
              <w:rPr>
                <w:rFonts w:ascii="Times New Roman" w:hAnsi="Times New Roman" w:eastAsia="Times New Roman" w:cs="Times New Roman"/>
                <w:spacing w:val="5"/>
                <w:sz w:val="14"/>
                <w:szCs w:val="14"/>
              </w:rPr>
              <w:t>/m</w:t>
            </w:r>
            <w:r>
              <w:rPr>
                <w:rFonts w:ascii="Times New Roman" w:hAnsi="Times New Roman" w:eastAsia="Times New Roman" w:cs="Times New Roman"/>
                <w:spacing w:val="5"/>
                <w:position w:val="4"/>
                <w:sz w:val="9"/>
                <w:szCs w:val="9"/>
              </w:rPr>
              <w:t>3</w:t>
            </w:r>
          </w:p>
        </w:tc>
        <w:tc>
          <w:tcPr>
            <w:tcW w:w="608" w:type="dxa"/>
            <w:gridSpan w:val="2"/>
            <w:vMerge w:val="restart"/>
            <w:tcBorders>
              <w:bottom w:val="nil"/>
              <w:right w:val="single" w:color="000000" w:sz="6" w:space="0"/>
            </w:tcBorders>
            <w:vAlign w:val="top"/>
          </w:tcPr>
          <w:p w14:paraId="0D17FBDE">
            <w:pPr>
              <w:spacing w:line="314" w:lineRule="auto"/>
              <w:rPr>
                <w:rFonts w:ascii="Arial"/>
                <w:sz w:val="21"/>
              </w:rPr>
            </w:pPr>
          </w:p>
          <w:p w14:paraId="2F402E0D">
            <w:pPr>
              <w:spacing w:line="315" w:lineRule="auto"/>
              <w:rPr>
                <w:rFonts w:ascii="Arial"/>
                <w:sz w:val="21"/>
              </w:rPr>
            </w:pPr>
          </w:p>
          <w:p w14:paraId="64895F00">
            <w:pPr>
              <w:pStyle w:val="6"/>
              <w:spacing w:before="46" w:line="232" w:lineRule="auto"/>
              <w:ind w:left="113"/>
              <w:rPr>
                <w:sz w:val="14"/>
                <w:szCs w:val="14"/>
              </w:rPr>
            </w:pPr>
            <w:r>
              <w:rPr>
                <w:spacing w:val="6"/>
                <w:sz w:val="14"/>
                <w:szCs w:val="14"/>
              </w:rPr>
              <w:t>达标</w:t>
            </w:r>
          </w:p>
        </w:tc>
      </w:tr>
      <w:tr w14:paraId="23C27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747A119F">
            <w:pPr>
              <w:rPr>
                <w:rFonts w:ascii="Arial"/>
                <w:sz w:val="21"/>
              </w:rPr>
            </w:pPr>
          </w:p>
        </w:tc>
        <w:tc>
          <w:tcPr>
            <w:tcW w:w="557" w:type="dxa"/>
            <w:vAlign w:val="top"/>
          </w:tcPr>
          <w:p w14:paraId="35951F2F">
            <w:pPr>
              <w:spacing w:before="210" w:line="198" w:lineRule="auto"/>
              <w:ind w:left="27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w:t>
            </w:r>
          </w:p>
        </w:tc>
        <w:tc>
          <w:tcPr>
            <w:tcW w:w="825" w:type="dxa"/>
            <w:vAlign w:val="top"/>
          </w:tcPr>
          <w:p w14:paraId="28C2C0E9">
            <w:pPr>
              <w:spacing w:before="21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0002</w:t>
            </w:r>
          </w:p>
        </w:tc>
        <w:tc>
          <w:tcPr>
            <w:tcW w:w="841" w:type="dxa"/>
            <w:gridSpan w:val="2"/>
            <w:vAlign w:val="top"/>
          </w:tcPr>
          <w:p w14:paraId="6E22A56B">
            <w:pPr>
              <w:pStyle w:val="6"/>
              <w:spacing w:before="64" w:line="270" w:lineRule="auto"/>
              <w:ind w:left="347" w:hanging="348"/>
              <w:rPr>
                <w:sz w:val="14"/>
                <w:szCs w:val="14"/>
              </w:rPr>
            </w:pPr>
            <w:r>
              <w:rPr>
                <w:spacing w:val="-1"/>
                <w:sz w:val="14"/>
                <w:szCs w:val="14"/>
              </w:rPr>
              <w:t>破碎机、筛分</w:t>
            </w:r>
            <w:r>
              <w:rPr>
                <w:spacing w:val="1"/>
                <w:sz w:val="14"/>
                <w:szCs w:val="14"/>
              </w:rPr>
              <w:t xml:space="preserve"> </w:t>
            </w:r>
            <w:r>
              <w:rPr>
                <w:sz w:val="14"/>
                <w:szCs w:val="14"/>
              </w:rPr>
              <w:t>机</w:t>
            </w:r>
          </w:p>
        </w:tc>
        <w:tc>
          <w:tcPr>
            <w:tcW w:w="791" w:type="dxa"/>
            <w:gridSpan w:val="2"/>
            <w:vAlign w:val="top"/>
          </w:tcPr>
          <w:p w14:paraId="0D3C9066">
            <w:pPr>
              <w:pStyle w:val="6"/>
              <w:spacing w:before="184" w:line="231" w:lineRule="auto"/>
              <w:ind w:left="242"/>
              <w:rPr>
                <w:sz w:val="14"/>
                <w:szCs w:val="14"/>
              </w:rPr>
            </w:pPr>
            <w:r>
              <w:rPr>
                <w:spacing w:val="6"/>
                <w:sz w:val="14"/>
                <w:szCs w:val="14"/>
              </w:rPr>
              <w:t>粉尘</w:t>
            </w:r>
          </w:p>
        </w:tc>
        <w:tc>
          <w:tcPr>
            <w:tcW w:w="682" w:type="dxa"/>
            <w:gridSpan w:val="2"/>
            <w:vAlign w:val="top"/>
          </w:tcPr>
          <w:p w14:paraId="56F16A96">
            <w:pPr>
              <w:spacing w:before="210" w:line="198" w:lineRule="auto"/>
              <w:ind w:left="14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18.794</w:t>
            </w:r>
          </w:p>
        </w:tc>
        <w:tc>
          <w:tcPr>
            <w:tcW w:w="1682" w:type="dxa"/>
            <w:gridSpan w:val="2"/>
            <w:vAlign w:val="top"/>
          </w:tcPr>
          <w:p w14:paraId="10B2F04E">
            <w:pPr>
              <w:pStyle w:val="6"/>
              <w:spacing w:before="54" w:line="242" w:lineRule="auto"/>
              <w:ind w:left="51" w:hanging="52"/>
              <w:rPr>
                <w:sz w:val="16"/>
                <w:szCs w:val="16"/>
              </w:rPr>
            </w:pPr>
            <w:r>
              <w:rPr>
                <w:spacing w:val="-9"/>
                <w:sz w:val="16"/>
                <w:szCs w:val="16"/>
              </w:rPr>
              <w:t>密</w:t>
            </w:r>
            <w:r>
              <w:rPr>
                <w:spacing w:val="-8"/>
                <w:sz w:val="16"/>
                <w:szCs w:val="16"/>
              </w:rPr>
              <w:t>闭型设备、设除尘器</w:t>
            </w:r>
            <w:r>
              <w:rPr>
                <w:spacing w:val="-7"/>
                <w:sz w:val="16"/>
                <w:szCs w:val="16"/>
              </w:rPr>
              <w:t>收</w:t>
            </w:r>
            <w:r>
              <w:rPr>
                <w:spacing w:val="3"/>
                <w:sz w:val="16"/>
                <w:szCs w:val="16"/>
              </w:rPr>
              <w:t xml:space="preserve"> </w:t>
            </w:r>
            <w:r>
              <w:rPr>
                <w:spacing w:val="-3"/>
                <w:sz w:val="16"/>
                <w:szCs w:val="16"/>
              </w:rPr>
              <w:t>尘、地下堆场喷雾降尘</w:t>
            </w:r>
          </w:p>
        </w:tc>
        <w:tc>
          <w:tcPr>
            <w:tcW w:w="1087" w:type="dxa"/>
            <w:gridSpan w:val="2"/>
            <w:vMerge w:val="continue"/>
            <w:tcBorders>
              <w:top w:val="nil"/>
              <w:bottom w:val="nil"/>
            </w:tcBorders>
            <w:vAlign w:val="top"/>
          </w:tcPr>
          <w:p w14:paraId="1549C404">
            <w:pPr>
              <w:rPr>
                <w:rFonts w:ascii="Arial"/>
                <w:sz w:val="21"/>
              </w:rPr>
            </w:pPr>
          </w:p>
        </w:tc>
        <w:tc>
          <w:tcPr>
            <w:tcW w:w="1054" w:type="dxa"/>
            <w:gridSpan w:val="2"/>
            <w:vMerge w:val="continue"/>
            <w:tcBorders>
              <w:top w:val="nil"/>
              <w:bottom w:val="nil"/>
            </w:tcBorders>
            <w:vAlign w:val="top"/>
          </w:tcPr>
          <w:p w14:paraId="6EBAD334">
            <w:pPr>
              <w:rPr>
                <w:rFonts w:ascii="Arial"/>
                <w:sz w:val="21"/>
              </w:rPr>
            </w:pPr>
          </w:p>
        </w:tc>
        <w:tc>
          <w:tcPr>
            <w:tcW w:w="608" w:type="dxa"/>
            <w:gridSpan w:val="2"/>
            <w:vMerge w:val="continue"/>
            <w:tcBorders>
              <w:top w:val="nil"/>
              <w:bottom w:val="nil"/>
              <w:right w:val="single" w:color="000000" w:sz="6" w:space="0"/>
            </w:tcBorders>
            <w:vAlign w:val="top"/>
          </w:tcPr>
          <w:p w14:paraId="1554B716">
            <w:pPr>
              <w:rPr>
                <w:rFonts w:ascii="Arial"/>
                <w:sz w:val="21"/>
              </w:rPr>
            </w:pPr>
          </w:p>
        </w:tc>
      </w:tr>
      <w:tr w14:paraId="1A1F0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3DB3A4B1">
            <w:pPr>
              <w:rPr>
                <w:rFonts w:ascii="Arial"/>
                <w:sz w:val="21"/>
              </w:rPr>
            </w:pPr>
          </w:p>
        </w:tc>
        <w:tc>
          <w:tcPr>
            <w:tcW w:w="557" w:type="dxa"/>
            <w:vAlign w:val="top"/>
          </w:tcPr>
          <w:p w14:paraId="6F843AD4">
            <w:pPr>
              <w:spacing w:before="90" w:line="198" w:lineRule="auto"/>
              <w:ind w:left="282"/>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tc>
        <w:tc>
          <w:tcPr>
            <w:tcW w:w="825" w:type="dxa"/>
            <w:vAlign w:val="top"/>
          </w:tcPr>
          <w:p w14:paraId="42353825">
            <w:pPr>
              <w:spacing w:before="9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0003</w:t>
            </w:r>
          </w:p>
        </w:tc>
        <w:tc>
          <w:tcPr>
            <w:tcW w:w="841" w:type="dxa"/>
            <w:gridSpan w:val="2"/>
            <w:vAlign w:val="top"/>
          </w:tcPr>
          <w:p w14:paraId="5596B8B9">
            <w:pPr>
              <w:pStyle w:val="6"/>
              <w:spacing w:before="65" w:line="224" w:lineRule="auto"/>
              <w:ind w:left="118"/>
              <w:rPr>
                <w:sz w:val="14"/>
                <w:szCs w:val="14"/>
              </w:rPr>
            </w:pPr>
            <w:r>
              <w:rPr>
                <w:spacing w:val="7"/>
                <w:sz w:val="14"/>
                <w:szCs w:val="14"/>
              </w:rPr>
              <w:t>上料料斗</w:t>
            </w:r>
          </w:p>
        </w:tc>
        <w:tc>
          <w:tcPr>
            <w:tcW w:w="791" w:type="dxa"/>
            <w:gridSpan w:val="2"/>
            <w:vAlign w:val="top"/>
          </w:tcPr>
          <w:p w14:paraId="6C46171B">
            <w:pPr>
              <w:pStyle w:val="6"/>
              <w:spacing w:before="65" w:line="224" w:lineRule="auto"/>
              <w:ind w:left="242"/>
              <w:rPr>
                <w:sz w:val="14"/>
                <w:szCs w:val="14"/>
              </w:rPr>
            </w:pPr>
            <w:r>
              <w:rPr>
                <w:spacing w:val="6"/>
                <w:sz w:val="14"/>
                <w:szCs w:val="14"/>
              </w:rPr>
              <w:t>粉尘</w:t>
            </w:r>
          </w:p>
        </w:tc>
        <w:tc>
          <w:tcPr>
            <w:tcW w:w="682" w:type="dxa"/>
            <w:gridSpan w:val="2"/>
            <w:vAlign w:val="top"/>
          </w:tcPr>
          <w:p w14:paraId="03CAADEE">
            <w:pPr>
              <w:spacing w:before="90"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0.</w:t>
            </w:r>
            <w:r>
              <w:rPr>
                <w:rFonts w:ascii="Times New Roman" w:hAnsi="Times New Roman" w:eastAsia="Times New Roman" w:cs="Times New Roman"/>
                <w:spacing w:val="-16"/>
                <w:sz w:val="14"/>
                <w:szCs w:val="14"/>
              </w:rPr>
              <w:t xml:space="preserve"> </w:t>
            </w:r>
            <w:r>
              <w:rPr>
                <w:rFonts w:ascii="Times New Roman" w:hAnsi="Times New Roman" w:eastAsia="Times New Roman" w:cs="Times New Roman"/>
                <w:spacing w:val="-1"/>
                <w:sz w:val="14"/>
                <w:szCs w:val="14"/>
              </w:rPr>
              <w:t>182</w:t>
            </w:r>
          </w:p>
        </w:tc>
        <w:tc>
          <w:tcPr>
            <w:tcW w:w="1682" w:type="dxa"/>
            <w:gridSpan w:val="2"/>
            <w:vAlign w:val="top"/>
          </w:tcPr>
          <w:p w14:paraId="62FD1E41">
            <w:pPr>
              <w:pStyle w:val="6"/>
              <w:spacing w:before="65" w:line="224" w:lineRule="auto"/>
              <w:ind w:left="18"/>
              <w:rPr>
                <w:sz w:val="14"/>
                <w:szCs w:val="14"/>
              </w:rPr>
            </w:pPr>
            <w:r>
              <w:rPr>
                <w:spacing w:val="9"/>
                <w:sz w:val="14"/>
                <w:szCs w:val="14"/>
              </w:rPr>
              <w:t>料斗三面围挡、喷雾降尘</w:t>
            </w:r>
          </w:p>
        </w:tc>
        <w:tc>
          <w:tcPr>
            <w:tcW w:w="1087" w:type="dxa"/>
            <w:gridSpan w:val="2"/>
            <w:vMerge w:val="continue"/>
            <w:tcBorders>
              <w:top w:val="nil"/>
              <w:bottom w:val="nil"/>
            </w:tcBorders>
            <w:vAlign w:val="top"/>
          </w:tcPr>
          <w:p w14:paraId="129B8B28">
            <w:pPr>
              <w:rPr>
                <w:rFonts w:ascii="Arial"/>
                <w:sz w:val="21"/>
              </w:rPr>
            </w:pPr>
          </w:p>
        </w:tc>
        <w:tc>
          <w:tcPr>
            <w:tcW w:w="1054" w:type="dxa"/>
            <w:gridSpan w:val="2"/>
            <w:vMerge w:val="continue"/>
            <w:tcBorders>
              <w:top w:val="nil"/>
              <w:bottom w:val="nil"/>
            </w:tcBorders>
            <w:vAlign w:val="top"/>
          </w:tcPr>
          <w:p w14:paraId="5291D534">
            <w:pPr>
              <w:rPr>
                <w:rFonts w:ascii="Arial"/>
                <w:sz w:val="21"/>
              </w:rPr>
            </w:pPr>
          </w:p>
        </w:tc>
        <w:tc>
          <w:tcPr>
            <w:tcW w:w="608" w:type="dxa"/>
            <w:gridSpan w:val="2"/>
            <w:vMerge w:val="continue"/>
            <w:tcBorders>
              <w:top w:val="nil"/>
              <w:bottom w:val="nil"/>
              <w:right w:val="single" w:color="000000" w:sz="6" w:space="0"/>
            </w:tcBorders>
            <w:vAlign w:val="top"/>
          </w:tcPr>
          <w:p w14:paraId="32399F09">
            <w:pPr>
              <w:rPr>
                <w:rFonts w:ascii="Arial"/>
                <w:sz w:val="21"/>
              </w:rPr>
            </w:pPr>
          </w:p>
        </w:tc>
      </w:tr>
      <w:tr w14:paraId="78677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F6C3873">
            <w:pPr>
              <w:rPr>
                <w:rFonts w:ascii="Arial"/>
                <w:sz w:val="21"/>
              </w:rPr>
            </w:pPr>
          </w:p>
        </w:tc>
        <w:tc>
          <w:tcPr>
            <w:tcW w:w="557" w:type="dxa"/>
            <w:vAlign w:val="top"/>
          </w:tcPr>
          <w:p w14:paraId="5EAE58D7">
            <w:pPr>
              <w:spacing w:before="210" w:line="198" w:lineRule="auto"/>
              <w:ind w:left="27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4</w:t>
            </w:r>
          </w:p>
        </w:tc>
        <w:tc>
          <w:tcPr>
            <w:tcW w:w="825" w:type="dxa"/>
            <w:vAlign w:val="top"/>
          </w:tcPr>
          <w:p w14:paraId="27581CBC">
            <w:pPr>
              <w:spacing w:before="21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0004</w:t>
            </w:r>
          </w:p>
        </w:tc>
        <w:tc>
          <w:tcPr>
            <w:tcW w:w="841" w:type="dxa"/>
            <w:gridSpan w:val="2"/>
            <w:vAlign w:val="top"/>
          </w:tcPr>
          <w:p w14:paraId="18C15FAB">
            <w:pPr>
              <w:pStyle w:val="6"/>
              <w:spacing w:before="64" w:line="270" w:lineRule="auto"/>
              <w:ind w:left="190" w:right="50" w:hanging="148"/>
              <w:rPr>
                <w:sz w:val="14"/>
                <w:szCs w:val="14"/>
              </w:rPr>
            </w:pPr>
            <w:r>
              <w:rPr>
                <w:spacing w:val="8"/>
                <w:sz w:val="14"/>
                <w:szCs w:val="14"/>
              </w:rPr>
              <w:t>砌块车间粉</w:t>
            </w:r>
            <w:r>
              <w:rPr>
                <w:spacing w:val="2"/>
                <w:sz w:val="14"/>
                <w:szCs w:val="14"/>
              </w:rPr>
              <w:t xml:space="preserve"> </w:t>
            </w:r>
            <w:r>
              <w:rPr>
                <w:spacing w:val="7"/>
                <w:sz w:val="14"/>
                <w:szCs w:val="14"/>
              </w:rPr>
              <w:t>料筒仓</w:t>
            </w:r>
          </w:p>
        </w:tc>
        <w:tc>
          <w:tcPr>
            <w:tcW w:w="791" w:type="dxa"/>
            <w:gridSpan w:val="2"/>
            <w:vAlign w:val="top"/>
          </w:tcPr>
          <w:p w14:paraId="31CDF60B">
            <w:pPr>
              <w:pStyle w:val="6"/>
              <w:spacing w:before="184" w:line="231" w:lineRule="auto"/>
              <w:ind w:left="242"/>
              <w:rPr>
                <w:sz w:val="14"/>
                <w:szCs w:val="14"/>
              </w:rPr>
            </w:pPr>
            <w:r>
              <w:rPr>
                <w:spacing w:val="6"/>
                <w:sz w:val="14"/>
                <w:szCs w:val="14"/>
              </w:rPr>
              <w:t>粉尘</w:t>
            </w:r>
          </w:p>
        </w:tc>
        <w:tc>
          <w:tcPr>
            <w:tcW w:w="682" w:type="dxa"/>
            <w:gridSpan w:val="2"/>
            <w:vAlign w:val="top"/>
          </w:tcPr>
          <w:p w14:paraId="6BC2F433">
            <w:pPr>
              <w:spacing w:before="210"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0.</w:t>
            </w:r>
            <w:r>
              <w:rPr>
                <w:rFonts w:ascii="Times New Roman" w:hAnsi="Times New Roman" w:eastAsia="Times New Roman" w:cs="Times New Roman"/>
                <w:spacing w:val="-16"/>
                <w:sz w:val="14"/>
                <w:szCs w:val="14"/>
              </w:rPr>
              <w:t xml:space="preserve"> </w:t>
            </w:r>
            <w:r>
              <w:rPr>
                <w:rFonts w:ascii="Times New Roman" w:hAnsi="Times New Roman" w:eastAsia="Times New Roman" w:cs="Times New Roman"/>
                <w:spacing w:val="-1"/>
                <w:sz w:val="14"/>
                <w:szCs w:val="14"/>
              </w:rPr>
              <w:t>168</w:t>
            </w:r>
          </w:p>
        </w:tc>
        <w:tc>
          <w:tcPr>
            <w:tcW w:w="1682" w:type="dxa"/>
            <w:gridSpan w:val="2"/>
            <w:vAlign w:val="top"/>
          </w:tcPr>
          <w:p w14:paraId="3432A402">
            <w:pPr>
              <w:pStyle w:val="6"/>
              <w:spacing w:before="184" w:line="231" w:lineRule="auto"/>
              <w:ind w:left="18"/>
              <w:rPr>
                <w:sz w:val="14"/>
                <w:szCs w:val="14"/>
              </w:rPr>
            </w:pPr>
            <w:r>
              <w:rPr>
                <w:spacing w:val="9"/>
                <w:sz w:val="14"/>
                <w:szCs w:val="14"/>
              </w:rPr>
              <w:t>每个筒仓均设仓顶除尘器</w:t>
            </w:r>
          </w:p>
        </w:tc>
        <w:tc>
          <w:tcPr>
            <w:tcW w:w="1087" w:type="dxa"/>
            <w:gridSpan w:val="2"/>
            <w:vMerge w:val="continue"/>
            <w:tcBorders>
              <w:top w:val="nil"/>
            </w:tcBorders>
            <w:vAlign w:val="top"/>
          </w:tcPr>
          <w:p w14:paraId="53FA0E29">
            <w:pPr>
              <w:rPr>
                <w:rFonts w:ascii="Arial"/>
                <w:sz w:val="21"/>
              </w:rPr>
            </w:pPr>
          </w:p>
        </w:tc>
        <w:tc>
          <w:tcPr>
            <w:tcW w:w="1054" w:type="dxa"/>
            <w:gridSpan w:val="2"/>
            <w:vMerge w:val="continue"/>
            <w:tcBorders>
              <w:top w:val="nil"/>
            </w:tcBorders>
            <w:vAlign w:val="top"/>
          </w:tcPr>
          <w:p w14:paraId="6341280E">
            <w:pPr>
              <w:rPr>
                <w:rFonts w:ascii="Arial"/>
                <w:sz w:val="21"/>
              </w:rPr>
            </w:pPr>
          </w:p>
        </w:tc>
        <w:tc>
          <w:tcPr>
            <w:tcW w:w="608" w:type="dxa"/>
            <w:gridSpan w:val="2"/>
            <w:vMerge w:val="continue"/>
            <w:tcBorders>
              <w:top w:val="nil"/>
              <w:right w:val="single" w:color="000000" w:sz="6" w:space="0"/>
            </w:tcBorders>
            <w:vAlign w:val="top"/>
          </w:tcPr>
          <w:p w14:paraId="31ABEB3E">
            <w:pPr>
              <w:rPr>
                <w:rFonts w:ascii="Arial"/>
                <w:sz w:val="21"/>
              </w:rPr>
            </w:pPr>
          </w:p>
        </w:tc>
      </w:tr>
      <w:tr w14:paraId="4C6A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85" w:type="dxa"/>
            <w:vMerge w:val="continue"/>
            <w:tcBorders>
              <w:top w:val="nil"/>
              <w:left w:val="single" w:color="000000" w:sz="6" w:space="0"/>
              <w:bottom w:val="nil"/>
            </w:tcBorders>
            <w:vAlign w:val="top"/>
          </w:tcPr>
          <w:p w14:paraId="03BD18B6">
            <w:pPr>
              <w:rPr>
                <w:rFonts w:ascii="Arial"/>
                <w:sz w:val="21"/>
              </w:rPr>
            </w:pPr>
          </w:p>
        </w:tc>
        <w:tc>
          <w:tcPr>
            <w:tcW w:w="557" w:type="dxa"/>
            <w:vAlign w:val="top"/>
          </w:tcPr>
          <w:p w14:paraId="3D326A25">
            <w:pPr>
              <w:spacing w:line="266" w:lineRule="auto"/>
              <w:rPr>
                <w:rFonts w:ascii="Arial"/>
                <w:sz w:val="21"/>
              </w:rPr>
            </w:pPr>
          </w:p>
          <w:p w14:paraId="1981BC7E">
            <w:pPr>
              <w:spacing w:line="266" w:lineRule="auto"/>
              <w:rPr>
                <w:rFonts w:ascii="Arial"/>
                <w:sz w:val="21"/>
              </w:rPr>
            </w:pPr>
          </w:p>
          <w:p w14:paraId="63F8D054">
            <w:pPr>
              <w:spacing w:before="40" w:line="194" w:lineRule="auto"/>
              <w:ind w:left="283"/>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tc>
        <w:tc>
          <w:tcPr>
            <w:tcW w:w="825" w:type="dxa"/>
            <w:vAlign w:val="top"/>
          </w:tcPr>
          <w:p w14:paraId="3598F507">
            <w:pPr>
              <w:spacing w:line="264" w:lineRule="auto"/>
              <w:rPr>
                <w:rFonts w:ascii="Arial"/>
                <w:sz w:val="21"/>
              </w:rPr>
            </w:pPr>
          </w:p>
          <w:p w14:paraId="278B6693">
            <w:pPr>
              <w:spacing w:line="265" w:lineRule="auto"/>
              <w:rPr>
                <w:rFonts w:ascii="Arial"/>
                <w:sz w:val="21"/>
              </w:rPr>
            </w:pPr>
          </w:p>
          <w:p w14:paraId="12CEBB8C">
            <w:pPr>
              <w:spacing w:before="41"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0005</w:t>
            </w:r>
          </w:p>
        </w:tc>
        <w:tc>
          <w:tcPr>
            <w:tcW w:w="841" w:type="dxa"/>
            <w:gridSpan w:val="2"/>
            <w:vAlign w:val="top"/>
          </w:tcPr>
          <w:p w14:paraId="3982A58A">
            <w:pPr>
              <w:spacing w:line="362" w:lineRule="auto"/>
              <w:rPr>
                <w:rFonts w:ascii="Arial"/>
                <w:sz w:val="21"/>
              </w:rPr>
            </w:pPr>
          </w:p>
          <w:p w14:paraId="2878B944">
            <w:pPr>
              <w:pStyle w:val="6"/>
              <w:spacing w:before="52" w:line="264" w:lineRule="auto"/>
              <w:ind w:left="256" w:right="23" w:hanging="240"/>
              <w:rPr>
                <w:sz w:val="16"/>
                <w:szCs w:val="16"/>
              </w:rPr>
            </w:pPr>
            <w:r>
              <w:rPr>
                <w:spacing w:val="-1"/>
                <w:sz w:val="16"/>
                <w:szCs w:val="16"/>
              </w:rPr>
              <w:t>浸漆槽、烤</w:t>
            </w:r>
            <w:r>
              <w:rPr>
                <w:sz w:val="16"/>
                <w:szCs w:val="16"/>
              </w:rPr>
              <w:t xml:space="preserve"> </w:t>
            </w:r>
            <w:r>
              <w:rPr>
                <w:spacing w:val="-3"/>
                <w:sz w:val="16"/>
                <w:szCs w:val="16"/>
              </w:rPr>
              <w:t>漆房</w:t>
            </w:r>
          </w:p>
        </w:tc>
        <w:tc>
          <w:tcPr>
            <w:tcW w:w="791" w:type="dxa"/>
            <w:gridSpan w:val="2"/>
            <w:vAlign w:val="top"/>
          </w:tcPr>
          <w:p w14:paraId="0AEFBBF5">
            <w:pPr>
              <w:spacing w:line="258" w:lineRule="auto"/>
              <w:rPr>
                <w:rFonts w:ascii="Arial"/>
                <w:sz w:val="21"/>
              </w:rPr>
            </w:pPr>
          </w:p>
          <w:p w14:paraId="2CFE4627">
            <w:pPr>
              <w:spacing w:line="258" w:lineRule="auto"/>
              <w:rPr>
                <w:rFonts w:ascii="Arial"/>
                <w:sz w:val="21"/>
              </w:rPr>
            </w:pPr>
          </w:p>
          <w:p w14:paraId="23BA189C">
            <w:pPr>
              <w:spacing w:before="46" w:line="192" w:lineRule="auto"/>
              <w:ind w:left="200"/>
              <w:rPr>
                <w:rFonts w:ascii="Times New Roman" w:hAnsi="Times New Roman" w:eastAsia="Times New Roman" w:cs="Times New Roman"/>
                <w:sz w:val="10"/>
                <w:szCs w:val="10"/>
              </w:rPr>
            </w:pPr>
            <w:r>
              <w:rPr>
                <w:rFonts w:ascii="Times New Roman" w:hAnsi="Times New Roman" w:eastAsia="Times New Roman" w:cs="Times New Roman"/>
                <w:sz w:val="16"/>
                <w:szCs w:val="16"/>
              </w:rPr>
              <w:t>VOC</w:t>
            </w:r>
            <w:r>
              <w:rPr>
                <w:rFonts w:ascii="Times New Roman" w:hAnsi="Times New Roman" w:eastAsia="Times New Roman" w:cs="Times New Roman"/>
                <w:position w:val="-1"/>
                <w:sz w:val="10"/>
                <w:szCs w:val="10"/>
              </w:rPr>
              <w:t>s</w:t>
            </w:r>
          </w:p>
        </w:tc>
        <w:tc>
          <w:tcPr>
            <w:tcW w:w="682" w:type="dxa"/>
            <w:gridSpan w:val="2"/>
            <w:vAlign w:val="top"/>
          </w:tcPr>
          <w:p w14:paraId="04294EEF">
            <w:pPr>
              <w:spacing w:line="264" w:lineRule="auto"/>
              <w:rPr>
                <w:rFonts w:ascii="Arial"/>
                <w:sz w:val="21"/>
              </w:rPr>
            </w:pPr>
          </w:p>
          <w:p w14:paraId="1A76C5E9">
            <w:pPr>
              <w:spacing w:line="265" w:lineRule="auto"/>
              <w:rPr>
                <w:rFonts w:ascii="Arial"/>
                <w:sz w:val="21"/>
              </w:rPr>
            </w:pPr>
          </w:p>
          <w:p w14:paraId="0F94B67E">
            <w:pPr>
              <w:spacing w:before="41"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0.975</w:t>
            </w:r>
          </w:p>
        </w:tc>
        <w:tc>
          <w:tcPr>
            <w:tcW w:w="1682" w:type="dxa"/>
            <w:gridSpan w:val="2"/>
            <w:vAlign w:val="top"/>
          </w:tcPr>
          <w:p w14:paraId="4DECA6C4">
            <w:pPr>
              <w:spacing w:line="379" w:lineRule="auto"/>
              <w:rPr>
                <w:rFonts w:ascii="Arial"/>
                <w:sz w:val="21"/>
              </w:rPr>
            </w:pPr>
          </w:p>
          <w:p w14:paraId="2EBA4017">
            <w:pPr>
              <w:pStyle w:val="6"/>
              <w:spacing w:before="46" w:line="301" w:lineRule="auto"/>
              <w:ind w:left="92" w:hanging="88"/>
              <w:rPr>
                <w:sz w:val="14"/>
                <w:szCs w:val="14"/>
              </w:rPr>
            </w:pPr>
            <w:r>
              <w:rPr>
                <w:spacing w:val="8"/>
                <w:sz w:val="14"/>
                <w:szCs w:val="14"/>
              </w:rPr>
              <w:t>负压收集，设“</w:t>
            </w:r>
            <w:r>
              <w:rPr>
                <w:rFonts w:ascii="Times New Roman" w:hAnsi="Times New Roman" w:eastAsia="Times New Roman" w:cs="Times New Roman"/>
                <w:sz w:val="14"/>
                <w:szCs w:val="14"/>
              </w:rPr>
              <w:t>UV</w:t>
            </w:r>
            <w:r>
              <w:rPr>
                <w:rFonts w:ascii="Times New Roman" w:hAnsi="Times New Roman" w:eastAsia="Times New Roman" w:cs="Times New Roman"/>
                <w:spacing w:val="8"/>
                <w:sz w:val="14"/>
                <w:szCs w:val="14"/>
              </w:rPr>
              <w:t xml:space="preserve"> </w:t>
            </w:r>
            <w:r>
              <w:rPr>
                <w:spacing w:val="8"/>
                <w:sz w:val="14"/>
                <w:szCs w:val="14"/>
              </w:rPr>
              <w:t>光解</w:t>
            </w:r>
            <w:r>
              <w:rPr>
                <w:rFonts w:ascii="Times New Roman" w:hAnsi="Times New Roman" w:eastAsia="Times New Roman" w:cs="Times New Roman"/>
                <w:spacing w:val="8"/>
                <w:sz w:val="14"/>
                <w:szCs w:val="14"/>
              </w:rPr>
              <w:t>+</w:t>
            </w:r>
            <w:r>
              <w:rPr>
                <w:rFonts w:ascii="Times New Roman" w:hAnsi="Times New Roman" w:eastAsia="Times New Roman" w:cs="Times New Roman"/>
                <w:spacing w:val="7"/>
                <w:sz w:val="14"/>
                <w:szCs w:val="14"/>
              </w:rPr>
              <w:t xml:space="preserve"> </w:t>
            </w:r>
            <w:r>
              <w:rPr>
                <w:spacing w:val="6"/>
                <w:sz w:val="14"/>
                <w:szCs w:val="14"/>
              </w:rPr>
              <w:t>两级活性炭吸附</w:t>
            </w:r>
            <w:r>
              <w:rPr>
                <w:spacing w:val="-43"/>
                <w:sz w:val="14"/>
                <w:szCs w:val="14"/>
              </w:rPr>
              <w:t xml:space="preserve"> </w:t>
            </w:r>
            <w:r>
              <w:rPr>
                <w:spacing w:val="6"/>
                <w:sz w:val="14"/>
                <w:szCs w:val="14"/>
              </w:rPr>
              <w:t>”处理</w:t>
            </w:r>
          </w:p>
        </w:tc>
        <w:tc>
          <w:tcPr>
            <w:tcW w:w="1087" w:type="dxa"/>
            <w:gridSpan w:val="2"/>
            <w:vAlign w:val="top"/>
          </w:tcPr>
          <w:p w14:paraId="1F954255">
            <w:pPr>
              <w:pStyle w:val="6"/>
              <w:spacing w:before="56" w:line="268" w:lineRule="auto"/>
              <w:ind w:left="68" w:right="61"/>
              <w:jc w:val="both"/>
              <w:rPr>
                <w:sz w:val="16"/>
                <w:szCs w:val="16"/>
              </w:rPr>
            </w:pPr>
            <w:r>
              <w:rPr>
                <w:spacing w:val="-2"/>
                <w:sz w:val="16"/>
                <w:szCs w:val="16"/>
              </w:rPr>
              <w:t>《四川省固定</w:t>
            </w:r>
            <w:r>
              <w:rPr>
                <w:spacing w:val="3"/>
                <w:sz w:val="16"/>
                <w:szCs w:val="16"/>
              </w:rPr>
              <w:t xml:space="preserve"> </w:t>
            </w:r>
            <w:r>
              <w:rPr>
                <w:spacing w:val="-2"/>
                <w:sz w:val="16"/>
                <w:szCs w:val="16"/>
              </w:rPr>
              <w:t>污染源大气挥</w:t>
            </w:r>
            <w:r>
              <w:rPr>
                <w:spacing w:val="3"/>
                <w:sz w:val="16"/>
                <w:szCs w:val="16"/>
              </w:rPr>
              <w:t xml:space="preserve"> </w:t>
            </w:r>
            <w:r>
              <w:rPr>
                <w:spacing w:val="-2"/>
                <w:sz w:val="16"/>
                <w:szCs w:val="16"/>
              </w:rPr>
              <w:t>发性有机物排</w:t>
            </w:r>
          </w:p>
          <w:p w14:paraId="71935016">
            <w:pPr>
              <w:pStyle w:val="6"/>
              <w:spacing w:before="24"/>
              <w:ind w:left="80" w:hanging="80"/>
              <w:rPr>
                <w:sz w:val="16"/>
                <w:szCs w:val="16"/>
              </w:rPr>
            </w:pPr>
            <w:r>
              <w:rPr>
                <w:spacing w:val="-12"/>
                <w:sz w:val="16"/>
                <w:szCs w:val="16"/>
              </w:rPr>
              <w:t>放标准》（</w:t>
            </w:r>
            <w:r>
              <w:rPr>
                <w:rFonts w:ascii="Times New Roman" w:hAnsi="Times New Roman" w:eastAsia="Times New Roman" w:cs="Times New Roman"/>
                <w:spacing w:val="-12"/>
                <w:sz w:val="16"/>
                <w:szCs w:val="16"/>
              </w:rPr>
              <w:t>DB51</w:t>
            </w:r>
            <w:r>
              <w:rPr>
                <w:rFonts w:ascii="Times New Roman" w:hAnsi="Times New Roman" w:eastAsia="Times New Roman" w:cs="Times New Roman"/>
                <w:spacing w:val="6"/>
                <w:sz w:val="16"/>
                <w:szCs w:val="16"/>
              </w:rPr>
              <w:t xml:space="preserve"> </w:t>
            </w:r>
            <w:r>
              <w:rPr>
                <w:spacing w:val="-6"/>
                <w:sz w:val="16"/>
                <w:szCs w:val="16"/>
              </w:rPr>
              <w:t>∕</w:t>
            </w:r>
            <w:r>
              <w:rPr>
                <w:rFonts w:ascii="Times New Roman" w:hAnsi="Times New Roman" w:eastAsia="Times New Roman" w:cs="Times New Roman"/>
                <w:spacing w:val="-6"/>
                <w:sz w:val="16"/>
                <w:szCs w:val="16"/>
              </w:rPr>
              <w:t>2377-2017</w:t>
            </w:r>
            <w:r>
              <w:rPr>
                <w:spacing w:val="-6"/>
                <w:sz w:val="16"/>
                <w:szCs w:val="16"/>
              </w:rPr>
              <w:t>）</w:t>
            </w:r>
          </w:p>
        </w:tc>
        <w:tc>
          <w:tcPr>
            <w:tcW w:w="1054" w:type="dxa"/>
            <w:gridSpan w:val="2"/>
            <w:vAlign w:val="top"/>
          </w:tcPr>
          <w:p w14:paraId="5516909A">
            <w:pPr>
              <w:spacing w:line="255" w:lineRule="auto"/>
              <w:rPr>
                <w:rFonts w:ascii="Arial"/>
                <w:sz w:val="21"/>
              </w:rPr>
            </w:pPr>
          </w:p>
          <w:p w14:paraId="26A30633">
            <w:pPr>
              <w:spacing w:line="256" w:lineRule="auto"/>
              <w:rPr>
                <w:rFonts w:ascii="Arial"/>
                <w:sz w:val="21"/>
              </w:rPr>
            </w:pPr>
          </w:p>
          <w:p w14:paraId="1BAEED3C">
            <w:pPr>
              <w:pStyle w:val="6"/>
              <w:spacing w:before="45" w:line="209" w:lineRule="auto"/>
              <w:jc w:val="right"/>
              <w:rPr>
                <w:rFonts w:ascii="Times New Roman" w:hAnsi="Times New Roman" w:eastAsia="Times New Roman" w:cs="Times New Roman"/>
                <w:sz w:val="9"/>
                <w:szCs w:val="9"/>
              </w:rPr>
            </w:pPr>
            <w:r>
              <w:rPr>
                <w:rFonts w:ascii="Times New Roman" w:hAnsi="Times New Roman" w:eastAsia="Times New Roman" w:cs="Times New Roman"/>
                <w:spacing w:val="-2"/>
                <w:sz w:val="14"/>
                <w:szCs w:val="14"/>
              </w:rPr>
              <w:t>3.4kg/h</w:t>
            </w:r>
            <w:r>
              <w:rPr>
                <w:spacing w:val="-2"/>
                <w:sz w:val="14"/>
                <w:szCs w:val="14"/>
              </w:rPr>
              <w:t>、</w:t>
            </w:r>
            <w:r>
              <w:rPr>
                <w:rFonts w:ascii="Times New Roman" w:hAnsi="Times New Roman" w:eastAsia="Times New Roman" w:cs="Times New Roman"/>
                <w:spacing w:val="-2"/>
                <w:sz w:val="14"/>
                <w:szCs w:val="14"/>
              </w:rPr>
              <w:t>60mg/m</w:t>
            </w:r>
            <w:r>
              <w:rPr>
                <w:rFonts w:ascii="Times New Roman" w:hAnsi="Times New Roman" w:eastAsia="Times New Roman" w:cs="Times New Roman"/>
                <w:spacing w:val="-2"/>
                <w:position w:val="4"/>
                <w:sz w:val="9"/>
                <w:szCs w:val="9"/>
              </w:rPr>
              <w:t>3</w:t>
            </w:r>
          </w:p>
        </w:tc>
        <w:tc>
          <w:tcPr>
            <w:tcW w:w="608" w:type="dxa"/>
            <w:gridSpan w:val="2"/>
            <w:tcBorders>
              <w:right w:val="single" w:color="000000" w:sz="6" w:space="0"/>
            </w:tcBorders>
            <w:vAlign w:val="top"/>
          </w:tcPr>
          <w:p w14:paraId="76B961DE">
            <w:pPr>
              <w:spacing w:line="249" w:lineRule="auto"/>
              <w:rPr>
                <w:rFonts w:ascii="Arial"/>
                <w:sz w:val="21"/>
              </w:rPr>
            </w:pPr>
          </w:p>
          <w:p w14:paraId="24CC6DF8">
            <w:pPr>
              <w:spacing w:line="250" w:lineRule="auto"/>
              <w:rPr>
                <w:rFonts w:ascii="Arial"/>
                <w:sz w:val="21"/>
              </w:rPr>
            </w:pPr>
          </w:p>
          <w:p w14:paraId="444C3515">
            <w:pPr>
              <w:pStyle w:val="6"/>
              <w:spacing w:before="45" w:line="232" w:lineRule="auto"/>
              <w:ind w:left="113"/>
              <w:rPr>
                <w:sz w:val="14"/>
                <w:szCs w:val="14"/>
              </w:rPr>
            </w:pPr>
            <w:r>
              <w:rPr>
                <w:spacing w:val="6"/>
                <w:sz w:val="14"/>
                <w:szCs w:val="14"/>
              </w:rPr>
              <w:t>达标</w:t>
            </w:r>
          </w:p>
        </w:tc>
      </w:tr>
      <w:tr w14:paraId="3D1F3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5" w:type="dxa"/>
            <w:vMerge w:val="continue"/>
            <w:tcBorders>
              <w:top w:val="nil"/>
              <w:left w:val="single" w:color="000000" w:sz="6" w:space="0"/>
              <w:bottom w:val="nil"/>
            </w:tcBorders>
            <w:vAlign w:val="top"/>
          </w:tcPr>
          <w:p w14:paraId="1DD9C289">
            <w:pPr>
              <w:rPr>
                <w:rFonts w:ascii="Arial"/>
                <w:sz w:val="21"/>
              </w:rPr>
            </w:pPr>
          </w:p>
        </w:tc>
        <w:tc>
          <w:tcPr>
            <w:tcW w:w="557" w:type="dxa"/>
            <w:vAlign w:val="top"/>
          </w:tcPr>
          <w:p w14:paraId="10ECAF5D">
            <w:pPr>
              <w:spacing w:line="291" w:lineRule="auto"/>
              <w:rPr>
                <w:rFonts w:ascii="Arial"/>
                <w:sz w:val="21"/>
              </w:rPr>
            </w:pPr>
          </w:p>
          <w:p w14:paraId="411B8E7D">
            <w:pPr>
              <w:spacing w:before="41" w:line="198" w:lineRule="auto"/>
              <w:ind w:left="282"/>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tc>
        <w:tc>
          <w:tcPr>
            <w:tcW w:w="825" w:type="dxa"/>
            <w:vAlign w:val="top"/>
          </w:tcPr>
          <w:p w14:paraId="5355A4BC">
            <w:pPr>
              <w:spacing w:line="291" w:lineRule="auto"/>
              <w:rPr>
                <w:rFonts w:ascii="Arial"/>
                <w:sz w:val="21"/>
              </w:rPr>
            </w:pPr>
          </w:p>
          <w:p w14:paraId="3DC2210E">
            <w:pPr>
              <w:spacing w:before="41"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0006</w:t>
            </w:r>
          </w:p>
        </w:tc>
        <w:tc>
          <w:tcPr>
            <w:tcW w:w="841" w:type="dxa"/>
            <w:gridSpan w:val="2"/>
            <w:vAlign w:val="top"/>
          </w:tcPr>
          <w:p w14:paraId="36EFBDA2">
            <w:pPr>
              <w:spacing w:line="244" w:lineRule="auto"/>
              <w:rPr>
                <w:rFonts w:ascii="Arial"/>
                <w:sz w:val="21"/>
              </w:rPr>
            </w:pPr>
          </w:p>
          <w:p w14:paraId="374B3DE8">
            <w:pPr>
              <w:pStyle w:val="6"/>
              <w:spacing w:before="52" w:line="220" w:lineRule="auto"/>
              <w:ind w:left="176"/>
              <w:rPr>
                <w:sz w:val="16"/>
                <w:szCs w:val="16"/>
              </w:rPr>
            </w:pPr>
            <w:r>
              <w:rPr>
                <w:spacing w:val="-2"/>
                <w:sz w:val="16"/>
                <w:szCs w:val="16"/>
              </w:rPr>
              <w:t>切割机</w:t>
            </w:r>
          </w:p>
        </w:tc>
        <w:tc>
          <w:tcPr>
            <w:tcW w:w="791" w:type="dxa"/>
            <w:gridSpan w:val="2"/>
            <w:vAlign w:val="top"/>
          </w:tcPr>
          <w:p w14:paraId="5A8049F1">
            <w:pPr>
              <w:spacing w:line="261" w:lineRule="auto"/>
              <w:rPr>
                <w:rFonts w:ascii="Arial"/>
                <w:sz w:val="21"/>
              </w:rPr>
            </w:pPr>
          </w:p>
          <w:p w14:paraId="7DA9FCFC">
            <w:pPr>
              <w:pStyle w:val="6"/>
              <w:spacing w:before="45" w:line="231" w:lineRule="auto"/>
              <w:ind w:left="242"/>
              <w:rPr>
                <w:sz w:val="14"/>
                <w:szCs w:val="14"/>
              </w:rPr>
            </w:pPr>
            <w:r>
              <w:rPr>
                <w:spacing w:val="6"/>
                <w:sz w:val="14"/>
                <w:szCs w:val="14"/>
              </w:rPr>
              <w:t>粉尘</w:t>
            </w:r>
          </w:p>
        </w:tc>
        <w:tc>
          <w:tcPr>
            <w:tcW w:w="682" w:type="dxa"/>
            <w:gridSpan w:val="2"/>
            <w:vAlign w:val="top"/>
          </w:tcPr>
          <w:p w14:paraId="141A37EE">
            <w:pPr>
              <w:spacing w:line="291" w:lineRule="auto"/>
              <w:rPr>
                <w:rFonts w:ascii="Arial"/>
                <w:sz w:val="21"/>
              </w:rPr>
            </w:pPr>
          </w:p>
          <w:p w14:paraId="7AEB279D">
            <w:pPr>
              <w:spacing w:before="41"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0.558</w:t>
            </w:r>
          </w:p>
        </w:tc>
        <w:tc>
          <w:tcPr>
            <w:tcW w:w="1682" w:type="dxa"/>
            <w:gridSpan w:val="2"/>
            <w:vAlign w:val="top"/>
          </w:tcPr>
          <w:p w14:paraId="16BBE63B">
            <w:pPr>
              <w:pStyle w:val="6"/>
              <w:spacing w:before="68" w:line="230" w:lineRule="auto"/>
              <w:ind w:left="20"/>
              <w:rPr>
                <w:sz w:val="14"/>
                <w:szCs w:val="14"/>
              </w:rPr>
            </w:pPr>
            <w:r>
              <w:rPr>
                <w:spacing w:val="9"/>
                <w:sz w:val="14"/>
                <w:szCs w:val="14"/>
              </w:rPr>
              <w:t>设专用加工车间、切割机</w:t>
            </w:r>
          </w:p>
          <w:p w14:paraId="2F5DD22E">
            <w:pPr>
              <w:pStyle w:val="6"/>
              <w:spacing w:before="65" w:line="231" w:lineRule="auto"/>
              <w:ind w:left="18"/>
              <w:rPr>
                <w:sz w:val="14"/>
                <w:szCs w:val="14"/>
              </w:rPr>
            </w:pPr>
            <w:r>
              <w:rPr>
                <w:spacing w:val="9"/>
                <w:sz w:val="14"/>
                <w:szCs w:val="14"/>
              </w:rPr>
              <w:t>配除尘器、利用封闭式车</w:t>
            </w:r>
          </w:p>
          <w:p w14:paraId="3D91D445">
            <w:pPr>
              <w:pStyle w:val="6"/>
              <w:spacing w:before="64" w:line="218" w:lineRule="auto"/>
              <w:ind w:left="253"/>
              <w:rPr>
                <w:sz w:val="14"/>
                <w:szCs w:val="14"/>
              </w:rPr>
            </w:pPr>
            <w:r>
              <w:rPr>
                <w:spacing w:val="7"/>
                <w:sz w:val="14"/>
                <w:szCs w:val="14"/>
              </w:rPr>
              <w:t>间控制无组织粉尘</w:t>
            </w:r>
          </w:p>
        </w:tc>
        <w:tc>
          <w:tcPr>
            <w:tcW w:w="1087" w:type="dxa"/>
            <w:gridSpan w:val="2"/>
            <w:vMerge w:val="restart"/>
            <w:tcBorders>
              <w:bottom w:val="nil"/>
            </w:tcBorders>
            <w:vAlign w:val="top"/>
          </w:tcPr>
          <w:p w14:paraId="403D6D94">
            <w:pPr>
              <w:spacing w:line="384" w:lineRule="auto"/>
              <w:rPr>
                <w:rFonts w:ascii="Arial"/>
                <w:sz w:val="21"/>
              </w:rPr>
            </w:pPr>
          </w:p>
          <w:p w14:paraId="68611A5E">
            <w:pPr>
              <w:pStyle w:val="6"/>
              <w:spacing w:before="46" w:line="302" w:lineRule="auto"/>
              <w:ind w:left="97" w:right="15" w:hanging="69"/>
              <w:rPr>
                <w:sz w:val="14"/>
                <w:szCs w:val="14"/>
              </w:rPr>
            </w:pPr>
            <w:r>
              <w:rPr>
                <w:spacing w:val="8"/>
                <w:sz w:val="14"/>
                <w:szCs w:val="14"/>
              </w:rPr>
              <w:t>《大气污染物综</w:t>
            </w:r>
            <w:r>
              <w:rPr>
                <w:spacing w:val="1"/>
                <w:sz w:val="14"/>
                <w:szCs w:val="14"/>
              </w:rPr>
              <w:t xml:space="preserve"> </w:t>
            </w:r>
            <w:r>
              <w:rPr>
                <w:spacing w:val="7"/>
                <w:sz w:val="14"/>
                <w:szCs w:val="14"/>
              </w:rPr>
              <w:t>合排放标准》</w:t>
            </w:r>
          </w:p>
          <w:p w14:paraId="6AE6C46B">
            <w:pPr>
              <w:spacing w:before="45" w:line="204" w:lineRule="auto"/>
              <w:ind w:left="30"/>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w:t>
            </w:r>
            <w:r>
              <w:rPr>
                <w:rFonts w:ascii="Times New Roman" w:hAnsi="Times New Roman" w:eastAsia="Times New Roman" w:cs="Times New Roman"/>
                <w:sz w:val="14"/>
                <w:szCs w:val="14"/>
              </w:rPr>
              <w:t>GB</w:t>
            </w:r>
            <w:r>
              <w:rPr>
                <w:rFonts w:ascii="Times New Roman" w:hAnsi="Times New Roman" w:eastAsia="Times New Roman" w:cs="Times New Roman"/>
                <w:spacing w:val="5"/>
                <w:sz w:val="14"/>
                <w:szCs w:val="14"/>
              </w:rPr>
              <w:t>16297-1996)</w:t>
            </w:r>
          </w:p>
        </w:tc>
        <w:tc>
          <w:tcPr>
            <w:tcW w:w="1054" w:type="dxa"/>
            <w:gridSpan w:val="2"/>
            <w:vMerge w:val="restart"/>
            <w:tcBorders>
              <w:bottom w:val="nil"/>
            </w:tcBorders>
            <w:vAlign w:val="top"/>
          </w:tcPr>
          <w:p w14:paraId="222CD4FA">
            <w:pPr>
              <w:spacing w:line="320" w:lineRule="auto"/>
              <w:rPr>
                <w:rFonts w:ascii="Arial"/>
                <w:sz w:val="21"/>
              </w:rPr>
            </w:pPr>
          </w:p>
          <w:p w14:paraId="09057346">
            <w:pPr>
              <w:spacing w:line="320" w:lineRule="auto"/>
              <w:rPr>
                <w:rFonts w:ascii="Arial"/>
                <w:sz w:val="21"/>
              </w:rPr>
            </w:pPr>
          </w:p>
          <w:p w14:paraId="3730EA76">
            <w:pPr>
              <w:spacing w:before="41" w:line="221" w:lineRule="auto"/>
              <w:ind w:left="251"/>
              <w:rPr>
                <w:rFonts w:ascii="Times New Roman" w:hAnsi="Times New Roman" w:eastAsia="Times New Roman" w:cs="Times New Roman"/>
                <w:sz w:val="9"/>
                <w:szCs w:val="9"/>
              </w:rPr>
            </w:pPr>
            <w:r>
              <w:rPr>
                <w:rFonts w:ascii="Times New Roman" w:hAnsi="Times New Roman" w:eastAsia="Times New Roman" w:cs="Times New Roman"/>
                <w:spacing w:val="3"/>
                <w:sz w:val="14"/>
                <w:szCs w:val="14"/>
              </w:rPr>
              <w:t>1.0</w:t>
            </w:r>
            <w:r>
              <w:rPr>
                <w:rFonts w:ascii="Times New Roman" w:hAnsi="Times New Roman" w:eastAsia="Times New Roman" w:cs="Times New Roman"/>
                <w:sz w:val="14"/>
                <w:szCs w:val="14"/>
              </w:rPr>
              <w:t>mg</w:t>
            </w:r>
            <w:r>
              <w:rPr>
                <w:rFonts w:ascii="Times New Roman" w:hAnsi="Times New Roman" w:eastAsia="Times New Roman" w:cs="Times New Roman"/>
                <w:spacing w:val="3"/>
                <w:sz w:val="14"/>
                <w:szCs w:val="14"/>
              </w:rPr>
              <w:t>/m</w:t>
            </w:r>
            <w:r>
              <w:rPr>
                <w:rFonts w:ascii="Times New Roman" w:hAnsi="Times New Roman" w:eastAsia="Times New Roman" w:cs="Times New Roman"/>
                <w:spacing w:val="3"/>
                <w:position w:val="4"/>
                <w:sz w:val="9"/>
                <w:szCs w:val="9"/>
              </w:rPr>
              <w:t>3</w:t>
            </w:r>
          </w:p>
        </w:tc>
        <w:tc>
          <w:tcPr>
            <w:tcW w:w="608" w:type="dxa"/>
            <w:gridSpan w:val="2"/>
            <w:tcBorders>
              <w:right w:val="single" w:color="000000" w:sz="6" w:space="0"/>
            </w:tcBorders>
            <w:vAlign w:val="top"/>
          </w:tcPr>
          <w:p w14:paraId="0330B8F2">
            <w:pPr>
              <w:spacing w:line="261" w:lineRule="auto"/>
              <w:rPr>
                <w:rFonts w:ascii="Arial"/>
                <w:sz w:val="21"/>
              </w:rPr>
            </w:pPr>
          </w:p>
          <w:p w14:paraId="26D0A79B">
            <w:pPr>
              <w:pStyle w:val="6"/>
              <w:spacing w:before="45" w:line="232" w:lineRule="auto"/>
              <w:ind w:left="113"/>
              <w:rPr>
                <w:sz w:val="14"/>
                <w:szCs w:val="14"/>
              </w:rPr>
            </w:pPr>
            <w:r>
              <w:rPr>
                <w:spacing w:val="6"/>
                <w:sz w:val="14"/>
                <w:szCs w:val="14"/>
              </w:rPr>
              <w:t>达标</w:t>
            </w:r>
          </w:p>
        </w:tc>
      </w:tr>
      <w:tr w14:paraId="14BC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5" w:type="dxa"/>
            <w:vMerge w:val="continue"/>
            <w:tcBorders>
              <w:top w:val="nil"/>
              <w:left w:val="single" w:color="000000" w:sz="6" w:space="0"/>
              <w:bottom w:val="nil"/>
            </w:tcBorders>
            <w:vAlign w:val="top"/>
          </w:tcPr>
          <w:p w14:paraId="50A2F02E">
            <w:pPr>
              <w:rPr>
                <w:rFonts w:ascii="Arial"/>
                <w:sz w:val="21"/>
              </w:rPr>
            </w:pPr>
          </w:p>
        </w:tc>
        <w:tc>
          <w:tcPr>
            <w:tcW w:w="557" w:type="dxa"/>
            <w:vAlign w:val="top"/>
          </w:tcPr>
          <w:p w14:paraId="0D4364CF">
            <w:pPr>
              <w:spacing w:line="295" w:lineRule="auto"/>
              <w:rPr>
                <w:rFonts w:ascii="Arial"/>
                <w:sz w:val="21"/>
              </w:rPr>
            </w:pPr>
          </w:p>
          <w:p w14:paraId="62B11CE2">
            <w:pPr>
              <w:spacing w:before="40" w:line="194" w:lineRule="auto"/>
              <w:ind w:left="281"/>
              <w:rPr>
                <w:rFonts w:ascii="Times New Roman" w:hAnsi="Times New Roman" w:eastAsia="Times New Roman" w:cs="Times New Roman"/>
                <w:sz w:val="14"/>
                <w:szCs w:val="14"/>
              </w:rPr>
            </w:pPr>
            <w:r>
              <w:rPr>
                <w:rFonts w:ascii="Times New Roman" w:hAnsi="Times New Roman" w:eastAsia="Times New Roman" w:cs="Times New Roman"/>
                <w:sz w:val="14"/>
                <w:szCs w:val="14"/>
              </w:rPr>
              <w:t>7</w:t>
            </w:r>
          </w:p>
        </w:tc>
        <w:tc>
          <w:tcPr>
            <w:tcW w:w="825" w:type="dxa"/>
            <w:vAlign w:val="top"/>
          </w:tcPr>
          <w:p w14:paraId="046AE36B">
            <w:pPr>
              <w:spacing w:line="292" w:lineRule="auto"/>
              <w:rPr>
                <w:rFonts w:ascii="Arial"/>
                <w:sz w:val="21"/>
              </w:rPr>
            </w:pPr>
          </w:p>
          <w:p w14:paraId="10ED6617">
            <w:pPr>
              <w:spacing w:before="4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0007</w:t>
            </w:r>
          </w:p>
        </w:tc>
        <w:tc>
          <w:tcPr>
            <w:tcW w:w="841" w:type="dxa"/>
            <w:gridSpan w:val="2"/>
            <w:vAlign w:val="top"/>
          </w:tcPr>
          <w:p w14:paraId="160FF9BD">
            <w:pPr>
              <w:spacing w:line="262" w:lineRule="auto"/>
              <w:rPr>
                <w:rFonts w:ascii="Arial"/>
                <w:sz w:val="21"/>
              </w:rPr>
            </w:pPr>
          </w:p>
          <w:p w14:paraId="0D7F3775">
            <w:pPr>
              <w:pStyle w:val="6"/>
              <w:spacing w:before="45" w:line="230" w:lineRule="auto"/>
              <w:ind w:left="190"/>
              <w:rPr>
                <w:sz w:val="14"/>
                <w:szCs w:val="14"/>
              </w:rPr>
            </w:pPr>
            <w:r>
              <w:rPr>
                <w:spacing w:val="8"/>
                <w:sz w:val="14"/>
                <w:szCs w:val="14"/>
              </w:rPr>
              <w:t>碰焊机</w:t>
            </w:r>
          </w:p>
        </w:tc>
        <w:tc>
          <w:tcPr>
            <w:tcW w:w="791" w:type="dxa"/>
            <w:gridSpan w:val="2"/>
            <w:vAlign w:val="top"/>
          </w:tcPr>
          <w:p w14:paraId="68BFE10A">
            <w:pPr>
              <w:spacing w:line="261" w:lineRule="auto"/>
              <w:rPr>
                <w:rFonts w:ascii="Arial"/>
                <w:sz w:val="21"/>
              </w:rPr>
            </w:pPr>
          </w:p>
          <w:p w14:paraId="46222A42">
            <w:pPr>
              <w:pStyle w:val="6"/>
              <w:spacing w:before="46" w:line="233" w:lineRule="auto"/>
              <w:ind w:left="243"/>
              <w:rPr>
                <w:sz w:val="14"/>
                <w:szCs w:val="14"/>
              </w:rPr>
            </w:pPr>
            <w:r>
              <w:rPr>
                <w:spacing w:val="5"/>
                <w:sz w:val="14"/>
                <w:szCs w:val="14"/>
              </w:rPr>
              <w:t>烟尘</w:t>
            </w:r>
          </w:p>
        </w:tc>
        <w:tc>
          <w:tcPr>
            <w:tcW w:w="682" w:type="dxa"/>
            <w:gridSpan w:val="2"/>
            <w:vAlign w:val="top"/>
          </w:tcPr>
          <w:p w14:paraId="251F90F2">
            <w:pPr>
              <w:spacing w:line="289" w:lineRule="auto"/>
              <w:rPr>
                <w:rFonts w:ascii="Arial"/>
                <w:sz w:val="21"/>
              </w:rPr>
            </w:pPr>
          </w:p>
          <w:p w14:paraId="1B154427">
            <w:pPr>
              <w:spacing w:before="41" w:line="202" w:lineRule="auto"/>
              <w:ind w:left="3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1682" w:type="dxa"/>
            <w:gridSpan w:val="2"/>
            <w:vAlign w:val="top"/>
          </w:tcPr>
          <w:p w14:paraId="43ECA2EE">
            <w:pPr>
              <w:pStyle w:val="6"/>
              <w:spacing w:before="59" w:line="220" w:lineRule="auto"/>
              <w:ind w:left="8"/>
              <w:rPr>
                <w:sz w:val="16"/>
                <w:szCs w:val="16"/>
              </w:rPr>
            </w:pPr>
            <w:r>
              <w:rPr>
                <w:spacing w:val="7"/>
                <w:sz w:val="14"/>
                <w:szCs w:val="14"/>
              </w:rPr>
              <w:t>设专用加工车间、配</w:t>
            </w:r>
            <w:r>
              <w:rPr>
                <w:spacing w:val="7"/>
                <w:sz w:val="16"/>
                <w:szCs w:val="16"/>
              </w:rPr>
              <w:t>焊烟</w:t>
            </w:r>
          </w:p>
          <w:p w14:paraId="49D1D65C">
            <w:pPr>
              <w:pStyle w:val="6"/>
              <w:spacing w:before="49" w:line="221" w:lineRule="auto"/>
              <w:jc w:val="right"/>
              <w:rPr>
                <w:sz w:val="14"/>
                <w:szCs w:val="14"/>
              </w:rPr>
            </w:pPr>
            <w:r>
              <w:rPr>
                <w:spacing w:val="5"/>
                <w:sz w:val="16"/>
                <w:szCs w:val="16"/>
              </w:rPr>
              <w:t>净化器、</w:t>
            </w:r>
            <w:r>
              <w:rPr>
                <w:spacing w:val="5"/>
                <w:sz w:val="14"/>
                <w:szCs w:val="14"/>
              </w:rPr>
              <w:t>利用封闭式车间</w:t>
            </w:r>
          </w:p>
          <w:p w14:paraId="481B3C29">
            <w:pPr>
              <w:pStyle w:val="6"/>
              <w:spacing w:before="58" w:line="218" w:lineRule="auto"/>
              <w:ind w:left="317"/>
              <w:rPr>
                <w:sz w:val="14"/>
                <w:szCs w:val="14"/>
              </w:rPr>
            </w:pPr>
            <w:r>
              <w:rPr>
                <w:spacing w:val="9"/>
                <w:sz w:val="14"/>
                <w:szCs w:val="14"/>
              </w:rPr>
              <w:t>控制无组织粉尘</w:t>
            </w:r>
          </w:p>
        </w:tc>
        <w:tc>
          <w:tcPr>
            <w:tcW w:w="1087" w:type="dxa"/>
            <w:gridSpan w:val="2"/>
            <w:vMerge w:val="continue"/>
            <w:tcBorders>
              <w:top w:val="nil"/>
            </w:tcBorders>
            <w:vAlign w:val="top"/>
          </w:tcPr>
          <w:p w14:paraId="4F7116E7">
            <w:pPr>
              <w:rPr>
                <w:rFonts w:ascii="Arial"/>
                <w:sz w:val="21"/>
              </w:rPr>
            </w:pPr>
          </w:p>
        </w:tc>
        <w:tc>
          <w:tcPr>
            <w:tcW w:w="1054" w:type="dxa"/>
            <w:gridSpan w:val="2"/>
            <w:vMerge w:val="continue"/>
            <w:tcBorders>
              <w:top w:val="nil"/>
            </w:tcBorders>
            <w:vAlign w:val="top"/>
          </w:tcPr>
          <w:p w14:paraId="2455C8E2">
            <w:pPr>
              <w:rPr>
                <w:rFonts w:ascii="Arial"/>
                <w:sz w:val="21"/>
              </w:rPr>
            </w:pPr>
          </w:p>
        </w:tc>
        <w:tc>
          <w:tcPr>
            <w:tcW w:w="608" w:type="dxa"/>
            <w:gridSpan w:val="2"/>
            <w:tcBorders>
              <w:right w:val="single" w:color="000000" w:sz="6" w:space="0"/>
            </w:tcBorders>
            <w:vAlign w:val="top"/>
          </w:tcPr>
          <w:p w14:paraId="7931F56E">
            <w:pPr>
              <w:spacing w:line="261" w:lineRule="auto"/>
              <w:rPr>
                <w:rFonts w:ascii="Arial"/>
                <w:sz w:val="21"/>
              </w:rPr>
            </w:pPr>
          </w:p>
          <w:p w14:paraId="64D5223A">
            <w:pPr>
              <w:pStyle w:val="6"/>
              <w:spacing w:before="46" w:line="232" w:lineRule="auto"/>
              <w:ind w:left="113"/>
              <w:rPr>
                <w:sz w:val="14"/>
                <w:szCs w:val="14"/>
              </w:rPr>
            </w:pPr>
            <w:r>
              <w:rPr>
                <w:spacing w:val="6"/>
                <w:sz w:val="14"/>
                <w:szCs w:val="14"/>
              </w:rPr>
              <w:t>达标</w:t>
            </w:r>
          </w:p>
        </w:tc>
      </w:tr>
      <w:tr w14:paraId="56592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4C24802">
            <w:pPr>
              <w:rPr>
                <w:rFonts w:ascii="Arial"/>
                <w:sz w:val="21"/>
              </w:rPr>
            </w:pPr>
          </w:p>
        </w:tc>
        <w:tc>
          <w:tcPr>
            <w:tcW w:w="557" w:type="dxa"/>
            <w:vAlign w:val="top"/>
          </w:tcPr>
          <w:p w14:paraId="308C4DE0">
            <w:pPr>
              <w:spacing w:before="215" w:line="198" w:lineRule="auto"/>
              <w:ind w:left="285"/>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tc>
        <w:tc>
          <w:tcPr>
            <w:tcW w:w="825" w:type="dxa"/>
            <w:vAlign w:val="top"/>
          </w:tcPr>
          <w:p w14:paraId="17E45C24">
            <w:pPr>
              <w:spacing w:before="215"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0008</w:t>
            </w:r>
          </w:p>
        </w:tc>
        <w:tc>
          <w:tcPr>
            <w:tcW w:w="841" w:type="dxa"/>
            <w:gridSpan w:val="2"/>
            <w:vAlign w:val="top"/>
          </w:tcPr>
          <w:p w14:paraId="0691FB73">
            <w:pPr>
              <w:pStyle w:val="6"/>
              <w:spacing w:before="69" w:line="267" w:lineRule="auto"/>
              <w:ind w:left="53" w:right="50" w:hanging="12"/>
              <w:rPr>
                <w:sz w:val="14"/>
                <w:szCs w:val="14"/>
              </w:rPr>
            </w:pPr>
            <w:r>
              <w:rPr>
                <w:spacing w:val="8"/>
                <w:sz w:val="14"/>
                <w:szCs w:val="14"/>
              </w:rPr>
              <w:t>干混砂浆车</w:t>
            </w:r>
            <w:r>
              <w:rPr>
                <w:spacing w:val="2"/>
                <w:sz w:val="14"/>
                <w:szCs w:val="14"/>
              </w:rPr>
              <w:t xml:space="preserve"> </w:t>
            </w:r>
            <w:r>
              <w:rPr>
                <w:spacing w:val="6"/>
                <w:sz w:val="14"/>
                <w:szCs w:val="14"/>
              </w:rPr>
              <w:t>间粉料筒仓</w:t>
            </w:r>
          </w:p>
        </w:tc>
        <w:tc>
          <w:tcPr>
            <w:tcW w:w="791" w:type="dxa"/>
            <w:gridSpan w:val="2"/>
            <w:vAlign w:val="top"/>
          </w:tcPr>
          <w:p w14:paraId="2E5EF4B2">
            <w:pPr>
              <w:pStyle w:val="6"/>
              <w:spacing w:before="189" w:line="231" w:lineRule="auto"/>
              <w:ind w:left="242"/>
              <w:rPr>
                <w:sz w:val="14"/>
                <w:szCs w:val="14"/>
              </w:rPr>
            </w:pPr>
            <w:r>
              <w:rPr>
                <w:spacing w:val="6"/>
                <w:sz w:val="14"/>
                <w:szCs w:val="14"/>
              </w:rPr>
              <w:t>粉尘</w:t>
            </w:r>
          </w:p>
        </w:tc>
        <w:tc>
          <w:tcPr>
            <w:tcW w:w="682" w:type="dxa"/>
            <w:gridSpan w:val="2"/>
            <w:vAlign w:val="top"/>
          </w:tcPr>
          <w:p w14:paraId="637EBEFA">
            <w:pPr>
              <w:spacing w:before="215"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0.356</w:t>
            </w:r>
          </w:p>
        </w:tc>
        <w:tc>
          <w:tcPr>
            <w:tcW w:w="1682" w:type="dxa"/>
            <w:gridSpan w:val="2"/>
            <w:vAlign w:val="top"/>
          </w:tcPr>
          <w:p w14:paraId="22A36E75">
            <w:pPr>
              <w:pStyle w:val="6"/>
              <w:spacing w:before="189" w:line="231" w:lineRule="auto"/>
              <w:ind w:left="18"/>
              <w:rPr>
                <w:sz w:val="14"/>
                <w:szCs w:val="14"/>
              </w:rPr>
            </w:pPr>
            <w:r>
              <w:rPr>
                <w:spacing w:val="9"/>
                <w:sz w:val="14"/>
                <w:szCs w:val="14"/>
              </w:rPr>
              <w:t>每个筒仓均设仓顶除尘器</w:t>
            </w:r>
          </w:p>
        </w:tc>
        <w:tc>
          <w:tcPr>
            <w:tcW w:w="1087" w:type="dxa"/>
            <w:gridSpan w:val="2"/>
            <w:vMerge w:val="restart"/>
            <w:tcBorders>
              <w:bottom w:val="nil"/>
            </w:tcBorders>
            <w:vAlign w:val="top"/>
          </w:tcPr>
          <w:p w14:paraId="5A26A31A">
            <w:pPr>
              <w:spacing w:line="271" w:lineRule="auto"/>
              <w:rPr>
                <w:rFonts w:ascii="Arial"/>
                <w:sz w:val="21"/>
              </w:rPr>
            </w:pPr>
          </w:p>
          <w:p w14:paraId="3857CF31">
            <w:pPr>
              <w:spacing w:line="271" w:lineRule="auto"/>
              <w:rPr>
                <w:rFonts w:ascii="Arial"/>
                <w:sz w:val="21"/>
              </w:rPr>
            </w:pPr>
          </w:p>
          <w:p w14:paraId="727E6245">
            <w:pPr>
              <w:spacing w:line="271" w:lineRule="auto"/>
              <w:rPr>
                <w:rFonts w:ascii="Arial"/>
                <w:sz w:val="21"/>
              </w:rPr>
            </w:pPr>
          </w:p>
          <w:p w14:paraId="1B1EA926">
            <w:pPr>
              <w:spacing w:line="271" w:lineRule="auto"/>
              <w:rPr>
                <w:rFonts w:ascii="Arial"/>
                <w:sz w:val="21"/>
              </w:rPr>
            </w:pPr>
          </w:p>
          <w:p w14:paraId="284B73A4">
            <w:pPr>
              <w:spacing w:line="272" w:lineRule="auto"/>
              <w:rPr>
                <w:rFonts w:ascii="Arial"/>
                <w:sz w:val="21"/>
              </w:rPr>
            </w:pPr>
          </w:p>
          <w:p w14:paraId="3D35B4DC">
            <w:pPr>
              <w:pStyle w:val="6"/>
              <w:spacing w:before="52" w:line="273" w:lineRule="auto"/>
              <w:ind w:left="33" w:right="19" w:firstLine="34"/>
              <w:rPr>
                <w:rFonts w:ascii="Times New Roman" w:hAnsi="Times New Roman" w:eastAsia="Times New Roman" w:cs="Times New Roman"/>
                <w:sz w:val="16"/>
                <w:szCs w:val="16"/>
              </w:rPr>
            </w:pPr>
            <w:r>
              <w:rPr>
                <w:spacing w:val="-2"/>
                <w:sz w:val="16"/>
                <w:szCs w:val="16"/>
              </w:rPr>
              <w:t>《四川省水泥</w:t>
            </w:r>
            <w:r>
              <w:rPr>
                <w:spacing w:val="3"/>
                <w:sz w:val="16"/>
                <w:szCs w:val="16"/>
              </w:rPr>
              <w:t xml:space="preserve"> </w:t>
            </w:r>
            <w:r>
              <w:rPr>
                <w:spacing w:val="4"/>
                <w:sz w:val="16"/>
                <w:szCs w:val="16"/>
              </w:rPr>
              <w:t>工业大气污染</w:t>
            </w:r>
            <w:r>
              <w:rPr>
                <w:spacing w:val="2"/>
                <w:sz w:val="16"/>
                <w:szCs w:val="16"/>
              </w:rPr>
              <w:t xml:space="preserve"> </w:t>
            </w:r>
            <w:r>
              <w:rPr>
                <w:spacing w:val="3"/>
                <w:sz w:val="16"/>
                <w:szCs w:val="16"/>
              </w:rPr>
              <w:t>物排放标准》</w:t>
            </w:r>
            <w:r>
              <w:rPr>
                <w:spacing w:val="1"/>
                <w:sz w:val="16"/>
                <w:szCs w:val="16"/>
              </w:rPr>
              <w:t xml:space="preserve"> </w:t>
            </w:r>
            <w:r>
              <w:rPr>
                <w:spacing w:val="-1"/>
                <w:sz w:val="16"/>
                <w:szCs w:val="16"/>
              </w:rPr>
              <w:t>（</w:t>
            </w:r>
            <w:r>
              <w:rPr>
                <w:rFonts w:ascii="Times New Roman" w:hAnsi="Times New Roman" w:eastAsia="Times New Roman" w:cs="Times New Roman"/>
                <w:spacing w:val="-1"/>
                <w:sz w:val="16"/>
                <w:szCs w:val="16"/>
              </w:rPr>
              <w:t>DB51/2864-2</w:t>
            </w:r>
          </w:p>
          <w:p w14:paraId="2B8634E5">
            <w:pPr>
              <w:pStyle w:val="6"/>
              <w:spacing w:before="11" w:line="233" w:lineRule="auto"/>
              <w:ind w:left="347"/>
              <w:rPr>
                <w:sz w:val="16"/>
                <w:szCs w:val="16"/>
              </w:rPr>
            </w:pPr>
            <w:r>
              <w:rPr>
                <w:rFonts w:ascii="Times New Roman" w:hAnsi="Times New Roman" w:eastAsia="Times New Roman" w:cs="Times New Roman"/>
                <w:spacing w:val="-2"/>
                <w:sz w:val="16"/>
                <w:szCs w:val="16"/>
              </w:rPr>
              <w:t>021</w:t>
            </w:r>
            <w:r>
              <w:rPr>
                <w:spacing w:val="-2"/>
                <w:sz w:val="16"/>
                <w:szCs w:val="16"/>
              </w:rPr>
              <w:t>）</w:t>
            </w:r>
          </w:p>
        </w:tc>
        <w:tc>
          <w:tcPr>
            <w:tcW w:w="1054" w:type="dxa"/>
            <w:gridSpan w:val="2"/>
            <w:vMerge w:val="restart"/>
            <w:tcBorders>
              <w:bottom w:val="nil"/>
            </w:tcBorders>
            <w:vAlign w:val="top"/>
          </w:tcPr>
          <w:p w14:paraId="64192D45">
            <w:pPr>
              <w:spacing w:line="266" w:lineRule="auto"/>
              <w:rPr>
                <w:rFonts w:ascii="Arial"/>
                <w:sz w:val="21"/>
              </w:rPr>
            </w:pPr>
          </w:p>
          <w:p w14:paraId="684D27CC">
            <w:pPr>
              <w:spacing w:line="266" w:lineRule="auto"/>
              <w:rPr>
                <w:rFonts w:ascii="Arial"/>
                <w:sz w:val="21"/>
              </w:rPr>
            </w:pPr>
          </w:p>
          <w:p w14:paraId="620FB93D">
            <w:pPr>
              <w:spacing w:line="266" w:lineRule="auto"/>
              <w:rPr>
                <w:rFonts w:ascii="Arial"/>
                <w:sz w:val="21"/>
              </w:rPr>
            </w:pPr>
          </w:p>
          <w:p w14:paraId="3C2A2BC7">
            <w:pPr>
              <w:spacing w:line="266" w:lineRule="auto"/>
              <w:rPr>
                <w:rFonts w:ascii="Arial"/>
                <w:sz w:val="21"/>
              </w:rPr>
            </w:pPr>
          </w:p>
          <w:p w14:paraId="65A703F8">
            <w:pPr>
              <w:spacing w:line="267" w:lineRule="auto"/>
              <w:rPr>
                <w:rFonts w:ascii="Arial"/>
                <w:sz w:val="21"/>
              </w:rPr>
            </w:pPr>
          </w:p>
          <w:p w14:paraId="6CE3934C">
            <w:pPr>
              <w:spacing w:line="267" w:lineRule="auto"/>
              <w:rPr>
                <w:rFonts w:ascii="Arial"/>
                <w:sz w:val="21"/>
              </w:rPr>
            </w:pPr>
          </w:p>
          <w:p w14:paraId="139CB539">
            <w:pPr>
              <w:spacing w:line="267" w:lineRule="auto"/>
              <w:rPr>
                <w:rFonts w:ascii="Arial"/>
                <w:sz w:val="21"/>
              </w:rPr>
            </w:pPr>
          </w:p>
          <w:p w14:paraId="1561E494">
            <w:pPr>
              <w:spacing w:before="40" w:line="221" w:lineRule="auto"/>
              <w:ind w:left="239"/>
              <w:rPr>
                <w:rFonts w:ascii="Times New Roman" w:hAnsi="Times New Roman" w:eastAsia="Times New Roman" w:cs="Times New Roman"/>
                <w:sz w:val="9"/>
                <w:szCs w:val="9"/>
              </w:rPr>
            </w:pPr>
            <w:r>
              <w:rPr>
                <w:rFonts w:ascii="Times New Roman" w:hAnsi="Times New Roman" w:eastAsia="Times New Roman" w:cs="Times New Roman"/>
                <w:spacing w:val="5"/>
                <w:sz w:val="14"/>
                <w:szCs w:val="14"/>
              </w:rPr>
              <w:t>0.3</w:t>
            </w:r>
            <w:r>
              <w:rPr>
                <w:rFonts w:ascii="Times New Roman" w:hAnsi="Times New Roman" w:eastAsia="Times New Roman" w:cs="Times New Roman"/>
                <w:sz w:val="14"/>
                <w:szCs w:val="14"/>
              </w:rPr>
              <w:t>mg</w:t>
            </w:r>
            <w:r>
              <w:rPr>
                <w:rFonts w:ascii="Times New Roman" w:hAnsi="Times New Roman" w:eastAsia="Times New Roman" w:cs="Times New Roman"/>
                <w:spacing w:val="5"/>
                <w:sz w:val="14"/>
                <w:szCs w:val="14"/>
              </w:rPr>
              <w:t>/m</w:t>
            </w:r>
            <w:r>
              <w:rPr>
                <w:rFonts w:ascii="Times New Roman" w:hAnsi="Times New Roman" w:eastAsia="Times New Roman" w:cs="Times New Roman"/>
                <w:spacing w:val="5"/>
                <w:position w:val="4"/>
                <w:sz w:val="9"/>
                <w:szCs w:val="9"/>
              </w:rPr>
              <w:t>3</w:t>
            </w:r>
          </w:p>
        </w:tc>
        <w:tc>
          <w:tcPr>
            <w:tcW w:w="608" w:type="dxa"/>
            <w:gridSpan w:val="2"/>
            <w:vMerge w:val="restart"/>
            <w:tcBorders>
              <w:bottom w:val="nil"/>
              <w:right w:val="single" w:color="000000" w:sz="6" w:space="0"/>
            </w:tcBorders>
            <w:vAlign w:val="top"/>
          </w:tcPr>
          <w:p w14:paraId="63C812C2">
            <w:pPr>
              <w:spacing w:line="264" w:lineRule="auto"/>
              <w:rPr>
                <w:rFonts w:ascii="Arial"/>
                <w:sz w:val="21"/>
              </w:rPr>
            </w:pPr>
          </w:p>
          <w:p w14:paraId="25CC2B3F">
            <w:pPr>
              <w:spacing w:line="264" w:lineRule="auto"/>
              <w:rPr>
                <w:rFonts w:ascii="Arial"/>
                <w:sz w:val="21"/>
              </w:rPr>
            </w:pPr>
          </w:p>
          <w:p w14:paraId="1FE04B2E">
            <w:pPr>
              <w:spacing w:line="264" w:lineRule="auto"/>
              <w:rPr>
                <w:rFonts w:ascii="Arial"/>
                <w:sz w:val="21"/>
              </w:rPr>
            </w:pPr>
          </w:p>
          <w:p w14:paraId="067A12CA">
            <w:pPr>
              <w:spacing w:line="264" w:lineRule="auto"/>
              <w:rPr>
                <w:rFonts w:ascii="Arial"/>
                <w:sz w:val="21"/>
              </w:rPr>
            </w:pPr>
          </w:p>
          <w:p w14:paraId="65D9E539">
            <w:pPr>
              <w:spacing w:line="264" w:lineRule="auto"/>
              <w:rPr>
                <w:rFonts w:ascii="Arial"/>
                <w:sz w:val="21"/>
              </w:rPr>
            </w:pPr>
          </w:p>
          <w:p w14:paraId="5B2A468F">
            <w:pPr>
              <w:spacing w:line="264" w:lineRule="auto"/>
              <w:rPr>
                <w:rFonts w:ascii="Arial"/>
                <w:sz w:val="21"/>
              </w:rPr>
            </w:pPr>
          </w:p>
          <w:p w14:paraId="5B3C639E">
            <w:pPr>
              <w:spacing w:line="264" w:lineRule="auto"/>
              <w:rPr>
                <w:rFonts w:ascii="Arial"/>
                <w:sz w:val="21"/>
              </w:rPr>
            </w:pPr>
          </w:p>
          <w:p w14:paraId="5105E357">
            <w:pPr>
              <w:pStyle w:val="6"/>
              <w:spacing w:before="46" w:line="232" w:lineRule="auto"/>
              <w:ind w:left="113"/>
              <w:rPr>
                <w:sz w:val="14"/>
                <w:szCs w:val="14"/>
              </w:rPr>
            </w:pPr>
            <w:r>
              <w:rPr>
                <w:spacing w:val="6"/>
                <w:sz w:val="14"/>
                <w:szCs w:val="14"/>
              </w:rPr>
              <w:t>达标</w:t>
            </w:r>
          </w:p>
        </w:tc>
      </w:tr>
      <w:tr w14:paraId="2A1CB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6380A81">
            <w:pPr>
              <w:rPr>
                <w:rFonts w:ascii="Arial"/>
                <w:sz w:val="21"/>
              </w:rPr>
            </w:pPr>
          </w:p>
        </w:tc>
        <w:tc>
          <w:tcPr>
            <w:tcW w:w="557" w:type="dxa"/>
            <w:vAlign w:val="top"/>
          </w:tcPr>
          <w:p w14:paraId="7DF5983C">
            <w:pPr>
              <w:spacing w:before="215" w:line="198" w:lineRule="auto"/>
              <w:ind w:left="282"/>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tc>
        <w:tc>
          <w:tcPr>
            <w:tcW w:w="825" w:type="dxa"/>
            <w:vAlign w:val="top"/>
          </w:tcPr>
          <w:p w14:paraId="12D93E4F">
            <w:pPr>
              <w:spacing w:before="215"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0009</w:t>
            </w:r>
          </w:p>
        </w:tc>
        <w:tc>
          <w:tcPr>
            <w:tcW w:w="841" w:type="dxa"/>
            <w:gridSpan w:val="2"/>
            <w:vMerge w:val="restart"/>
            <w:tcBorders>
              <w:bottom w:val="nil"/>
            </w:tcBorders>
            <w:vAlign w:val="top"/>
          </w:tcPr>
          <w:p w14:paraId="0F29606E">
            <w:pPr>
              <w:spacing w:line="251" w:lineRule="auto"/>
              <w:rPr>
                <w:rFonts w:ascii="Arial"/>
                <w:sz w:val="21"/>
              </w:rPr>
            </w:pPr>
          </w:p>
          <w:p w14:paraId="3497852B">
            <w:pPr>
              <w:pStyle w:val="6"/>
              <w:spacing w:before="52" w:line="263" w:lineRule="auto"/>
              <w:ind w:left="257" w:right="23" w:hanging="241"/>
              <w:rPr>
                <w:sz w:val="16"/>
                <w:szCs w:val="16"/>
              </w:rPr>
            </w:pPr>
            <w:r>
              <w:rPr>
                <w:spacing w:val="-1"/>
                <w:sz w:val="16"/>
                <w:szCs w:val="16"/>
              </w:rPr>
              <w:t>球磨机、筛</w:t>
            </w:r>
            <w:r>
              <w:rPr>
                <w:sz w:val="16"/>
                <w:szCs w:val="16"/>
              </w:rPr>
              <w:t xml:space="preserve"> </w:t>
            </w:r>
            <w:r>
              <w:rPr>
                <w:spacing w:val="-4"/>
                <w:sz w:val="16"/>
                <w:szCs w:val="16"/>
              </w:rPr>
              <w:t>分机</w:t>
            </w:r>
          </w:p>
        </w:tc>
        <w:tc>
          <w:tcPr>
            <w:tcW w:w="791" w:type="dxa"/>
            <w:gridSpan w:val="2"/>
            <w:vAlign w:val="top"/>
          </w:tcPr>
          <w:p w14:paraId="782B0977">
            <w:pPr>
              <w:pStyle w:val="6"/>
              <w:spacing w:before="190" w:line="231" w:lineRule="auto"/>
              <w:ind w:left="242"/>
              <w:rPr>
                <w:sz w:val="14"/>
                <w:szCs w:val="14"/>
              </w:rPr>
            </w:pPr>
            <w:r>
              <w:rPr>
                <w:spacing w:val="6"/>
                <w:sz w:val="14"/>
                <w:szCs w:val="14"/>
              </w:rPr>
              <w:t>粉尘</w:t>
            </w:r>
          </w:p>
        </w:tc>
        <w:tc>
          <w:tcPr>
            <w:tcW w:w="682" w:type="dxa"/>
            <w:gridSpan w:val="2"/>
            <w:vAlign w:val="top"/>
          </w:tcPr>
          <w:p w14:paraId="53266579">
            <w:pPr>
              <w:spacing w:before="215" w:line="198" w:lineRule="auto"/>
              <w:ind w:left="183"/>
              <w:rPr>
                <w:rFonts w:ascii="Times New Roman" w:hAnsi="Times New Roman" w:eastAsia="Times New Roman" w:cs="Times New Roman"/>
                <w:sz w:val="14"/>
                <w:szCs w:val="14"/>
              </w:rPr>
            </w:pPr>
            <w:r>
              <w:rPr>
                <w:rFonts w:ascii="Times New Roman" w:hAnsi="Times New Roman" w:eastAsia="Times New Roman" w:cs="Times New Roman"/>
                <w:sz w:val="14"/>
                <w:szCs w:val="14"/>
              </w:rPr>
              <w:t>1.764</w:t>
            </w:r>
          </w:p>
        </w:tc>
        <w:tc>
          <w:tcPr>
            <w:tcW w:w="1682" w:type="dxa"/>
            <w:gridSpan w:val="2"/>
            <w:vAlign w:val="top"/>
          </w:tcPr>
          <w:p w14:paraId="366BE890">
            <w:pPr>
              <w:pStyle w:val="6"/>
              <w:spacing w:before="59" w:line="239" w:lineRule="auto"/>
              <w:ind w:left="292" w:right="39" w:hanging="247"/>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 </w:t>
            </w:r>
            <w:r>
              <w:rPr>
                <w:spacing w:val="-2"/>
                <w:sz w:val="16"/>
                <w:szCs w:val="16"/>
              </w:rPr>
              <w:t>排气筒排放</w:t>
            </w:r>
          </w:p>
        </w:tc>
        <w:tc>
          <w:tcPr>
            <w:tcW w:w="1087" w:type="dxa"/>
            <w:gridSpan w:val="2"/>
            <w:vMerge w:val="continue"/>
            <w:tcBorders>
              <w:top w:val="nil"/>
              <w:bottom w:val="nil"/>
            </w:tcBorders>
            <w:vAlign w:val="top"/>
          </w:tcPr>
          <w:p w14:paraId="59CBF711">
            <w:pPr>
              <w:rPr>
                <w:rFonts w:ascii="Arial"/>
                <w:sz w:val="21"/>
              </w:rPr>
            </w:pPr>
          </w:p>
        </w:tc>
        <w:tc>
          <w:tcPr>
            <w:tcW w:w="1054" w:type="dxa"/>
            <w:gridSpan w:val="2"/>
            <w:vMerge w:val="continue"/>
            <w:tcBorders>
              <w:top w:val="nil"/>
              <w:bottom w:val="nil"/>
            </w:tcBorders>
            <w:vAlign w:val="top"/>
          </w:tcPr>
          <w:p w14:paraId="2BDF9B97">
            <w:pPr>
              <w:rPr>
                <w:rFonts w:ascii="Arial"/>
                <w:sz w:val="21"/>
              </w:rPr>
            </w:pPr>
          </w:p>
        </w:tc>
        <w:tc>
          <w:tcPr>
            <w:tcW w:w="608" w:type="dxa"/>
            <w:gridSpan w:val="2"/>
            <w:vMerge w:val="continue"/>
            <w:tcBorders>
              <w:top w:val="nil"/>
              <w:bottom w:val="nil"/>
              <w:right w:val="single" w:color="000000" w:sz="6" w:space="0"/>
            </w:tcBorders>
            <w:vAlign w:val="top"/>
          </w:tcPr>
          <w:p w14:paraId="6DFABBCA">
            <w:pPr>
              <w:rPr>
                <w:rFonts w:ascii="Arial"/>
                <w:sz w:val="21"/>
              </w:rPr>
            </w:pPr>
          </w:p>
        </w:tc>
      </w:tr>
      <w:tr w14:paraId="7C21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00E41CC9">
            <w:pPr>
              <w:rPr>
                <w:rFonts w:ascii="Arial"/>
                <w:sz w:val="21"/>
              </w:rPr>
            </w:pPr>
          </w:p>
        </w:tc>
        <w:tc>
          <w:tcPr>
            <w:tcW w:w="557" w:type="dxa"/>
            <w:vAlign w:val="top"/>
          </w:tcPr>
          <w:p w14:paraId="38690A60">
            <w:pPr>
              <w:spacing w:before="216"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tc>
        <w:tc>
          <w:tcPr>
            <w:tcW w:w="825" w:type="dxa"/>
            <w:vAlign w:val="top"/>
          </w:tcPr>
          <w:p w14:paraId="71124320">
            <w:pPr>
              <w:spacing w:before="216"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0010</w:t>
            </w:r>
          </w:p>
        </w:tc>
        <w:tc>
          <w:tcPr>
            <w:tcW w:w="841" w:type="dxa"/>
            <w:gridSpan w:val="2"/>
            <w:vMerge w:val="continue"/>
            <w:tcBorders>
              <w:top w:val="nil"/>
            </w:tcBorders>
            <w:vAlign w:val="top"/>
          </w:tcPr>
          <w:p w14:paraId="0271EECB">
            <w:pPr>
              <w:rPr>
                <w:rFonts w:ascii="Arial"/>
                <w:sz w:val="21"/>
              </w:rPr>
            </w:pPr>
          </w:p>
        </w:tc>
        <w:tc>
          <w:tcPr>
            <w:tcW w:w="791" w:type="dxa"/>
            <w:gridSpan w:val="2"/>
            <w:vAlign w:val="top"/>
          </w:tcPr>
          <w:p w14:paraId="20776C65">
            <w:pPr>
              <w:pStyle w:val="6"/>
              <w:spacing w:before="190" w:line="231" w:lineRule="auto"/>
              <w:ind w:left="242"/>
              <w:rPr>
                <w:sz w:val="14"/>
                <w:szCs w:val="14"/>
              </w:rPr>
            </w:pPr>
            <w:r>
              <w:rPr>
                <w:spacing w:val="6"/>
                <w:sz w:val="14"/>
                <w:szCs w:val="14"/>
              </w:rPr>
              <w:t>粉尘</w:t>
            </w:r>
          </w:p>
        </w:tc>
        <w:tc>
          <w:tcPr>
            <w:tcW w:w="682" w:type="dxa"/>
            <w:gridSpan w:val="2"/>
            <w:vAlign w:val="top"/>
          </w:tcPr>
          <w:p w14:paraId="54160A1E">
            <w:pPr>
              <w:spacing w:before="216" w:line="198" w:lineRule="auto"/>
              <w:ind w:left="17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5.882</w:t>
            </w:r>
          </w:p>
        </w:tc>
        <w:tc>
          <w:tcPr>
            <w:tcW w:w="1682" w:type="dxa"/>
            <w:gridSpan w:val="2"/>
            <w:vAlign w:val="top"/>
          </w:tcPr>
          <w:p w14:paraId="1709DBCF">
            <w:pPr>
              <w:pStyle w:val="6"/>
              <w:spacing w:before="70" w:line="266" w:lineRule="auto"/>
              <w:ind w:left="408" w:right="15" w:hanging="390"/>
              <w:rPr>
                <w:sz w:val="14"/>
                <w:szCs w:val="14"/>
              </w:rPr>
            </w:pPr>
            <w:r>
              <w:rPr>
                <w:spacing w:val="9"/>
                <w:sz w:val="14"/>
                <w:szCs w:val="14"/>
              </w:rPr>
              <w:t>利用封闭式车间，进出大</w:t>
            </w:r>
            <w:r>
              <w:rPr>
                <w:spacing w:val="2"/>
                <w:sz w:val="14"/>
                <w:szCs w:val="14"/>
              </w:rPr>
              <w:t xml:space="preserve"> </w:t>
            </w:r>
            <w:r>
              <w:rPr>
                <w:spacing w:val="5"/>
                <w:sz w:val="14"/>
                <w:szCs w:val="14"/>
              </w:rPr>
              <w:t>门设雾帘降尘</w:t>
            </w:r>
          </w:p>
        </w:tc>
        <w:tc>
          <w:tcPr>
            <w:tcW w:w="1087" w:type="dxa"/>
            <w:gridSpan w:val="2"/>
            <w:vMerge w:val="continue"/>
            <w:tcBorders>
              <w:top w:val="nil"/>
              <w:bottom w:val="nil"/>
            </w:tcBorders>
            <w:vAlign w:val="top"/>
          </w:tcPr>
          <w:p w14:paraId="1757B344">
            <w:pPr>
              <w:rPr>
                <w:rFonts w:ascii="Arial"/>
                <w:sz w:val="21"/>
              </w:rPr>
            </w:pPr>
          </w:p>
        </w:tc>
        <w:tc>
          <w:tcPr>
            <w:tcW w:w="1054" w:type="dxa"/>
            <w:gridSpan w:val="2"/>
            <w:vMerge w:val="continue"/>
            <w:tcBorders>
              <w:top w:val="nil"/>
              <w:bottom w:val="nil"/>
            </w:tcBorders>
            <w:vAlign w:val="top"/>
          </w:tcPr>
          <w:p w14:paraId="28D7506F">
            <w:pPr>
              <w:rPr>
                <w:rFonts w:ascii="Arial"/>
                <w:sz w:val="21"/>
              </w:rPr>
            </w:pPr>
          </w:p>
        </w:tc>
        <w:tc>
          <w:tcPr>
            <w:tcW w:w="608" w:type="dxa"/>
            <w:gridSpan w:val="2"/>
            <w:vMerge w:val="continue"/>
            <w:tcBorders>
              <w:top w:val="nil"/>
              <w:bottom w:val="nil"/>
              <w:right w:val="single" w:color="000000" w:sz="6" w:space="0"/>
            </w:tcBorders>
            <w:vAlign w:val="top"/>
          </w:tcPr>
          <w:p w14:paraId="679BF250">
            <w:pPr>
              <w:rPr>
                <w:rFonts w:ascii="Arial"/>
                <w:sz w:val="21"/>
              </w:rPr>
            </w:pPr>
          </w:p>
        </w:tc>
      </w:tr>
      <w:tr w14:paraId="0537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5" w:type="dxa"/>
            <w:vMerge w:val="continue"/>
            <w:tcBorders>
              <w:top w:val="nil"/>
              <w:left w:val="single" w:color="000000" w:sz="6" w:space="0"/>
              <w:bottom w:val="nil"/>
            </w:tcBorders>
            <w:vAlign w:val="top"/>
          </w:tcPr>
          <w:p w14:paraId="399582E0">
            <w:pPr>
              <w:rPr>
                <w:rFonts w:ascii="Arial"/>
                <w:sz w:val="21"/>
              </w:rPr>
            </w:pPr>
          </w:p>
        </w:tc>
        <w:tc>
          <w:tcPr>
            <w:tcW w:w="557" w:type="dxa"/>
            <w:vAlign w:val="top"/>
          </w:tcPr>
          <w:p w14:paraId="027F6E3D">
            <w:pPr>
              <w:spacing w:line="297" w:lineRule="auto"/>
              <w:rPr>
                <w:rFonts w:ascii="Arial"/>
                <w:sz w:val="21"/>
              </w:rPr>
            </w:pPr>
          </w:p>
          <w:p w14:paraId="7ED7D741">
            <w:pPr>
              <w:spacing w:before="40" w:line="198" w:lineRule="auto"/>
              <w:ind w:left="257"/>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11</w:t>
            </w:r>
          </w:p>
        </w:tc>
        <w:tc>
          <w:tcPr>
            <w:tcW w:w="825" w:type="dxa"/>
            <w:vAlign w:val="top"/>
          </w:tcPr>
          <w:p w14:paraId="62ADCB4E">
            <w:pPr>
              <w:spacing w:line="297" w:lineRule="auto"/>
              <w:rPr>
                <w:rFonts w:ascii="Arial"/>
                <w:sz w:val="21"/>
              </w:rPr>
            </w:pPr>
          </w:p>
          <w:p w14:paraId="7EBB2C30">
            <w:pPr>
              <w:spacing w:before="40" w:line="198" w:lineRule="auto"/>
              <w:ind w:left="149"/>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6"/>
                <w:sz w:val="14"/>
                <w:szCs w:val="14"/>
              </w:rPr>
              <w:t>0011</w:t>
            </w:r>
          </w:p>
        </w:tc>
        <w:tc>
          <w:tcPr>
            <w:tcW w:w="841" w:type="dxa"/>
            <w:gridSpan w:val="2"/>
            <w:vAlign w:val="top"/>
          </w:tcPr>
          <w:p w14:paraId="09DAFDAE">
            <w:pPr>
              <w:spacing w:line="267" w:lineRule="auto"/>
              <w:rPr>
                <w:rFonts w:ascii="Arial"/>
                <w:sz w:val="21"/>
              </w:rPr>
            </w:pPr>
          </w:p>
          <w:p w14:paraId="2053F269">
            <w:pPr>
              <w:pStyle w:val="6"/>
              <w:spacing w:before="45" w:line="230" w:lineRule="auto"/>
              <w:ind w:left="191"/>
              <w:rPr>
                <w:sz w:val="14"/>
                <w:szCs w:val="14"/>
              </w:rPr>
            </w:pPr>
            <w:r>
              <w:rPr>
                <w:spacing w:val="7"/>
                <w:sz w:val="14"/>
                <w:szCs w:val="14"/>
              </w:rPr>
              <w:t>烘干机</w:t>
            </w:r>
          </w:p>
        </w:tc>
        <w:tc>
          <w:tcPr>
            <w:tcW w:w="791" w:type="dxa"/>
            <w:gridSpan w:val="2"/>
            <w:vAlign w:val="top"/>
          </w:tcPr>
          <w:p w14:paraId="44A383BD">
            <w:pPr>
              <w:spacing w:line="266" w:lineRule="auto"/>
              <w:rPr>
                <w:rFonts w:ascii="Arial"/>
                <w:sz w:val="21"/>
              </w:rPr>
            </w:pPr>
          </w:p>
          <w:p w14:paraId="52B1011B">
            <w:pPr>
              <w:pStyle w:val="6"/>
              <w:spacing w:before="46" w:line="231" w:lineRule="auto"/>
              <w:ind w:left="242"/>
              <w:rPr>
                <w:sz w:val="14"/>
                <w:szCs w:val="14"/>
              </w:rPr>
            </w:pPr>
            <w:r>
              <w:rPr>
                <w:spacing w:val="6"/>
                <w:sz w:val="14"/>
                <w:szCs w:val="14"/>
              </w:rPr>
              <w:t>粉尘</w:t>
            </w:r>
          </w:p>
        </w:tc>
        <w:tc>
          <w:tcPr>
            <w:tcW w:w="682" w:type="dxa"/>
            <w:gridSpan w:val="2"/>
            <w:vAlign w:val="top"/>
          </w:tcPr>
          <w:p w14:paraId="557C3AD6">
            <w:pPr>
              <w:spacing w:line="297" w:lineRule="auto"/>
              <w:rPr>
                <w:rFonts w:ascii="Arial"/>
                <w:sz w:val="21"/>
              </w:rPr>
            </w:pPr>
          </w:p>
          <w:p w14:paraId="53B5E399">
            <w:pPr>
              <w:spacing w:before="40"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0.034</w:t>
            </w:r>
          </w:p>
        </w:tc>
        <w:tc>
          <w:tcPr>
            <w:tcW w:w="1682" w:type="dxa"/>
            <w:gridSpan w:val="2"/>
            <w:vAlign w:val="top"/>
          </w:tcPr>
          <w:p w14:paraId="4EFFF5E0">
            <w:pPr>
              <w:pStyle w:val="6"/>
              <w:spacing w:before="63" w:line="220" w:lineRule="auto"/>
              <w:jc w:val="right"/>
              <w:rPr>
                <w:sz w:val="14"/>
                <w:szCs w:val="14"/>
              </w:rPr>
            </w:pPr>
            <w:r>
              <w:rPr>
                <w:spacing w:val="-4"/>
                <w:sz w:val="16"/>
                <w:szCs w:val="16"/>
              </w:rPr>
              <w:t>设除尘器收集处理，</w:t>
            </w:r>
            <w:r>
              <w:rPr>
                <w:spacing w:val="-4"/>
                <w:sz w:val="14"/>
                <w:szCs w:val="14"/>
              </w:rPr>
              <w:t>利用</w:t>
            </w:r>
          </w:p>
          <w:p w14:paraId="76FCD63D">
            <w:pPr>
              <w:pStyle w:val="6"/>
              <w:spacing w:before="59" w:line="231" w:lineRule="auto"/>
              <w:ind w:left="17"/>
              <w:rPr>
                <w:sz w:val="14"/>
                <w:szCs w:val="14"/>
              </w:rPr>
            </w:pPr>
            <w:r>
              <w:rPr>
                <w:spacing w:val="9"/>
                <w:sz w:val="14"/>
                <w:szCs w:val="14"/>
              </w:rPr>
              <w:t>封闭式车间，进出大门设</w:t>
            </w:r>
          </w:p>
          <w:p w14:paraId="09BF309A">
            <w:pPr>
              <w:pStyle w:val="6"/>
              <w:spacing w:before="64" w:line="211" w:lineRule="auto"/>
              <w:ind w:left="542"/>
              <w:rPr>
                <w:sz w:val="14"/>
                <w:szCs w:val="14"/>
              </w:rPr>
            </w:pPr>
            <w:r>
              <w:rPr>
                <w:spacing w:val="7"/>
                <w:sz w:val="14"/>
                <w:szCs w:val="14"/>
              </w:rPr>
              <w:t>雾帘降尘</w:t>
            </w:r>
          </w:p>
        </w:tc>
        <w:tc>
          <w:tcPr>
            <w:tcW w:w="1087" w:type="dxa"/>
            <w:gridSpan w:val="2"/>
            <w:vMerge w:val="continue"/>
            <w:tcBorders>
              <w:top w:val="nil"/>
              <w:bottom w:val="nil"/>
            </w:tcBorders>
            <w:vAlign w:val="top"/>
          </w:tcPr>
          <w:p w14:paraId="554B3CEA">
            <w:pPr>
              <w:rPr>
                <w:rFonts w:ascii="Arial"/>
                <w:sz w:val="21"/>
              </w:rPr>
            </w:pPr>
          </w:p>
        </w:tc>
        <w:tc>
          <w:tcPr>
            <w:tcW w:w="1054" w:type="dxa"/>
            <w:gridSpan w:val="2"/>
            <w:vMerge w:val="continue"/>
            <w:tcBorders>
              <w:top w:val="nil"/>
              <w:bottom w:val="nil"/>
            </w:tcBorders>
            <w:vAlign w:val="top"/>
          </w:tcPr>
          <w:p w14:paraId="49EB8B84">
            <w:pPr>
              <w:rPr>
                <w:rFonts w:ascii="Arial"/>
                <w:sz w:val="21"/>
              </w:rPr>
            </w:pPr>
          </w:p>
        </w:tc>
        <w:tc>
          <w:tcPr>
            <w:tcW w:w="608" w:type="dxa"/>
            <w:gridSpan w:val="2"/>
            <w:vMerge w:val="continue"/>
            <w:tcBorders>
              <w:top w:val="nil"/>
              <w:bottom w:val="nil"/>
              <w:right w:val="single" w:color="000000" w:sz="6" w:space="0"/>
            </w:tcBorders>
            <w:vAlign w:val="top"/>
          </w:tcPr>
          <w:p w14:paraId="14BE2058">
            <w:pPr>
              <w:rPr>
                <w:rFonts w:ascii="Arial"/>
                <w:sz w:val="21"/>
              </w:rPr>
            </w:pPr>
          </w:p>
        </w:tc>
      </w:tr>
      <w:tr w14:paraId="086B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64141D59">
            <w:pPr>
              <w:rPr>
                <w:rFonts w:ascii="Arial"/>
                <w:sz w:val="21"/>
              </w:rPr>
            </w:pPr>
          </w:p>
        </w:tc>
        <w:tc>
          <w:tcPr>
            <w:tcW w:w="557" w:type="dxa"/>
            <w:vAlign w:val="top"/>
          </w:tcPr>
          <w:p w14:paraId="431F5A21">
            <w:pPr>
              <w:spacing w:before="219"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12</w:t>
            </w:r>
          </w:p>
        </w:tc>
        <w:tc>
          <w:tcPr>
            <w:tcW w:w="825" w:type="dxa"/>
            <w:vAlign w:val="top"/>
          </w:tcPr>
          <w:p w14:paraId="5E28643D">
            <w:pPr>
              <w:spacing w:before="219"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0012</w:t>
            </w:r>
          </w:p>
        </w:tc>
        <w:tc>
          <w:tcPr>
            <w:tcW w:w="841" w:type="dxa"/>
            <w:gridSpan w:val="2"/>
            <w:vAlign w:val="top"/>
          </w:tcPr>
          <w:p w14:paraId="5DBB2C0B">
            <w:pPr>
              <w:pStyle w:val="6"/>
              <w:spacing w:before="194" w:line="232" w:lineRule="auto"/>
              <w:ind w:left="118"/>
              <w:rPr>
                <w:sz w:val="14"/>
                <w:szCs w:val="14"/>
              </w:rPr>
            </w:pPr>
            <w:r>
              <w:rPr>
                <w:spacing w:val="7"/>
                <w:sz w:val="14"/>
                <w:szCs w:val="14"/>
              </w:rPr>
              <w:t>上料平台</w:t>
            </w:r>
          </w:p>
        </w:tc>
        <w:tc>
          <w:tcPr>
            <w:tcW w:w="791" w:type="dxa"/>
            <w:gridSpan w:val="2"/>
            <w:vAlign w:val="top"/>
          </w:tcPr>
          <w:p w14:paraId="1B7D655D">
            <w:pPr>
              <w:pStyle w:val="6"/>
              <w:spacing w:before="194" w:line="231" w:lineRule="auto"/>
              <w:ind w:left="242"/>
              <w:rPr>
                <w:sz w:val="14"/>
                <w:szCs w:val="14"/>
              </w:rPr>
            </w:pPr>
            <w:r>
              <w:rPr>
                <w:spacing w:val="6"/>
                <w:sz w:val="14"/>
                <w:szCs w:val="14"/>
              </w:rPr>
              <w:t>粉尘</w:t>
            </w:r>
          </w:p>
        </w:tc>
        <w:tc>
          <w:tcPr>
            <w:tcW w:w="682" w:type="dxa"/>
            <w:gridSpan w:val="2"/>
            <w:vAlign w:val="top"/>
          </w:tcPr>
          <w:p w14:paraId="3F1D5EA5">
            <w:pPr>
              <w:spacing w:before="219" w:line="198"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0.002</w:t>
            </w:r>
          </w:p>
        </w:tc>
        <w:tc>
          <w:tcPr>
            <w:tcW w:w="1682" w:type="dxa"/>
            <w:gridSpan w:val="2"/>
            <w:vAlign w:val="top"/>
          </w:tcPr>
          <w:p w14:paraId="502096A2">
            <w:pPr>
              <w:pStyle w:val="6"/>
              <w:spacing w:before="64" w:line="236" w:lineRule="auto"/>
              <w:ind w:left="525" w:hanging="526"/>
              <w:rPr>
                <w:sz w:val="16"/>
                <w:szCs w:val="16"/>
              </w:rPr>
            </w:pPr>
            <w:r>
              <w:rPr>
                <w:spacing w:val="-8"/>
                <w:sz w:val="16"/>
                <w:szCs w:val="16"/>
              </w:rPr>
              <w:t>配套脉冲除尘器、密闭螺</w:t>
            </w:r>
            <w:r>
              <w:rPr>
                <w:spacing w:val="3"/>
                <w:sz w:val="16"/>
                <w:szCs w:val="16"/>
              </w:rPr>
              <w:t xml:space="preserve"> </w:t>
            </w:r>
            <w:r>
              <w:rPr>
                <w:spacing w:val="-4"/>
                <w:sz w:val="16"/>
                <w:szCs w:val="16"/>
              </w:rPr>
              <w:t>旋式输送</w:t>
            </w:r>
          </w:p>
        </w:tc>
        <w:tc>
          <w:tcPr>
            <w:tcW w:w="1087" w:type="dxa"/>
            <w:gridSpan w:val="2"/>
            <w:vMerge w:val="continue"/>
            <w:tcBorders>
              <w:top w:val="nil"/>
              <w:bottom w:val="nil"/>
            </w:tcBorders>
            <w:vAlign w:val="top"/>
          </w:tcPr>
          <w:p w14:paraId="56920C08">
            <w:pPr>
              <w:rPr>
                <w:rFonts w:ascii="Arial"/>
                <w:sz w:val="21"/>
              </w:rPr>
            </w:pPr>
          </w:p>
        </w:tc>
        <w:tc>
          <w:tcPr>
            <w:tcW w:w="1054" w:type="dxa"/>
            <w:gridSpan w:val="2"/>
            <w:vMerge w:val="continue"/>
            <w:tcBorders>
              <w:top w:val="nil"/>
              <w:bottom w:val="nil"/>
            </w:tcBorders>
            <w:vAlign w:val="top"/>
          </w:tcPr>
          <w:p w14:paraId="3C14050F">
            <w:pPr>
              <w:rPr>
                <w:rFonts w:ascii="Arial"/>
                <w:sz w:val="21"/>
              </w:rPr>
            </w:pPr>
          </w:p>
        </w:tc>
        <w:tc>
          <w:tcPr>
            <w:tcW w:w="608" w:type="dxa"/>
            <w:gridSpan w:val="2"/>
            <w:vMerge w:val="continue"/>
            <w:tcBorders>
              <w:top w:val="nil"/>
              <w:bottom w:val="nil"/>
              <w:right w:val="single" w:color="000000" w:sz="6" w:space="0"/>
            </w:tcBorders>
            <w:vAlign w:val="top"/>
          </w:tcPr>
          <w:p w14:paraId="2E5AF2F1">
            <w:pPr>
              <w:rPr>
                <w:rFonts w:ascii="Arial"/>
                <w:sz w:val="21"/>
              </w:rPr>
            </w:pPr>
          </w:p>
        </w:tc>
      </w:tr>
      <w:tr w14:paraId="6A98A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0BBE5C9B">
            <w:pPr>
              <w:rPr>
                <w:rFonts w:ascii="Arial"/>
                <w:sz w:val="21"/>
              </w:rPr>
            </w:pPr>
          </w:p>
        </w:tc>
        <w:tc>
          <w:tcPr>
            <w:tcW w:w="557" w:type="dxa"/>
            <w:vAlign w:val="top"/>
          </w:tcPr>
          <w:p w14:paraId="0085662D">
            <w:pPr>
              <w:spacing w:before="220"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13</w:t>
            </w:r>
          </w:p>
        </w:tc>
        <w:tc>
          <w:tcPr>
            <w:tcW w:w="825" w:type="dxa"/>
            <w:vAlign w:val="top"/>
          </w:tcPr>
          <w:p w14:paraId="66EDFE70">
            <w:pPr>
              <w:spacing w:before="22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0013</w:t>
            </w:r>
          </w:p>
        </w:tc>
        <w:tc>
          <w:tcPr>
            <w:tcW w:w="841" w:type="dxa"/>
            <w:gridSpan w:val="2"/>
            <w:vAlign w:val="top"/>
          </w:tcPr>
          <w:p w14:paraId="7F86EAA2">
            <w:pPr>
              <w:pStyle w:val="6"/>
              <w:spacing w:before="195" w:line="230" w:lineRule="auto"/>
              <w:ind w:left="190"/>
              <w:rPr>
                <w:sz w:val="14"/>
                <w:szCs w:val="14"/>
              </w:rPr>
            </w:pPr>
            <w:r>
              <w:rPr>
                <w:spacing w:val="7"/>
                <w:sz w:val="14"/>
                <w:szCs w:val="14"/>
              </w:rPr>
              <w:t>搅拌机</w:t>
            </w:r>
          </w:p>
        </w:tc>
        <w:tc>
          <w:tcPr>
            <w:tcW w:w="791" w:type="dxa"/>
            <w:gridSpan w:val="2"/>
            <w:vAlign w:val="top"/>
          </w:tcPr>
          <w:p w14:paraId="31AA3948">
            <w:pPr>
              <w:pStyle w:val="6"/>
              <w:spacing w:before="195" w:line="231" w:lineRule="auto"/>
              <w:ind w:left="242"/>
              <w:rPr>
                <w:sz w:val="14"/>
                <w:szCs w:val="14"/>
              </w:rPr>
            </w:pPr>
            <w:r>
              <w:rPr>
                <w:spacing w:val="6"/>
                <w:sz w:val="14"/>
                <w:szCs w:val="14"/>
              </w:rPr>
              <w:t>粉尘</w:t>
            </w:r>
          </w:p>
        </w:tc>
        <w:tc>
          <w:tcPr>
            <w:tcW w:w="682" w:type="dxa"/>
            <w:gridSpan w:val="2"/>
            <w:vAlign w:val="top"/>
          </w:tcPr>
          <w:p w14:paraId="21DDF45A">
            <w:pPr>
              <w:spacing w:before="220"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0.39</w:t>
            </w:r>
          </w:p>
        </w:tc>
        <w:tc>
          <w:tcPr>
            <w:tcW w:w="1682" w:type="dxa"/>
            <w:gridSpan w:val="2"/>
            <w:vAlign w:val="top"/>
          </w:tcPr>
          <w:p w14:paraId="31F2DC57">
            <w:pPr>
              <w:pStyle w:val="6"/>
              <w:spacing w:before="64" w:line="236" w:lineRule="auto"/>
              <w:ind w:left="57" w:right="39" w:hanging="12"/>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15mDA002 </w:t>
            </w:r>
            <w:r>
              <w:rPr>
                <w:spacing w:val="-2"/>
                <w:sz w:val="16"/>
                <w:szCs w:val="16"/>
              </w:rPr>
              <w:t>排气筒排放</w:t>
            </w:r>
          </w:p>
        </w:tc>
        <w:tc>
          <w:tcPr>
            <w:tcW w:w="1087" w:type="dxa"/>
            <w:gridSpan w:val="2"/>
            <w:vMerge w:val="continue"/>
            <w:tcBorders>
              <w:top w:val="nil"/>
              <w:bottom w:val="nil"/>
            </w:tcBorders>
            <w:vAlign w:val="top"/>
          </w:tcPr>
          <w:p w14:paraId="61A47F26">
            <w:pPr>
              <w:rPr>
                <w:rFonts w:ascii="Arial"/>
                <w:sz w:val="21"/>
              </w:rPr>
            </w:pPr>
          </w:p>
        </w:tc>
        <w:tc>
          <w:tcPr>
            <w:tcW w:w="1054" w:type="dxa"/>
            <w:gridSpan w:val="2"/>
            <w:vMerge w:val="continue"/>
            <w:tcBorders>
              <w:top w:val="nil"/>
              <w:bottom w:val="nil"/>
            </w:tcBorders>
            <w:vAlign w:val="top"/>
          </w:tcPr>
          <w:p w14:paraId="597D1148">
            <w:pPr>
              <w:rPr>
                <w:rFonts w:ascii="Arial"/>
                <w:sz w:val="21"/>
              </w:rPr>
            </w:pPr>
          </w:p>
        </w:tc>
        <w:tc>
          <w:tcPr>
            <w:tcW w:w="608" w:type="dxa"/>
            <w:gridSpan w:val="2"/>
            <w:vMerge w:val="continue"/>
            <w:tcBorders>
              <w:top w:val="nil"/>
              <w:bottom w:val="nil"/>
              <w:right w:val="single" w:color="000000" w:sz="6" w:space="0"/>
            </w:tcBorders>
            <w:vAlign w:val="top"/>
          </w:tcPr>
          <w:p w14:paraId="603EDAC5">
            <w:pPr>
              <w:rPr>
                <w:rFonts w:ascii="Arial"/>
                <w:sz w:val="21"/>
              </w:rPr>
            </w:pPr>
          </w:p>
        </w:tc>
      </w:tr>
      <w:tr w14:paraId="4E2A4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5" w:type="dxa"/>
            <w:vMerge w:val="continue"/>
            <w:tcBorders>
              <w:top w:val="nil"/>
              <w:left w:val="single" w:color="000000" w:sz="6" w:space="0"/>
              <w:bottom w:val="nil"/>
            </w:tcBorders>
            <w:vAlign w:val="top"/>
          </w:tcPr>
          <w:p w14:paraId="20E076F2">
            <w:pPr>
              <w:rPr>
                <w:rFonts w:ascii="Arial"/>
                <w:sz w:val="21"/>
              </w:rPr>
            </w:pPr>
          </w:p>
        </w:tc>
        <w:tc>
          <w:tcPr>
            <w:tcW w:w="557" w:type="dxa"/>
            <w:vAlign w:val="top"/>
          </w:tcPr>
          <w:p w14:paraId="28740CF4">
            <w:pPr>
              <w:spacing w:before="221"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14</w:t>
            </w:r>
          </w:p>
        </w:tc>
        <w:tc>
          <w:tcPr>
            <w:tcW w:w="825" w:type="dxa"/>
            <w:vAlign w:val="top"/>
          </w:tcPr>
          <w:p w14:paraId="0296432E">
            <w:pPr>
              <w:spacing w:before="221"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0014</w:t>
            </w:r>
          </w:p>
        </w:tc>
        <w:tc>
          <w:tcPr>
            <w:tcW w:w="841" w:type="dxa"/>
            <w:gridSpan w:val="2"/>
            <w:vAlign w:val="top"/>
          </w:tcPr>
          <w:p w14:paraId="4904F5CE">
            <w:pPr>
              <w:pStyle w:val="6"/>
              <w:spacing w:before="75" w:line="263" w:lineRule="auto"/>
              <w:ind w:left="190" w:right="50" w:hanging="147"/>
              <w:rPr>
                <w:sz w:val="14"/>
                <w:szCs w:val="14"/>
              </w:rPr>
            </w:pPr>
            <w:r>
              <w:rPr>
                <w:spacing w:val="8"/>
                <w:sz w:val="14"/>
                <w:szCs w:val="14"/>
              </w:rPr>
              <w:t>成品仓及包</w:t>
            </w:r>
            <w:r>
              <w:rPr>
                <w:sz w:val="14"/>
                <w:szCs w:val="14"/>
              </w:rPr>
              <w:t xml:space="preserve"> </w:t>
            </w:r>
            <w:r>
              <w:rPr>
                <w:spacing w:val="7"/>
                <w:sz w:val="14"/>
                <w:szCs w:val="14"/>
              </w:rPr>
              <w:t>装系统</w:t>
            </w:r>
          </w:p>
        </w:tc>
        <w:tc>
          <w:tcPr>
            <w:tcW w:w="791" w:type="dxa"/>
            <w:gridSpan w:val="2"/>
            <w:vAlign w:val="top"/>
          </w:tcPr>
          <w:p w14:paraId="44DC93FF">
            <w:pPr>
              <w:pStyle w:val="6"/>
              <w:spacing w:before="195" w:line="231" w:lineRule="auto"/>
              <w:ind w:left="242"/>
              <w:rPr>
                <w:sz w:val="14"/>
                <w:szCs w:val="14"/>
              </w:rPr>
            </w:pPr>
            <w:r>
              <w:rPr>
                <w:spacing w:val="6"/>
                <w:sz w:val="14"/>
                <w:szCs w:val="14"/>
              </w:rPr>
              <w:t>粉尘</w:t>
            </w:r>
          </w:p>
        </w:tc>
        <w:tc>
          <w:tcPr>
            <w:tcW w:w="682" w:type="dxa"/>
            <w:gridSpan w:val="2"/>
            <w:vAlign w:val="top"/>
          </w:tcPr>
          <w:p w14:paraId="2FD60D5C">
            <w:pPr>
              <w:spacing w:before="221"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0.36</w:t>
            </w:r>
          </w:p>
        </w:tc>
        <w:tc>
          <w:tcPr>
            <w:tcW w:w="1682" w:type="dxa"/>
            <w:gridSpan w:val="2"/>
            <w:vAlign w:val="top"/>
          </w:tcPr>
          <w:p w14:paraId="113EC386">
            <w:pPr>
              <w:pStyle w:val="6"/>
              <w:spacing w:before="64" w:line="236" w:lineRule="auto"/>
              <w:ind w:left="57" w:right="39" w:hanging="12"/>
              <w:rPr>
                <w:sz w:val="16"/>
                <w:szCs w:val="16"/>
              </w:rPr>
            </w:pPr>
            <w:r>
              <w:rPr>
                <w:spacing w:val="-1"/>
                <w:sz w:val="16"/>
                <w:szCs w:val="16"/>
              </w:rPr>
              <w:t>设除尘器收集处理，经</w:t>
            </w:r>
            <w:r>
              <w:rPr>
                <w:spacing w:val="1"/>
                <w:sz w:val="16"/>
                <w:szCs w:val="16"/>
              </w:rPr>
              <w:t xml:space="preserve"> </w:t>
            </w:r>
            <w:r>
              <w:rPr>
                <w:rFonts w:ascii="Times New Roman" w:hAnsi="Times New Roman" w:eastAsia="Times New Roman" w:cs="Times New Roman"/>
                <w:spacing w:val="-2"/>
                <w:sz w:val="16"/>
                <w:szCs w:val="16"/>
              </w:rPr>
              <w:t xml:space="preserve">15mDA002 </w:t>
            </w:r>
            <w:r>
              <w:rPr>
                <w:spacing w:val="-2"/>
                <w:sz w:val="16"/>
                <w:szCs w:val="16"/>
              </w:rPr>
              <w:t>排气筒排放</w:t>
            </w:r>
          </w:p>
        </w:tc>
        <w:tc>
          <w:tcPr>
            <w:tcW w:w="1087" w:type="dxa"/>
            <w:gridSpan w:val="2"/>
            <w:vMerge w:val="continue"/>
            <w:tcBorders>
              <w:top w:val="nil"/>
              <w:bottom w:val="nil"/>
            </w:tcBorders>
            <w:vAlign w:val="top"/>
          </w:tcPr>
          <w:p w14:paraId="145DFE37">
            <w:pPr>
              <w:rPr>
                <w:rFonts w:ascii="Arial"/>
                <w:sz w:val="21"/>
              </w:rPr>
            </w:pPr>
          </w:p>
        </w:tc>
        <w:tc>
          <w:tcPr>
            <w:tcW w:w="1054" w:type="dxa"/>
            <w:gridSpan w:val="2"/>
            <w:vMerge w:val="continue"/>
            <w:tcBorders>
              <w:top w:val="nil"/>
              <w:bottom w:val="nil"/>
            </w:tcBorders>
            <w:vAlign w:val="top"/>
          </w:tcPr>
          <w:p w14:paraId="57F1374A">
            <w:pPr>
              <w:rPr>
                <w:rFonts w:ascii="Arial"/>
                <w:sz w:val="21"/>
              </w:rPr>
            </w:pPr>
          </w:p>
        </w:tc>
        <w:tc>
          <w:tcPr>
            <w:tcW w:w="608" w:type="dxa"/>
            <w:gridSpan w:val="2"/>
            <w:vMerge w:val="continue"/>
            <w:tcBorders>
              <w:top w:val="nil"/>
              <w:bottom w:val="nil"/>
              <w:right w:val="single" w:color="000000" w:sz="6" w:space="0"/>
            </w:tcBorders>
            <w:vAlign w:val="top"/>
          </w:tcPr>
          <w:p w14:paraId="40E31373">
            <w:pPr>
              <w:rPr>
                <w:rFonts w:ascii="Arial"/>
                <w:sz w:val="21"/>
              </w:rPr>
            </w:pPr>
          </w:p>
        </w:tc>
      </w:tr>
      <w:tr w14:paraId="2BA7D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646CC1B4">
            <w:pPr>
              <w:rPr>
                <w:rFonts w:ascii="Arial"/>
                <w:sz w:val="21"/>
              </w:rPr>
            </w:pPr>
          </w:p>
        </w:tc>
        <w:tc>
          <w:tcPr>
            <w:tcW w:w="557" w:type="dxa"/>
            <w:vAlign w:val="top"/>
          </w:tcPr>
          <w:p w14:paraId="0F68B510">
            <w:pPr>
              <w:spacing w:before="101"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15</w:t>
            </w:r>
          </w:p>
        </w:tc>
        <w:tc>
          <w:tcPr>
            <w:tcW w:w="825" w:type="dxa"/>
            <w:vAlign w:val="top"/>
          </w:tcPr>
          <w:p w14:paraId="2B4E4867">
            <w:pPr>
              <w:spacing w:before="101"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0015</w:t>
            </w:r>
          </w:p>
        </w:tc>
        <w:tc>
          <w:tcPr>
            <w:tcW w:w="841" w:type="dxa"/>
            <w:gridSpan w:val="2"/>
            <w:vAlign w:val="top"/>
          </w:tcPr>
          <w:p w14:paraId="736B2566">
            <w:pPr>
              <w:pStyle w:val="6"/>
              <w:spacing w:before="76" w:line="209" w:lineRule="auto"/>
              <w:ind w:left="117"/>
              <w:rPr>
                <w:sz w:val="14"/>
                <w:szCs w:val="14"/>
              </w:rPr>
            </w:pPr>
            <w:r>
              <w:rPr>
                <w:spacing w:val="7"/>
                <w:sz w:val="14"/>
                <w:szCs w:val="14"/>
              </w:rPr>
              <w:t>运输车辆</w:t>
            </w:r>
          </w:p>
        </w:tc>
        <w:tc>
          <w:tcPr>
            <w:tcW w:w="791" w:type="dxa"/>
            <w:gridSpan w:val="2"/>
            <w:vAlign w:val="top"/>
          </w:tcPr>
          <w:p w14:paraId="1683B009">
            <w:pPr>
              <w:pStyle w:val="6"/>
              <w:spacing w:before="76" w:line="209" w:lineRule="auto"/>
              <w:ind w:left="242"/>
              <w:rPr>
                <w:sz w:val="14"/>
                <w:szCs w:val="14"/>
              </w:rPr>
            </w:pPr>
            <w:r>
              <w:rPr>
                <w:spacing w:val="6"/>
                <w:sz w:val="14"/>
                <w:szCs w:val="14"/>
              </w:rPr>
              <w:t>粉尘</w:t>
            </w:r>
          </w:p>
        </w:tc>
        <w:tc>
          <w:tcPr>
            <w:tcW w:w="682" w:type="dxa"/>
            <w:gridSpan w:val="2"/>
            <w:vAlign w:val="top"/>
          </w:tcPr>
          <w:p w14:paraId="30F1A534">
            <w:pPr>
              <w:spacing w:before="98" w:line="202" w:lineRule="auto"/>
              <w:ind w:left="3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1682" w:type="dxa"/>
            <w:gridSpan w:val="2"/>
            <w:vAlign w:val="top"/>
          </w:tcPr>
          <w:p w14:paraId="4102C7D7">
            <w:pPr>
              <w:pStyle w:val="6"/>
              <w:spacing w:before="76" w:line="209" w:lineRule="auto"/>
              <w:ind w:left="19"/>
              <w:rPr>
                <w:sz w:val="14"/>
                <w:szCs w:val="14"/>
              </w:rPr>
            </w:pPr>
            <w:r>
              <w:rPr>
                <w:spacing w:val="9"/>
                <w:sz w:val="14"/>
                <w:szCs w:val="14"/>
              </w:rPr>
              <w:t>厂区地面硬化、车辆冲洗</w:t>
            </w:r>
          </w:p>
        </w:tc>
        <w:tc>
          <w:tcPr>
            <w:tcW w:w="1087" w:type="dxa"/>
            <w:gridSpan w:val="2"/>
            <w:vMerge w:val="continue"/>
            <w:tcBorders>
              <w:top w:val="nil"/>
            </w:tcBorders>
            <w:vAlign w:val="top"/>
          </w:tcPr>
          <w:p w14:paraId="273D04D0">
            <w:pPr>
              <w:rPr>
                <w:rFonts w:ascii="Arial"/>
                <w:sz w:val="21"/>
              </w:rPr>
            </w:pPr>
          </w:p>
        </w:tc>
        <w:tc>
          <w:tcPr>
            <w:tcW w:w="1054" w:type="dxa"/>
            <w:gridSpan w:val="2"/>
            <w:vMerge w:val="continue"/>
            <w:tcBorders>
              <w:top w:val="nil"/>
            </w:tcBorders>
            <w:vAlign w:val="top"/>
          </w:tcPr>
          <w:p w14:paraId="07612767">
            <w:pPr>
              <w:rPr>
                <w:rFonts w:ascii="Arial"/>
                <w:sz w:val="21"/>
              </w:rPr>
            </w:pPr>
          </w:p>
        </w:tc>
        <w:tc>
          <w:tcPr>
            <w:tcW w:w="608" w:type="dxa"/>
            <w:gridSpan w:val="2"/>
            <w:vMerge w:val="continue"/>
            <w:tcBorders>
              <w:top w:val="nil"/>
              <w:right w:val="single" w:color="000000" w:sz="6" w:space="0"/>
            </w:tcBorders>
            <w:vAlign w:val="top"/>
          </w:tcPr>
          <w:p w14:paraId="00710709">
            <w:pPr>
              <w:rPr>
                <w:rFonts w:ascii="Arial"/>
                <w:sz w:val="21"/>
              </w:rPr>
            </w:pPr>
          </w:p>
        </w:tc>
      </w:tr>
      <w:tr w14:paraId="38E1F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85" w:type="dxa"/>
            <w:vMerge w:val="continue"/>
            <w:tcBorders>
              <w:top w:val="nil"/>
              <w:left w:val="single" w:color="000000" w:sz="6" w:space="0"/>
              <w:bottom w:val="nil"/>
            </w:tcBorders>
            <w:vAlign w:val="top"/>
          </w:tcPr>
          <w:p w14:paraId="62F27B78">
            <w:pPr>
              <w:rPr>
                <w:rFonts w:ascii="Arial"/>
                <w:sz w:val="21"/>
              </w:rPr>
            </w:pPr>
          </w:p>
        </w:tc>
        <w:tc>
          <w:tcPr>
            <w:tcW w:w="557" w:type="dxa"/>
            <w:vMerge w:val="restart"/>
            <w:tcBorders>
              <w:bottom w:val="nil"/>
            </w:tcBorders>
            <w:vAlign w:val="top"/>
          </w:tcPr>
          <w:p w14:paraId="5B2567CA">
            <w:pPr>
              <w:spacing w:line="311" w:lineRule="auto"/>
              <w:rPr>
                <w:rFonts w:ascii="Arial"/>
                <w:sz w:val="21"/>
              </w:rPr>
            </w:pPr>
          </w:p>
          <w:p w14:paraId="6788B5CA">
            <w:pPr>
              <w:spacing w:before="40" w:line="198" w:lineRule="auto"/>
              <w:ind w:left="25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16</w:t>
            </w:r>
          </w:p>
        </w:tc>
        <w:tc>
          <w:tcPr>
            <w:tcW w:w="825" w:type="dxa"/>
            <w:vMerge w:val="restart"/>
            <w:tcBorders>
              <w:bottom w:val="nil"/>
            </w:tcBorders>
            <w:vAlign w:val="top"/>
          </w:tcPr>
          <w:p w14:paraId="1B708138">
            <w:pPr>
              <w:spacing w:line="311" w:lineRule="auto"/>
              <w:rPr>
                <w:rFonts w:ascii="Arial"/>
                <w:sz w:val="21"/>
              </w:rPr>
            </w:pPr>
          </w:p>
          <w:p w14:paraId="55419B8F">
            <w:pPr>
              <w:spacing w:before="40" w:line="198" w:lineRule="auto"/>
              <w:ind w:left="146"/>
              <w:rPr>
                <w:rFonts w:ascii="Times New Roman" w:hAnsi="Times New Roman" w:eastAsia="Times New Roman" w:cs="Times New Roman"/>
                <w:sz w:val="14"/>
                <w:szCs w:val="14"/>
              </w:rPr>
            </w:pPr>
            <w:r>
              <w:rPr>
                <w:rFonts w:ascii="Times New Roman" w:hAnsi="Times New Roman" w:eastAsia="Times New Roman" w:cs="Times New Roman"/>
                <w:sz w:val="14"/>
                <w:szCs w:val="14"/>
              </w:rPr>
              <w:t>MF</w:t>
            </w:r>
            <w:r>
              <w:rPr>
                <w:rFonts w:ascii="Times New Roman" w:hAnsi="Times New Roman" w:eastAsia="Times New Roman" w:cs="Times New Roman"/>
                <w:spacing w:val="7"/>
                <w:sz w:val="14"/>
                <w:szCs w:val="14"/>
              </w:rPr>
              <w:t>0016</w:t>
            </w:r>
          </w:p>
        </w:tc>
        <w:tc>
          <w:tcPr>
            <w:tcW w:w="841" w:type="dxa"/>
            <w:gridSpan w:val="2"/>
            <w:vMerge w:val="restart"/>
            <w:tcBorders>
              <w:bottom w:val="nil"/>
            </w:tcBorders>
            <w:vAlign w:val="top"/>
          </w:tcPr>
          <w:p w14:paraId="1AC80292">
            <w:pPr>
              <w:spacing w:line="280" w:lineRule="auto"/>
              <w:rPr>
                <w:rFonts w:ascii="Arial"/>
                <w:sz w:val="21"/>
              </w:rPr>
            </w:pPr>
          </w:p>
          <w:p w14:paraId="62020D48">
            <w:pPr>
              <w:pStyle w:val="6"/>
              <w:spacing w:before="46" w:line="232" w:lineRule="auto"/>
              <w:ind w:left="117"/>
              <w:rPr>
                <w:sz w:val="14"/>
                <w:szCs w:val="14"/>
              </w:rPr>
            </w:pPr>
            <w:r>
              <w:rPr>
                <w:spacing w:val="7"/>
                <w:sz w:val="14"/>
                <w:szCs w:val="14"/>
              </w:rPr>
              <w:t>燃气锅炉</w:t>
            </w:r>
          </w:p>
        </w:tc>
        <w:tc>
          <w:tcPr>
            <w:tcW w:w="791" w:type="dxa"/>
            <w:gridSpan w:val="2"/>
            <w:vAlign w:val="top"/>
          </w:tcPr>
          <w:p w14:paraId="27B68BCA">
            <w:pPr>
              <w:spacing w:before="93" w:line="185" w:lineRule="auto"/>
              <w:ind w:left="271"/>
              <w:rPr>
                <w:rFonts w:ascii="Times New Roman" w:hAnsi="Times New Roman" w:eastAsia="Times New Roman" w:cs="Times New Roman"/>
                <w:sz w:val="10"/>
                <w:szCs w:val="10"/>
              </w:rPr>
            </w:pPr>
            <w:r>
              <w:rPr>
                <w:rFonts w:ascii="Times New Roman" w:hAnsi="Times New Roman" w:eastAsia="Times New Roman" w:cs="Times New Roman"/>
                <w:spacing w:val="-4"/>
                <w:sz w:val="16"/>
                <w:szCs w:val="16"/>
              </w:rPr>
              <w:t>SO</w:t>
            </w:r>
            <w:r>
              <w:rPr>
                <w:rFonts w:ascii="Times New Roman" w:hAnsi="Times New Roman" w:eastAsia="Times New Roman" w:cs="Times New Roman"/>
                <w:spacing w:val="-4"/>
                <w:position w:val="-1"/>
                <w:sz w:val="10"/>
                <w:szCs w:val="10"/>
              </w:rPr>
              <w:t>2</w:t>
            </w:r>
          </w:p>
        </w:tc>
        <w:tc>
          <w:tcPr>
            <w:tcW w:w="682" w:type="dxa"/>
            <w:gridSpan w:val="2"/>
            <w:vAlign w:val="top"/>
          </w:tcPr>
          <w:p w14:paraId="557FCB1B">
            <w:pPr>
              <w:spacing w:before="101" w:line="198" w:lineRule="auto"/>
              <w:ind w:left="13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0.0351</w:t>
            </w:r>
          </w:p>
        </w:tc>
        <w:tc>
          <w:tcPr>
            <w:tcW w:w="1682" w:type="dxa"/>
            <w:gridSpan w:val="2"/>
            <w:vMerge w:val="restart"/>
            <w:tcBorders>
              <w:bottom w:val="nil"/>
            </w:tcBorders>
            <w:vAlign w:val="top"/>
          </w:tcPr>
          <w:p w14:paraId="3FD36EEC">
            <w:pPr>
              <w:pStyle w:val="6"/>
              <w:spacing w:before="77" w:line="220" w:lineRule="auto"/>
              <w:ind w:left="45"/>
              <w:rPr>
                <w:sz w:val="16"/>
                <w:szCs w:val="16"/>
              </w:rPr>
            </w:pPr>
            <w:r>
              <w:rPr>
                <w:spacing w:val="-1"/>
                <w:sz w:val="16"/>
                <w:szCs w:val="16"/>
              </w:rPr>
              <w:t>设低氮燃烧器，废气经</w:t>
            </w:r>
          </w:p>
          <w:p w14:paraId="46120B50">
            <w:pPr>
              <w:pStyle w:val="6"/>
              <w:spacing w:before="49" w:line="220" w:lineRule="auto"/>
              <w:jc w:val="right"/>
              <w:rPr>
                <w:sz w:val="16"/>
                <w:szCs w:val="16"/>
              </w:rPr>
            </w:pPr>
            <w:r>
              <w:rPr>
                <w:rFonts w:ascii="Times New Roman" w:hAnsi="Times New Roman" w:eastAsia="Times New Roman" w:cs="Times New Roman"/>
                <w:spacing w:val="-2"/>
                <w:sz w:val="16"/>
                <w:szCs w:val="16"/>
              </w:rPr>
              <w:t xml:space="preserve">8m </w:t>
            </w:r>
            <w:r>
              <w:rPr>
                <w:spacing w:val="-2"/>
                <w:sz w:val="16"/>
                <w:szCs w:val="16"/>
              </w:rPr>
              <w:t>高排气筒引至锅炉房</w:t>
            </w:r>
          </w:p>
          <w:p w14:paraId="3BCD7083">
            <w:pPr>
              <w:pStyle w:val="6"/>
              <w:spacing w:before="48" w:line="205" w:lineRule="auto"/>
              <w:ind w:left="523"/>
              <w:rPr>
                <w:sz w:val="16"/>
                <w:szCs w:val="16"/>
              </w:rPr>
            </w:pPr>
            <w:r>
              <w:rPr>
                <w:spacing w:val="-2"/>
                <w:sz w:val="16"/>
                <w:szCs w:val="16"/>
              </w:rPr>
              <w:t>屋顶排放</w:t>
            </w:r>
          </w:p>
        </w:tc>
        <w:tc>
          <w:tcPr>
            <w:tcW w:w="1087" w:type="dxa"/>
            <w:gridSpan w:val="2"/>
            <w:vMerge w:val="restart"/>
            <w:tcBorders>
              <w:bottom w:val="nil"/>
            </w:tcBorders>
            <w:vAlign w:val="top"/>
          </w:tcPr>
          <w:p w14:paraId="16963033">
            <w:pPr>
              <w:pStyle w:val="6"/>
              <w:spacing w:before="87" w:line="232" w:lineRule="auto"/>
              <w:ind w:left="28"/>
              <w:rPr>
                <w:sz w:val="14"/>
                <w:szCs w:val="14"/>
              </w:rPr>
            </w:pPr>
            <w:r>
              <w:rPr>
                <w:spacing w:val="8"/>
                <w:sz w:val="14"/>
                <w:szCs w:val="14"/>
              </w:rPr>
              <w:t>《锅炉大气污染</w:t>
            </w:r>
          </w:p>
          <w:p w14:paraId="5BA7BDD3">
            <w:pPr>
              <w:pStyle w:val="6"/>
              <w:spacing w:before="64" w:line="268" w:lineRule="auto"/>
              <w:ind w:left="126" w:hanging="126"/>
              <w:rPr>
                <w:sz w:val="14"/>
                <w:szCs w:val="14"/>
              </w:rPr>
            </w:pPr>
            <w:r>
              <w:rPr>
                <w:spacing w:val="-12"/>
                <w:sz w:val="14"/>
                <w:szCs w:val="14"/>
              </w:rPr>
              <w:t>物排放</w:t>
            </w:r>
            <w:r>
              <w:rPr>
                <w:spacing w:val="-11"/>
                <w:sz w:val="14"/>
                <w:szCs w:val="14"/>
              </w:rPr>
              <w:t>标准》（</w:t>
            </w:r>
            <w:r>
              <w:rPr>
                <w:rFonts w:ascii="Times New Roman" w:hAnsi="Times New Roman" w:eastAsia="Times New Roman" w:cs="Times New Roman"/>
                <w:spacing w:val="-11"/>
                <w:sz w:val="14"/>
                <w:szCs w:val="14"/>
              </w:rPr>
              <w:t>G</w:t>
            </w:r>
            <w:r>
              <w:rPr>
                <w:rFonts w:ascii="Times New Roman" w:hAnsi="Times New Roman" w:eastAsia="Times New Roman" w:cs="Times New Roman"/>
                <w:spacing w:val="-8"/>
                <w:sz w:val="14"/>
                <w:szCs w:val="14"/>
              </w:rPr>
              <w:t>B</w:t>
            </w:r>
            <w:r>
              <w:rPr>
                <w:rFonts w:ascii="Times New Roman" w:hAnsi="Times New Roman" w:eastAsia="Times New Roman" w:cs="Times New Roman"/>
                <w:spacing w:val="5"/>
                <w:sz w:val="14"/>
                <w:szCs w:val="14"/>
              </w:rPr>
              <w:t xml:space="preserve"> </w:t>
            </w:r>
            <w:r>
              <w:rPr>
                <w:rFonts w:ascii="Times New Roman" w:hAnsi="Times New Roman" w:eastAsia="Times New Roman" w:cs="Times New Roman"/>
                <w:spacing w:val="1"/>
                <w:sz w:val="14"/>
                <w:szCs w:val="14"/>
              </w:rPr>
              <w:t>13271-2014</w:t>
            </w:r>
            <w:r>
              <w:rPr>
                <w:spacing w:val="1"/>
                <w:sz w:val="14"/>
                <w:szCs w:val="14"/>
              </w:rPr>
              <w:t>）</w:t>
            </w:r>
          </w:p>
        </w:tc>
        <w:tc>
          <w:tcPr>
            <w:tcW w:w="1054" w:type="dxa"/>
            <w:gridSpan w:val="2"/>
            <w:vAlign w:val="top"/>
          </w:tcPr>
          <w:p w14:paraId="022F88C0">
            <w:pPr>
              <w:spacing w:before="90" w:line="216" w:lineRule="auto"/>
              <w:ind w:left="260"/>
              <w:rPr>
                <w:rFonts w:ascii="Times New Roman" w:hAnsi="Times New Roman" w:eastAsia="Times New Roman" w:cs="Times New Roman"/>
                <w:sz w:val="9"/>
                <w:szCs w:val="9"/>
              </w:rPr>
            </w:pPr>
            <w:r>
              <w:rPr>
                <w:rFonts w:ascii="Times New Roman" w:hAnsi="Times New Roman" w:eastAsia="Times New Roman" w:cs="Times New Roman"/>
                <w:spacing w:val="5"/>
                <w:sz w:val="14"/>
                <w:szCs w:val="14"/>
              </w:rPr>
              <w:t>50</w:t>
            </w:r>
            <w:r>
              <w:rPr>
                <w:rFonts w:ascii="Times New Roman" w:hAnsi="Times New Roman" w:eastAsia="Times New Roman" w:cs="Times New Roman"/>
                <w:sz w:val="14"/>
                <w:szCs w:val="14"/>
              </w:rPr>
              <w:t>mg</w:t>
            </w:r>
            <w:r>
              <w:rPr>
                <w:rFonts w:ascii="Times New Roman" w:hAnsi="Times New Roman" w:eastAsia="Times New Roman" w:cs="Times New Roman"/>
                <w:spacing w:val="5"/>
                <w:sz w:val="14"/>
                <w:szCs w:val="14"/>
              </w:rPr>
              <w:t>/m</w:t>
            </w:r>
            <w:r>
              <w:rPr>
                <w:rFonts w:ascii="Times New Roman" w:hAnsi="Times New Roman" w:eastAsia="Times New Roman" w:cs="Times New Roman"/>
                <w:spacing w:val="5"/>
                <w:position w:val="4"/>
                <w:sz w:val="9"/>
                <w:szCs w:val="9"/>
              </w:rPr>
              <w:t>3</w:t>
            </w:r>
          </w:p>
        </w:tc>
        <w:tc>
          <w:tcPr>
            <w:tcW w:w="608" w:type="dxa"/>
            <w:gridSpan w:val="2"/>
            <w:tcBorders>
              <w:right w:val="single" w:color="000000" w:sz="6" w:space="0"/>
            </w:tcBorders>
            <w:vAlign w:val="top"/>
          </w:tcPr>
          <w:p w14:paraId="391B2FF4">
            <w:pPr>
              <w:pStyle w:val="6"/>
              <w:spacing w:before="75" w:line="210" w:lineRule="auto"/>
              <w:ind w:left="113"/>
              <w:rPr>
                <w:sz w:val="14"/>
                <w:szCs w:val="14"/>
              </w:rPr>
            </w:pPr>
            <w:r>
              <w:rPr>
                <w:spacing w:val="6"/>
                <w:sz w:val="14"/>
                <w:szCs w:val="14"/>
              </w:rPr>
              <w:t>达标</w:t>
            </w:r>
          </w:p>
        </w:tc>
      </w:tr>
      <w:tr w14:paraId="44BF9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2817F8CD">
            <w:pPr>
              <w:rPr>
                <w:rFonts w:ascii="Arial"/>
                <w:sz w:val="21"/>
              </w:rPr>
            </w:pPr>
          </w:p>
        </w:tc>
        <w:tc>
          <w:tcPr>
            <w:tcW w:w="557" w:type="dxa"/>
            <w:vMerge w:val="continue"/>
            <w:tcBorders>
              <w:top w:val="nil"/>
              <w:bottom w:val="nil"/>
            </w:tcBorders>
            <w:vAlign w:val="top"/>
          </w:tcPr>
          <w:p w14:paraId="6CC7E2F0">
            <w:pPr>
              <w:rPr>
                <w:rFonts w:ascii="Arial"/>
                <w:sz w:val="21"/>
              </w:rPr>
            </w:pPr>
          </w:p>
        </w:tc>
        <w:tc>
          <w:tcPr>
            <w:tcW w:w="825" w:type="dxa"/>
            <w:vMerge w:val="continue"/>
            <w:tcBorders>
              <w:top w:val="nil"/>
              <w:bottom w:val="nil"/>
            </w:tcBorders>
            <w:vAlign w:val="top"/>
          </w:tcPr>
          <w:p w14:paraId="3231CAAC">
            <w:pPr>
              <w:rPr>
                <w:rFonts w:ascii="Arial"/>
                <w:sz w:val="21"/>
              </w:rPr>
            </w:pPr>
          </w:p>
        </w:tc>
        <w:tc>
          <w:tcPr>
            <w:tcW w:w="841" w:type="dxa"/>
            <w:gridSpan w:val="2"/>
            <w:vMerge w:val="continue"/>
            <w:tcBorders>
              <w:top w:val="nil"/>
              <w:bottom w:val="nil"/>
            </w:tcBorders>
            <w:vAlign w:val="top"/>
          </w:tcPr>
          <w:p w14:paraId="69A953BE">
            <w:pPr>
              <w:rPr>
                <w:rFonts w:ascii="Arial"/>
                <w:sz w:val="21"/>
              </w:rPr>
            </w:pPr>
          </w:p>
        </w:tc>
        <w:tc>
          <w:tcPr>
            <w:tcW w:w="791" w:type="dxa"/>
            <w:gridSpan w:val="2"/>
            <w:vAlign w:val="top"/>
          </w:tcPr>
          <w:p w14:paraId="31F203B8">
            <w:pPr>
              <w:spacing w:before="95" w:line="182" w:lineRule="auto"/>
              <w:ind w:left="245"/>
              <w:rPr>
                <w:rFonts w:ascii="Times New Roman" w:hAnsi="Times New Roman" w:eastAsia="Times New Roman" w:cs="Times New Roman"/>
                <w:sz w:val="10"/>
                <w:szCs w:val="10"/>
              </w:rPr>
            </w:pPr>
            <w:r>
              <w:rPr>
                <w:rFonts w:ascii="Times New Roman" w:hAnsi="Times New Roman" w:eastAsia="Times New Roman" w:cs="Times New Roman"/>
                <w:sz w:val="16"/>
                <w:szCs w:val="16"/>
              </w:rPr>
              <w:t>NO</w:t>
            </w:r>
            <w:r>
              <w:rPr>
                <w:rFonts w:ascii="Times New Roman" w:hAnsi="Times New Roman" w:eastAsia="Times New Roman" w:cs="Times New Roman"/>
                <w:position w:val="-1"/>
                <w:sz w:val="10"/>
                <w:szCs w:val="10"/>
              </w:rPr>
              <w:t>x</w:t>
            </w:r>
          </w:p>
        </w:tc>
        <w:tc>
          <w:tcPr>
            <w:tcW w:w="682" w:type="dxa"/>
            <w:gridSpan w:val="2"/>
            <w:vAlign w:val="top"/>
          </w:tcPr>
          <w:p w14:paraId="0D291ACD">
            <w:pPr>
              <w:spacing w:before="103" w:line="196"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0.072</w:t>
            </w:r>
          </w:p>
        </w:tc>
        <w:tc>
          <w:tcPr>
            <w:tcW w:w="1682" w:type="dxa"/>
            <w:gridSpan w:val="2"/>
            <w:vMerge w:val="continue"/>
            <w:tcBorders>
              <w:top w:val="nil"/>
              <w:bottom w:val="nil"/>
            </w:tcBorders>
            <w:vAlign w:val="top"/>
          </w:tcPr>
          <w:p w14:paraId="3AC6F7E1">
            <w:pPr>
              <w:rPr>
                <w:rFonts w:ascii="Arial"/>
                <w:sz w:val="21"/>
              </w:rPr>
            </w:pPr>
          </w:p>
        </w:tc>
        <w:tc>
          <w:tcPr>
            <w:tcW w:w="1087" w:type="dxa"/>
            <w:gridSpan w:val="2"/>
            <w:vMerge w:val="continue"/>
            <w:tcBorders>
              <w:top w:val="nil"/>
              <w:bottom w:val="nil"/>
            </w:tcBorders>
            <w:vAlign w:val="top"/>
          </w:tcPr>
          <w:p w14:paraId="3A12010B">
            <w:pPr>
              <w:rPr>
                <w:rFonts w:ascii="Arial"/>
                <w:sz w:val="21"/>
              </w:rPr>
            </w:pPr>
          </w:p>
        </w:tc>
        <w:tc>
          <w:tcPr>
            <w:tcW w:w="1054" w:type="dxa"/>
            <w:gridSpan w:val="2"/>
            <w:vAlign w:val="top"/>
          </w:tcPr>
          <w:p w14:paraId="70632199">
            <w:pPr>
              <w:spacing w:before="89" w:line="217" w:lineRule="auto"/>
              <w:ind w:left="232"/>
              <w:rPr>
                <w:rFonts w:ascii="Times New Roman" w:hAnsi="Times New Roman" w:eastAsia="Times New Roman" w:cs="Times New Roman"/>
                <w:sz w:val="9"/>
                <w:szCs w:val="9"/>
              </w:rPr>
            </w:pPr>
            <w:r>
              <w:rPr>
                <w:rFonts w:ascii="Times New Roman" w:hAnsi="Times New Roman" w:eastAsia="Times New Roman" w:cs="Times New Roman"/>
                <w:spacing w:val="4"/>
                <w:sz w:val="14"/>
                <w:szCs w:val="14"/>
              </w:rPr>
              <w:t>150</w:t>
            </w:r>
            <w:r>
              <w:rPr>
                <w:rFonts w:ascii="Times New Roman" w:hAnsi="Times New Roman" w:eastAsia="Times New Roman" w:cs="Times New Roman"/>
                <w:sz w:val="14"/>
                <w:szCs w:val="14"/>
              </w:rPr>
              <w:t>mg</w:t>
            </w:r>
            <w:r>
              <w:rPr>
                <w:rFonts w:ascii="Times New Roman" w:hAnsi="Times New Roman" w:eastAsia="Times New Roman" w:cs="Times New Roman"/>
                <w:spacing w:val="4"/>
                <w:sz w:val="14"/>
                <w:szCs w:val="14"/>
              </w:rPr>
              <w:t>/m</w:t>
            </w:r>
            <w:r>
              <w:rPr>
                <w:rFonts w:ascii="Times New Roman" w:hAnsi="Times New Roman" w:eastAsia="Times New Roman" w:cs="Times New Roman"/>
                <w:spacing w:val="4"/>
                <w:position w:val="4"/>
                <w:sz w:val="9"/>
                <w:szCs w:val="9"/>
              </w:rPr>
              <w:t>3</w:t>
            </w:r>
          </w:p>
        </w:tc>
        <w:tc>
          <w:tcPr>
            <w:tcW w:w="608" w:type="dxa"/>
            <w:gridSpan w:val="2"/>
            <w:tcBorders>
              <w:right w:val="single" w:color="000000" w:sz="6" w:space="0"/>
            </w:tcBorders>
            <w:vAlign w:val="top"/>
          </w:tcPr>
          <w:p w14:paraId="7BA123CF">
            <w:pPr>
              <w:pStyle w:val="6"/>
              <w:spacing w:before="78" w:line="207" w:lineRule="auto"/>
              <w:ind w:left="113"/>
              <w:rPr>
                <w:sz w:val="14"/>
                <w:szCs w:val="14"/>
              </w:rPr>
            </w:pPr>
            <w:r>
              <w:rPr>
                <w:spacing w:val="6"/>
                <w:sz w:val="14"/>
                <w:szCs w:val="14"/>
              </w:rPr>
              <w:t>达标</w:t>
            </w:r>
          </w:p>
        </w:tc>
      </w:tr>
      <w:tr w14:paraId="1F55B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5" w:type="dxa"/>
            <w:vMerge w:val="continue"/>
            <w:tcBorders>
              <w:top w:val="nil"/>
              <w:left w:val="single" w:color="000000" w:sz="6" w:space="0"/>
              <w:bottom w:val="nil"/>
            </w:tcBorders>
            <w:vAlign w:val="top"/>
          </w:tcPr>
          <w:p w14:paraId="0CA0BC89">
            <w:pPr>
              <w:rPr>
                <w:rFonts w:ascii="Arial"/>
                <w:sz w:val="21"/>
              </w:rPr>
            </w:pPr>
          </w:p>
        </w:tc>
        <w:tc>
          <w:tcPr>
            <w:tcW w:w="557" w:type="dxa"/>
            <w:vMerge w:val="continue"/>
            <w:tcBorders>
              <w:top w:val="nil"/>
            </w:tcBorders>
            <w:vAlign w:val="top"/>
          </w:tcPr>
          <w:p w14:paraId="32656E8A">
            <w:pPr>
              <w:rPr>
                <w:rFonts w:ascii="Arial"/>
                <w:sz w:val="21"/>
              </w:rPr>
            </w:pPr>
          </w:p>
        </w:tc>
        <w:tc>
          <w:tcPr>
            <w:tcW w:w="825" w:type="dxa"/>
            <w:vMerge w:val="continue"/>
            <w:tcBorders>
              <w:top w:val="nil"/>
            </w:tcBorders>
            <w:vAlign w:val="top"/>
          </w:tcPr>
          <w:p w14:paraId="54CCC39E">
            <w:pPr>
              <w:rPr>
                <w:rFonts w:ascii="Arial"/>
                <w:sz w:val="21"/>
              </w:rPr>
            </w:pPr>
          </w:p>
        </w:tc>
        <w:tc>
          <w:tcPr>
            <w:tcW w:w="841" w:type="dxa"/>
            <w:gridSpan w:val="2"/>
            <w:vMerge w:val="continue"/>
            <w:tcBorders>
              <w:top w:val="nil"/>
            </w:tcBorders>
            <w:vAlign w:val="top"/>
          </w:tcPr>
          <w:p w14:paraId="27957EA9">
            <w:pPr>
              <w:rPr>
                <w:rFonts w:ascii="Arial"/>
                <w:sz w:val="21"/>
              </w:rPr>
            </w:pPr>
          </w:p>
        </w:tc>
        <w:tc>
          <w:tcPr>
            <w:tcW w:w="791" w:type="dxa"/>
            <w:gridSpan w:val="2"/>
            <w:vAlign w:val="top"/>
          </w:tcPr>
          <w:p w14:paraId="3891B007">
            <w:pPr>
              <w:pStyle w:val="6"/>
              <w:spacing w:before="66" w:line="194" w:lineRule="auto"/>
              <w:ind w:left="154"/>
              <w:rPr>
                <w:sz w:val="16"/>
                <w:szCs w:val="16"/>
              </w:rPr>
            </w:pPr>
            <w:r>
              <w:rPr>
                <w:spacing w:val="-2"/>
                <w:sz w:val="16"/>
                <w:szCs w:val="16"/>
              </w:rPr>
              <w:t>颗粒物</w:t>
            </w:r>
          </w:p>
        </w:tc>
        <w:tc>
          <w:tcPr>
            <w:tcW w:w="682" w:type="dxa"/>
            <w:gridSpan w:val="2"/>
            <w:vAlign w:val="top"/>
          </w:tcPr>
          <w:p w14:paraId="092533A1">
            <w:pPr>
              <w:spacing w:before="102" w:line="197" w:lineRule="auto"/>
              <w:ind w:left="17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0.042</w:t>
            </w:r>
          </w:p>
        </w:tc>
        <w:tc>
          <w:tcPr>
            <w:tcW w:w="1682" w:type="dxa"/>
            <w:gridSpan w:val="2"/>
            <w:vMerge w:val="continue"/>
            <w:tcBorders>
              <w:top w:val="nil"/>
            </w:tcBorders>
            <w:vAlign w:val="top"/>
          </w:tcPr>
          <w:p w14:paraId="37658A20">
            <w:pPr>
              <w:rPr>
                <w:rFonts w:ascii="Arial"/>
                <w:sz w:val="21"/>
              </w:rPr>
            </w:pPr>
          </w:p>
        </w:tc>
        <w:tc>
          <w:tcPr>
            <w:tcW w:w="1087" w:type="dxa"/>
            <w:gridSpan w:val="2"/>
            <w:vMerge w:val="continue"/>
            <w:tcBorders>
              <w:top w:val="nil"/>
            </w:tcBorders>
            <w:vAlign w:val="top"/>
          </w:tcPr>
          <w:p w14:paraId="2D236F3C">
            <w:pPr>
              <w:rPr>
                <w:rFonts w:ascii="Arial"/>
                <w:sz w:val="21"/>
              </w:rPr>
            </w:pPr>
          </w:p>
        </w:tc>
        <w:tc>
          <w:tcPr>
            <w:tcW w:w="1054" w:type="dxa"/>
            <w:gridSpan w:val="2"/>
            <w:vAlign w:val="top"/>
          </w:tcPr>
          <w:p w14:paraId="471E8EF4">
            <w:pPr>
              <w:spacing w:before="89" w:line="217" w:lineRule="auto"/>
              <w:ind w:left="256"/>
              <w:rPr>
                <w:rFonts w:ascii="Times New Roman" w:hAnsi="Times New Roman" w:eastAsia="Times New Roman" w:cs="Times New Roman"/>
                <w:sz w:val="9"/>
                <w:szCs w:val="9"/>
              </w:rPr>
            </w:pPr>
            <w:r>
              <w:rPr>
                <w:rFonts w:ascii="Times New Roman" w:hAnsi="Times New Roman" w:eastAsia="Times New Roman" w:cs="Times New Roman"/>
                <w:spacing w:val="6"/>
                <w:sz w:val="14"/>
                <w:szCs w:val="14"/>
              </w:rPr>
              <w:t>20</w:t>
            </w:r>
            <w:r>
              <w:rPr>
                <w:rFonts w:ascii="Times New Roman" w:hAnsi="Times New Roman" w:eastAsia="Times New Roman" w:cs="Times New Roman"/>
                <w:sz w:val="14"/>
                <w:szCs w:val="14"/>
              </w:rPr>
              <w:t>mg</w:t>
            </w:r>
            <w:r>
              <w:rPr>
                <w:rFonts w:ascii="Times New Roman" w:hAnsi="Times New Roman" w:eastAsia="Times New Roman" w:cs="Times New Roman"/>
                <w:spacing w:val="6"/>
                <w:sz w:val="14"/>
                <w:szCs w:val="14"/>
              </w:rPr>
              <w:t>/m</w:t>
            </w:r>
            <w:r>
              <w:rPr>
                <w:rFonts w:ascii="Times New Roman" w:hAnsi="Times New Roman" w:eastAsia="Times New Roman" w:cs="Times New Roman"/>
                <w:spacing w:val="6"/>
                <w:position w:val="4"/>
                <w:sz w:val="9"/>
                <w:szCs w:val="9"/>
              </w:rPr>
              <w:t>3</w:t>
            </w:r>
          </w:p>
        </w:tc>
        <w:tc>
          <w:tcPr>
            <w:tcW w:w="608" w:type="dxa"/>
            <w:gridSpan w:val="2"/>
            <w:tcBorders>
              <w:right w:val="single" w:color="000000" w:sz="6" w:space="0"/>
            </w:tcBorders>
            <w:vAlign w:val="top"/>
          </w:tcPr>
          <w:p w14:paraId="173B1607">
            <w:pPr>
              <w:pStyle w:val="6"/>
              <w:spacing w:before="77" w:line="208" w:lineRule="auto"/>
              <w:ind w:left="113"/>
              <w:rPr>
                <w:sz w:val="14"/>
                <w:szCs w:val="14"/>
              </w:rPr>
            </w:pPr>
            <w:r>
              <w:rPr>
                <w:spacing w:val="6"/>
                <w:sz w:val="14"/>
                <w:szCs w:val="14"/>
              </w:rPr>
              <w:t>达标</w:t>
            </w:r>
          </w:p>
        </w:tc>
      </w:tr>
      <w:tr w14:paraId="60AD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785" w:type="dxa"/>
            <w:vMerge w:val="continue"/>
            <w:tcBorders>
              <w:top w:val="nil"/>
              <w:left w:val="single" w:color="000000" w:sz="6" w:space="0"/>
              <w:bottom w:val="single" w:color="000000" w:sz="6" w:space="0"/>
            </w:tcBorders>
            <w:vAlign w:val="top"/>
          </w:tcPr>
          <w:p w14:paraId="0A966D3B">
            <w:pPr>
              <w:rPr>
                <w:rFonts w:ascii="Arial"/>
                <w:sz w:val="21"/>
              </w:rPr>
            </w:pPr>
          </w:p>
        </w:tc>
        <w:tc>
          <w:tcPr>
            <w:tcW w:w="8127" w:type="dxa"/>
            <w:gridSpan w:val="16"/>
            <w:tcBorders>
              <w:bottom w:val="single" w:color="000000" w:sz="6" w:space="0"/>
              <w:right w:val="single" w:color="000000" w:sz="6" w:space="0"/>
            </w:tcBorders>
            <w:vAlign w:val="top"/>
          </w:tcPr>
          <w:p w14:paraId="3B6C813B">
            <w:pPr>
              <w:pStyle w:val="6"/>
              <w:spacing w:before="144" w:line="222" w:lineRule="auto"/>
              <w:ind w:left="96"/>
            </w:pPr>
            <w:r>
              <w:rPr>
                <w:rFonts w:ascii="Times New Roman" w:hAnsi="Times New Roman" w:eastAsia="Times New Roman" w:cs="Times New Roman"/>
                <w:b/>
                <w:bCs/>
                <w:spacing w:val="-3"/>
              </w:rPr>
              <w:t>1.3</w:t>
            </w:r>
            <w:r>
              <w:rPr>
                <w:b/>
                <w:bCs/>
                <w:spacing w:val="-3"/>
              </w:rPr>
              <w:t>监测计划</w:t>
            </w:r>
          </w:p>
          <w:p w14:paraId="3F9E0D02">
            <w:pPr>
              <w:pStyle w:val="6"/>
              <w:spacing w:before="133" w:line="322" w:lineRule="auto"/>
              <w:ind w:left="92" w:right="164" w:firstLine="443"/>
            </w:pPr>
            <w:r>
              <w:rPr>
                <w:spacing w:val="-2"/>
              </w:rPr>
              <w:t>项目建设单位可根据自身条件和能力，利用自有人员、场所和设备自行监测；</w:t>
            </w:r>
            <w:r>
              <w:rPr>
                <w:spacing w:val="3"/>
              </w:rPr>
              <w:t xml:space="preserve"> </w:t>
            </w:r>
            <w:r>
              <w:t>也可委托其他有资质的检</w:t>
            </w:r>
            <w:r>
              <w:rPr>
                <w:rFonts w:ascii="Times New Roman" w:hAnsi="Times New Roman" w:eastAsia="Times New Roman" w:cs="Times New Roman"/>
              </w:rPr>
              <w:t>(</w:t>
            </w:r>
            <w:r>
              <w:t>监</w:t>
            </w:r>
            <w:r>
              <w:rPr>
                <w:rFonts w:ascii="Times New Roman" w:hAnsi="Times New Roman" w:eastAsia="Times New Roman" w:cs="Times New Roman"/>
              </w:rPr>
              <w:t>)</w:t>
            </w:r>
            <w:r>
              <w:t>机构代其开展自行监测。根据</w:t>
            </w:r>
            <w:r>
              <w:rPr>
                <w:spacing w:val="-1"/>
              </w:rPr>
              <w:t>《排污单位自行监测技</w:t>
            </w:r>
            <w:r>
              <w:t xml:space="preserve"> 术规范总则》</w:t>
            </w:r>
            <w:r>
              <w:rPr>
                <w:rFonts w:ascii="Times New Roman" w:hAnsi="Times New Roman" w:eastAsia="Times New Roman" w:cs="Times New Roman"/>
              </w:rPr>
              <w:t>(HJ819-2017)</w:t>
            </w:r>
            <w:r>
              <w:t>并参照《排污单位自行监测</w:t>
            </w:r>
            <w:r>
              <w:rPr>
                <w:spacing w:val="-1"/>
              </w:rPr>
              <w:t>技术指南 水泥工业》</w:t>
            </w:r>
          </w:p>
          <w:p w14:paraId="5D6E29AD">
            <w:pPr>
              <w:pStyle w:val="6"/>
              <w:spacing w:before="49" w:line="286" w:lineRule="auto"/>
              <w:ind w:left="92" w:right="174" w:hanging="1"/>
            </w:pPr>
            <w:r>
              <w:rPr>
                <w:rFonts w:ascii="Times New Roman" w:hAnsi="Times New Roman" w:eastAsia="Times New Roman" w:cs="Times New Roman"/>
                <w:spacing w:val="-1"/>
              </w:rPr>
              <w:t>(HJ848-2017)</w:t>
            </w:r>
            <w:r>
              <w:rPr>
                <w:rFonts w:ascii="Times New Roman" w:hAnsi="Times New Roman" w:eastAsia="Times New Roman" w:cs="Times New Roman"/>
                <w:spacing w:val="-15"/>
              </w:rPr>
              <w:t xml:space="preserve"> </w:t>
            </w:r>
            <w:r>
              <w:rPr>
                <w:spacing w:val="-1"/>
              </w:rPr>
              <w:t>、《排污许可证申请与核发技术规范 陶瓷砖瓦工业》</w:t>
            </w:r>
            <w:r>
              <w:rPr>
                <w:rFonts w:ascii="Times New Roman" w:hAnsi="Times New Roman" w:eastAsia="Times New Roman" w:cs="Times New Roman"/>
                <w:spacing w:val="-1"/>
              </w:rPr>
              <w:t>(HJ954-2018)</w:t>
            </w:r>
            <w:r>
              <w:rPr>
                <w:spacing w:val="-1"/>
              </w:rPr>
              <w:t>要</w:t>
            </w:r>
            <w:r>
              <w:t xml:space="preserve"> </w:t>
            </w:r>
            <w:r>
              <w:rPr>
                <w:spacing w:val="-1"/>
              </w:rPr>
              <w:t>求，项目营运期大气自行监测计划见下表所示。</w:t>
            </w:r>
          </w:p>
        </w:tc>
      </w:tr>
    </w:tbl>
    <w:p w14:paraId="50D858D2">
      <w:pPr>
        <w:pStyle w:val="2"/>
      </w:pPr>
    </w:p>
    <w:p w14:paraId="67090AF9">
      <w:pPr>
        <w:sectPr>
          <w:footerReference r:id="rId72" w:type="default"/>
          <w:pgSz w:w="11907" w:h="16840"/>
          <w:pgMar w:top="1431" w:right="1490" w:bottom="1260" w:left="1489" w:header="0" w:footer="1080" w:gutter="0"/>
          <w:cols w:space="720" w:num="1"/>
        </w:sectPr>
      </w:pPr>
    </w:p>
    <w:p w14:paraId="58B514B0">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C18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785" w:type="dxa"/>
            <w:tcBorders>
              <w:top w:val="single" w:color="000000" w:sz="2" w:space="0"/>
              <w:right w:val="single" w:color="000000" w:sz="2" w:space="0"/>
            </w:tcBorders>
            <w:vAlign w:val="top"/>
          </w:tcPr>
          <w:p w14:paraId="7DDEA09A">
            <w:pPr>
              <w:rPr>
                <w:rFonts w:ascii="Arial"/>
                <w:sz w:val="21"/>
              </w:rPr>
            </w:pPr>
          </w:p>
        </w:tc>
        <w:tc>
          <w:tcPr>
            <w:tcW w:w="8127" w:type="dxa"/>
            <w:tcBorders>
              <w:top w:val="single" w:color="000000" w:sz="2" w:space="0"/>
              <w:left w:val="single" w:color="000000" w:sz="2" w:space="0"/>
            </w:tcBorders>
            <w:vAlign w:val="top"/>
          </w:tcPr>
          <w:p w14:paraId="16901D9E">
            <w:pPr>
              <w:spacing w:before="187" w:line="222" w:lineRule="auto"/>
              <w:ind w:left="314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4-5      </w:t>
            </w:r>
            <w:r>
              <w:rPr>
                <w:rFonts w:ascii="黑体" w:hAnsi="黑体" w:eastAsia="黑体" w:cs="黑体"/>
                <w:spacing w:val="-1"/>
                <w:sz w:val="18"/>
                <w:szCs w:val="18"/>
              </w:rPr>
              <w:t>营运期废气监测计划</w:t>
            </w:r>
          </w:p>
          <w:p w14:paraId="47A56CDD">
            <w:pPr>
              <w:spacing w:line="21" w:lineRule="exact"/>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125"/>
              <w:gridCol w:w="1023"/>
              <w:gridCol w:w="978"/>
              <w:gridCol w:w="2928"/>
            </w:tblGrid>
            <w:tr w14:paraId="2DCF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68" w:type="dxa"/>
                  <w:vAlign w:val="top"/>
                </w:tcPr>
                <w:p w14:paraId="15270BCA">
                  <w:pPr>
                    <w:pStyle w:val="6"/>
                    <w:spacing w:before="91" w:line="213" w:lineRule="auto"/>
                    <w:ind w:left="207"/>
                    <w:rPr>
                      <w:sz w:val="18"/>
                      <w:szCs w:val="18"/>
                    </w:rPr>
                  </w:pPr>
                  <w:r>
                    <w:rPr>
                      <w:b/>
                      <w:bCs/>
                      <w:spacing w:val="-6"/>
                      <w:sz w:val="18"/>
                      <w:szCs w:val="18"/>
                    </w:rPr>
                    <w:t>类别</w:t>
                  </w:r>
                </w:p>
              </w:tc>
              <w:tc>
                <w:tcPr>
                  <w:tcW w:w="2125" w:type="dxa"/>
                  <w:vAlign w:val="top"/>
                </w:tcPr>
                <w:p w14:paraId="5251C83F">
                  <w:pPr>
                    <w:pStyle w:val="6"/>
                    <w:spacing w:before="91" w:line="213" w:lineRule="auto"/>
                    <w:ind w:left="705"/>
                    <w:rPr>
                      <w:sz w:val="18"/>
                      <w:szCs w:val="18"/>
                    </w:rPr>
                  </w:pPr>
                  <w:r>
                    <w:rPr>
                      <w:b/>
                      <w:bCs/>
                      <w:spacing w:val="-4"/>
                      <w:sz w:val="18"/>
                      <w:szCs w:val="18"/>
                    </w:rPr>
                    <w:t>监测点位</w:t>
                  </w:r>
                </w:p>
              </w:tc>
              <w:tc>
                <w:tcPr>
                  <w:tcW w:w="1023" w:type="dxa"/>
                  <w:vAlign w:val="top"/>
                </w:tcPr>
                <w:p w14:paraId="04B05697">
                  <w:pPr>
                    <w:pStyle w:val="6"/>
                    <w:spacing w:before="91" w:line="213" w:lineRule="auto"/>
                    <w:ind w:left="154"/>
                    <w:rPr>
                      <w:sz w:val="18"/>
                      <w:szCs w:val="18"/>
                    </w:rPr>
                  </w:pPr>
                  <w:r>
                    <w:rPr>
                      <w:b/>
                      <w:bCs/>
                      <w:spacing w:val="-4"/>
                      <w:sz w:val="18"/>
                      <w:szCs w:val="18"/>
                    </w:rPr>
                    <w:t>监测指标</w:t>
                  </w:r>
                </w:p>
              </w:tc>
              <w:tc>
                <w:tcPr>
                  <w:tcW w:w="978" w:type="dxa"/>
                  <w:vAlign w:val="top"/>
                </w:tcPr>
                <w:p w14:paraId="1A2540F2">
                  <w:pPr>
                    <w:pStyle w:val="6"/>
                    <w:spacing w:before="91" w:line="213" w:lineRule="auto"/>
                    <w:ind w:left="132"/>
                    <w:rPr>
                      <w:sz w:val="18"/>
                      <w:szCs w:val="18"/>
                    </w:rPr>
                  </w:pPr>
                  <w:r>
                    <w:rPr>
                      <w:b/>
                      <w:bCs/>
                      <w:spacing w:val="-4"/>
                      <w:sz w:val="18"/>
                      <w:szCs w:val="18"/>
                    </w:rPr>
                    <w:t>监测频次</w:t>
                  </w:r>
                </w:p>
              </w:tc>
              <w:tc>
                <w:tcPr>
                  <w:tcW w:w="2928" w:type="dxa"/>
                  <w:vAlign w:val="top"/>
                </w:tcPr>
                <w:p w14:paraId="3DC9D911">
                  <w:pPr>
                    <w:pStyle w:val="6"/>
                    <w:spacing w:before="91" w:line="213" w:lineRule="auto"/>
                    <w:ind w:left="1107"/>
                    <w:rPr>
                      <w:sz w:val="18"/>
                      <w:szCs w:val="18"/>
                    </w:rPr>
                  </w:pPr>
                  <w:r>
                    <w:rPr>
                      <w:b/>
                      <w:bCs/>
                      <w:spacing w:val="-4"/>
                      <w:sz w:val="18"/>
                      <w:szCs w:val="18"/>
                    </w:rPr>
                    <w:t>执行标准</w:t>
                  </w:r>
                </w:p>
              </w:tc>
            </w:tr>
            <w:tr w14:paraId="63C50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8" w:type="dxa"/>
                  <w:vAlign w:val="top"/>
                </w:tcPr>
                <w:p w14:paraId="59F44BE8">
                  <w:pPr>
                    <w:pStyle w:val="6"/>
                    <w:spacing w:before="87" w:line="260" w:lineRule="auto"/>
                    <w:ind w:left="206" w:right="111" w:hanging="86"/>
                    <w:rPr>
                      <w:sz w:val="18"/>
                      <w:szCs w:val="18"/>
                    </w:rPr>
                  </w:pPr>
                  <w:r>
                    <w:rPr>
                      <w:spacing w:val="-3"/>
                      <w:sz w:val="18"/>
                      <w:szCs w:val="18"/>
                    </w:rPr>
                    <w:t>无组织</w:t>
                  </w:r>
                  <w:r>
                    <w:rPr>
                      <w:sz w:val="18"/>
                      <w:szCs w:val="18"/>
                    </w:rPr>
                    <w:t xml:space="preserve"> </w:t>
                  </w:r>
                  <w:r>
                    <w:rPr>
                      <w:spacing w:val="-4"/>
                      <w:sz w:val="18"/>
                      <w:szCs w:val="18"/>
                    </w:rPr>
                    <w:t>废气</w:t>
                  </w:r>
                </w:p>
              </w:tc>
              <w:tc>
                <w:tcPr>
                  <w:tcW w:w="2125" w:type="dxa"/>
                  <w:vAlign w:val="top"/>
                </w:tcPr>
                <w:p w14:paraId="0CE03B57">
                  <w:pPr>
                    <w:pStyle w:val="6"/>
                    <w:spacing w:before="87" w:line="260" w:lineRule="auto"/>
                    <w:ind w:left="351" w:right="97" w:hanging="255"/>
                    <w:rPr>
                      <w:sz w:val="18"/>
                      <w:szCs w:val="18"/>
                    </w:rPr>
                  </w:pPr>
                  <w:r>
                    <w:rPr>
                      <w:spacing w:val="-7"/>
                      <w:sz w:val="18"/>
                      <w:szCs w:val="18"/>
                    </w:rPr>
                    <w:t>厂区上风向</w:t>
                  </w:r>
                  <w:r>
                    <w:rPr>
                      <w:spacing w:val="-17"/>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个参照点，</w:t>
                  </w:r>
                  <w:r>
                    <w:rPr>
                      <w:sz w:val="18"/>
                      <w:szCs w:val="18"/>
                    </w:rPr>
                    <w:t xml:space="preserve"> </w:t>
                  </w:r>
                  <w:r>
                    <w:rPr>
                      <w:spacing w:val="-3"/>
                      <w:sz w:val="18"/>
                      <w:szCs w:val="18"/>
                    </w:rPr>
                    <w:t>下风向</w:t>
                  </w:r>
                  <w:r>
                    <w:rPr>
                      <w:spacing w:val="-32"/>
                      <w:sz w:val="18"/>
                      <w:szCs w:val="18"/>
                    </w:rPr>
                    <w:t xml:space="preserve"> </w:t>
                  </w:r>
                  <w:r>
                    <w:rPr>
                      <w:rFonts w:ascii="Times New Roman" w:hAnsi="Times New Roman" w:eastAsia="Times New Roman" w:cs="Times New Roman"/>
                      <w:spacing w:val="-3"/>
                      <w:sz w:val="18"/>
                      <w:szCs w:val="18"/>
                    </w:rPr>
                    <w:t xml:space="preserve">3 </w:t>
                  </w:r>
                  <w:r>
                    <w:rPr>
                      <w:spacing w:val="-3"/>
                      <w:sz w:val="18"/>
                      <w:szCs w:val="18"/>
                    </w:rPr>
                    <w:t>个监控点</w:t>
                  </w:r>
                </w:p>
              </w:tc>
              <w:tc>
                <w:tcPr>
                  <w:tcW w:w="1023" w:type="dxa"/>
                  <w:vAlign w:val="top"/>
                </w:tcPr>
                <w:p w14:paraId="69F5CC6F">
                  <w:pPr>
                    <w:pStyle w:val="6"/>
                    <w:spacing w:before="238" w:line="220" w:lineRule="auto"/>
                    <w:ind w:left="244"/>
                    <w:rPr>
                      <w:sz w:val="18"/>
                      <w:szCs w:val="18"/>
                    </w:rPr>
                  </w:pPr>
                  <w:r>
                    <w:rPr>
                      <w:spacing w:val="-3"/>
                      <w:sz w:val="18"/>
                      <w:szCs w:val="18"/>
                    </w:rPr>
                    <w:t>颗粒物</w:t>
                  </w:r>
                </w:p>
              </w:tc>
              <w:tc>
                <w:tcPr>
                  <w:tcW w:w="978" w:type="dxa"/>
                  <w:vAlign w:val="top"/>
                </w:tcPr>
                <w:p w14:paraId="21816655">
                  <w:pPr>
                    <w:pStyle w:val="6"/>
                    <w:spacing w:before="238" w:line="219" w:lineRule="auto"/>
                    <w:ind w:left="2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3"/>
                      <w:w w:val="101"/>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2928" w:type="dxa"/>
                  <w:vAlign w:val="top"/>
                </w:tcPr>
                <w:p w14:paraId="0C538FDF">
                  <w:pPr>
                    <w:pStyle w:val="6"/>
                    <w:spacing w:before="87" w:line="260" w:lineRule="auto"/>
                    <w:ind w:left="387" w:right="111" w:hanging="263"/>
                    <w:rPr>
                      <w:sz w:val="18"/>
                      <w:szCs w:val="18"/>
                    </w:rPr>
                  </w:pPr>
                  <w:r>
                    <w:rPr>
                      <w:spacing w:val="-1"/>
                      <w:sz w:val="18"/>
                      <w:szCs w:val="18"/>
                    </w:rPr>
                    <w:t>《四川省水泥工业大气污染物排放</w:t>
                  </w:r>
                  <w:r>
                    <w:rPr>
                      <w:spacing w:val="1"/>
                      <w:sz w:val="18"/>
                      <w:szCs w:val="18"/>
                    </w:rPr>
                    <w:t xml:space="preserve"> </w:t>
                  </w:r>
                  <w:r>
                    <w:rPr>
                      <w:spacing w:val="-1"/>
                      <w:sz w:val="18"/>
                      <w:szCs w:val="18"/>
                    </w:rPr>
                    <w:t>标准》（</w:t>
                  </w:r>
                  <w:r>
                    <w:rPr>
                      <w:rFonts w:ascii="Times New Roman" w:hAnsi="Times New Roman" w:eastAsia="Times New Roman" w:cs="Times New Roman"/>
                      <w:spacing w:val="-1"/>
                      <w:sz w:val="18"/>
                      <w:szCs w:val="18"/>
                    </w:rPr>
                    <w:t>DB51/2864-2021</w:t>
                  </w:r>
                  <w:r>
                    <w:rPr>
                      <w:spacing w:val="-1"/>
                      <w:sz w:val="18"/>
                      <w:szCs w:val="18"/>
                    </w:rPr>
                    <w:t>）</w:t>
                  </w:r>
                </w:p>
              </w:tc>
            </w:tr>
            <w:tr w14:paraId="620EF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8" w:type="dxa"/>
                  <w:vMerge w:val="restart"/>
                  <w:tcBorders>
                    <w:bottom w:val="nil"/>
                  </w:tcBorders>
                  <w:vAlign w:val="top"/>
                </w:tcPr>
                <w:p w14:paraId="7C3D7F0E">
                  <w:pPr>
                    <w:spacing w:line="318" w:lineRule="auto"/>
                    <w:rPr>
                      <w:rFonts w:ascii="Arial"/>
                      <w:sz w:val="21"/>
                    </w:rPr>
                  </w:pPr>
                </w:p>
                <w:p w14:paraId="40015E92">
                  <w:pPr>
                    <w:spacing w:line="318" w:lineRule="auto"/>
                    <w:rPr>
                      <w:rFonts w:ascii="Arial"/>
                      <w:sz w:val="21"/>
                    </w:rPr>
                  </w:pPr>
                </w:p>
                <w:p w14:paraId="4299B4BC">
                  <w:pPr>
                    <w:pStyle w:val="6"/>
                    <w:spacing w:before="59" w:line="295" w:lineRule="auto"/>
                    <w:ind w:left="206" w:right="111" w:hanging="87"/>
                    <w:rPr>
                      <w:sz w:val="18"/>
                      <w:szCs w:val="18"/>
                    </w:rPr>
                  </w:pPr>
                  <w:r>
                    <w:rPr>
                      <w:spacing w:val="-3"/>
                      <w:sz w:val="18"/>
                      <w:szCs w:val="18"/>
                    </w:rPr>
                    <w:t>有组织</w:t>
                  </w:r>
                  <w:r>
                    <w:rPr>
                      <w:sz w:val="18"/>
                      <w:szCs w:val="18"/>
                    </w:rPr>
                    <w:t xml:space="preserve"> </w:t>
                  </w:r>
                  <w:r>
                    <w:rPr>
                      <w:spacing w:val="-4"/>
                      <w:sz w:val="18"/>
                      <w:szCs w:val="18"/>
                    </w:rPr>
                    <w:t>废气</w:t>
                  </w:r>
                </w:p>
              </w:tc>
              <w:tc>
                <w:tcPr>
                  <w:tcW w:w="2125" w:type="dxa"/>
                  <w:vAlign w:val="top"/>
                </w:tcPr>
                <w:p w14:paraId="53CF271B">
                  <w:pPr>
                    <w:pStyle w:val="6"/>
                    <w:spacing w:before="87" w:line="260" w:lineRule="auto"/>
                    <w:ind w:left="260" w:right="160" w:hanging="95"/>
                    <w:rPr>
                      <w:sz w:val="18"/>
                      <w:szCs w:val="18"/>
                    </w:rPr>
                  </w:pPr>
                  <w:r>
                    <w:rPr>
                      <w:spacing w:val="-1"/>
                      <w:sz w:val="18"/>
                      <w:szCs w:val="18"/>
                    </w:rPr>
                    <w:t>钢筋网浸漆烤漆有机废</w:t>
                  </w:r>
                  <w:r>
                    <w:rPr>
                      <w:spacing w:val="3"/>
                      <w:sz w:val="18"/>
                      <w:szCs w:val="18"/>
                    </w:rPr>
                    <w:t xml:space="preserve"> </w:t>
                  </w:r>
                  <w:r>
                    <w:rPr>
                      <w:spacing w:val="-1"/>
                      <w:sz w:val="18"/>
                      <w:szCs w:val="18"/>
                    </w:rPr>
                    <w:t>气排气筒（</w:t>
                  </w:r>
                  <w:r>
                    <w:rPr>
                      <w:rFonts w:ascii="Times New Roman" w:hAnsi="Times New Roman" w:eastAsia="Times New Roman" w:cs="Times New Roman"/>
                      <w:spacing w:val="-1"/>
                      <w:sz w:val="18"/>
                      <w:szCs w:val="18"/>
                    </w:rPr>
                    <w:t>DA001</w:t>
                  </w:r>
                  <w:r>
                    <w:rPr>
                      <w:spacing w:val="-1"/>
                      <w:sz w:val="18"/>
                      <w:szCs w:val="18"/>
                    </w:rPr>
                    <w:t>）</w:t>
                  </w:r>
                </w:p>
              </w:tc>
              <w:tc>
                <w:tcPr>
                  <w:tcW w:w="1023" w:type="dxa"/>
                  <w:vAlign w:val="top"/>
                </w:tcPr>
                <w:p w14:paraId="4309548A">
                  <w:pPr>
                    <w:spacing w:before="266" w:line="194" w:lineRule="auto"/>
                    <w:ind w:left="29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VOC</w:t>
                  </w:r>
                  <w:r>
                    <w:rPr>
                      <w:rFonts w:ascii="Times New Roman" w:hAnsi="Times New Roman" w:eastAsia="Times New Roman" w:cs="Times New Roman"/>
                      <w:spacing w:val="-1"/>
                      <w:position w:val="-1"/>
                      <w:sz w:val="11"/>
                      <w:szCs w:val="11"/>
                    </w:rPr>
                    <w:t>s</w:t>
                  </w:r>
                </w:p>
              </w:tc>
              <w:tc>
                <w:tcPr>
                  <w:tcW w:w="978" w:type="dxa"/>
                  <w:vAlign w:val="top"/>
                </w:tcPr>
                <w:p w14:paraId="5E95AC90">
                  <w:pPr>
                    <w:pStyle w:val="6"/>
                    <w:spacing w:before="238" w:line="219" w:lineRule="auto"/>
                    <w:ind w:left="2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3"/>
                      <w:w w:val="101"/>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2928" w:type="dxa"/>
                  <w:vAlign w:val="top"/>
                </w:tcPr>
                <w:p w14:paraId="538C44B6">
                  <w:pPr>
                    <w:pStyle w:val="6"/>
                    <w:spacing w:before="87" w:line="260" w:lineRule="auto"/>
                    <w:ind w:left="96" w:right="18" w:firstLine="28"/>
                    <w:rPr>
                      <w:sz w:val="18"/>
                      <w:szCs w:val="18"/>
                    </w:rPr>
                  </w:pPr>
                  <w:r>
                    <w:rPr>
                      <w:spacing w:val="-1"/>
                      <w:sz w:val="18"/>
                      <w:szCs w:val="18"/>
                    </w:rPr>
                    <w:t>《四川省固定污染源大气挥发性有</w:t>
                  </w:r>
                  <w:r>
                    <w:rPr>
                      <w:sz w:val="18"/>
                      <w:szCs w:val="18"/>
                    </w:rPr>
                    <w:t xml:space="preserve">  </w:t>
                  </w:r>
                  <w:r>
                    <w:rPr>
                      <w:spacing w:val="-11"/>
                      <w:sz w:val="18"/>
                      <w:szCs w:val="18"/>
                    </w:rPr>
                    <w:t>机物排放标准》（</w:t>
                  </w:r>
                  <w:r>
                    <w:rPr>
                      <w:rFonts w:ascii="Times New Roman" w:hAnsi="Times New Roman" w:eastAsia="Times New Roman" w:cs="Times New Roman"/>
                      <w:spacing w:val="-11"/>
                      <w:sz w:val="18"/>
                      <w:szCs w:val="18"/>
                    </w:rPr>
                    <w:t xml:space="preserve">DB51 </w:t>
                  </w:r>
                  <w:r>
                    <w:rPr>
                      <w:spacing w:val="-11"/>
                      <w:sz w:val="18"/>
                      <w:szCs w:val="18"/>
                    </w:rPr>
                    <w:t>∕</w:t>
                  </w:r>
                  <w:r>
                    <w:rPr>
                      <w:rFonts w:ascii="Times New Roman" w:hAnsi="Times New Roman" w:eastAsia="Times New Roman" w:cs="Times New Roman"/>
                      <w:spacing w:val="-11"/>
                      <w:sz w:val="18"/>
                      <w:szCs w:val="18"/>
                    </w:rPr>
                    <w:t>2377-2017</w:t>
                  </w:r>
                  <w:r>
                    <w:rPr>
                      <w:spacing w:val="-11"/>
                      <w:sz w:val="18"/>
                      <w:szCs w:val="18"/>
                    </w:rPr>
                    <w:t>）</w:t>
                  </w:r>
                </w:p>
              </w:tc>
            </w:tr>
            <w:tr w14:paraId="4816D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8" w:type="dxa"/>
                  <w:vMerge w:val="continue"/>
                  <w:tcBorders>
                    <w:top w:val="nil"/>
                    <w:bottom w:val="nil"/>
                  </w:tcBorders>
                  <w:vAlign w:val="top"/>
                </w:tcPr>
                <w:p w14:paraId="391C7C4A">
                  <w:pPr>
                    <w:rPr>
                      <w:rFonts w:ascii="Arial"/>
                      <w:sz w:val="21"/>
                    </w:rPr>
                  </w:pPr>
                </w:p>
              </w:tc>
              <w:tc>
                <w:tcPr>
                  <w:tcW w:w="2125" w:type="dxa"/>
                  <w:vAlign w:val="top"/>
                </w:tcPr>
                <w:p w14:paraId="45738F6B">
                  <w:pPr>
                    <w:pStyle w:val="6"/>
                    <w:spacing w:before="90" w:line="258" w:lineRule="auto"/>
                    <w:ind w:left="94" w:right="81"/>
                    <w:rPr>
                      <w:sz w:val="18"/>
                      <w:szCs w:val="18"/>
                    </w:rPr>
                  </w:pPr>
                  <w:r>
                    <w:rPr>
                      <w:spacing w:val="-4"/>
                      <w:sz w:val="18"/>
                      <w:szCs w:val="18"/>
                    </w:rPr>
                    <w:t>搅拌机、球磨筛分及成品</w:t>
                  </w:r>
                  <w:r>
                    <w:rPr>
                      <w:sz w:val="18"/>
                      <w:szCs w:val="18"/>
                    </w:rPr>
                    <w:t xml:space="preserve"> </w:t>
                  </w:r>
                  <w:r>
                    <w:rPr>
                      <w:spacing w:val="-2"/>
                      <w:sz w:val="18"/>
                      <w:szCs w:val="18"/>
                    </w:rPr>
                    <w:t>仓废气排气筒（</w:t>
                  </w:r>
                  <w:r>
                    <w:rPr>
                      <w:rFonts w:ascii="Times New Roman" w:hAnsi="Times New Roman" w:eastAsia="Times New Roman" w:cs="Times New Roman"/>
                      <w:spacing w:val="-2"/>
                      <w:sz w:val="18"/>
                      <w:szCs w:val="18"/>
                    </w:rPr>
                    <w:t>DA002</w:t>
                  </w:r>
                  <w:r>
                    <w:rPr>
                      <w:spacing w:val="-2"/>
                      <w:sz w:val="18"/>
                      <w:szCs w:val="18"/>
                    </w:rPr>
                    <w:t>）</w:t>
                  </w:r>
                </w:p>
              </w:tc>
              <w:tc>
                <w:tcPr>
                  <w:tcW w:w="1023" w:type="dxa"/>
                  <w:vAlign w:val="top"/>
                </w:tcPr>
                <w:p w14:paraId="75BEC2C5">
                  <w:pPr>
                    <w:pStyle w:val="6"/>
                    <w:spacing w:before="239" w:line="220" w:lineRule="auto"/>
                    <w:ind w:left="244"/>
                    <w:rPr>
                      <w:sz w:val="18"/>
                      <w:szCs w:val="18"/>
                    </w:rPr>
                  </w:pPr>
                  <w:r>
                    <w:rPr>
                      <w:spacing w:val="-3"/>
                      <w:sz w:val="18"/>
                      <w:szCs w:val="18"/>
                    </w:rPr>
                    <w:t>颗粒物</w:t>
                  </w:r>
                </w:p>
              </w:tc>
              <w:tc>
                <w:tcPr>
                  <w:tcW w:w="978" w:type="dxa"/>
                  <w:vAlign w:val="top"/>
                </w:tcPr>
                <w:p w14:paraId="60550116">
                  <w:pPr>
                    <w:pStyle w:val="6"/>
                    <w:spacing w:before="239" w:line="219" w:lineRule="auto"/>
                    <w:ind w:left="2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3"/>
                      <w:w w:val="101"/>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2928" w:type="dxa"/>
                  <w:vAlign w:val="top"/>
                </w:tcPr>
                <w:p w14:paraId="6D5AB42D">
                  <w:pPr>
                    <w:pStyle w:val="6"/>
                    <w:spacing w:before="90" w:line="258" w:lineRule="auto"/>
                    <w:ind w:left="387" w:right="111" w:hanging="263"/>
                    <w:rPr>
                      <w:sz w:val="18"/>
                      <w:szCs w:val="18"/>
                    </w:rPr>
                  </w:pPr>
                  <w:r>
                    <w:rPr>
                      <w:spacing w:val="-1"/>
                      <w:sz w:val="18"/>
                      <w:szCs w:val="18"/>
                    </w:rPr>
                    <w:t>《四川省水泥工业大气污染物排放</w:t>
                  </w:r>
                  <w:r>
                    <w:rPr>
                      <w:spacing w:val="1"/>
                      <w:sz w:val="18"/>
                      <w:szCs w:val="18"/>
                    </w:rPr>
                    <w:t xml:space="preserve"> </w:t>
                  </w:r>
                  <w:r>
                    <w:rPr>
                      <w:spacing w:val="-1"/>
                      <w:sz w:val="18"/>
                      <w:szCs w:val="18"/>
                    </w:rPr>
                    <w:t>标准》（</w:t>
                  </w:r>
                  <w:r>
                    <w:rPr>
                      <w:rFonts w:ascii="Times New Roman" w:hAnsi="Times New Roman" w:eastAsia="Times New Roman" w:cs="Times New Roman"/>
                      <w:spacing w:val="-1"/>
                      <w:sz w:val="18"/>
                      <w:szCs w:val="18"/>
                    </w:rPr>
                    <w:t>DB51/2864-2021</w:t>
                  </w:r>
                  <w:r>
                    <w:rPr>
                      <w:spacing w:val="-1"/>
                      <w:sz w:val="18"/>
                      <w:szCs w:val="18"/>
                    </w:rPr>
                    <w:t>）</w:t>
                  </w:r>
                </w:p>
              </w:tc>
            </w:tr>
            <w:tr w14:paraId="7E18E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68" w:type="dxa"/>
                  <w:vMerge w:val="continue"/>
                  <w:tcBorders>
                    <w:top w:val="nil"/>
                  </w:tcBorders>
                  <w:vAlign w:val="top"/>
                </w:tcPr>
                <w:p w14:paraId="044E6206">
                  <w:pPr>
                    <w:rPr>
                      <w:rFonts w:ascii="Arial"/>
                      <w:sz w:val="21"/>
                    </w:rPr>
                  </w:pPr>
                </w:p>
              </w:tc>
              <w:tc>
                <w:tcPr>
                  <w:tcW w:w="2125" w:type="dxa"/>
                  <w:vAlign w:val="top"/>
                </w:tcPr>
                <w:p w14:paraId="1B59EC1A">
                  <w:pPr>
                    <w:pStyle w:val="6"/>
                    <w:spacing w:before="239" w:line="220" w:lineRule="auto"/>
                    <w:ind w:left="96"/>
                    <w:rPr>
                      <w:sz w:val="18"/>
                      <w:szCs w:val="18"/>
                    </w:rPr>
                  </w:pPr>
                  <w:r>
                    <w:rPr>
                      <w:spacing w:val="-1"/>
                      <w:sz w:val="18"/>
                      <w:szCs w:val="18"/>
                    </w:rPr>
                    <w:t>备用燃气锅炉（</w:t>
                  </w:r>
                  <w:r>
                    <w:rPr>
                      <w:rFonts w:ascii="Times New Roman" w:hAnsi="Times New Roman" w:eastAsia="Times New Roman" w:cs="Times New Roman"/>
                      <w:spacing w:val="-1"/>
                      <w:sz w:val="18"/>
                      <w:szCs w:val="18"/>
                    </w:rPr>
                    <w:t>DA003</w:t>
                  </w:r>
                  <w:r>
                    <w:rPr>
                      <w:spacing w:val="-1"/>
                      <w:sz w:val="18"/>
                      <w:szCs w:val="18"/>
                    </w:rPr>
                    <w:t>）</w:t>
                  </w:r>
                </w:p>
              </w:tc>
              <w:tc>
                <w:tcPr>
                  <w:tcW w:w="1023" w:type="dxa"/>
                  <w:vAlign w:val="top"/>
                </w:tcPr>
                <w:p w14:paraId="32EDB002">
                  <w:pPr>
                    <w:pStyle w:val="6"/>
                    <w:spacing w:before="91" w:line="260" w:lineRule="auto"/>
                    <w:ind w:left="126" w:right="117" w:firstLine="28"/>
                    <w:rPr>
                      <w:rFonts w:ascii="Times New Roman" w:hAnsi="Times New Roman" w:eastAsia="Times New Roman" w:cs="Times New Roman"/>
                      <w:sz w:val="11"/>
                      <w:szCs w:val="11"/>
                    </w:rPr>
                  </w:pPr>
                  <w:r>
                    <w:rPr>
                      <w:spacing w:val="3"/>
                      <w:sz w:val="18"/>
                      <w:szCs w:val="18"/>
                    </w:rPr>
                    <w:t>颗粒物、</w:t>
                  </w:r>
                  <w:r>
                    <w:rPr>
                      <w:sz w:val="18"/>
                      <w:szCs w:val="18"/>
                    </w:rPr>
                    <w:t xml:space="preserve"> </w:t>
                  </w: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7"/>
                      <w:position w:val="-1"/>
                      <w:sz w:val="11"/>
                      <w:szCs w:val="11"/>
                    </w:rPr>
                    <w:t xml:space="preserve"> </w:t>
                  </w:r>
                  <w:r>
                    <w:rPr>
                      <w:spacing w:val="-5"/>
                      <w:sz w:val="18"/>
                      <w:szCs w:val="18"/>
                    </w:rPr>
                    <w:t>、</w:t>
                  </w:r>
                  <w:r>
                    <w:rPr>
                      <w:rFonts w:ascii="Times New Roman" w:hAnsi="Times New Roman" w:eastAsia="Times New Roman" w:cs="Times New Roman"/>
                      <w:spacing w:val="-5"/>
                      <w:sz w:val="18"/>
                      <w:szCs w:val="18"/>
                    </w:rPr>
                    <w:t>NO</w:t>
                  </w:r>
                  <w:r>
                    <w:rPr>
                      <w:rFonts w:ascii="Times New Roman" w:hAnsi="Times New Roman" w:eastAsia="Times New Roman" w:cs="Times New Roman"/>
                      <w:spacing w:val="-5"/>
                      <w:position w:val="-1"/>
                      <w:sz w:val="11"/>
                      <w:szCs w:val="11"/>
                    </w:rPr>
                    <w:t>x</w:t>
                  </w:r>
                </w:p>
              </w:tc>
              <w:tc>
                <w:tcPr>
                  <w:tcW w:w="978" w:type="dxa"/>
                  <w:vAlign w:val="top"/>
                </w:tcPr>
                <w:p w14:paraId="5A1FEED3">
                  <w:pPr>
                    <w:pStyle w:val="6"/>
                    <w:spacing w:before="91" w:line="260" w:lineRule="auto"/>
                    <w:ind w:left="315" w:right="123" w:hanging="170"/>
                    <w:rPr>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12"/>
                      <w:w w:val="101"/>
                      <w:sz w:val="18"/>
                      <w:szCs w:val="18"/>
                    </w:rPr>
                    <w:t xml:space="preserve"> </w:t>
                  </w:r>
                  <w:r>
                    <w:rPr>
                      <w:spacing w:val="-7"/>
                      <w:sz w:val="18"/>
                      <w:szCs w:val="18"/>
                    </w:rPr>
                    <w:t>次</w:t>
                  </w:r>
                  <w:r>
                    <w:rPr>
                      <w:rFonts w:ascii="Times New Roman" w:hAnsi="Times New Roman" w:eastAsia="Times New Roman" w:cs="Times New Roman"/>
                      <w:spacing w:val="-7"/>
                      <w:sz w:val="18"/>
                      <w:szCs w:val="18"/>
                    </w:rPr>
                    <w:t>/</w:t>
                  </w:r>
                  <w:r>
                    <w:rPr>
                      <w:spacing w:val="-7"/>
                      <w:sz w:val="18"/>
                      <w:szCs w:val="18"/>
                    </w:rPr>
                    <w:t>使用</w:t>
                  </w:r>
                  <w:r>
                    <w:rPr>
                      <w:sz w:val="18"/>
                      <w:szCs w:val="18"/>
                    </w:rPr>
                    <w:t xml:space="preserve"> </w:t>
                  </w:r>
                  <w:r>
                    <w:rPr>
                      <w:spacing w:val="-5"/>
                      <w:sz w:val="18"/>
                      <w:szCs w:val="18"/>
                    </w:rPr>
                    <w:t>期间</w:t>
                  </w:r>
                </w:p>
              </w:tc>
              <w:tc>
                <w:tcPr>
                  <w:tcW w:w="2928" w:type="dxa"/>
                  <w:vAlign w:val="top"/>
                </w:tcPr>
                <w:p w14:paraId="6474DC13">
                  <w:pPr>
                    <w:pStyle w:val="6"/>
                    <w:spacing w:before="91" w:line="260" w:lineRule="auto"/>
                    <w:ind w:left="955" w:right="92" w:hanging="853"/>
                    <w:rPr>
                      <w:sz w:val="18"/>
                      <w:szCs w:val="18"/>
                    </w:rPr>
                  </w:pPr>
                  <w:r>
                    <w:rPr>
                      <w:spacing w:val="-3"/>
                      <w:sz w:val="18"/>
                      <w:szCs w:val="18"/>
                    </w:rPr>
                    <w:t>《锅炉大气污染物排放标准》（</w:t>
                  </w:r>
                  <w:r>
                    <w:rPr>
                      <w:rFonts w:ascii="Times New Roman" w:hAnsi="Times New Roman" w:eastAsia="Times New Roman" w:cs="Times New Roman"/>
                      <w:spacing w:val="-3"/>
                      <w:sz w:val="18"/>
                      <w:szCs w:val="18"/>
                    </w:rPr>
                    <w:t>GB</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2"/>
                      <w:sz w:val="18"/>
                      <w:szCs w:val="18"/>
                    </w:rPr>
                    <w:t>13271-2014</w:t>
                  </w:r>
                  <w:r>
                    <w:rPr>
                      <w:spacing w:val="-2"/>
                      <w:sz w:val="18"/>
                      <w:szCs w:val="18"/>
                    </w:rPr>
                    <w:t>）</w:t>
                  </w:r>
                </w:p>
              </w:tc>
            </w:tr>
          </w:tbl>
          <w:p w14:paraId="374395D6">
            <w:pPr>
              <w:pStyle w:val="6"/>
              <w:spacing w:before="130" w:line="221" w:lineRule="auto"/>
              <w:ind w:left="96"/>
            </w:pPr>
            <w:r>
              <w:rPr>
                <w:rFonts w:ascii="Times New Roman" w:hAnsi="Times New Roman" w:eastAsia="Times New Roman" w:cs="Times New Roman"/>
                <w:b/>
                <w:bCs/>
                <w:spacing w:val="-3"/>
              </w:rPr>
              <w:t>1.4</w:t>
            </w:r>
            <w:r>
              <w:rPr>
                <w:b/>
                <w:bCs/>
                <w:spacing w:val="-3"/>
              </w:rPr>
              <w:t>环境影响</w:t>
            </w:r>
          </w:p>
          <w:p w14:paraId="12C1B817">
            <w:pPr>
              <w:pStyle w:val="6"/>
              <w:spacing w:before="137" w:line="331" w:lineRule="auto"/>
              <w:ind w:left="83" w:right="68" w:firstLine="449"/>
              <w:jc w:val="both"/>
            </w:pPr>
            <w:r>
              <w:rPr>
                <w:spacing w:val="-1"/>
              </w:rPr>
              <w:t>本项目废气污染物主要为生产过程产生的粉尘、钢筋网浸漆烤</w:t>
            </w:r>
            <w:r>
              <w:rPr>
                <w:spacing w:val="-2"/>
              </w:rPr>
              <w:t>漆产生的</w:t>
            </w:r>
            <w:r>
              <w:rPr>
                <w:rFonts w:ascii="Times New Roman" w:hAnsi="Times New Roman" w:eastAsia="Times New Roman" w:cs="Times New Roman"/>
                <w:spacing w:val="-2"/>
              </w:rPr>
              <w:t>VOC</w:t>
            </w:r>
            <w:r>
              <w:rPr>
                <w:rFonts w:ascii="Times New Roman" w:hAnsi="Times New Roman" w:eastAsia="Times New Roman" w:cs="Times New Roman"/>
                <w:spacing w:val="-2"/>
                <w:position w:val="-1"/>
                <w:sz w:val="14"/>
                <w:szCs w:val="14"/>
              </w:rPr>
              <w:t>s</w:t>
            </w:r>
            <w:r>
              <w:rPr>
                <w:spacing w:val="-2"/>
              </w:rPr>
              <w:t>、</w:t>
            </w:r>
            <w:r>
              <w:t xml:space="preserve"> 备用燃气锅炉排放的废烟气等。通过设置封闭式生产车间，采取喷雾降尘措施，在 各产尘环节配套除尘器的方式控制粉尘排放，实现达标排放；针对浸漆烤漆</w:t>
            </w:r>
            <w:r>
              <w:rPr>
                <w:spacing w:val="-1"/>
              </w:rPr>
              <w:t>产生的</w:t>
            </w:r>
            <w:r>
              <w:t xml:space="preserve"> </w:t>
            </w:r>
            <w:r>
              <w:rPr>
                <w:rFonts w:ascii="Times New Roman" w:hAnsi="Times New Roman" w:eastAsia="Times New Roman" w:cs="Times New Roman"/>
                <w:spacing w:val="-2"/>
              </w:rPr>
              <w:t>VOC</w:t>
            </w:r>
            <w:r>
              <w:rPr>
                <w:rFonts w:ascii="Times New Roman" w:hAnsi="Times New Roman" w:eastAsia="Times New Roman" w:cs="Times New Roman"/>
                <w:spacing w:val="-2"/>
                <w:position w:val="-1"/>
                <w:sz w:val="14"/>
                <w:szCs w:val="14"/>
              </w:rPr>
              <w:t>s</w:t>
            </w:r>
            <w:r>
              <w:rPr>
                <w:spacing w:val="-2"/>
              </w:rPr>
              <w:t>，采取负压方式收集废气并引至一套工艺为“</w:t>
            </w:r>
            <w:r>
              <w:rPr>
                <w:rFonts w:ascii="Times New Roman" w:hAnsi="Times New Roman" w:eastAsia="Times New Roman" w:cs="Times New Roman"/>
                <w:spacing w:val="-2"/>
              </w:rPr>
              <w:t>UV</w:t>
            </w:r>
            <w:r>
              <w:rPr>
                <w:spacing w:val="-2"/>
              </w:rPr>
              <w:t>光解</w:t>
            </w:r>
            <w:r>
              <w:rPr>
                <w:rFonts w:ascii="Times New Roman" w:hAnsi="Times New Roman" w:eastAsia="Times New Roman" w:cs="Times New Roman"/>
                <w:spacing w:val="-2"/>
              </w:rPr>
              <w:t>+</w:t>
            </w:r>
            <w:r>
              <w:rPr>
                <w:spacing w:val="-2"/>
              </w:rPr>
              <w:t>两层活性炭吸附</w:t>
            </w:r>
            <w:r>
              <w:rPr>
                <w:spacing w:val="-83"/>
              </w:rPr>
              <w:t xml:space="preserve"> </w:t>
            </w:r>
            <w:r>
              <w:rPr>
                <w:spacing w:val="-2"/>
              </w:rPr>
              <w:t>”</w:t>
            </w:r>
            <w:r>
              <w:rPr>
                <w:spacing w:val="-3"/>
              </w:rPr>
              <w:t>的装</w:t>
            </w:r>
            <w:r>
              <w:t xml:space="preserve"> </w:t>
            </w:r>
            <w:r>
              <w:rPr>
                <w:spacing w:val="-1"/>
              </w:rPr>
              <w:t>置净化处理后，实现达标排放；备用燃气锅炉配备有低氮燃烧器和</w:t>
            </w:r>
            <w:r>
              <w:rPr>
                <w:rFonts w:ascii="Times New Roman" w:hAnsi="Times New Roman" w:eastAsia="Times New Roman" w:cs="Times New Roman"/>
                <w:spacing w:val="-1"/>
              </w:rPr>
              <w:t>8m</w:t>
            </w:r>
            <w:r>
              <w:rPr>
                <w:spacing w:val="-1"/>
              </w:rPr>
              <w:t>高烟囱，使用</w:t>
            </w:r>
            <w:r>
              <w:rPr>
                <w:spacing w:val="4"/>
              </w:rPr>
              <w:t xml:space="preserve"> </w:t>
            </w:r>
            <w:r>
              <w:t>属于清洁燃料的天然气为燃料且锅炉频率较低，锅炉废气能够实现达标</w:t>
            </w:r>
            <w:r>
              <w:rPr>
                <w:spacing w:val="-1"/>
              </w:rPr>
              <w:t>排放。</w:t>
            </w:r>
          </w:p>
          <w:p w14:paraId="333C7852">
            <w:pPr>
              <w:pStyle w:val="6"/>
              <w:spacing w:before="33" w:line="323" w:lineRule="auto"/>
              <w:ind w:left="91" w:right="112" w:firstLine="441"/>
            </w:pPr>
            <w:r>
              <w:t>本项目废气污染物能够实现达标排放，对周围环境的污</w:t>
            </w:r>
            <w:r>
              <w:rPr>
                <w:spacing w:val="-1"/>
              </w:rPr>
              <w:t>染影响较小，对所在区</w:t>
            </w:r>
            <w:r>
              <w:t xml:space="preserve"> </w:t>
            </w:r>
            <w:r>
              <w:rPr>
                <w:spacing w:val="-1"/>
              </w:rPr>
              <w:t>域大气环境影响程度为可以接受的影响程度。</w:t>
            </w:r>
          </w:p>
          <w:p w14:paraId="0D88E5B4">
            <w:pPr>
              <w:spacing w:before="30" w:line="222" w:lineRule="auto"/>
              <w:ind w:left="88"/>
              <w:rPr>
                <w:rFonts w:ascii="黑体" w:hAnsi="黑体" w:eastAsia="黑体" w:cs="黑体"/>
                <w:sz w:val="22"/>
                <w:szCs w:val="22"/>
              </w:rPr>
            </w:pPr>
            <w:r>
              <w:rPr>
                <w:rFonts w:ascii="黑体" w:hAnsi="黑体" w:eastAsia="黑体" w:cs="黑体"/>
                <w:spacing w:val="-2"/>
                <w:sz w:val="22"/>
                <w:szCs w:val="22"/>
              </w:rPr>
              <w:t>2、废水</w:t>
            </w:r>
          </w:p>
          <w:p w14:paraId="09B9097B">
            <w:pPr>
              <w:pStyle w:val="6"/>
              <w:spacing w:before="136" w:line="220" w:lineRule="auto"/>
              <w:ind w:left="87"/>
            </w:pPr>
            <w:r>
              <w:rPr>
                <w:rFonts w:ascii="Times New Roman" w:hAnsi="Times New Roman" w:eastAsia="Times New Roman" w:cs="Times New Roman"/>
                <w:b/>
                <w:bCs/>
                <w:spacing w:val="-2"/>
              </w:rPr>
              <w:t>2.1</w:t>
            </w:r>
            <w:r>
              <w:rPr>
                <w:b/>
                <w:bCs/>
                <w:spacing w:val="-2"/>
              </w:rPr>
              <w:t>产排污环节及产生量</w:t>
            </w:r>
          </w:p>
          <w:p w14:paraId="349C434E">
            <w:pPr>
              <w:pStyle w:val="6"/>
              <w:spacing w:before="146" w:line="227" w:lineRule="auto"/>
              <w:ind w:left="513"/>
              <w:rPr>
                <w:sz w:val="20"/>
                <w:szCs w:val="20"/>
              </w:rPr>
            </w:pPr>
            <w:r>
              <w:rPr>
                <w:spacing w:val="9"/>
                <w:sz w:val="20"/>
                <w:szCs w:val="20"/>
              </w:rPr>
              <w:t>项目营运期废水主要为砌块和板材养护过程产生的蒸汽冷凝水（产生量约</w:t>
            </w:r>
          </w:p>
          <w:p w14:paraId="44B7CC59">
            <w:pPr>
              <w:pStyle w:val="6"/>
              <w:spacing w:before="155" w:line="359" w:lineRule="auto"/>
              <w:ind w:left="90" w:right="107"/>
              <w:rPr>
                <w:sz w:val="20"/>
                <w:szCs w:val="20"/>
              </w:rPr>
            </w:pPr>
            <w:r>
              <w:rPr>
                <w:rFonts w:ascii="Times New Roman" w:hAnsi="Times New Roman" w:eastAsia="Times New Roman" w:cs="Times New Roman"/>
                <w:spacing w:val="4"/>
                <w:sz w:val="20"/>
                <w:szCs w:val="20"/>
              </w:rPr>
              <w:t>66.6m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spacing w:val="4"/>
                <w:sz w:val="20"/>
                <w:szCs w:val="20"/>
              </w:rPr>
              <w:t>）、切割废料冲水产生的冲洗废水（</w:t>
            </w:r>
            <w:r>
              <w:rPr>
                <w:spacing w:val="3"/>
                <w:sz w:val="20"/>
                <w:szCs w:val="20"/>
              </w:rPr>
              <w:t>产生量约</w:t>
            </w:r>
            <w:r>
              <w:rPr>
                <w:rFonts w:ascii="Times New Roman" w:hAnsi="Times New Roman" w:eastAsia="Times New Roman" w:cs="Times New Roman"/>
                <w:spacing w:val="3"/>
                <w:sz w:val="20"/>
                <w:szCs w:val="20"/>
              </w:rPr>
              <w:t>10m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）、车间地面冲洗废水（产</w:t>
            </w:r>
            <w:r>
              <w:rPr>
                <w:sz w:val="20"/>
                <w:szCs w:val="20"/>
              </w:rPr>
              <w:t xml:space="preserve"> </w:t>
            </w:r>
            <w:r>
              <w:rPr>
                <w:spacing w:val="3"/>
                <w:sz w:val="20"/>
                <w:szCs w:val="20"/>
              </w:rPr>
              <w:t>生量约</w:t>
            </w:r>
            <w:r>
              <w:rPr>
                <w:rFonts w:ascii="Times New Roman" w:hAnsi="Times New Roman" w:eastAsia="Times New Roman" w:cs="Times New Roman"/>
                <w:spacing w:val="3"/>
                <w:sz w:val="20"/>
                <w:szCs w:val="20"/>
              </w:rPr>
              <w:t>0.256m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）、车辆冲洗废水（产生量约</w:t>
            </w:r>
            <w:r>
              <w:rPr>
                <w:rFonts w:ascii="Times New Roman" w:hAnsi="Times New Roman" w:eastAsia="Times New Roman" w:cs="Times New Roman"/>
                <w:spacing w:val="3"/>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12m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）、备用锅炉排污水和</w:t>
            </w:r>
            <w:r>
              <w:rPr>
                <w:spacing w:val="2"/>
                <w:sz w:val="20"/>
                <w:szCs w:val="20"/>
              </w:rPr>
              <w:t>软水装置再</w:t>
            </w:r>
            <w:r>
              <w:rPr>
                <w:sz w:val="20"/>
                <w:szCs w:val="20"/>
              </w:rPr>
              <w:t xml:space="preserve"> </w:t>
            </w:r>
            <w:r>
              <w:rPr>
                <w:spacing w:val="4"/>
                <w:sz w:val="20"/>
                <w:szCs w:val="20"/>
              </w:rPr>
              <w:t>生废水（产生量约</w:t>
            </w:r>
            <w:r>
              <w:rPr>
                <w:rFonts w:ascii="Times New Roman" w:hAnsi="Times New Roman" w:eastAsia="Times New Roman" w:cs="Times New Roman"/>
                <w:spacing w:val="4"/>
                <w:sz w:val="20"/>
                <w:szCs w:val="20"/>
              </w:rPr>
              <w:t>0.071m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spacing w:val="4"/>
                <w:sz w:val="20"/>
                <w:szCs w:val="20"/>
              </w:rPr>
              <w:t>）、员工办公生活产生的生活污水（产</w:t>
            </w:r>
            <w:r>
              <w:rPr>
                <w:spacing w:val="3"/>
                <w:sz w:val="20"/>
                <w:szCs w:val="20"/>
              </w:rPr>
              <w:t>生量约</w:t>
            </w:r>
            <w:r>
              <w:rPr>
                <w:rFonts w:ascii="Times New Roman" w:hAnsi="Times New Roman" w:eastAsia="Times New Roman" w:cs="Times New Roman"/>
                <w:spacing w:val="3"/>
                <w:sz w:val="20"/>
                <w:szCs w:val="20"/>
              </w:rPr>
              <w:t>2.34m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w:t>
            </w:r>
          </w:p>
          <w:p w14:paraId="237C636A">
            <w:pPr>
              <w:pStyle w:val="6"/>
              <w:spacing w:before="23" w:line="220" w:lineRule="auto"/>
              <w:ind w:left="87"/>
            </w:pPr>
            <w:r>
              <w:rPr>
                <w:rFonts w:ascii="Times New Roman" w:hAnsi="Times New Roman" w:eastAsia="Times New Roman" w:cs="Times New Roman"/>
                <w:b/>
                <w:bCs/>
                <w:spacing w:val="-2"/>
              </w:rPr>
              <w:t>2.2</w:t>
            </w:r>
            <w:r>
              <w:rPr>
                <w:b/>
                <w:bCs/>
                <w:spacing w:val="-2"/>
              </w:rPr>
              <w:t>废水治理措施</w:t>
            </w:r>
          </w:p>
          <w:p w14:paraId="6A15B8AD">
            <w:pPr>
              <w:pStyle w:val="6"/>
              <w:spacing w:before="139" w:line="220" w:lineRule="auto"/>
              <w:ind w:left="538"/>
            </w:pPr>
            <w:r>
              <w:rPr>
                <w:spacing w:val="-3"/>
              </w:rPr>
              <w:t>（</w:t>
            </w:r>
            <w:r>
              <w:rPr>
                <w:rFonts w:ascii="Times New Roman" w:hAnsi="Times New Roman" w:eastAsia="Times New Roman" w:cs="Times New Roman"/>
                <w:spacing w:val="-3"/>
              </w:rPr>
              <w:t>1</w:t>
            </w:r>
            <w:r>
              <w:rPr>
                <w:spacing w:val="-3"/>
              </w:rPr>
              <w:t>）生产废水</w:t>
            </w:r>
          </w:p>
          <w:p w14:paraId="27F09B2B">
            <w:pPr>
              <w:pStyle w:val="6"/>
              <w:spacing w:before="138" w:line="321" w:lineRule="auto"/>
              <w:ind w:left="90" w:right="83" w:firstLine="441"/>
            </w:pPr>
            <w:r>
              <w:rPr>
                <w:spacing w:val="-2"/>
              </w:rPr>
              <w:t>根据工程分析，本项目生产过程产生的废水主要污染物为</w:t>
            </w:r>
            <w:r>
              <w:rPr>
                <w:spacing w:val="-41"/>
              </w:rPr>
              <w:t xml:space="preserve"> </w:t>
            </w:r>
            <w:r>
              <w:rPr>
                <w:rFonts w:ascii="Times New Roman" w:hAnsi="Times New Roman" w:eastAsia="Times New Roman" w:cs="Times New Roman"/>
                <w:spacing w:val="-2"/>
              </w:rPr>
              <w:t>SS</w:t>
            </w:r>
            <w:r>
              <w:rPr>
                <w:spacing w:val="-2"/>
              </w:rPr>
              <w:t>，废水含</w:t>
            </w:r>
            <w:r>
              <w:rPr>
                <w:spacing w:val="-3"/>
              </w:rPr>
              <w:t>有的悬浮</w:t>
            </w:r>
            <w:r>
              <w:t xml:space="preserve"> 物、固体物质属于项目生产环节可利用的物质，能够作为</w:t>
            </w:r>
            <w:r>
              <w:rPr>
                <w:spacing w:val="-1"/>
              </w:rPr>
              <w:t>原料回用于生产。</w:t>
            </w:r>
          </w:p>
          <w:p w14:paraId="5387E78F">
            <w:pPr>
              <w:pStyle w:val="6"/>
              <w:spacing w:before="31" w:line="340" w:lineRule="auto"/>
              <w:ind w:left="89" w:right="83" w:firstLine="447"/>
              <w:rPr>
                <w:sz w:val="20"/>
                <w:szCs w:val="20"/>
              </w:rPr>
            </w:pPr>
            <w:r>
              <w:t>处理方式：营运期通过设置收集管（沟</w:t>
            </w:r>
            <w:r>
              <w:rPr>
                <w:spacing w:val="7"/>
              </w:rPr>
              <w:t>），</w:t>
            </w:r>
            <w:r>
              <w:t>将蒸汽冷凝水、切割废料冲洗废水</w:t>
            </w:r>
            <w:r>
              <w:rPr>
                <w:spacing w:val="1"/>
              </w:rPr>
              <w:t xml:space="preserve"> </w:t>
            </w:r>
            <w:r>
              <w:t>和地面冲洗废水全部收集至砌块和板材车间的废浆池。项目</w:t>
            </w:r>
            <w:r>
              <w:rPr>
                <w:sz w:val="20"/>
                <w:szCs w:val="20"/>
              </w:rPr>
              <w:t>共有</w:t>
            </w:r>
            <w:r>
              <w:rPr>
                <w:spacing w:val="-30"/>
                <w:sz w:val="20"/>
                <w:szCs w:val="20"/>
              </w:rPr>
              <w:t xml:space="preserve"> </w:t>
            </w:r>
            <w:r>
              <w:rPr>
                <w:rFonts w:ascii="Times New Roman" w:hAnsi="Times New Roman" w:eastAsia="Times New Roman" w:cs="Times New Roman"/>
                <w:sz w:val="20"/>
                <w:szCs w:val="20"/>
              </w:rPr>
              <w:t xml:space="preserve">2 </w:t>
            </w:r>
            <w:r>
              <w:rPr>
                <w:sz w:val="20"/>
                <w:szCs w:val="20"/>
              </w:rPr>
              <w:t xml:space="preserve">个废浆池，单个容 </w:t>
            </w:r>
            <w:r>
              <w:rPr>
                <w:spacing w:val="6"/>
                <w:sz w:val="20"/>
                <w:szCs w:val="20"/>
              </w:rPr>
              <w:t>积约</w:t>
            </w:r>
            <w:r>
              <w:rPr>
                <w:spacing w:val="-20"/>
                <w:sz w:val="20"/>
                <w:szCs w:val="20"/>
              </w:rPr>
              <w:t xml:space="preserve"> </w:t>
            </w:r>
            <w:r>
              <w:rPr>
                <w:rFonts w:ascii="Times New Roman" w:hAnsi="Times New Roman" w:eastAsia="Times New Roman" w:cs="Times New Roman"/>
                <w:spacing w:val="6"/>
                <w:sz w:val="20"/>
                <w:szCs w:val="20"/>
              </w:rPr>
              <w:t>50m</w:t>
            </w:r>
            <w:r>
              <w:rPr>
                <w:rFonts w:ascii="Times New Roman" w:hAnsi="Times New Roman" w:eastAsia="Times New Roman" w:cs="Times New Roman"/>
                <w:spacing w:val="6"/>
                <w:position w:val="6"/>
                <w:sz w:val="13"/>
                <w:szCs w:val="13"/>
              </w:rPr>
              <w:t>3</w:t>
            </w:r>
            <w:r>
              <w:rPr>
                <w:spacing w:val="6"/>
                <w:sz w:val="20"/>
                <w:szCs w:val="20"/>
              </w:rPr>
              <w:t>，之间设有溢流口；第一级废浆池内有搅拌器，主要作用是将切割废料搅拌打</w:t>
            </w:r>
            <w:r>
              <w:rPr>
                <w:sz w:val="20"/>
                <w:szCs w:val="20"/>
              </w:rPr>
              <w:t xml:space="preserve"> </w:t>
            </w:r>
            <w:r>
              <w:rPr>
                <w:spacing w:val="9"/>
                <w:sz w:val="20"/>
                <w:szCs w:val="20"/>
              </w:rPr>
              <w:t>散形成废浆，方便利用泵抽取回用。项目正常生产情况下，第一级废浆池内的</w:t>
            </w:r>
            <w:r>
              <w:rPr>
                <w:spacing w:val="8"/>
                <w:sz w:val="20"/>
                <w:szCs w:val="20"/>
              </w:rPr>
              <w:t>废浆一直</w:t>
            </w:r>
            <w:r>
              <w:rPr>
                <w:sz w:val="20"/>
                <w:szCs w:val="20"/>
              </w:rPr>
              <w:t xml:space="preserve"> </w:t>
            </w:r>
            <w:r>
              <w:rPr>
                <w:spacing w:val="9"/>
                <w:sz w:val="20"/>
                <w:szCs w:val="20"/>
              </w:rPr>
              <w:t>处理回用状态，不会装满；但为应对废浆不能回用时的紧急情况，在第一级废浆池</w:t>
            </w:r>
            <w:r>
              <w:rPr>
                <w:spacing w:val="8"/>
                <w:sz w:val="20"/>
                <w:szCs w:val="20"/>
              </w:rPr>
              <w:t>设有</w:t>
            </w:r>
            <w:r>
              <w:rPr>
                <w:sz w:val="20"/>
                <w:szCs w:val="20"/>
              </w:rPr>
              <w:t xml:space="preserve"> </w:t>
            </w:r>
            <w:r>
              <w:rPr>
                <w:spacing w:val="9"/>
                <w:sz w:val="20"/>
                <w:szCs w:val="20"/>
              </w:rPr>
              <w:t>溢流口，会自动溢流进入第二级废浆池，然后及时泵至球磨机回用。</w:t>
            </w:r>
          </w:p>
        </w:tc>
      </w:tr>
    </w:tbl>
    <w:p w14:paraId="356491A1">
      <w:pPr>
        <w:pStyle w:val="2"/>
      </w:pPr>
    </w:p>
    <w:p w14:paraId="48BF717C">
      <w:pPr>
        <w:sectPr>
          <w:footerReference r:id="rId73" w:type="default"/>
          <w:pgSz w:w="11907" w:h="16840"/>
          <w:pgMar w:top="1431" w:right="1490" w:bottom="1260" w:left="1489" w:header="0" w:footer="1080" w:gutter="0"/>
          <w:cols w:space="720" w:num="1"/>
        </w:sectPr>
      </w:pPr>
    </w:p>
    <w:p w14:paraId="3D6094E5">
      <w:pPr>
        <w:spacing w:before="28"/>
      </w:pPr>
    </w:p>
    <w:tbl>
      <w:tblPr>
        <w:tblStyle w:val="5"/>
        <w:tblW w:w="891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85"/>
        <w:gridCol w:w="1499"/>
        <w:gridCol w:w="6628"/>
      </w:tblGrid>
      <w:tr w14:paraId="5C2921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087" w:hRule="atLeast"/>
        </w:trPr>
        <w:tc>
          <w:tcPr>
            <w:tcW w:w="785" w:type="dxa"/>
            <w:vMerge w:val="restart"/>
            <w:tcBorders>
              <w:top w:val="single" w:color="000000" w:sz="2" w:space="0"/>
              <w:left w:val="single" w:color="000000" w:sz="6" w:space="0"/>
              <w:bottom w:val="nil"/>
              <w:right w:val="single" w:color="000000" w:sz="2" w:space="0"/>
            </w:tcBorders>
            <w:vAlign w:val="top"/>
          </w:tcPr>
          <w:p w14:paraId="5007A274">
            <w:pPr>
              <w:rPr>
                <w:rFonts w:ascii="Arial"/>
                <w:sz w:val="21"/>
              </w:rPr>
            </w:pPr>
          </w:p>
        </w:tc>
        <w:tc>
          <w:tcPr>
            <w:tcW w:w="8127" w:type="dxa"/>
            <w:gridSpan w:val="2"/>
            <w:tcBorders>
              <w:top w:val="single" w:color="000000" w:sz="2" w:space="0"/>
              <w:left w:val="single" w:color="000000" w:sz="2" w:space="0"/>
              <w:right w:val="single" w:color="000000" w:sz="6" w:space="0"/>
            </w:tcBorders>
            <w:vAlign w:val="top"/>
          </w:tcPr>
          <w:p w14:paraId="259791EA">
            <w:pPr>
              <w:pStyle w:val="6"/>
              <w:spacing w:before="135" w:line="220" w:lineRule="auto"/>
              <w:ind w:left="538"/>
            </w:pPr>
            <w:r>
              <w:rPr>
                <w:spacing w:val="-2"/>
              </w:rPr>
              <w:t>（</w:t>
            </w:r>
            <w:r>
              <w:rPr>
                <w:rFonts w:ascii="Times New Roman" w:hAnsi="Times New Roman" w:eastAsia="Times New Roman" w:cs="Times New Roman"/>
                <w:spacing w:val="-2"/>
              </w:rPr>
              <w:t>2</w:t>
            </w:r>
            <w:r>
              <w:rPr>
                <w:spacing w:val="-2"/>
              </w:rPr>
              <w:t>）生活污水和锅炉废水</w:t>
            </w:r>
          </w:p>
          <w:p w14:paraId="57CB6CF8">
            <w:pPr>
              <w:pStyle w:val="6"/>
              <w:spacing w:before="139" w:line="326" w:lineRule="auto"/>
              <w:ind w:left="89" w:right="83" w:firstLine="446"/>
            </w:pPr>
            <w:r>
              <w:t>项目备用锅炉使用频率不高，产生的废水属于清净下水且产生量较少。通过管</w:t>
            </w:r>
            <w:r>
              <w:rPr>
                <w:spacing w:val="16"/>
              </w:rPr>
              <w:t xml:space="preserve"> </w:t>
            </w:r>
            <w:r>
              <w:rPr>
                <w:spacing w:val="-1"/>
              </w:rPr>
              <w:t>道将收集至厂区现有化粪池（</w:t>
            </w:r>
            <w:r>
              <w:rPr>
                <w:rFonts w:ascii="Times New Roman" w:hAnsi="Times New Roman" w:eastAsia="Times New Roman" w:cs="Times New Roman"/>
                <w:spacing w:val="-1"/>
              </w:rPr>
              <w:t>1</w:t>
            </w:r>
            <w:r>
              <w:rPr>
                <w:spacing w:val="-1"/>
              </w:rPr>
              <w:t>个、容积</w:t>
            </w:r>
            <w:r>
              <w:rPr>
                <w:spacing w:val="-28"/>
              </w:rPr>
              <w:t xml:space="preserve"> </w:t>
            </w:r>
            <w:r>
              <w:rPr>
                <w:rFonts w:ascii="Times New Roman" w:hAnsi="Times New Roman" w:eastAsia="Times New Roman" w:cs="Times New Roman"/>
                <w:spacing w:val="-1"/>
              </w:rPr>
              <w:t>130m</w:t>
            </w:r>
            <w:r>
              <w:rPr>
                <w:rFonts w:ascii="Times New Roman" w:hAnsi="Times New Roman" w:eastAsia="Times New Roman" w:cs="Times New Roman"/>
                <w:spacing w:val="-1"/>
                <w:position w:val="7"/>
                <w:sz w:val="14"/>
                <w:szCs w:val="14"/>
              </w:rPr>
              <w:t xml:space="preserve">3 </w:t>
            </w:r>
            <w:r>
              <w:rPr>
                <w:spacing w:val="-37"/>
              </w:rPr>
              <w:t>），</w:t>
            </w:r>
            <w:r>
              <w:rPr>
                <w:spacing w:val="-1"/>
              </w:rPr>
              <w:t>预处理后委托专业机构</w:t>
            </w:r>
            <w:r>
              <w:rPr>
                <w:spacing w:val="-2"/>
              </w:rPr>
              <w:t>定期拉运</w:t>
            </w:r>
            <w:r>
              <w:t xml:space="preserve"> </w:t>
            </w:r>
            <w:r>
              <w:rPr>
                <w:spacing w:val="-1"/>
              </w:rPr>
              <w:t>至东岳场镇生活污水处理厂处理。</w:t>
            </w:r>
          </w:p>
          <w:p w14:paraId="750C1775">
            <w:pPr>
              <w:pStyle w:val="6"/>
              <w:spacing w:before="33" w:line="220" w:lineRule="auto"/>
              <w:ind w:left="538"/>
            </w:pPr>
            <w:r>
              <w:rPr>
                <w:spacing w:val="-2"/>
              </w:rPr>
              <w:t>（</w:t>
            </w:r>
            <w:r>
              <w:rPr>
                <w:rFonts w:ascii="Times New Roman" w:hAnsi="Times New Roman" w:eastAsia="Times New Roman" w:cs="Times New Roman"/>
                <w:spacing w:val="-2"/>
              </w:rPr>
              <w:t>3</w:t>
            </w:r>
            <w:r>
              <w:rPr>
                <w:spacing w:val="-2"/>
              </w:rPr>
              <w:t>）车辆冲洗废水</w:t>
            </w:r>
          </w:p>
          <w:p w14:paraId="1137618C">
            <w:pPr>
              <w:pStyle w:val="6"/>
              <w:spacing w:before="138" w:line="321" w:lineRule="auto"/>
              <w:ind w:left="90" w:right="83" w:firstLine="440"/>
            </w:pPr>
            <w:r>
              <w:rPr>
                <w:spacing w:val="-3"/>
              </w:rPr>
              <w:t>在车辆冲洗设施旁边设置冲洗废水沉淀池</w:t>
            </w:r>
            <w:r>
              <w:rPr>
                <w:spacing w:val="-25"/>
              </w:rPr>
              <w:t xml:space="preserve"> </w:t>
            </w:r>
            <w:r>
              <w:rPr>
                <w:rFonts w:ascii="Times New Roman" w:hAnsi="Times New Roman" w:eastAsia="Times New Roman" w:cs="Times New Roman"/>
                <w:spacing w:val="-3"/>
              </w:rPr>
              <w:t xml:space="preserve">1 </w:t>
            </w:r>
            <w:r>
              <w:rPr>
                <w:spacing w:val="-3"/>
              </w:rPr>
              <w:t>个，容积约</w:t>
            </w:r>
            <w:r>
              <w:rPr>
                <w:spacing w:val="-30"/>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3"/>
                <w:position w:val="7"/>
                <w:sz w:val="14"/>
                <w:szCs w:val="14"/>
              </w:rPr>
              <w:t>3</w:t>
            </w:r>
            <w:r>
              <w:rPr>
                <w:spacing w:val="-3"/>
              </w:rPr>
              <w:t>，冲洗废水收集至</w:t>
            </w:r>
            <w:r>
              <w:t xml:space="preserve"> </w:t>
            </w:r>
            <w:r>
              <w:rPr>
                <w:spacing w:val="-1"/>
              </w:rPr>
              <w:t>沉淀池处理后，作为车辆冲洗水回用不外排。</w:t>
            </w:r>
          </w:p>
          <w:p w14:paraId="33ED29FD">
            <w:pPr>
              <w:pStyle w:val="6"/>
              <w:spacing w:before="34" w:line="220" w:lineRule="auto"/>
              <w:ind w:left="87"/>
            </w:pPr>
            <w:r>
              <w:rPr>
                <w:rFonts w:ascii="Times New Roman" w:hAnsi="Times New Roman" w:eastAsia="Times New Roman" w:cs="Times New Roman"/>
                <w:b/>
                <w:bCs/>
                <w:spacing w:val="-2"/>
              </w:rPr>
              <w:t>2.3</w:t>
            </w:r>
            <w:r>
              <w:rPr>
                <w:b/>
                <w:bCs/>
                <w:spacing w:val="-2"/>
              </w:rPr>
              <w:t>废水处理措施可行性分析</w:t>
            </w:r>
          </w:p>
          <w:p w14:paraId="70ABFEA4">
            <w:pPr>
              <w:pStyle w:val="6"/>
              <w:spacing w:before="139" w:line="219" w:lineRule="auto"/>
              <w:ind w:left="538"/>
            </w:pPr>
            <w:r>
              <w:rPr>
                <w:b/>
                <w:bCs/>
                <w:spacing w:val="-4"/>
              </w:rPr>
              <w:t>（</w:t>
            </w:r>
            <w:r>
              <w:rPr>
                <w:rFonts w:ascii="Times New Roman" w:hAnsi="Times New Roman" w:eastAsia="Times New Roman" w:cs="Times New Roman"/>
                <w:b/>
                <w:bCs/>
                <w:spacing w:val="-4"/>
              </w:rPr>
              <w:t>1</w:t>
            </w:r>
            <w:r>
              <w:rPr>
                <w:b/>
                <w:bCs/>
                <w:spacing w:val="-4"/>
              </w:rPr>
              <w:t>）工艺简述</w:t>
            </w:r>
          </w:p>
          <w:p w14:paraId="5F447D60">
            <w:pPr>
              <w:pStyle w:val="6"/>
              <w:spacing w:before="137" w:line="220" w:lineRule="auto"/>
              <w:ind w:left="535"/>
            </w:pPr>
            <w:r>
              <w:rPr>
                <w:spacing w:val="-1"/>
              </w:rPr>
              <w:t>项目废水处理工艺流程图如下：</w:t>
            </w:r>
          </w:p>
        </w:tc>
      </w:tr>
      <w:tr w14:paraId="222778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07" w:hRule="atLeast"/>
        </w:trPr>
        <w:tc>
          <w:tcPr>
            <w:tcW w:w="785" w:type="dxa"/>
            <w:vMerge w:val="continue"/>
            <w:tcBorders>
              <w:top w:val="nil"/>
              <w:left w:val="single" w:color="000000" w:sz="6" w:space="0"/>
              <w:bottom w:val="nil"/>
              <w:right w:val="single" w:color="000000" w:sz="2" w:space="0"/>
            </w:tcBorders>
            <w:vAlign w:val="top"/>
          </w:tcPr>
          <w:p w14:paraId="50EDF36E">
            <w:pPr>
              <w:rPr>
                <w:rFonts w:ascii="Arial"/>
                <w:sz w:val="21"/>
              </w:rPr>
            </w:pPr>
          </w:p>
        </w:tc>
        <w:tc>
          <w:tcPr>
            <w:tcW w:w="1499" w:type="dxa"/>
            <w:tcBorders>
              <w:left w:val="single" w:color="000000" w:sz="2" w:space="0"/>
            </w:tcBorders>
            <w:vAlign w:val="top"/>
          </w:tcPr>
          <w:p w14:paraId="5F9DCD1D">
            <w:pPr>
              <w:spacing w:line="298" w:lineRule="auto"/>
              <w:rPr>
                <w:rFonts w:ascii="Arial"/>
                <w:sz w:val="21"/>
              </w:rPr>
            </w:pPr>
          </w:p>
          <w:p w14:paraId="15A388EE">
            <w:pPr>
              <w:spacing w:line="298" w:lineRule="auto"/>
              <w:rPr>
                <w:rFonts w:ascii="Arial"/>
                <w:sz w:val="21"/>
              </w:rPr>
            </w:pPr>
          </w:p>
          <w:p w14:paraId="0B013EFB">
            <w:pPr>
              <w:pStyle w:val="6"/>
              <w:spacing w:before="58" w:line="229" w:lineRule="auto"/>
              <w:ind w:left="1105" w:right="36" w:firstLine="2"/>
              <w:rPr>
                <w:sz w:val="18"/>
                <w:szCs w:val="18"/>
              </w:rPr>
            </w:pPr>
            <w:r>
              <w:rPr>
                <w:spacing w:val="-5"/>
                <w:sz w:val="18"/>
                <w:szCs w:val="18"/>
              </w:rPr>
              <w:t>生产</w:t>
            </w:r>
            <w:r>
              <w:rPr>
                <w:sz w:val="18"/>
                <w:szCs w:val="18"/>
              </w:rPr>
              <w:t xml:space="preserve"> </w:t>
            </w:r>
            <w:r>
              <w:rPr>
                <w:spacing w:val="-4"/>
                <w:sz w:val="18"/>
                <w:szCs w:val="18"/>
              </w:rPr>
              <w:t>废水</w:t>
            </w:r>
          </w:p>
        </w:tc>
        <w:tc>
          <w:tcPr>
            <w:tcW w:w="6628" w:type="dxa"/>
            <w:tcBorders>
              <w:right w:val="single" w:color="000000" w:sz="6" w:space="0"/>
            </w:tcBorders>
            <w:vAlign w:val="top"/>
          </w:tcPr>
          <w:p w14:paraId="5D0ABE89">
            <w:pPr>
              <w:pStyle w:val="6"/>
              <w:spacing w:before="139" w:line="212" w:lineRule="auto"/>
              <w:ind w:left="855"/>
              <w:rPr>
                <w:sz w:val="18"/>
                <w:szCs w:val="18"/>
              </w:rPr>
            </w:pPr>
            <w:r>
              <w:drawing>
                <wp:anchor distT="0" distB="0" distL="0" distR="0" simplePos="0" relativeHeight="251857920" behindDoc="0" locked="0" layoutInCell="1" allowOverlap="1">
                  <wp:simplePos x="0" y="0"/>
                  <wp:positionH relativeFrom="rightMargin">
                    <wp:posOffset>-1489075</wp:posOffset>
                  </wp:positionH>
                  <wp:positionV relativeFrom="topMargin">
                    <wp:posOffset>210820</wp:posOffset>
                  </wp:positionV>
                  <wp:extent cx="76200" cy="239395"/>
                  <wp:effectExtent l="0" t="0" r="0" b="0"/>
                  <wp:wrapNone/>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259"/>
                          <a:stretch>
                            <a:fillRect/>
                          </a:stretch>
                        </pic:blipFill>
                        <pic:spPr>
                          <a:xfrm>
                            <a:off x="0" y="0"/>
                            <a:ext cx="76200" cy="239407"/>
                          </a:xfrm>
                          <a:prstGeom prst="rect">
                            <a:avLst/>
                          </a:prstGeom>
                        </pic:spPr>
                      </pic:pic>
                    </a:graphicData>
                  </a:graphic>
                </wp:anchor>
              </w:drawing>
            </w:r>
            <w:r>
              <w:pict>
                <v:shape id="_x0000_s1125" o:spid="_x0000_s1125" o:spt="202" type="#_x0000_t202" style="position:absolute;left:0pt;margin-left:165.7pt;margin-top:33.95pt;height:20.25pt;width:85.2pt;mso-position-horizontal-relative:page;mso-position-vertical-relative:page;z-index:251856896;mso-width-relative:page;mso-height-relative:page;" filled="f" stroked="f" coordsize="21600,21600">
                  <v:path/>
                  <v:fill on="f" focussize="0,0"/>
                  <v:stroke on="f"/>
                  <v:imagedata o:title=""/>
                  <o:lock v:ext="edit" aspectratio="f"/>
                  <v:textbox inset="0mm,0mm,0mm,0mm">
                    <w:txbxContent>
                      <w:p w14:paraId="75401BB2">
                        <w:pPr>
                          <w:spacing w:line="20" w:lineRule="exact"/>
                        </w:pPr>
                      </w:p>
                      <w:tbl>
                        <w:tblPr>
                          <w:tblStyle w:val="5"/>
                          <w:tblW w:w="164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43"/>
                        </w:tblGrid>
                        <w:tr w14:paraId="1E5A5FB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4" w:hRule="atLeast"/>
                          </w:trPr>
                          <w:tc>
                            <w:tcPr>
                              <w:tcW w:w="1643" w:type="dxa"/>
                              <w:vAlign w:val="top"/>
                            </w:tcPr>
                            <w:p w14:paraId="7BF3C971">
                              <w:pPr>
                                <w:pStyle w:val="6"/>
                                <w:spacing w:before="90" w:line="219" w:lineRule="auto"/>
                                <w:ind w:left="279"/>
                                <w:rPr>
                                  <w:sz w:val="18"/>
                                  <w:szCs w:val="18"/>
                                </w:rPr>
                              </w:pPr>
                              <w:r>
                                <w:rPr>
                                  <w:spacing w:val="-2"/>
                                  <w:sz w:val="18"/>
                                  <w:szCs w:val="18"/>
                                </w:rPr>
                                <w:t>第二级废浆池</w:t>
                              </w:r>
                            </w:p>
                          </w:tc>
                        </w:tr>
                      </w:tbl>
                      <w:p w14:paraId="6E9DFE6C">
                        <w:pPr>
                          <w:rPr>
                            <w:rFonts w:ascii="Arial"/>
                            <w:sz w:val="21"/>
                          </w:rPr>
                        </w:pPr>
                      </w:p>
                    </w:txbxContent>
                  </v:textbox>
                </v:shape>
              </w:pict>
            </w:r>
            <w:r>
              <w:drawing>
                <wp:anchor distT="0" distB="0" distL="0" distR="0" simplePos="0" relativeHeight="251855872" behindDoc="1" locked="0" layoutInCell="1" allowOverlap="1">
                  <wp:simplePos x="0" y="0"/>
                  <wp:positionH relativeFrom="rightMargin">
                    <wp:posOffset>-4184650</wp:posOffset>
                  </wp:positionH>
                  <wp:positionV relativeFrom="topMargin">
                    <wp:posOffset>520700</wp:posOffset>
                  </wp:positionV>
                  <wp:extent cx="2117090" cy="85090"/>
                  <wp:effectExtent l="0" t="0" r="0" b="0"/>
                  <wp:wrapNone/>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260"/>
                          <a:stretch>
                            <a:fillRect/>
                          </a:stretch>
                        </pic:blipFill>
                        <pic:spPr>
                          <a:xfrm>
                            <a:off x="0" y="0"/>
                            <a:ext cx="2116784" cy="84962"/>
                          </a:xfrm>
                          <a:prstGeom prst="rect">
                            <a:avLst/>
                          </a:prstGeom>
                        </pic:spPr>
                      </pic:pic>
                    </a:graphicData>
                  </a:graphic>
                </wp:anchor>
              </w:drawing>
            </w:r>
            <w:r>
              <w:rPr>
                <w:sz w:val="18"/>
                <w:szCs w:val="18"/>
              </w:rPr>
              <w:t>砌块车间的球磨机               砌块车</w:t>
            </w:r>
            <w:r>
              <w:rPr>
                <w:spacing w:val="-1"/>
                <w:sz w:val="18"/>
                <w:szCs w:val="18"/>
              </w:rPr>
              <w:t>间的球磨机</w:t>
            </w:r>
          </w:p>
          <w:p w14:paraId="00048A05">
            <w:pPr>
              <w:spacing w:line="372" w:lineRule="exact"/>
              <w:ind w:left="1458"/>
            </w:pPr>
            <w:r>
              <w:rPr>
                <w:position w:val="-7"/>
              </w:rPr>
              <w:drawing>
                <wp:inline distT="0" distB="0" distL="0" distR="0">
                  <wp:extent cx="76200" cy="236220"/>
                  <wp:effectExtent l="0" t="0" r="0" b="0"/>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261"/>
                          <a:stretch>
                            <a:fillRect/>
                          </a:stretch>
                        </pic:blipFill>
                        <pic:spPr>
                          <a:xfrm>
                            <a:off x="0" y="0"/>
                            <a:ext cx="76200" cy="236227"/>
                          </a:xfrm>
                          <a:prstGeom prst="rect">
                            <a:avLst/>
                          </a:prstGeom>
                        </pic:spPr>
                      </pic:pic>
                    </a:graphicData>
                  </a:graphic>
                </wp:inline>
              </w:drawing>
            </w:r>
          </w:p>
          <w:tbl>
            <w:tblPr>
              <w:tblStyle w:val="5"/>
              <w:tblW w:w="2041" w:type="dxa"/>
              <w:tblInd w:w="62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41"/>
            </w:tblGrid>
            <w:tr w14:paraId="5CC1C3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8" w:hRule="atLeast"/>
              </w:trPr>
              <w:tc>
                <w:tcPr>
                  <w:tcW w:w="2041" w:type="dxa"/>
                  <w:vAlign w:val="top"/>
                </w:tcPr>
                <w:p w14:paraId="6BAF7A3B">
                  <w:pPr>
                    <w:pStyle w:val="6"/>
                    <w:spacing w:before="91" w:line="219" w:lineRule="auto"/>
                    <w:jc w:val="right"/>
                    <w:rPr>
                      <w:sz w:val="18"/>
                      <w:szCs w:val="18"/>
                    </w:rPr>
                  </w:pPr>
                  <w:r>
                    <w:rPr>
                      <w:spacing w:val="-6"/>
                      <w:sz w:val="18"/>
                      <w:szCs w:val="18"/>
                    </w:rPr>
                    <w:t>第一级废浆池（搅拌器）</w:t>
                  </w:r>
                </w:p>
              </w:tc>
            </w:tr>
          </w:tbl>
          <w:p w14:paraId="293863F9">
            <w:pPr>
              <w:spacing w:line="262" w:lineRule="auto"/>
              <w:rPr>
                <w:rFonts w:ascii="Arial"/>
                <w:sz w:val="21"/>
              </w:rPr>
            </w:pPr>
          </w:p>
          <w:p w14:paraId="334EC5A5">
            <w:pPr>
              <w:pStyle w:val="6"/>
              <w:spacing w:before="59" w:line="219" w:lineRule="auto"/>
              <w:ind w:left="1125"/>
              <w:rPr>
                <w:sz w:val="18"/>
                <w:szCs w:val="18"/>
              </w:rPr>
            </w:pPr>
            <w:r>
              <w:rPr>
                <w:spacing w:val="-2"/>
                <w:sz w:val="18"/>
                <w:szCs w:val="18"/>
              </w:rPr>
              <w:t>图</w:t>
            </w:r>
            <w:r>
              <w:rPr>
                <w:spacing w:val="-34"/>
                <w:sz w:val="18"/>
                <w:szCs w:val="18"/>
              </w:rPr>
              <w:t xml:space="preserve"> </w:t>
            </w:r>
            <w:r>
              <w:rPr>
                <w:rFonts w:ascii="Times New Roman" w:hAnsi="Times New Roman" w:eastAsia="Times New Roman" w:cs="Times New Roman"/>
                <w:spacing w:val="-2"/>
                <w:sz w:val="18"/>
                <w:szCs w:val="18"/>
              </w:rPr>
              <w:t>4-1</w:t>
            </w:r>
            <w:r>
              <w:rPr>
                <w:spacing w:val="-2"/>
                <w:sz w:val="18"/>
                <w:szCs w:val="18"/>
              </w:rPr>
              <w:t>：项目生产废水处理工艺流程图</w:t>
            </w:r>
          </w:p>
        </w:tc>
      </w:tr>
      <w:tr w14:paraId="32901D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51" w:hRule="atLeast"/>
        </w:trPr>
        <w:tc>
          <w:tcPr>
            <w:tcW w:w="785" w:type="dxa"/>
            <w:vMerge w:val="continue"/>
            <w:tcBorders>
              <w:top w:val="nil"/>
              <w:left w:val="single" w:color="000000" w:sz="6" w:space="0"/>
              <w:bottom w:val="single" w:color="000000" w:sz="6" w:space="0"/>
              <w:right w:val="single" w:color="000000" w:sz="2" w:space="0"/>
            </w:tcBorders>
            <w:vAlign w:val="top"/>
          </w:tcPr>
          <w:p w14:paraId="46167234">
            <w:pPr>
              <w:rPr>
                <w:rFonts w:ascii="Arial"/>
                <w:sz w:val="21"/>
              </w:rPr>
            </w:pPr>
          </w:p>
        </w:tc>
        <w:tc>
          <w:tcPr>
            <w:tcW w:w="8127" w:type="dxa"/>
            <w:gridSpan w:val="2"/>
            <w:tcBorders>
              <w:left w:val="single" w:color="000000" w:sz="2" w:space="0"/>
              <w:bottom w:val="single" w:color="000000" w:sz="6" w:space="0"/>
              <w:right w:val="single" w:color="000000" w:sz="6" w:space="0"/>
            </w:tcBorders>
            <w:vAlign w:val="top"/>
          </w:tcPr>
          <w:p w14:paraId="3676AF06">
            <w:pPr>
              <w:pStyle w:val="6"/>
              <w:spacing w:before="240" w:line="323" w:lineRule="auto"/>
              <w:ind w:left="92" w:right="25" w:firstLine="440"/>
            </w:pPr>
            <w:r>
              <w:rPr>
                <w:spacing w:val="-4"/>
              </w:rPr>
              <w:t>本项目废水的主要污染物为悬浮物，且废水中的固体物质属于项目需用的</w:t>
            </w:r>
            <w:r>
              <w:rPr>
                <w:spacing w:val="-5"/>
              </w:rPr>
              <w:t>原料，</w:t>
            </w:r>
            <w:r>
              <w:t xml:space="preserve"> </w:t>
            </w:r>
            <w:r>
              <w:rPr>
                <w:spacing w:val="-1"/>
              </w:rPr>
              <w:t>可直接泵入球磨机回用，不需进行沉淀等处理。</w:t>
            </w:r>
          </w:p>
          <w:p w14:paraId="46B9D6D6">
            <w:pPr>
              <w:pStyle w:val="6"/>
              <w:spacing w:before="39" w:line="362" w:lineRule="auto"/>
              <w:ind w:left="88" w:right="33" w:firstLine="421"/>
              <w:rPr>
                <w:sz w:val="20"/>
                <w:szCs w:val="20"/>
              </w:rPr>
            </w:pPr>
            <w:r>
              <w:rPr>
                <w:spacing w:val="9"/>
                <w:sz w:val="20"/>
                <w:szCs w:val="20"/>
              </w:rPr>
              <w:t>第一级废浆池内有搅拌器，主要作用是将切割废料搅拌打散形成废浆，</w:t>
            </w:r>
            <w:r>
              <w:rPr>
                <w:spacing w:val="8"/>
                <w:sz w:val="20"/>
                <w:szCs w:val="20"/>
              </w:rPr>
              <w:t>方便利用泵</w:t>
            </w:r>
            <w:r>
              <w:rPr>
                <w:sz w:val="20"/>
                <w:szCs w:val="20"/>
              </w:rPr>
              <w:t xml:space="preserve"> </w:t>
            </w:r>
            <w:r>
              <w:rPr>
                <w:spacing w:val="5"/>
                <w:sz w:val="20"/>
                <w:szCs w:val="20"/>
              </w:rPr>
              <w:t>抽取回用。项目正常生产情况下，第一级废浆池内的废浆一直处理回用状态，不会装</w:t>
            </w:r>
            <w:r>
              <w:rPr>
                <w:spacing w:val="4"/>
                <w:sz w:val="20"/>
                <w:szCs w:val="20"/>
              </w:rPr>
              <w:t>满；</w:t>
            </w:r>
            <w:r>
              <w:rPr>
                <w:sz w:val="20"/>
                <w:szCs w:val="20"/>
              </w:rPr>
              <w:t xml:space="preserve"> </w:t>
            </w:r>
            <w:r>
              <w:rPr>
                <w:spacing w:val="9"/>
                <w:sz w:val="20"/>
                <w:szCs w:val="20"/>
              </w:rPr>
              <w:t>但为应对废浆不能回用时的紧急情况，在第一级废浆池设有溢流口，会自动溢流</w:t>
            </w:r>
            <w:r>
              <w:rPr>
                <w:spacing w:val="8"/>
                <w:sz w:val="20"/>
                <w:szCs w:val="20"/>
              </w:rPr>
              <w:t>进入第</w:t>
            </w:r>
            <w:r>
              <w:rPr>
                <w:sz w:val="20"/>
                <w:szCs w:val="20"/>
              </w:rPr>
              <w:t xml:space="preserve"> </w:t>
            </w:r>
            <w:r>
              <w:rPr>
                <w:spacing w:val="9"/>
                <w:sz w:val="20"/>
                <w:szCs w:val="20"/>
              </w:rPr>
              <w:t>二级废浆池，然后及时泵至球磨机回用。</w:t>
            </w:r>
          </w:p>
          <w:p w14:paraId="14B891A2">
            <w:pPr>
              <w:pStyle w:val="6"/>
              <w:spacing w:before="23" w:line="220" w:lineRule="auto"/>
              <w:ind w:left="538"/>
            </w:pPr>
            <w:r>
              <w:rPr>
                <w:b/>
                <w:bCs/>
                <w:spacing w:val="-3"/>
              </w:rPr>
              <w:t>（</w:t>
            </w:r>
            <w:r>
              <w:rPr>
                <w:rFonts w:ascii="Times New Roman" w:hAnsi="Times New Roman" w:eastAsia="Times New Roman" w:cs="Times New Roman"/>
                <w:b/>
                <w:bCs/>
                <w:spacing w:val="-3"/>
              </w:rPr>
              <w:t>2</w:t>
            </w:r>
            <w:r>
              <w:rPr>
                <w:b/>
                <w:bCs/>
                <w:spacing w:val="-3"/>
              </w:rPr>
              <w:t>）处理能力及闭路循环可行性分析</w:t>
            </w:r>
          </w:p>
          <w:p w14:paraId="69ED5BC0">
            <w:pPr>
              <w:pStyle w:val="6"/>
              <w:spacing w:before="137" w:line="329" w:lineRule="auto"/>
              <w:ind w:left="92" w:right="8" w:firstLine="440"/>
              <w:jc w:val="both"/>
            </w:pPr>
            <w:r>
              <w:rPr>
                <w:spacing w:val="-3"/>
              </w:rPr>
              <w:t>本项目生产废水产生量约</w:t>
            </w:r>
            <w:r>
              <w:rPr>
                <w:spacing w:val="-48"/>
              </w:rPr>
              <w:t xml:space="preserve"> </w:t>
            </w:r>
            <w:r>
              <w:rPr>
                <w:rFonts w:ascii="Times New Roman" w:hAnsi="Times New Roman" w:eastAsia="Times New Roman" w:cs="Times New Roman"/>
                <w:spacing w:val="-3"/>
              </w:rPr>
              <w:t>76.856m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7.6856m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/h</w:t>
            </w:r>
            <w:r>
              <w:rPr>
                <w:spacing w:val="-48"/>
              </w:rPr>
              <w:t>），</w:t>
            </w:r>
            <w:r>
              <w:rPr>
                <w:spacing w:val="-3"/>
              </w:rPr>
              <w:t>两级废浆池总容积</w:t>
            </w:r>
            <w:r>
              <w:rPr>
                <w:spacing w:val="-29"/>
              </w:rPr>
              <w:t xml:space="preserve"> </w:t>
            </w:r>
            <w:r>
              <w:rPr>
                <w:rFonts w:ascii="Times New Roman" w:hAnsi="Times New Roman" w:eastAsia="Times New Roman" w:cs="Times New Roman"/>
                <w:spacing w:val="-3"/>
              </w:rPr>
              <w:t>100m</w:t>
            </w:r>
            <w:r>
              <w:rPr>
                <w:rFonts w:ascii="Times New Roman" w:hAnsi="Times New Roman" w:eastAsia="Times New Roman" w:cs="Times New Roman"/>
                <w:spacing w:val="-3"/>
                <w:position w:val="7"/>
                <w:sz w:val="14"/>
                <w:szCs w:val="14"/>
              </w:rPr>
              <w:t>3</w:t>
            </w:r>
            <w:r>
              <w:rPr>
                <w:spacing w:val="-3"/>
              </w:rPr>
              <w:t>。</w:t>
            </w:r>
            <w:r>
              <w:t xml:space="preserve"> 从生产废水产生速率以及日产生总量来看，均不会超过两级废浆池的总容积。项目</w:t>
            </w:r>
            <w:r>
              <w:rPr>
                <w:spacing w:val="17"/>
              </w:rPr>
              <w:t xml:space="preserve"> </w:t>
            </w:r>
            <w:r>
              <w:t>生产废水主要污染物为悬浮物且属于生产所需物质，因此生产废水仅需搅拌器打散</w:t>
            </w:r>
            <w:r>
              <w:rPr>
                <w:spacing w:val="17"/>
              </w:rPr>
              <w:t xml:space="preserve"> </w:t>
            </w:r>
            <w:r>
              <w:rPr>
                <w:spacing w:val="-1"/>
              </w:rPr>
              <w:t>处理，形成原浆便于管道输送，不需采取沉淀等其他处理方式。</w:t>
            </w:r>
          </w:p>
          <w:p w14:paraId="7E2F3701">
            <w:pPr>
              <w:pStyle w:val="6"/>
              <w:spacing w:before="34" w:line="326" w:lineRule="auto"/>
              <w:ind w:left="93" w:right="83" w:firstLine="442"/>
              <w:jc w:val="both"/>
            </w:pPr>
            <w:r>
              <w:t>项目设计在各个生产废水的产生环节布置废水收集管沟，可将所有生产废水有</w:t>
            </w:r>
            <w:r>
              <w:rPr>
                <w:spacing w:val="16"/>
              </w:rPr>
              <w:t xml:space="preserve"> </w:t>
            </w:r>
            <w:r>
              <w:t>效收集至废浆池。然后生产时首先抽取废浆池内的废浆，回用于建筑垃圾湿法球磨</w:t>
            </w:r>
            <w:r>
              <w:rPr>
                <w:spacing w:val="16"/>
              </w:rPr>
              <w:t xml:space="preserve"> </w:t>
            </w:r>
            <w:r>
              <w:rPr>
                <w:spacing w:val="-1"/>
              </w:rPr>
              <w:t>工序，能够做到循环回用不外排。</w:t>
            </w:r>
          </w:p>
          <w:p w14:paraId="22D72414">
            <w:pPr>
              <w:pStyle w:val="6"/>
              <w:spacing w:before="34" w:line="219" w:lineRule="auto"/>
              <w:ind w:left="87"/>
            </w:pPr>
            <w:r>
              <w:rPr>
                <w:rFonts w:ascii="Times New Roman" w:hAnsi="Times New Roman" w:eastAsia="Times New Roman" w:cs="Times New Roman"/>
                <w:b/>
                <w:bCs/>
                <w:spacing w:val="-2"/>
              </w:rPr>
              <w:t xml:space="preserve">2.4 </w:t>
            </w:r>
            <w:r>
              <w:rPr>
                <w:b/>
                <w:bCs/>
                <w:spacing w:val="-2"/>
              </w:rPr>
              <w:t>依托处理可行性论证</w:t>
            </w:r>
          </w:p>
          <w:p w14:paraId="3B19AC28">
            <w:pPr>
              <w:pStyle w:val="6"/>
              <w:spacing w:before="149" w:line="362" w:lineRule="auto"/>
              <w:ind w:left="92" w:right="88" w:firstLine="418"/>
              <w:rPr>
                <w:sz w:val="20"/>
                <w:szCs w:val="20"/>
              </w:rPr>
            </w:pPr>
            <w:r>
              <w:rPr>
                <w:spacing w:val="9"/>
                <w:sz w:val="20"/>
                <w:szCs w:val="20"/>
              </w:rPr>
              <w:t>本项目生活污水利用厂区已建的化粪池处理后，委托专业机构定</w:t>
            </w:r>
            <w:r>
              <w:rPr>
                <w:spacing w:val="8"/>
                <w:sz w:val="20"/>
                <w:szCs w:val="20"/>
              </w:rPr>
              <w:t>期拉运至东岳镇污</w:t>
            </w:r>
            <w:r>
              <w:rPr>
                <w:sz w:val="20"/>
                <w:szCs w:val="20"/>
              </w:rPr>
              <w:t xml:space="preserve"> </w:t>
            </w:r>
            <w:r>
              <w:rPr>
                <w:spacing w:val="8"/>
                <w:sz w:val="20"/>
                <w:szCs w:val="20"/>
              </w:rPr>
              <w:t>水处理厂处理后，达标排放至双龙河。</w:t>
            </w:r>
          </w:p>
          <w:p w14:paraId="220C119F">
            <w:pPr>
              <w:pStyle w:val="6"/>
              <w:spacing w:before="30" w:line="227" w:lineRule="auto"/>
              <w:ind w:left="510"/>
              <w:rPr>
                <w:sz w:val="20"/>
                <w:szCs w:val="20"/>
              </w:rPr>
            </w:pPr>
            <w:r>
              <w:rPr>
                <w:spacing w:val="8"/>
                <w:sz w:val="20"/>
                <w:szCs w:val="20"/>
              </w:rPr>
              <w:t>根据调查，达州市通川区东岳镇污水处理厂位于东岳镇山桥村，于</w:t>
            </w:r>
            <w:r>
              <w:rPr>
                <w:rFonts w:ascii="Times New Roman" w:hAnsi="Times New Roman" w:eastAsia="Times New Roman" w:cs="Times New Roman"/>
                <w:spacing w:val="8"/>
                <w:sz w:val="20"/>
                <w:szCs w:val="20"/>
              </w:rPr>
              <w:t>2016</w:t>
            </w:r>
            <w:r>
              <w:rPr>
                <w:spacing w:val="8"/>
                <w:sz w:val="20"/>
                <w:szCs w:val="20"/>
              </w:rPr>
              <w:t>年开始建设</w:t>
            </w:r>
          </w:p>
        </w:tc>
      </w:tr>
    </w:tbl>
    <w:p w14:paraId="3CF399C0">
      <w:pPr>
        <w:pStyle w:val="2"/>
      </w:pPr>
    </w:p>
    <w:p w14:paraId="09C84CAD">
      <w:pPr>
        <w:sectPr>
          <w:footerReference r:id="rId74" w:type="default"/>
          <w:pgSz w:w="11907" w:h="16840"/>
          <w:pgMar w:top="1431" w:right="1490" w:bottom="1260" w:left="1489" w:header="0" w:footer="1080" w:gutter="0"/>
          <w:cols w:space="720" w:num="1"/>
        </w:sectPr>
      </w:pPr>
    </w:p>
    <w:p w14:paraId="6B469397">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4DD6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5" w:hRule="atLeast"/>
        </w:trPr>
        <w:tc>
          <w:tcPr>
            <w:tcW w:w="785" w:type="dxa"/>
            <w:tcBorders>
              <w:top w:val="single" w:color="000000" w:sz="2" w:space="0"/>
              <w:right w:val="single" w:color="000000" w:sz="2" w:space="0"/>
            </w:tcBorders>
            <w:vAlign w:val="top"/>
          </w:tcPr>
          <w:p w14:paraId="62CDE44B">
            <w:pPr>
              <w:rPr>
                <w:rFonts w:ascii="Arial"/>
                <w:sz w:val="21"/>
              </w:rPr>
            </w:pPr>
          </w:p>
        </w:tc>
        <w:tc>
          <w:tcPr>
            <w:tcW w:w="8127" w:type="dxa"/>
            <w:tcBorders>
              <w:top w:val="single" w:color="000000" w:sz="2" w:space="0"/>
              <w:left w:val="single" w:color="000000" w:sz="2" w:space="0"/>
            </w:tcBorders>
            <w:vAlign w:val="top"/>
          </w:tcPr>
          <w:p w14:paraId="1AC3F407">
            <w:pPr>
              <w:pStyle w:val="6"/>
              <w:spacing w:before="149" w:line="361" w:lineRule="auto"/>
              <w:ind w:left="91" w:right="86" w:hanging="5"/>
              <w:jc w:val="both"/>
              <w:rPr>
                <w:sz w:val="20"/>
                <w:szCs w:val="20"/>
              </w:rPr>
            </w:pPr>
            <w:r>
              <w:rPr>
                <w:rFonts w:ascii="Times New Roman" w:hAnsi="Times New Roman" w:eastAsia="Times New Roman" w:cs="Times New Roman"/>
                <w:spacing w:val="7"/>
                <w:sz w:val="20"/>
                <w:szCs w:val="20"/>
              </w:rPr>
              <w:t>2019</w:t>
            </w:r>
            <w:r>
              <w:rPr>
                <w:spacing w:val="7"/>
                <w:sz w:val="20"/>
                <w:szCs w:val="20"/>
              </w:rPr>
              <w:t xml:space="preserve">年建成投入运行。东岳镇污水处理厂占地 </w:t>
            </w:r>
            <w:r>
              <w:rPr>
                <w:rFonts w:ascii="Times New Roman" w:hAnsi="Times New Roman" w:eastAsia="Times New Roman" w:cs="Times New Roman"/>
                <w:spacing w:val="7"/>
                <w:sz w:val="20"/>
                <w:szCs w:val="20"/>
              </w:rPr>
              <w:t>377</w:t>
            </w:r>
            <w:r>
              <w:rPr>
                <w:rFonts w:ascii="Times New Roman" w:hAnsi="Times New Roman" w:eastAsia="Times New Roman" w:cs="Times New Roman"/>
                <w:spacing w:val="6"/>
                <w:sz w:val="20"/>
                <w:szCs w:val="20"/>
              </w:rPr>
              <w:t>6.25m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spacing w:val="6"/>
                <w:sz w:val="20"/>
                <w:szCs w:val="20"/>
              </w:rPr>
              <w:t>，设计处理能力</w:t>
            </w:r>
            <w:r>
              <w:rPr>
                <w:rFonts w:ascii="Times New Roman" w:hAnsi="Times New Roman" w:eastAsia="Times New Roman" w:cs="Times New Roman"/>
                <w:spacing w:val="6"/>
                <w:sz w:val="20"/>
                <w:szCs w:val="20"/>
              </w:rPr>
              <w:t>1000m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7"/>
                <w:sz w:val="20"/>
                <w:szCs w:val="20"/>
              </w:rPr>
              <w:t xml:space="preserve"> </w:t>
            </w:r>
            <w:r>
              <w:rPr>
                <w:spacing w:val="6"/>
                <w:sz w:val="20"/>
                <w:szCs w:val="20"/>
              </w:rPr>
              <w:t>，采</w:t>
            </w:r>
            <w:r>
              <w:rPr>
                <w:sz w:val="20"/>
                <w:szCs w:val="20"/>
              </w:rPr>
              <w:t xml:space="preserve"> </w:t>
            </w:r>
            <w:r>
              <w:rPr>
                <w:spacing w:val="8"/>
                <w:sz w:val="20"/>
                <w:szCs w:val="20"/>
              </w:rPr>
              <w:t>用</w:t>
            </w:r>
            <w:r>
              <w:rPr>
                <w:rFonts w:ascii="Times New Roman" w:hAnsi="Times New Roman" w:eastAsia="Times New Roman" w:cs="Times New Roman"/>
                <w:sz w:val="20"/>
                <w:szCs w:val="20"/>
              </w:rPr>
              <w:t>PASG</w:t>
            </w:r>
            <w:r>
              <w:rPr>
                <w:spacing w:val="8"/>
                <w:sz w:val="20"/>
                <w:szCs w:val="20"/>
              </w:rPr>
              <w:t>工艺，处理后污水达到《城镇污水处理厂污染物排放标准》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18918-2002)  </w:t>
            </w:r>
            <w:r>
              <w:rPr>
                <w:spacing w:val="8"/>
                <w:sz w:val="20"/>
                <w:szCs w:val="20"/>
              </w:rPr>
              <w:t>一</w:t>
            </w:r>
            <w:r>
              <w:rPr>
                <w:spacing w:val="13"/>
                <w:sz w:val="20"/>
                <w:szCs w:val="20"/>
              </w:rPr>
              <w:t xml:space="preserve"> </w:t>
            </w:r>
            <w:r>
              <w:rPr>
                <w:spacing w:val="9"/>
                <w:sz w:val="20"/>
                <w:szCs w:val="20"/>
              </w:rPr>
              <w:t>级</w:t>
            </w:r>
            <w:r>
              <w:rPr>
                <w:rFonts w:ascii="Times New Roman" w:hAnsi="Times New Roman" w:eastAsia="Times New Roman" w:cs="Times New Roman"/>
                <w:spacing w:val="9"/>
                <w:sz w:val="20"/>
                <w:szCs w:val="20"/>
              </w:rPr>
              <w:t>A</w:t>
            </w:r>
            <w:r>
              <w:rPr>
                <w:spacing w:val="9"/>
                <w:sz w:val="20"/>
                <w:szCs w:val="20"/>
              </w:rPr>
              <w:t>类标准后，排入双龙河。东岳镇污水处理</w:t>
            </w:r>
            <w:r>
              <w:rPr>
                <w:spacing w:val="8"/>
                <w:sz w:val="20"/>
                <w:szCs w:val="20"/>
              </w:rPr>
              <w:t>厂运行至今出现老化和损坏的情况，</w:t>
            </w:r>
            <w:r>
              <w:rPr>
                <w:spacing w:val="-60"/>
                <w:sz w:val="20"/>
                <w:szCs w:val="20"/>
              </w:rPr>
              <w:t xml:space="preserve"> </w:t>
            </w:r>
            <w:r>
              <w:rPr>
                <w:spacing w:val="8"/>
                <w:sz w:val="20"/>
                <w:szCs w:val="20"/>
              </w:rPr>
              <w:t>以及</w:t>
            </w:r>
          </w:p>
          <w:p w14:paraId="75290E30">
            <w:pPr>
              <w:pStyle w:val="6"/>
              <w:spacing w:before="44" w:line="221" w:lineRule="auto"/>
              <w:ind w:left="92"/>
              <w:rPr>
                <w:sz w:val="20"/>
                <w:szCs w:val="20"/>
              </w:rPr>
            </w:pPr>
            <w:r>
              <w:rPr>
                <w:spacing w:val="9"/>
                <w:sz w:val="20"/>
                <w:szCs w:val="20"/>
              </w:rPr>
              <w:t>工艺本身原因，使得实际处理能力达不到设计</w:t>
            </w:r>
            <w:r>
              <w:rPr>
                <w:spacing w:val="8"/>
                <w:sz w:val="20"/>
                <w:szCs w:val="20"/>
              </w:rPr>
              <w:t>处理能力</w:t>
            </w:r>
            <w:r>
              <w:rPr>
                <w:rFonts w:ascii="Times New Roman" w:hAnsi="Times New Roman" w:eastAsia="Times New Roman" w:cs="Times New Roman"/>
                <w:spacing w:val="8"/>
                <w:sz w:val="20"/>
                <w:szCs w:val="20"/>
              </w:rPr>
              <w:t>1000m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/d(</w:t>
            </w:r>
            <w:r>
              <w:rPr>
                <w:spacing w:val="8"/>
                <w:sz w:val="20"/>
                <w:szCs w:val="20"/>
              </w:rPr>
              <w:t>实际处理能力≤</w:t>
            </w:r>
          </w:p>
          <w:p w14:paraId="42944D60">
            <w:pPr>
              <w:pStyle w:val="6"/>
              <w:spacing w:before="164" w:line="367" w:lineRule="auto"/>
              <w:ind w:left="91" w:right="86"/>
              <w:rPr>
                <w:sz w:val="20"/>
                <w:szCs w:val="20"/>
              </w:rPr>
            </w:pPr>
            <w:r>
              <w:rPr>
                <w:rFonts w:ascii="Times New Roman" w:hAnsi="Times New Roman" w:eastAsia="Times New Roman" w:cs="Times New Roman"/>
                <w:spacing w:val="7"/>
                <w:sz w:val="20"/>
                <w:szCs w:val="20"/>
              </w:rPr>
              <w:t>500m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3"/>
                <w:sz w:val="20"/>
                <w:szCs w:val="20"/>
              </w:rPr>
              <w:t xml:space="preserve"> </w:t>
            </w:r>
            <w:r>
              <w:rPr>
                <w:spacing w:val="7"/>
                <w:sz w:val="20"/>
                <w:szCs w:val="20"/>
              </w:rPr>
              <w:t>，超过此进水量后出水部分指标会超标</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2"/>
                <w:sz w:val="20"/>
                <w:szCs w:val="20"/>
              </w:rPr>
              <w:t xml:space="preserve"> </w:t>
            </w:r>
            <w:r>
              <w:rPr>
                <w:spacing w:val="7"/>
                <w:sz w:val="20"/>
                <w:szCs w:val="20"/>
              </w:rPr>
              <w:t>。</w:t>
            </w:r>
            <w:r>
              <w:rPr>
                <w:rFonts w:ascii="Times New Roman" w:hAnsi="Times New Roman" w:eastAsia="Times New Roman" w:cs="Times New Roman"/>
                <w:spacing w:val="7"/>
                <w:sz w:val="20"/>
                <w:szCs w:val="20"/>
              </w:rPr>
              <w:t>2023</w:t>
            </w:r>
            <w:r>
              <w:rPr>
                <w:spacing w:val="7"/>
                <w:sz w:val="20"/>
                <w:szCs w:val="20"/>
              </w:rPr>
              <w:t>年，东岳镇污水处理厂启动了扩</w:t>
            </w:r>
            <w:r>
              <w:rPr>
                <w:sz w:val="20"/>
                <w:szCs w:val="20"/>
              </w:rPr>
              <w:t xml:space="preserve"> </w:t>
            </w:r>
            <w:r>
              <w:rPr>
                <w:spacing w:val="7"/>
                <w:sz w:val="20"/>
                <w:szCs w:val="20"/>
              </w:rPr>
              <w:t>建工程，拟在原厂区空地增加一套一体化污水处理设备，设计处理能力</w:t>
            </w:r>
            <w:r>
              <w:rPr>
                <w:rFonts w:ascii="Times New Roman" w:hAnsi="Times New Roman" w:eastAsia="Times New Roman" w:cs="Times New Roman"/>
                <w:spacing w:val="7"/>
                <w:sz w:val="20"/>
                <w:szCs w:val="20"/>
              </w:rPr>
              <w:t>1000t/d</w:t>
            </w:r>
            <w:r>
              <w:rPr>
                <w:rFonts w:ascii="Times New Roman" w:hAnsi="Times New Roman" w:eastAsia="Times New Roman" w:cs="Times New Roman"/>
                <w:spacing w:val="-17"/>
                <w:sz w:val="20"/>
                <w:szCs w:val="20"/>
              </w:rPr>
              <w:t xml:space="preserve"> </w:t>
            </w:r>
            <w:r>
              <w:rPr>
                <w:spacing w:val="7"/>
                <w:sz w:val="20"/>
                <w:szCs w:val="20"/>
              </w:rPr>
              <w:t>，工艺采</w:t>
            </w:r>
            <w:r>
              <w:rPr>
                <w:sz w:val="20"/>
                <w:szCs w:val="20"/>
              </w:rPr>
              <w:t xml:space="preserve"> </w:t>
            </w:r>
            <w:r>
              <w:rPr>
                <w:spacing w:val="7"/>
                <w:sz w:val="20"/>
                <w:szCs w:val="20"/>
              </w:rPr>
              <w:t>用“</w:t>
            </w:r>
            <w:r>
              <w:rPr>
                <w:rFonts w:ascii="Times New Roman" w:hAnsi="Times New Roman" w:eastAsia="Times New Roman" w:cs="Times New Roman"/>
                <w:sz w:val="20"/>
                <w:szCs w:val="20"/>
              </w:rPr>
              <w:t>AAO</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MBBR</w:t>
            </w:r>
            <w:r>
              <w:rPr>
                <w:rFonts w:ascii="Times New Roman" w:hAnsi="Times New Roman" w:eastAsia="Times New Roman" w:cs="Times New Roman"/>
                <w:spacing w:val="7"/>
                <w:sz w:val="20"/>
                <w:szCs w:val="20"/>
              </w:rPr>
              <w:t>)+</w:t>
            </w:r>
            <w:r>
              <w:rPr>
                <w:spacing w:val="7"/>
                <w:sz w:val="20"/>
                <w:szCs w:val="20"/>
              </w:rPr>
              <w:t>沉淀池</w:t>
            </w:r>
            <w:r>
              <w:rPr>
                <w:rFonts w:ascii="Times New Roman" w:hAnsi="Times New Roman" w:eastAsia="Times New Roman" w:cs="Times New Roman"/>
                <w:spacing w:val="7"/>
                <w:sz w:val="20"/>
                <w:szCs w:val="20"/>
              </w:rPr>
              <w:t>+</w:t>
            </w:r>
            <w:r>
              <w:rPr>
                <w:spacing w:val="7"/>
                <w:sz w:val="20"/>
                <w:szCs w:val="20"/>
              </w:rPr>
              <w:t>微絮凝除磷</w:t>
            </w:r>
            <w:r>
              <w:rPr>
                <w:rFonts w:ascii="Times New Roman" w:hAnsi="Times New Roman" w:eastAsia="Times New Roman" w:cs="Times New Roman"/>
                <w:spacing w:val="7"/>
                <w:sz w:val="20"/>
                <w:szCs w:val="20"/>
              </w:rPr>
              <w:t>D</w:t>
            </w:r>
            <w:r>
              <w:rPr>
                <w:spacing w:val="7"/>
                <w:sz w:val="20"/>
                <w:szCs w:val="20"/>
              </w:rPr>
              <w:t>型滤池</w:t>
            </w:r>
            <w:r>
              <w:rPr>
                <w:rFonts w:ascii="Times New Roman" w:hAnsi="Times New Roman" w:eastAsia="Times New Roman" w:cs="Times New Roman"/>
                <w:spacing w:val="7"/>
                <w:sz w:val="20"/>
                <w:szCs w:val="20"/>
              </w:rPr>
              <w:t>+</w:t>
            </w:r>
            <w:r>
              <w:rPr>
                <w:spacing w:val="7"/>
                <w:sz w:val="20"/>
                <w:szCs w:val="20"/>
              </w:rPr>
              <w:t>紫外线消毒</w:t>
            </w:r>
            <w:r>
              <w:rPr>
                <w:spacing w:val="-68"/>
                <w:sz w:val="20"/>
                <w:szCs w:val="20"/>
              </w:rPr>
              <w:t xml:space="preserve"> </w:t>
            </w:r>
            <w:r>
              <w:rPr>
                <w:spacing w:val="7"/>
                <w:sz w:val="20"/>
                <w:szCs w:val="20"/>
              </w:rPr>
              <w:t>”，优化原厌氧池功能等。</w:t>
            </w:r>
            <w:r>
              <w:rPr>
                <w:sz w:val="20"/>
                <w:szCs w:val="20"/>
              </w:rPr>
              <w:t xml:space="preserve"> </w:t>
            </w:r>
            <w:r>
              <w:rPr>
                <w:spacing w:val="7"/>
                <w:sz w:val="20"/>
                <w:szCs w:val="20"/>
              </w:rPr>
              <w:t xml:space="preserve">同时保留原设备处理能力，总处理能力达到 </w:t>
            </w:r>
            <w:r>
              <w:rPr>
                <w:rFonts w:ascii="Times New Roman" w:hAnsi="Times New Roman" w:eastAsia="Times New Roman" w:cs="Times New Roman"/>
                <w:spacing w:val="7"/>
                <w:sz w:val="20"/>
                <w:szCs w:val="20"/>
              </w:rPr>
              <w:t>1500m/d</w:t>
            </w:r>
            <w:r>
              <w:rPr>
                <w:rFonts w:ascii="Times New Roman" w:hAnsi="Times New Roman" w:eastAsia="Times New Roman" w:cs="Times New Roman"/>
                <w:spacing w:val="-20"/>
                <w:sz w:val="20"/>
                <w:szCs w:val="20"/>
              </w:rPr>
              <w:t xml:space="preserve"> </w:t>
            </w:r>
            <w:r>
              <w:rPr>
                <w:spacing w:val="7"/>
                <w:sz w:val="20"/>
                <w:szCs w:val="20"/>
              </w:rPr>
              <w:t>，处理出水水质达《城镇污水处理</w:t>
            </w:r>
            <w:r>
              <w:rPr>
                <w:sz w:val="20"/>
                <w:szCs w:val="20"/>
              </w:rPr>
              <w:t xml:space="preserve"> </w:t>
            </w:r>
            <w:r>
              <w:rPr>
                <w:spacing w:val="8"/>
                <w:sz w:val="20"/>
                <w:szCs w:val="20"/>
              </w:rPr>
              <w:t>厂污染物排放标准》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18918-2002)</w:t>
            </w:r>
            <w:r>
              <w:rPr>
                <w:spacing w:val="7"/>
                <w:sz w:val="20"/>
                <w:szCs w:val="20"/>
              </w:rPr>
              <w:t>一级</w:t>
            </w:r>
            <w:r>
              <w:rPr>
                <w:rFonts w:ascii="Times New Roman" w:hAnsi="Times New Roman" w:eastAsia="Times New Roman" w:cs="Times New Roman"/>
                <w:spacing w:val="7"/>
                <w:sz w:val="20"/>
                <w:szCs w:val="20"/>
              </w:rPr>
              <w:t>A</w:t>
            </w:r>
            <w:r>
              <w:rPr>
                <w:spacing w:val="7"/>
                <w:sz w:val="20"/>
                <w:szCs w:val="20"/>
              </w:rPr>
              <w:t>标后排入双龙河。</w:t>
            </w:r>
          </w:p>
          <w:p w14:paraId="067173A7">
            <w:pPr>
              <w:pStyle w:val="6"/>
              <w:spacing w:before="44" w:line="359" w:lineRule="auto"/>
              <w:ind w:left="89" w:right="458" w:firstLine="421"/>
              <w:rPr>
                <w:sz w:val="20"/>
                <w:szCs w:val="20"/>
              </w:rPr>
            </w:pPr>
            <w:r>
              <w:rPr>
                <w:spacing w:val="8"/>
                <w:sz w:val="20"/>
                <w:szCs w:val="20"/>
              </w:rPr>
              <w:t>本项目生活污水、软水制备及锅炉废水约</w:t>
            </w:r>
            <w:r>
              <w:rPr>
                <w:rFonts w:ascii="Times New Roman" w:hAnsi="Times New Roman" w:eastAsia="Times New Roman" w:cs="Times New Roman"/>
                <w:spacing w:val="8"/>
                <w:sz w:val="20"/>
                <w:szCs w:val="20"/>
              </w:rPr>
              <w:t>2.4</w:t>
            </w:r>
            <w:r>
              <w:rPr>
                <w:rFonts w:ascii="Times New Roman" w:hAnsi="Times New Roman" w:eastAsia="Times New Roman" w:cs="Times New Roman"/>
                <w:spacing w:val="7"/>
                <w:sz w:val="20"/>
                <w:szCs w:val="20"/>
              </w:rPr>
              <w:t>11m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4"/>
                <w:sz w:val="20"/>
                <w:szCs w:val="20"/>
              </w:rPr>
              <w:t xml:space="preserve"> </w:t>
            </w:r>
            <w:r>
              <w:rPr>
                <w:spacing w:val="7"/>
                <w:sz w:val="20"/>
                <w:szCs w:val="20"/>
              </w:rPr>
              <w:t>，仅占东岳镇污水处理厂的</w:t>
            </w:r>
            <w:r>
              <w:rPr>
                <w:sz w:val="20"/>
                <w:szCs w:val="20"/>
              </w:rPr>
              <w:t xml:space="preserve"> </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5"/>
                <w:sz w:val="20"/>
                <w:szCs w:val="20"/>
              </w:rPr>
              <w:t>16%</w:t>
            </w:r>
            <w:r>
              <w:rPr>
                <w:rFonts w:ascii="Times New Roman" w:hAnsi="Times New Roman" w:eastAsia="Times New Roman" w:cs="Times New Roman"/>
                <w:spacing w:val="-23"/>
                <w:sz w:val="20"/>
                <w:szCs w:val="20"/>
              </w:rPr>
              <w:t xml:space="preserve"> </w:t>
            </w:r>
            <w:r>
              <w:rPr>
                <w:spacing w:val="5"/>
                <w:sz w:val="20"/>
                <w:szCs w:val="20"/>
              </w:rPr>
              <w:t>，水量不会突破污水厂的处理能力。</w:t>
            </w:r>
          </w:p>
          <w:p w14:paraId="77D77EA9">
            <w:pPr>
              <w:pStyle w:val="6"/>
              <w:spacing w:before="33" w:line="227" w:lineRule="auto"/>
              <w:ind w:left="526"/>
              <w:rPr>
                <w:sz w:val="20"/>
                <w:szCs w:val="20"/>
              </w:rPr>
            </w:pPr>
            <w:r>
              <w:rPr>
                <w:spacing w:val="9"/>
                <w:sz w:val="20"/>
                <w:szCs w:val="20"/>
              </w:rPr>
              <w:t>因此，本项目废水排入东岳镇生活污水处理厂处理是可行的，也</w:t>
            </w:r>
            <w:r>
              <w:rPr>
                <w:spacing w:val="8"/>
                <w:sz w:val="20"/>
                <w:szCs w:val="20"/>
              </w:rPr>
              <w:t>是可靠的。</w:t>
            </w:r>
          </w:p>
          <w:p w14:paraId="530A4279">
            <w:pPr>
              <w:pStyle w:val="6"/>
              <w:spacing w:before="145" w:line="220" w:lineRule="auto"/>
              <w:ind w:left="87"/>
            </w:pPr>
            <w:r>
              <w:rPr>
                <w:rFonts w:ascii="Times New Roman" w:hAnsi="Times New Roman" w:eastAsia="Times New Roman" w:cs="Times New Roman"/>
                <w:b/>
                <w:bCs/>
                <w:spacing w:val="-2"/>
              </w:rPr>
              <w:t xml:space="preserve">2.5 </w:t>
            </w:r>
            <w:r>
              <w:rPr>
                <w:b/>
                <w:bCs/>
                <w:spacing w:val="-2"/>
              </w:rPr>
              <w:t>污染物源强及治理设施信息</w:t>
            </w:r>
          </w:p>
          <w:p w14:paraId="48B8DD2C">
            <w:pPr>
              <w:spacing w:before="108" w:line="221" w:lineRule="auto"/>
              <w:ind w:left="205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4-6    </w:t>
            </w:r>
            <w:r>
              <w:rPr>
                <w:rFonts w:ascii="黑体" w:hAnsi="黑体" w:eastAsia="黑体" w:cs="黑体"/>
                <w:spacing w:val="-1"/>
                <w:sz w:val="18"/>
                <w:szCs w:val="18"/>
              </w:rPr>
              <w:t>废水污染源源强核算结果及相关参数一览表</w:t>
            </w:r>
          </w:p>
          <w:p w14:paraId="6982D723">
            <w:pPr>
              <w:spacing w:line="42" w:lineRule="auto"/>
              <w:rPr>
                <w:rFonts w:ascii="Arial"/>
                <w:sz w:val="2"/>
              </w:rPr>
            </w:pPr>
          </w:p>
          <w:tbl>
            <w:tblPr>
              <w:tblStyle w:val="5"/>
              <w:tblW w:w="794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960"/>
              <w:gridCol w:w="396"/>
              <w:gridCol w:w="504"/>
              <w:gridCol w:w="573"/>
              <w:gridCol w:w="667"/>
              <w:gridCol w:w="583"/>
              <w:gridCol w:w="480"/>
              <w:gridCol w:w="426"/>
              <w:gridCol w:w="425"/>
              <w:gridCol w:w="533"/>
              <w:gridCol w:w="708"/>
              <w:gridCol w:w="574"/>
              <w:gridCol w:w="571"/>
            </w:tblGrid>
            <w:tr w14:paraId="08518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40" w:type="dxa"/>
                  <w:vMerge w:val="restart"/>
                  <w:tcBorders>
                    <w:bottom w:val="nil"/>
                  </w:tcBorders>
                  <w:vAlign w:val="top"/>
                </w:tcPr>
                <w:p w14:paraId="1E968B89">
                  <w:pPr>
                    <w:pStyle w:val="6"/>
                    <w:spacing w:before="239" w:line="327" w:lineRule="auto"/>
                    <w:ind w:left="121" w:right="23" w:hanging="94"/>
                    <w:rPr>
                      <w:sz w:val="14"/>
                      <w:szCs w:val="14"/>
                    </w:rPr>
                  </w:pPr>
                  <w:r>
                    <w:rPr>
                      <w:b/>
                      <w:bCs/>
                      <w:spacing w:val="5"/>
                      <w:sz w:val="14"/>
                      <w:szCs w:val="14"/>
                    </w:rPr>
                    <w:t>工序</w:t>
                  </w:r>
                  <w:r>
                    <w:rPr>
                      <w:rFonts w:ascii="Times New Roman" w:hAnsi="Times New Roman" w:eastAsia="Times New Roman" w:cs="Times New Roman"/>
                      <w:b/>
                      <w:bCs/>
                      <w:spacing w:val="5"/>
                      <w:sz w:val="14"/>
                      <w:szCs w:val="14"/>
                    </w:rPr>
                    <w:t>/</w:t>
                  </w:r>
                  <w:r>
                    <w:rPr>
                      <w:b/>
                      <w:bCs/>
                      <w:spacing w:val="5"/>
                      <w:sz w:val="14"/>
                      <w:szCs w:val="14"/>
                    </w:rPr>
                    <w:t>生</w:t>
                  </w:r>
                  <w:r>
                    <w:rPr>
                      <w:sz w:val="14"/>
                      <w:szCs w:val="14"/>
                    </w:rPr>
                    <w:t xml:space="preserve"> </w:t>
                  </w:r>
                  <w:r>
                    <w:rPr>
                      <w:b/>
                      <w:bCs/>
                      <w:spacing w:val="5"/>
                      <w:sz w:val="14"/>
                      <w:szCs w:val="14"/>
                    </w:rPr>
                    <w:t>产线</w:t>
                  </w:r>
                </w:p>
              </w:tc>
              <w:tc>
                <w:tcPr>
                  <w:tcW w:w="960" w:type="dxa"/>
                  <w:vMerge w:val="restart"/>
                  <w:tcBorders>
                    <w:bottom w:val="nil"/>
                  </w:tcBorders>
                  <w:vAlign w:val="top"/>
                </w:tcPr>
                <w:p w14:paraId="264BFB6A">
                  <w:pPr>
                    <w:spacing w:line="321" w:lineRule="auto"/>
                    <w:rPr>
                      <w:rFonts w:ascii="Arial"/>
                      <w:sz w:val="21"/>
                    </w:rPr>
                  </w:pPr>
                </w:p>
                <w:p w14:paraId="21FA30CD">
                  <w:pPr>
                    <w:pStyle w:val="6"/>
                    <w:spacing w:before="46" w:line="232" w:lineRule="auto"/>
                    <w:ind w:left="256"/>
                    <w:rPr>
                      <w:sz w:val="14"/>
                      <w:szCs w:val="14"/>
                    </w:rPr>
                  </w:pPr>
                  <w:r>
                    <w:rPr>
                      <w:b/>
                      <w:bCs/>
                      <w:spacing w:val="5"/>
                      <w:sz w:val="14"/>
                      <w:szCs w:val="14"/>
                    </w:rPr>
                    <w:t>污染源</w:t>
                  </w:r>
                </w:p>
              </w:tc>
              <w:tc>
                <w:tcPr>
                  <w:tcW w:w="396" w:type="dxa"/>
                  <w:vMerge w:val="restart"/>
                  <w:tcBorders>
                    <w:bottom w:val="nil"/>
                  </w:tcBorders>
                  <w:vAlign w:val="top"/>
                </w:tcPr>
                <w:p w14:paraId="4B4C2E39">
                  <w:pPr>
                    <w:pStyle w:val="6"/>
                    <w:spacing w:before="240" w:line="327" w:lineRule="auto"/>
                    <w:ind w:left="123" w:right="47" w:hanging="73"/>
                    <w:rPr>
                      <w:sz w:val="14"/>
                      <w:szCs w:val="14"/>
                    </w:rPr>
                  </w:pPr>
                  <w:r>
                    <w:rPr>
                      <w:b/>
                      <w:bCs/>
                      <w:spacing w:val="5"/>
                      <w:sz w:val="14"/>
                      <w:szCs w:val="14"/>
                    </w:rPr>
                    <w:t>污染</w:t>
                  </w:r>
                  <w:r>
                    <w:rPr>
                      <w:sz w:val="14"/>
                      <w:szCs w:val="14"/>
                    </w:rPr>
                    <w:t xml:space="preserve"> </w:t>
                  </w:r>
                  <w:r>
                    <w:rPr>
                      <w:b/>
                      <w:bCs/>
                      <w:spacing w:val="1"/>
                      <w:sz w:val="14"/>
                      <w:szCs w:val="14"/>
                    </w:rPr>
                    <w:t>物</w:t>
                  </w:r>
                </w:p>
              </w:tc>
              <w:tc>
                <w:tcPr>
                  <w:tcW w:w="2327" w:type="dxa"/>
                  <w:gridSpan w:val="4"/>
                  <w:vAlign w:val="top"/>
                </w:tcPr>
                <w:p w14:paraId="2B9B7139">
                  <w:pPr>
                    <w:pStyle w:val="6"/>
                    <w:spacing w:before="117" w:line="231" w:lineRule="auto"/>
                    <w:ind w:left="792"/>
                    <w:rPr>
                      <w:sz w:val="14"/>
                      <w:szCs w:val="14"/>
                    </w:rPr>
                  </w:pPr>
                  <w:r>
                    <w:rPr>
                      <w:b/>
                      <w:bCs/>
                      <w:spacing w:val="7"/>
                      <w:sz w:val="14"/>
                      <w:szCs w:val="14"/>
                    </w:rPr>
                    <w:t>污染物产生</w:t>
                  </w:r>
                </w:p>
              </w:tc>
              <w:tc>
                <w:tcPr>
                  <w:tcW w:w="906" w:type="dxa"/>
                  <w:gridSpan w:val="2"/>
                  <w:vAlign w:val="top"/>
                </w:tcPr>
                <w:p w14:paraId="081669DB">
                  <w:pPr>
                    <w:pStyle w:val="6"/>
                    <w:spacing w:before="117" w:line="232" w:lineRule="auto"/>
                    <w:ind w:left="159"/>
                    <w:rPr>
                      <w:sz w:val="14"/>
                      <w:szCs w:val="14"/>
                    </w:rPr>
                  </w:pPr>
                  <w:r>
                    <w:rPr>
                      <w:b/>
                      <w:bCs/>
                      <w:spacing w:val="6"/>
                      <w:sz w:val="14"/>
                      <w:szCs w:val="14"/>
                    </w:rPr>
                    <w:t>治理措施</w:t>
                  </w:r>
                </w:p>
              </w:tc>
              <w:tc>
                <w:tcPr>
                  <w:tcW w:w="2240" w:type="dxa"/>
                  <w:gridSpan w:val="4"/>
                  <w:vAlign w:val="top"/>
                </w:tcPr>
                <w:p w14:paraId="17663673">
                  <w:pPr>
                    <w:pStyle w:val="6"/>
                    <w:spacing w:before="117" w:line="232" w:lineRule="auto"/>
                    <w:ind w:left="748"/>
                    <w:rPr>
                      <w:sz w:val="14"/>
                      <w:szCs w:val="14"/>
                    </w:rPr>
                  </w:pPr>
                  <w:r>
                    <w:rPr>
                      <w:b/>
                      <w:bCs/>
                      <w:spacing w:val="7"/>
                      <w:sz w:val="14"/>
                      <w:szCs w:val="14"/>
                    </w:rPr>
                    <w:t>污染物排放</w:t>
                  </w:r>
                </w:p>
              </w:tc>
              <w:tc>
                <w:tcPr>
                  <w:tcW w:w="571" w:type="dxa"/>
                  <w:vMerge w:val="restart"/>
                  <w:tcBorders>
                    <w:bottom w:val="nil"/>
                  </w:tcBorders>
                  <w:vAlign w:val="top"/>
                </w:tcPr>
                <w:p w14:paraId="2F1198F5">
                  <w:pPr>
                    <w:pStyle w:val="6"/>
                    <w:spacing w:before="109" w:line="316" w:lineRule="auto"/>
                    <w:ind w:left="47" w:right="47" w:firstLine="92"/>
                    <w:jc w:val="both"/>
                    <w:rPr>
                      <w:sz w:val="14"/>
                      <w:szCs w:val="14"/>
                    </w:rPr>
                  </w:pPr>
                  <w:r>
                    <w:rPr>
                      <w:b/>
                      <w:bCs/>
                      <w:spacing w:val="5"/>
                      <w:sz w:val="14"/>
                      <w:szCs w:val="14"/>
                    </w:rPr>
                    <w:t>排放</w:t>
                  </w:r>
                  <w:r>
                    <w:rPr>
                      <w:sz w:val="14"/>
                      <w:szCs w:val="14"/>
                    </w:rPr>
                    <w:t xml:space="preserve">  </w:t>
                  </w:r>
                  <w:r>
                    <w:rPr>
                      <w:b/>
                      <w:bCs/>
                      <w:spacing w:val="22"/>
                      <w:w w:val="121"/>
                      <w:sz w:val="14"/>
                      <w:szCs w:val="14"/>
                    </w:rPr>
                    <w:t>时间</w:t>
                  </w:r>
                  <w:r>
                    <w:rPr>
                      <w:sz w:val="14"/>
                      <w:szCs w:val="14"/>
                    </w:rPr>
                    <w:t xml:space="preserve">  </w:t>
                  </w:r>
                  <w:r>
                    <w:rPr>
                      <w:b/>
                      <w:bCs/>
                      <w:sz w:val="14"/>
                      <w:szCs w:val="14"/>
                    </w:rPr>
                    <w:t>（</w:t>
                  </w:r>
                  <w:r>
                    <w:rPr>
                      <w:rFonts w:ascii="Times New Roman" w:hAnsi="Times New Roman" w:eastAsia="Times New Roman" w:cs="Times New Roman"/>
                      <w:b/>
                      <w:bCs/>
                      <w:sz w:val="14"/>
                      <w:szCs w:val="14"/>
                    </w:rPr>
                    <w:t>d/a</w:t>
                  </w:r>
                  <w:r>
                    <w:rPr>
                      <w:b/>
                      <w:bCs/>
                      <w:sz w:val="14"/>
                      <w:szCs w:val="14"/>
                    </w:rPr>
                    <w:t>）</w:t>
                  </w:r>
                </w:p>
              </w:tc>
            </w:tr>
            <w:tr w14:paraId="4F54E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40" w:type="dxa"/>
                  <w:vMerge w:val="continue"/>
                  <w:tcBorders>
                    <w:top w:val="nil"/>
                  </w:tcBorders>
                  <w:vAlign w:val="top"/>
                </w:tcPr>
                <w:p w14:paraId="7B185118">
                  <w:pPr>
                    <w:rPr>
                      <w:rFonts w:ascii="Arial"/>
                      <w:sz w:val="21"/>
                    </w:rPr>
                  </w:pPr>
                </w:p>
              </w:tc>
              <w:tc>
                <w:tcPr>
                  <w:tcW w:w="960" w:type="dxa"/>
                  <w:vMerge w:val="continue"/>
                  <w:tcBorders>
                    <w:top w:val="nil"/>
                  </w:tcBorders>
                  <w:vAlign w:val="top"/>
                </w:tcPr>
                <w:p w14:paraId="2875F06C">
                  <w:pPr>
                    <w:rPr>
                      <w:rFonts w:ascii="Arial"/>
                      <w:sz w:val="21"/>
                    </w:rPr>
                  </w:pPr>
                </w:p>
              </w:tc>
              <w:tc>
                <w:tcPr>
                  <w:tcW w:w="396" w:type="dxa"/>
                  <w:vMerge w:val="continue"/>
                  <w:tcBorders>
                    <w:top w:val="nil"/>
                  </w:tcBorders>
                  <w:vAlign w:val="top"/>
                </w:tcPr>
                <w:p w14:paraId="28F41EEF">
                  <w:pPr>
                    <w:rPr>
                      <w:rFonts w:ascii="Arial"/>
                      <w:sz w:val="21"/>
                    </w:rPr>
                  </w:pPr>
                </w:p>
              </w:tc>
              <w:tc>
                <w:tcPr>
                  <w:tcW w:w="504" w:type="dxa"/>
                  <w:vAlign w:val="top"/>
                </w:tcPr>
                <w:p w14:paraId="3B402ADD">
                  <w:pPr>
                    <w:pStyle w:val="6"/>
                    <w:spacing w:before="81" w:line="285" w:lineRule="auto"/>
                    <w:ind w:left="105" w:right="100"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573" w:type="dxa"/>
                  <w:vAlign w:val="top"/>
                </w:tcPr>
                <w:p w14:paraId="75139655">
                  <w:pPr>
                    <w:pStyle w:val="6"/>
                    <w:spacing w:before="82" w:line="302" w:lineRule="auto"/>
                    <w:ind w:left="97" w:right="63" w:hanging="36"/>
                    <w:rPr>
                      <w:rFonts w:ascii="Times New Roman" w:hAnsi="Times New Roman" w:eastAsia="Times New Roman" w:cs="Times New Roman"/>
                      <w:sz w:val="14"/>
                      <w:szCs w:val="14"/>
                    </w:rPr>
                  </w:pPr>
                  <w:r>
                    <w:rPr>
                      <w:b/>
                      <w:bCs/>
                      <w:spacing w:val="6"/>
                      <w:sz w:val="14"/>
                      <w:szCs w:val="14"/>
                    </w:rPr>
                    <w:t>产生量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667" w:type="dxa"/>
                  <w:vAlign w:val="top"/>
                </w:tcPr>
                <w:p w14:paraId="61604EA0">
                  <w:pPr>
                    <w:pStyle w:val="6"/>
                    <w:spacing w:before="81" w:line="285" w:lineRule="auto"/>
                    <w:ind w:left="27" w:right="29" w:firstLine="8"/>
                    <w:rPr>
                      <w:sz w:val="14"/>
                      <w:szCs w:val="14"/>
                    </w:rPr>
                  </w:pPr>
                  <w:r>
                    <w:rPr>
                      <w:b/>
                      <w:bCs/>
                      <w:spacing w:val="7"/>
                      <w:sz w:val="14"/>
                      <w:szCs w:val="14"/>
                    </w:rPr>
                    <w:t>产生浓度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583" w:type="dxa"/>
                  <w:vAlign w:val="top"/>
                </w:tcPr>
                <w:p w14:paraId="432819FD">
                  <w:pPr>
                    <w:pStyle w:val="6"/>
                    <w:spacing w:before="81" w:line="285" w:lineRule="auto"/>
                    <w:ind w:left="72" w:right="65" w:hanging="3"/>
                    <w:rPr>
                      <w:sz w:val="14"/>
                      <w:szCs w:val="14"/>
                    </w:rPr>
                  </w:pPr>
                  <w:r>
                    <w:rPr>
                      <w:b/>
                      <w:bCs/>
                      <w:spacing w:val="6"/>
                      <w:sz w:val="14"/>
                      <w:szCs w:val="14"/>
                    </w:rPr>
                    <w:t>产生量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480" w:type="dxa"/>
                  <w:vAlign w:val="top"/>
                </w:tcPr>
                <w:p w14:paraId="673E40B8">
                  <w:pPr>
                    <w:pStyle w:val="6"/>
                    <w:spacing w:before="211" w:line="241" w:lineRule="auto"/>
                    <w:ind w:left="95"/>
                    <w:rPr>
                      <w:sz w:val="14"/>
                      <w:szCs w:val="14"/>
                    </w:rPr>
                  </w:pPr>
                  <w:r>
                    <w:rPr>
                      <w:b/>
                      <w:bCs/>
                      <w:spacing w:val="4"/>
                      <w:sz w:val="14"/>
                      <w:szCs w:val="14"/>
                    </w:rPr>
                    <w:t>工艺</w:t>
                  </w:r>
                </w:p>
              </w:tc>
              <w:tc>
                <w:tcPr>
                  <w:tcW w:w="426" w:type="dxa"/>
                  <w:vAlign w:val="top"/>
                </w:tcPr>
                <w:p w14:paraId="13BCDA8B">
                  <w:pPr>
                    <w:pStyle w:val="6"/>
                    <w:spacing w:before="82" w:line="302" w:lineRule="auto"/>
                    <w:ind w:left="115" w:right="59" w:hanging="45"/>
                    <w:rPr>
                      <w:rFonts w:ascii="Times New Roman" w:hAnsi="Times New Roman" w:eastAsia="Times New Roman" w:cs="Times New Roman"/>
                      <w:sz w:val="14"/>
                      <w:szCs w:val="14"/>
                    </w:rPr>
                  </w:pPr>
                  <w:r>
                    <w:rPr>
                      <w:b/>
                      <w:bCs/>
                      <w:spacing w:val="3"/>
                      <w:sz w:val="14"/>
                      <w:szCs w:val="14"/>
                    </w:rPr>
                    <w:t>效率</w:t>
                  </w:r>
                  <w:r>
                    <w:rPr>
                      <w:sz w:val="14"/>
                      <w:szCs w:val="14"/>
                    </w:rPr>
                    <w:t xml:space="preserve"> </w:t>
                  </w:r>
                  <w:r>
                    <w:rPr>
                      <w:rFonts w:ascii="Times New Roman" w:hAnsi="Times New Roman" w:eastAsia="Times New Roman" w:cs="Times New Roman"/>
                      <w:b/>
                      <w:bCs/>
                      <w:spacing w:val="5"/>
                      <w:sz w:val="14"/>
                      <w:szCs w:val="14"/>
                    </w:rPr>
                    <w:t>/%</w:t>
                  </w:r>
                </w:p>
              </w:tc>
              <w:tc>
                <w:tcPr>
                  <w:tcW w:w="425" w:type="dxa"/>
                  <w:vAlign w:val="top"/>
                </w:tcPr>
                <w:p w14:paraId="214E6DFB">
                  <w:pPr>
                    <w:pStyle w:val="6"/>
                    <w:spacing w:before="81" w:line="285" w:lineRule="auto"/>
                    <w:ind w:left="66" w:right="59"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533" w:type="dxa"/>
                  <w:vAlign w:val="top"/>
                </w:tcPr>
                <w:p w14:paraId="7D91A4B2">
                  <w:pPr>
                    <w:pStyle w:val="6"/>
                    <w:spacing w:before="82" w:line="302" w:lineRule="auto"/>
                    <w:ind w:left="77" w:right="40" w:hanging="33"/>
                    <w:rPr>
                      <w:rFonts w:ascii="Times New Roman" w:hAnsi="Times New Roman" w:eastAsia="Times New Roman" w:cs="Times New Roman"/>
                      <w:sz w:val="14"/>
                      <w:szCs w:val="14"/>
                    </w:rPr>
                  </w:pPr>
                  <w:r>
                    <w:rPr>
                      <w:b/>
                      <w:bCs/>
                      <w:spacing w:val="6"/>
                      <w:sz w:val="14"/>
                      <w:szCs w:val="14"/>
                    </w:rPr>
                    <w:t>排放量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708" w:type="dxa"/>
                  <w:vAlign w:val="top"/>
                </w:tcPr>
                <w:p w14:paraId="627B0E25">
                  <w:pPr>
                    <w:pStyle w:val="6"/>
                    <w:spacing w:before="81" w:line="285" w:lineRule="auto"/>
                    <w:ind w:left="50" w:right="47" w:firstLine="8"/>
                    <w:rPr>
                      <w:sz w:val="14"/>
                      <w:szCs w:val="14"/>
                    </w:rPr>
                  </w:pPr>
                  <w:r>
                    <w:rPr>
                      <w:b/>
                      <w:bCs/>
                      <w:spacing w:val="7"/>
                      <w:sz w:val="14"/>
                      <w:szCs w:val="14"/>
                    </w:rPr>
                    <w:t>排放浓度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574" w:type="dxa"/>
                  <w:vAlign w:val="top"/>
                </w:tcPr>
                <w:p w14:paraId="3F1F62B2">
                  <w:pPr>
                    <w:pStyle w:val="6"/>
                    <w:spacing w:before="81" w:line="285" w:lineRule="auto"/>
                    <w:ind w:left="68" w:right="60" w:hanging="3"/>
                    <w:rPr>
                      <w:sz w:val="14"/>
                      <w:szCs w:val="14"/>
                    </w:rPr>
                  </w:pPr>
                  <w:r>
                    <w:rPr>
                      <w:b/>
                      <w:bCs/>
                      <w:spacing w:val="6"/>
                      <w:sz w:val="14"/>
                      <w:szCs w:val="14"/>
                    </w:rPr>
                    <w:t>排放量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571" w:type="dxa"/>
                  <w:vMerge w:val="continue"/>
                  <w:tcBorders>
                    <w:top w:val="nil"/>
                  </w:tcBorders>
                  <w:vAlign w:val="top"/>
                </w:tcPr>
                <w:p w14:paraId="3036C4A7">
                  <w:pPr>
                    <w:rPr>
                      <w:rFonts w:ascii="Arial"/>
                      <w:sz w:val="21"/>
                    </w:rPr>
                  </w:pPr>
                </w:p>
              </w:tc>
            </w:tr>
            <w:tr w14:paraId="49055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540" w:type="dxa"/>
                  <w:vAlign w:val="top"/>
                </w:tcPr>
                <w:p w14:paraId="13D1C3AD">
                  <w:pPr>
                    <w:spacing w:line="294" w:lineRule="auto"/>
                    <w:rPr>
                      <w:rFonts w:ascii="Arial"/>
                      <w:sz w:val="21"/>
                    </w:rPr>
                  </w:pPr>
                </w:p>
                <w:p w14:paraId="59F8FBB9">
                  <w:pPr>
                    <w:pStyle w:val="6"/>
                    <w:spacing w:before="45" w:line="327" w:lineRule="auto"/>
                    <w:ind w:left="123" w:right="119" w:firstLine="1"/>
                    <w:rPr>
                      <w:sz w:val="14"/>
                      <w:szCs w:val="14"/>
                    </w:rPr>
                  </w:pPr>
                  <w:r>
                    <w:rPr>
                      <w:spacing w:val="5"/>
                      <w:sz w:val="14"/>
                      <w:szCs w:val="14"/>
                    </w:rPr>
                    <w:t>生产</w:t>
                  </w:r>
                  <w:r>
                    <w:rPr>
                      <w:sz w:val="14"/>
                      <w:szCs w:val="14"/>
                    </w:rPr>
                    <w:t xml:space="preserve"> </w:t>
                  </w:r>
                  <w:r>
                    <w:rPr>
                      <w:spacing w:val="6"/>
                      <w:sz w:val="14"/>
                      <w:szCs w:val="14"/>
                    </w:rPr>
                    <w:t>废水</w:t>
                  </w:r>
                </w:p>
              </w:tc>
              <w:tc>
                <w:tcPr>
                  <w:tcW w:w="960" w:type="dxa"/>
                  <w:vAlign w:val="top"/>
                </w:tcPr>
                <w:p w14:paraId="190C4D35">
                  <w:pPr>
                    <w:pStyle w:val="6"/>
                    <w:spacing w:before="80" w:line="231" w:lineRule="auto"/>
                    <w:jc w:val="right"/>
                    <w:rPr>
                      <w:sz w:val="14"/>
                      <w:szCs w:val="14"/>
                    </w:rPr>
                  </w:pPr>
                  <w:r>
                    <w:rPr>
                      <w:spacing w:val="-4"/>
                      <w:sz w:val="14"/>
                      <w:szCs w:val="14"/>
                    </w:rPr>
                    <w:t>蒸汽冷凝水、车</w:t>
                  </w:r>
                </w:p>
                <w:p w14:paraId="010F1B34">
                  <w:pPr>
                    <w:pStyle w:val="6"/>
                    <w:spacing w:before="86" w:line="232" w:lineRule="auto"/>
                    <w:ind w:left="44"/>
                    <w:rPr>
                      <w:sz w:val="14"/>
                      <w:szCs w:val="14"/>
                    </w:rPr>
                  </w:pPr>
                  <w:r>
                    <w:rPr>
                      <w:spacing w:val="6"/>
                      <w:sz w:val="14"/>
                      <w:szCs w:val="14"/>
                    </w:rPr>
                    <w:t>间地面冲洗废</w:t>
                  </w:r>
                </w:p>
                <w:p w14:paraId="664798F2">
                  <w:pPr>
                    <w:pStyle w:val="6"/>
                    <w:spacing w:before="83" w:line="231" w:lineRule="auto"/>
                    <w:ind w:left="34"/>
                    <w:rPr>
                      <w:sz w:val="14"/>
                      <w:szCs w:val="14"/>
                    </w:rPr>
                  </w:pPr>
                  <w:r>
                    <w:rPr>
                      <w:spacing w:val="8"/>
                      <w:sz w:val="14"/>
                      <w:szCs w:val="14"/>
                    </w:rPr>
                    <w:t>水和切割废料</w:t>
                  </w:r>
                </w:p>
                <w:p w14:paraId="32C70C88">
                  <w:pPr>
                    <w:pStyle w:val="6"/>
                    <w:spacing w:before="83" w:line="227" w:lineRule="auto"/>
                    <w:ind w:left="256"/>
                    <w:rPr>
                      <w:sz w:val="14"/>
                      <w:szCs w:val="14"/>
                    </w:rPr>
                  </w:pPr>
                  <w:r>
                    <w:rPr>
                      <w:spacing w:val="7"/>
                      <w:sz w:val="14"/>
                      <w:szCs w:val="14"/>
                    </w:rPr>
                    <w:t>冲洗水</w:t>
                  </w:r>
                </w:p>
              </w:tc>
              <w:tc>
                <w:tcPr>
                  <w:tcW w:w="396" w:type="dxa"/>
                  <w:vAlign w:val="top"/>
                </w:tcPr>
                <w:p w14:paraId="04A13EE0">
                  <w:pPr>
                    <w:spacing w:line="454" w:lineRule="auto"/>
                    <w:rPr>
                      <w:rFonts w:ascii="Arial"/>
                      <w:sz w:val="21"/>
                    </w:rPr>
                  </w:pPr>
                </w:p>
                <w:p w14:paraId="39B898BA">
                  <w:pPr>
                    <w:spacing w:before="40" w:line="198" w:lineRule="auto"/>
                    <w:ind w:left="12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SS</w:t>
                  </w:r>
                </w:p>
              </w:tc>
              <w:tc>
                <w:tcPr>
                  <w:tcW w:w="504" w:type="dxa"/>
                  <w:vAlign w:val="top"/>
                </w:tcPr>
                <w:p w14:paraId="3226D8A8">
                  <w:pPr>
                    <w:spacing w:line="424" w:lineRule="auto"/>
                    <w:rPr>
                      <w:rFonts w:ascii="Arial"/>
                      <w:sz w:val="21"/>
                    </w:rPr>
                  </w:pPr>
                </w:p>
                <w:p w14:paraId="41CADA01">
                  <w:pPr>
                    <w:pStyle w:val="6"/>
                    <w:spacing w:before="45" w:line="231" w:lineRule="auto"/>
                    <w:ind w:left="33"/>
                    <w:rPr>
                      <w:sz w:val="14"/>
                      <w:szCs w:val="14"/>
                    </w:rPr>
                  </w:pPr>
                  <w:r>
                    <w:rPr>
                      <w:spacing w:val="6"/>
                      <w:sz w:val="14"/>
                      <w:szCs w:val="14"/>
                    </w:rPr>
                    <w:t>系数法</w:t>
                  </w:r>
                </w:p>
              </w:tc>
              <w:tc>
                <w:tcPr>
                  <w:tcW w:w="573" w:type="dxa"/>
                  <w:vAlign w:val="top"/>
                </w:tcPr>
                <w:p w14:paraId="387F4626">
                  <w:pPr>
                    <w:spacing w:line="454" w:lineRule="auto"/>
                    <w:rPr>
                      <w:rFonts w:ascii="Arial"/>
                      <w:sz w:val="21"/>
                    </w:rPr>
                  </w:pPr>
                </w:p>
                <w:p w14:paraId="3E76E4D2">
                  <w:pPr>
                    <w:spacing w:before="40" w:line="198" w:lineRule="auto"/>
                    <w:ind w:left="4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23056.8</w:t>
                  </w:r>
                </w:p>
              </w:tc>
              <w:tc>
                <w:tcPr>
                  <w:tcW w:w="667" w:type="dxa"/>
                  <w:vAlign w:val="top"/>
                </w:tcPr>
                <w:p w14:paraId="42458455">
                  <w:pPr>
                    <w:spacing w:line="451" w:lineRule="auto"/>
                    <w:rPr>
                      <w:rFonts w:ascii="Arial"/>
                      <w:sz w:val="21"/>
                    </w:rPr>
                  </w:pPr>
                </w:p>
                <w:p w14:paraId="303F35A0">
                  <w:pPr>
                    <w:spacing w:before="41" w:line="202" w:lineRule="auto"/>
                    <w:ind w:left="3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83" w:type="dxa"/>
                  <w:vAlign w:val="top"/>
                </w:tcPr>
                <w:p w14:paraId="2E47E814">
                  <w:pPr>
                    <w:spacing w:line="451" w:lineRule="auto"/>
                    <w:rPr>
                      <w:rFonts w:ascii="Arial"/>
                      <w:sz w:val="21"/>
                    </w:rPr>
                  </w:pPr>
                </w:p>
                <w:p w14:paraId="517353CD">
                  <w:pPr>
                    <w:spacing w:before="41" w:line="202" w:lineRule="auto"/>
                    <w:ind w:left="26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0" w:type="dxa"/>
                  <w:vAlign w:val="top"/>
                </w:tcPr>
                <w:p w14:paraId="3DD44C56">
                  <w:pPr>
                    <w:spacing w:line="451" w:lineRule="auto"/>
                    <w:rPr>
                      <w:rFonts w:ascii="Arial"/>
                      <w:sz w:val="21"/>
                    </w:rPr>
                  </w:pPr>
                </w:p>
                <w:p w14:paraId="54FF0530">
                  <w:pPr>
                    <w:spacing w:before="41" w:line="202" w:lineRule="auto"/>
                    <w:ind w:left="21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17C1D4B1">
                  <w:pPr>
                    <w:spacing w:line="451" w:lineRule="auto"/>
                    <w:rPr>
                      <w:rFonts w:ascii="Arial"/>
                      <w:sz w:val="21"/>
                    </w:rPr>
                  </w:pPr>
                </w:p>
                <w:p w14:paraId="5CEC8FD4">
                  <w:pPr>
                    <w:spacing w:before="41"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Align w:val="top"/>
                </w:tcPr>
                <w:p w14:paraId="0AC61752">
                  <w:pPr>
                    <w:spacing w:line="451" w:lineRule="auto"/>
                    <w:rPr>
                      <w:rFonts w:ascii="Arial"/>
                      <w:sz w:val="21"/>
                    </w:rPr>
                  </w:pPr>
                </w:p>
                <w:p w14:paraId="7FB7C630">
                  <w:pPr>
                    <w:spacing w:before="41"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Align w:val="top"/>
                </w:tcPr>
                <w:p w14:paraId="1A9D2657">
                  <w:pPr>
                    <w:spacing w:line="451" w:lineRule="auto"/>
                    <w:rPr>
                      <w:rFonts w:ascii="Arial"/>
                      <w:sz w:val="21"/>
                    </w:rPr>
                  </w:pPr>
                </w:p>
                <w:p w14:paraId="051011F9">
                  <w:pPr>
                    <w:spacing w:before="41" w:line="202" w:lineRule="auto"/>
                    <w:ind w:left="24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708" w:type="dxa"/>
                  <w:vAlign w:val="top"/>
                </w:tcPr>
                <w:p w14:paraId="342C26D4">
                  <w:pPr>
                    <w:spacing w:line="451" w:lineRule="auto"/>
                    <w:rPr>
                      <w:rFonts w:ascii="Arial"/>
                      <w:sz w:val="21"/>
                    </w:rPr>
                  </w:pPr>
                </w:p>
                <w:p w14:paraId="1A00A97A">
                  <w:pPr>
                    <w:spacing w:before="41"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4" w:type="dxa"/>
                  <w:vAlign w:val="top"/>
                </w:tcPr>
                <w:p w14:paraId="03A0D910">
                  <w:pPr>
                    <w:spacing w:line="451" w:lineRule="auto"/>
                    <w:rPr>
                      <w:rFonts w:ascii="Arial"/>
                      <w:sz w:val="21"/>
                    </w:rPr>
                  </w:pPr>
                </w:p>
                <w:p w14:paraId="5FA0F487">
                  <w:pPr>
                    <w:spacing w:before="41" w:line="202" w:lineRule="auto"/>
                    <w:ind w:left="2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1" w:type="dxa"/>
                  <w:vAlign w:val="top"/>
                </w:tcPr>
                <w:p w14:paraId="4C5C76DC">
                  <w:pPr>
                    <w:spacing w:line="451" w:lineRule="auto"/>
                    <w:rPr>
                      <w:rFonts w:ascii="Arial"/>
                      <w:sz w:val="21"/>
                    </w:rPr>
                  </w:pPr>
                </w:p>
                <w:p w14:paraId="4666F5DA">
                  <w:pPr>
                    <w:spacing w:before="41"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CE01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40" w:type="dxa"/>
                  <w:vMerge w:val="restart"/>
                  <w:tcBorders>
                    <w:bottom w:val="nil"/>
                  </w:tcBorders>
                  <w:vAlign w:val="top"/>
                </w:tcPr>
                <w:p w14:paraId="4914F2B6">
                  <w:pPr>
                    <w:pStyle w:val="6"/>
                    <w:spacing w:before="96" w:line="244" w:lineRule="auto"/>
                    <w:ind w:left="124" w:right="119" w:firstLine="1"/>
                    <w:rPr>
                      <w:sz w:val="14"/>
                      <w:szCs w:val="14"/>
                    </w:rPr>
                  </w:pPr>
                  <w:r>
                    <w:rPr>
                      <w:spacing w:val="4"/>
                      <w:sz w:val="14"/>
                      <w:szCs w:val="14"/>
                    </w:rPr>
                    <w:t>办公</w:t>
                  </w:r>
                  <w:r>
                    <w:rPr>
                      <w:sz w:val="14"/>
                      <w:szCs w:val="14"/>
                    </w:rPr>
                    <w:t xml:space="preserve"> </w:t>
                  </w:r>
                  <w:r>
                    <w:rPr>
                      <w:spacing w:val="5"/>
                      <w:sz w:val="14"/>
                      <w:szCs w:val="14"/>
                    </w:rPr>
                    <w:t>生活</w:t>
                  </w:r>
                </w:p>
              </w:tc>
              <w:tc>
                <w:tcPr>
                  <w:tcW w:w="960" w:type="dxa"/>
                  <w:vMerge w:val="restart"/>
                  <w:tcBorders>
                    <w:bottom w:val="nil"/>
                  </w:tcBorders>
                  <w:vAlign w:val="top"/>
                </w:tcPr>
                <w:p w14:paraId="640AFA86">
                  <w:pPr>
                    <w:pStyle w:val="6"/>
                    <w:spacing w:before="194" w:line="231" w:lineRule="auto"/>
                    <w:ind w:left="182"/>
                    <w:rPr>
                      <w:sz w:val="14"/>
                      <w:szCs w:val="14"/>
                    </w:rPr>
                  </w:pPr>
                  <w:r>
                    <w:rPr>
                      <w:spacing w:val="7"/>
                      <w:sz w:val="14"/>
                      <w:szCs w:val="14"/>
                    </w:rPr>
                    <w:t>生活污水</w:t>
                  </w:r>
                </w:p>
              </w:tc>
              <w:tc>
                <w:tcPr>
                  <w:tcW w:w="396" w:type="dxa"/>
                  <w:vAlign w:val="top"/>
                </w:tcPr>
                <w:p w14:paraId="6E17C8A1">
                  <w:pPr>
                    <w:spacing w:before="109" w:line="198" w:lineRule="auto"/>
                    <w:ind w:left="4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COD</w:t>
                  </w:r>
                </w:p>
              </w:tc>
              <w:tc>
                <w:tcPr>
                  <w:tcW w:w="504" w:type="dxa"/>
                  <w:vMerge w:val="restart"/>
                  <w:tcBorders>
                    <w:bottom w:val="nil"/>
                  </w:tcBorders>
                  <w:vAlign w:val="top"/>
                </w:tcPr>
                <w:p w14:paraId="00E71B5F">
                  <w:pPr>
                    <w:pStyle w:val="6"/>
                    <w:spacing w:before="194" w:line="231" w:lineRule="auto"/>
                    <w:ind w:left="33"/>
                    <w:rPr>
                      <w:sz w:val="14"/>
                      <w:szCs w:val="14"/>
                    </w:rPr>
                  </w:pPr>
                  <w:r>
                    <w:rPr>
                      <w:spacing w:val="6"/>
                      <w:sz w:val="14"/>
                      <w:szCs w:val="14"/>
                    </w:rPr>
                    <w:t>系数法</w:t>
                  </w:r>
                </w:p>
              </w:tc>
              <w:tc>
                <w:tcPr>
                  <w:tcW w:w="573" w:type="dxa"/>
                  <w:vMerge w:val="restart"/>
                  <w:tcBorders>
                    <w:bottom w:val="nil"/>
                  </w:tcBorders>
                  <w:vAlign w:val="top"/>
                </w:tcPr>
                <w:p w14:paraId="5FAEB3C7">
                  <w:pPr>
                    <w:spacing w:before="219" w:line="198" w:lineRule="auto"/>
                    <w:ind w:left="17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702</w:t>
                  </w:r>
                </w:p>
              </w:tc>
              <w:tc>
                <w:tcPr>
                  <w:tcW w:w="667" w:type="dxa"/>
                  <w:vAlign w:val="top"/>
                </w:tcPr>
                <w:p w14:paraId="7116FE34">
                  <w:pPr>
                    <w:spacing w:before="109" w:line="198" w:lineRule="auto"/>
                    <w:ind w:left="219"/>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450</w:t>
                  </w:r>
                </w:p>
              </w:tc>
              <w:tc>
                <w:tcPr>
                  <w:tcW w:w="583" w:type="dxa"/>
                  <w:vAlign w:val="top"/>
                </w:tcPr>
                <w:p w14:paraId="63DD2EB7">
                  <w:pPr>
                    <w:spacing w:before="109" w:line="198" w:lineRule="auto"/>
                    <w:ind w:left="12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0.316</w:t>
                  </w:r>
                </w:p>
              </w:tc>
              <w:tc>
                <w:tcPr>
                  <w:tcW w:w="480" w:type="dxa"/>
                  <w:vMerge w:val="restart"/>
                  <w:tcBorders>
                    <w:bottom w:val="nil"/>
                  </w:tcBorders>
                  <w:vAlign w:val="top"/>
                </w:tcPr>
                <w:p w14:paraId="32BC2C71">
                  <w:pPr>
                    <w:pStyle w:val="6"/>
                    <w:spacing w:before="88" w:line="288" w:lineRule="auto"/>
                    <w:ind w:left="96" w:right="87" w:hanging="2"/>
                    <w:rPr>
                      <w:sz w:val="14"/>
                      <w:szCs w:val="14"/>
                    </w:rPr>
                  </w:pPr>
                  <w:r>
                    <w:rPr>
                      <w:spacing w:val="6"/>
                      <w:sz w:val="14"/>
                      <w:szCs w:val="14"/>
                    </w:rPr>
                    <w:t>厌氧</w:t>
                  </w:r>
                  <w:r>
                    <w:rPr>
                      <w:sz w:val="14"/>
                      <w:szCs w:val="14"/>
                    </w:rPr>
                    <w:t xml:space="preserve"> </w:t>
                  </w:r>
                  <w:r>
                    <w:rPr>
                      <w:spacing w:val="5"/>
                      <w:sz w:val="14"/>
                      <w:szCs w:val="14"/>
                    </w:rPr>
                    <w:t>处理</w:t>
                  </w:r>
                </w:p>
              </w:tc>
              <w:tc>
                <w:tcPr>
                  <w:tcW w:w="426" w:type="dxa"/>
                  <w:vMerge w:val="restart"/>
                  <w:tcBorders>
                    <w:bottom w:val="nil"/>
                  </w:tcBorders>
                  <w:vAlign w:val="top"/>
                </w:tcPr>
                <w:p w14:paraId="09A7CA35">
                  <w:pPr>
                    <w:spacing w:before="241"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Merge w:val="restart"/>
                  <w:tcBorders>
                    <w:bottom w:val="nil"/>
                  </w:tcBorders>
                  <w:vAlign w:val="top"/>
                </w:tcPr>
                <w:p w14:paraId="449A492C">
                  <w:pPr>
                    <w:spacing w:before="241"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Merge w:val="restart"/>
                  <w:tcBorders>
                    <w:bottom w:val="nil"/>
                  </w:tcBorders>
                  <w:vAlign w:val="top"/>
                </w:tcPr>
                <w:p w14:paraId="3F25B390">
                  <w:pPr>
                    <w:spacing w:before="243" w:line="198" w:lineRule="auto"/>
                    <w:ind w:left="156"/>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702</w:t>
                  </w:r>
                </w:p>
              </w:tc>
              <w:tc>
                <w:tcPr>
                  <w:tcW w:w="708" w:type="dxa"/>
                  <w:vAlign w:val="top"/>
                </w:tcPr>
                <w:p w14:paraId="71896297">
                  <w:pPr>
                    <w:spacing w:before="109" w:line="198" w:lineRule="auto"/>
                    <w:ind w:left="245"/>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350</w:t>
                  </w:r>
                </w:p>
              </w:tc>
              <w:tc>
                <w:tcPr>
                  <w:tcW w:w="574" w:type="dxa"/>
                  <w:vAlign w:val="top"/>
                </w:tcPr>
                <w:p w14:paraId="741D3259">
                  <w:pPr>
                    <w:spacing w:before="109" w:line="198" w:lineRule="auto"/>
                    <w:ind w:left="120"/>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0.246</w:t>
                  </w:r>
                </w:p>
              </w:tc>
              <w:tc>
                <w:tcPr>
                  <w:tcW w:w="571" w:type="dxa"/>
                  <w:vMerge w:val="restart"/>
                  <w:tcBorders>
                    <w:bottom w:val="nil"/>
                  </w:tcBorders>
                  <w:vAlign w:val="top"/>
                </w:tcPr>
                <w:p w14:paraId="66EEE917">
                  <w:pPr>
                    <w:spacing w:before="217"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7C49F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40" w:type="dxa"/>
                  <w:vMerge w:val="continue"/>
                  <w:tcBorders>
                    <w:top w:val="nil"/>
                  </w:tcBorders>
                  <w:vAlign w:val="top"/>
                </w:tcPr>
                <w:p w14:paraId="1465FFC0">
                  <w:pPr>
                    <w:rPr>
                      <w:rFonts w:ascii="Arial"/>
                      <w:sz w:val="21"/>
                    </w:rPr>
                  </w:pPr>
                </w:p>
              </w:tc>
              <w:tc>
                <w:tcPr>
                  <w:tcW w:w="960" w:type="dxa"/>
                  <w:vMerge w:val="continue"/>
                  <w:tcBorders>
                    <w:top w:val="nil"/>
                  </w:tcBorders>
                  <w:vAlign w:val="top"/>
                </w:tcPr>
                <w:p w14:paraId="10BC086A">
                  <w:pPr>
                    <w:rPr>
                      <w:rFonts w:ascii="Arial"/>
                      <w:sz w:val="21"/>
                    </w:rPr>
                  </w:pPr>
                </w:p>
              </w:tc>
              <w:tc>
                <w:tcPr>
                  <w:tcW w:w="396" w:type="dxa"/>
                  <w:vAlign w:val="top"/>
                </w:tcPr>
                <w:p w14:paraId="3FB56198">
                  <w:pPr>
                    <w:pStyle w:val="6"/>
                    <w:spacing w:before="82" w:line="227" w:lineRule="auto"/>
                    <w:ind w:left="49"/>
                    <w:rPr>
                      <w:sz w:val="14"/>
                      <w:szCs w:val="14"/>
                    </w:rPr>
                  </w:pPr>
                  <w:r>
                    <w:rPr>
                      <w:spacing w:val="5"/>
                      <w:sz w:val="14"/>
                      <w:szCs w:val="14"/>
                    </w:rPr>
                    <w:t>氨氮</w:t>
                  </w:r>
                </w:p>
              </w:tc>
              <w:tc>
                <w:tcPr>
                  <w:tcW w:w="504" w:type="dxa"/>
                  <w:vMerge w:val="continue"/>
                  <w:tcBorders>
                    <w:top w:val="nil"/>
                  </w:tcBorders>
                  <w:vAlign w:val="top"/>
                </w:tcPr>
                <w:p w14:paraId="680EC2C1">
                  <w:pPr>
                    <w:rPr>
                      <w:rFonts w:ascii="Arial"/>
                      <w:sz w:val="21"/>
                    </w:rPr>
                  </w:pPr>
                </w:p>
              </w:tc>
              <w:tc>
                <w:tcPr>
                  <w:tcW w:w="573" w:type="dxa"/>
                  <w:vMerge w:val="continue"/>
                  <w:tcBorders>
                    <w:top w:val="nil"/>
                  </w:tcBorders>
                  <w:vAlign w:val="top"/>
                </w:tcPr>
                <w:p w14:paraId="25B09965">
                  <w:pPr>
                    <w:rPr>
                      <w:rFonts w:ascii="Arial"/>
                      <w:sz w:val="21"/>
                    </w:rPr>
                  </w:pPr>
                </w:p>
              </w:tc>
              <w:tc>
                <w:tcPr>
                  <w:tcW w:w="667" w:type="dxa"/>
                  <w:vAlign w:val="top"/>
                </w:tcPr>
                <w:p w14:paraId="6B0EB690">
                  <w:pPr>
                    <w:spacing w:before="108" w:line="198" w:lineRule="auto"/>
                    <w:ind w:left="262"/>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583" w:type="dxa"/>
                  <w:vAlign w:val="top"/>
                </w:tcPr>
                <w:p w14:paraId="5F05A994">
                  <w:pPr>
                    <w:spacing w:before="108" w:line="198" w:lineRule="auto"/>
                    <w:ind w:left="85"/>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0.0351</w:t>
                  </w:r>
                </w:p>
              </w:tc>
              <w:tc>
                <w:tcPr>
                  <w:tcW w:w="480" w:type="dxa"/>
                  <w:vMerge w:val="continue"/>
                  <w:tcBorders>
                    <w:top w:val="nil"/>
                  </w:tcBorders>
                  <w:vAlign w:val="top"/>
                </w:tcPr>
                <w:p w14:paraId="1341F374">
                  <w:pPr>
                    <w:rPr>
                      <w:rFonts w:ascii="Arial"/>
                      <w:sz w:val="21"/>
                    </w:rPr>
                  </w:pPr>
                </w:p>
              </w:tc>
              <w:tc>
                <w:tcPr>
                  <w:tcW w:w="426" w:type="dxa"/>
                  <w:vMerge w:val="continue"/>
                  <w:tcBorders>
                    <w:top w:val="nil"/>
                  </w:tcBorders>
                  <w:vAlign w:val="top"/>
                </w:tcPr>
                <w:p w14:paraId="2B1A2502">
                  <w:pPr>
                    <w:rPr>
                      <w:rFonts w:ascii="Arial"/>
                      <w:sz w:val="21"/>
                    </w:rPr>
                  </w:pPr>
                </w:p>
              </w:tc>
              <w:tc>
                <w:tcPr>
                  <w:tcW w:w="425" w:type="dxa"/>
                  <w:vMerge w:val="continue"/>
                  <w:tcBorders>
                    <w:top w:val="nil"/>
                  </w:tcBorders>
                  <w:vAlign w:val="top"/>
                </w:tcPr>
                <w:p w14:paraId="5634A1C1">
                  <w:pPr>
                    <w:rPr>
                      <w:rFonts w:ascii="Arial"/>
                      <w:sz w:val="21"/>
                    </w:rPr>
                  </w:pPr>
                </w:p>
              </w:tc>
              <w:tc>
                <w:tcPr>
                  <w:tcW w:w="533" w:type="dxa"/>
                  <w:vMerge w:val="continue"/>
                  <w:tcBorders>
                    <w:top w:val="nil"/>
                  </w:tcBorders>
                  <w:vAlign w:val="top"/>
                </w:tcPr>
                <w:p w14:paraId="38387D5F">
                  <w:pPr>
                    <w:rPr>
                      <w:rFonts w:ascii="Arial"/>
                      <w:sz w:val="21"/>
                    </w:rPr>
                  </w:pPr>
                </w:p>
              </w:tc>
              <w:tc>
                <w:tcPr>
                  <w:tcW w:w="708" w:type="dxa"/>
                  <w:vAlign w:val="top"/>
                </w:tcPr>
                <w:p w14:paraId="6BFBFAEE">
                  <w:pPr>
                    <w:spacing w:before="108" w:line="198" w:lineRule="auto"/>
                    <w:ind w:left="2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35</w:t>
                  </w:r>
                </w:p>
              </w:tc>
              <w:tc>
                <w:tcPr>
                  <w:tcW w:w="574" w:type="dxa"/>
                  <w:vAlign w:val="top"/>
                </w:tcPr>
                <w:p w14:paraId="1F533517">
                  <w:pPr>
                    <w:spacing w:before="108" w:line="198" w:lineRule="auto"/>
                    <w:ind w:left="8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0.0246</w:t>
                  </w:r>
                </w:p>
              </w:tc>
              <w:tc>
                <w:tcPr>
                  <w:tcW w:w="571" w:type="dxa"/>
                  <w:vMerge w:val="continue"/>
                  <w:tcBorders>
                    <w:top w:val="nil"/>
                  </w:tcBorders>
                  <w:vAlign w:val="top"/>
                </w:tcPr>
                <w:p w14:paraId="4A237AA2">
                  <w:pPr>
                    <w:rPr>
                      <w:rFonts w:ascii="Arial"/>
                      <w:sz w:val="21"/>
                    </w:rPr>
                  </w:pPr>
                </w:p>
              </w:tc>
            </w:tr>
            <w:tr w14:paraId="782F5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40" w:type="dxa"/>
                  <w:vAlign w:val="top"/>
                </w:tcPr>
                <w:p w14:paraId="6838AEB3">
                  <w:pPr>
                    <w:pStyle w:val="6"/>
                    <w:spacing w:before="26" w:line="235" w:lineRule="auto"/>
                    <w:ind w:left="123" w:right="119" w:firstLine="1"/>
                    <w:rPr>
                      <w:sz w:val="14"/>
                      <w:szCs w:val="14"/>
                    </w:rPr>
                  </w:pPr>
                  <w:r>
                    <w:rPr>
                      <w:spacing w:val="5"/>
                      <w:sz w:val="14"/>
                      <w:szCs w:val="14"/>
                    </w:rPr>
                    <w:t>备用</w:t>
                  </w:r>
                  <w:r>
                    <w:rPr>
                      <w:sz w:val="14"/>
                      <w:szCs w:val="14"/>
                    </w:rPr>
                    <w:t xml:space="preserve"> </w:t>
                  </w:r>
                  <w:r>
                    <w:rPr>
                      <w:spacing w:val="5"/>
                      <w:sz w:val="14"/>
                      <w:szCs w:val="14"/>
                    </w:rPr>
                    <w:t>锅炉</w:t>
                  </w:r>
                </w:p>
              </w:tc>
              <w:tc>
                <w:tcPr>
                  <w:tcW w:w="960" w:type="dxa"/>
                  <w:vAlign w:val="top"/>
                </w:tcPr>
                <w:p w14:paraId="74A79A06">
                  <w:pPr>
                    <w:pStyle w:val="6"/>
                    <w:spacing w:before="26" w:line="235" w:lineRule="auto"/>
                    <w:ind w:left="44" w:hanging="44"/>
                    <w:rPr>
                      <w:sz w:val="14"/>
                      <w:szCs w:val="14"/>
                    </w:rPr>
                  </w:pPr>
                  <w:r>
                    <w:rPr>
                      <w:spacing w:val="-4"/>
                      <w:sz w:val="14"/>
                      <w:szCs w:val="14"/>
                    </w:rPr>
                    <w:t>锅炉排水、软水</w:t>
                  </w:r>
                  <w:r>
                    <w:rPr>
                      <w:spacing w:val="2"/>
                      <w:sz w:val="14"/>
                      <w:szCs w:val="14"/>
                    </w:rPr>
                    <w:t xml:space="preserve"> </w:t>
                  </w:r>
                  <w:r>
                    <w:rPr>
                      <w:spacing w:val="5"/>
                      <w:sz w:val="14"/>
                      <w:szCs w:val="14"/>
                    </w:rPr>
                    <w:t>设备再生废水</w:t>
                  </w:r>
                </w:p>
              </w:tc>
              <w:tc>
                <w:tcPr>
                  <w:tcW w:w="396" w:type="dxa"/>
                  <w:vAlign w:val="top"/>
                </w:tcPr>
                <w:p w14:paraId="5154B8A0">
                  <w:pPr>
                    <w:spacing w:before="171" w:line="202" w:lineRule="auto"/>
                    <w:ind w:left="17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04" w:type="dxa"/>
                  <w:vAlign w:val="top"/>
                </w:tcPr>
                <w:p w14:paraId="1D3C9948">
                  <w:pPr>
                    <w:pStyle w:val="6"/>
                    <w:spacing w:before="124" w:line="231" w:lineRule="auto"/>
                    <w:ind w:left="33"/>
                    <w:rPr>
                      <w:sz w:val="14"/>
                      <w:szCs w:val="14"/>
                    </w:rPr>
                  </w:pPr>
                  <w:r>
                    <w:rPr>
                      <w:spacing w:val="6"/>
                      <w:sz w:val="14"/>
                      <w:szCs w:val="14"/>
                    </w:rPr>
                    <w:t>系数法</w:t>
                  </w:r>
                </w:p>
              </w:tc>
              <w:tc>
                <w:tcPr>
                  <w:tcW w:w="573" w:type="dxa"/>
                  <w:vAlign w:val="top"/>
                </w:tcPr>
                <w:p w14:paraId="255CBF2A">
                  <w:pPr>
                    <w:spacing w:before="150" w:line="198" w:lineRule="auto"/>
                    <w:ind w:left="15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21.3</w:t>
                  </w:r>
                </w:p>
              </w:tc>
              <w:tc>
                <w:tcPr>
                  <w:tcW w:w="667" w:type="dxa"/>
                  <w:vAlign w:val="top"/>
                </w:tcPr>
                <w:p w14:paraId="7DFFBBF5">
                  <w:pPr>
                    <w:spacing w:before="171" w:line="202" w:lineRule="auto"/>
                    <w:ind w:left="3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83" w:type="dxa"/>
                  <w:vAlign w:val="top"/>
                </w:tcPr>
                <w:p w14:paraId="31016C5E">
                  <w:pPr>
                    <w:spacing w:before="171" w:line="202" w:lineRule="auto"/>
                    <w:ind w:left="26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0" w:type="dxa"/>
                  <w:vAlign w:val="top"/>
                </w:tcPr>
                <w:p w14:paraId="54FAAAC4">
                  <w:pPr>
                    <w:spacing w:before="171" w:line="202" w:lineRule="auto"/>
                    <w:ind w:left="21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29583386">
                  <w:pPr>
                    <w:spacing w:before="171"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Align w:val="top"/>
                </w:tcPr>
                <w:p w14:paraId="5C338AAC">
                  <w:pPr>
                    <w:spacing w:before="171"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Align w:val="top"/>
                </w:tcPr>
                <w:p w14:paraId="288FD6D7">
                  <w:pPr>
                    <w:spacing w:before="174" w:line="198" w:lineRule="auto"/>
                    <w:ind w:left="135"/>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21.3</w:t>
                  </w:r>
                </w:p>
              </w:tc>
              <w:tc>
                <w:tcPr>
                  <w:tcW w:w="708" w:type="dxa"/>
                  <w:vAlign w:val="top"/>
                </w:tcPr>
                <w:p w14:paraId="2E39A821">
                  <w:pPr>
                    <w:spacing w:before="171"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4" w:type="dxa"/>
                  <w:vAlign w:val="top"/>
                </w:tcPr>
                <w:p w14:paraId="6FB08EB2">
                  <w:pPr>
                    <w:spacing w:before="171" w:line="202" w:lineRule="auto"/>
                    <w:ind w:left="2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1" w:type="dxa"/>
                  <w:vAlign w:val="top"/>
                </w:tcPr>
                <w:p w14:paraId="50604C1B">
                  <w:pPr>
                    <w:spacing w:before="147"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36F9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40" w:type="dxa"/>
                  <w:vAlign w:val="top"/>
                </w:tcPr>
                <w:p w14:paraId="77A1696C">
                  <w:pPr>
                    <w:pStyle w:val="6"/>
                    <w:spacing w:before="27" w:line="238" w:lineRule="auto"/>
                    <w:ind w:left="197" w:right="42" w:hanging="147"/>
                    <w:rPr>
                      <w:sz w:val="14"/>
                      <w:szCs w:val="14"/>
                    </w:rPr>
                  </w:pPr>
                  <w:r>
                    <w:rPr>
                      <w:spacing w:val="7"/>
                      <w:sz w:val="14"/>
                      <w:szCs w:val="14"/>
                    </w:rPr>
                    <w:t>车辆冲</w:t>
                  </w:r>
                  <w:r>
                    <w:rPr>
                      <w:sz w:val="14"/>
                      <w:szCs w:val="14"/>
                    </w:rPr>
                    <w:t xml:space="preserve"> </w:t>
                  </w:r>
                  <w:r>
                    <w:rPr>
                      <w:spacing w:val="3"/>
                      <w:sz w:val="14"/>
                      <w:szCs w:val="14"/>
                    </w:rPr>
                    <w:t>洗</w:t>
                  </w:r>
                </w:p>
              </w:tc>
              <w:tc>
                <w:tcPr>
                  <w:tcW w:w="960" w:type="dxa"/>
                  <w:vAlign w:val="top"/>
                </w:tcPr>
                <w:p w14:paraId="68A3F401">
                  <w:pPr>
                    <w:pStyle w:val="6"/>
                    <w:spacing w:before="125" w:line="231" w:lineRule="auto"/>
                    <w:ind w:left="182"/>
                    <w:rPr>
                      <w:sz w:val="14"/>
                      <w:szCs w:val="14"/>
                    </w:rPr>
                  </w:pPr>
                  <w:r>
                    <w:rPr>
                      <w:spacing w:val="7"/>
                      <w:sz w:val="14"/>
                      <w:szCs w:val="14"/>
                    </w:rPr>
                    <w:t>冲洗废水</w:t>
                  </w:r>
                </w:p>
              </w:tc>
              <w:tc>
                <w:tcPr>
                  <w:tcW w:w="396" w:type="dxa"/>
                  <w:vAlign w:val="top"/>
                </w:tcPr>
                <w:p w14:paraId="1815FCCA">
                  <w:pPr>
                    <w:spacing w:before="174" w:line="198" w:lineRule="auto"/>
                    <w:ind w:left="12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SS</w:t>
                  </w:r>
                </w:p>
              </w:tc>
              <w:tc>
                <w:tcPr>
                  <w:tcW w:w="504" w:type="dxa"/>
                  <w:vAlign w:val="top"/>
                </w:tcPr>
                <w:p w14:paraId="4B6A8941">
                  <w:pPr>
                    <w:pStyle w:val="6"/>
                    <w:spacing w:before="125" w:line="231" w:lineRule="auto"/>
                    <w:ind w:left="33"/>
                    <w:rPr>
                      <w:sz w:val="14"/>
                      <w:szCs w:val="14"/>
                    </w:rPr>
                  </w:pPr>
                  <w:r>
                    <w:rPr>
                      <w:spacing w:val="6"/>
                      <w:sz w:val="14"/>
                      <w:szCs w:val="14"/>
                    </w:rPr>
                    <w:t>系数法</w:t>
                  </w:r>
                </w:p>
              </w:tc>
              <w:tc>
                <w:tcPr>
                  <w:tcW w:w="573" w:type="dxa"/>
                  <w:vAlign w:val="top"/>
                </w:tcPr>
                <w:p w14:paraId="00B9B0A5">
                  <w:pPr>
                    <w:spacing w:before="150" w:line="198" w:lineRule="auto"/>
                    <w:ind w:left="149"/>
                    <w:rPr>
                      <w:rFonts w:ascii="Times New Roman" w:hAnsi="Times New Roman" w:eastAsia="Times New Roman" w:cs="Times New Roman"/>
                      <w:sz w:val="14"/>
                      <w:szCs w:val="14"/>
                    </w:rPr>
                  </w:pPr>
                  <w:r>
                    <w:rPr>
                      <w:rFonts w:ascii="Times New Roman" w:hAnsi="Times New Roman" w:eastAsia="Times New Roman" w:cs="Times New Roman"/>
                      <w:sz w:val="14"/>
                      <w:szCs w:val="14"/>
                    </w:rPr>
                    <w:t>1836</w:t>
                  </w:r>
                </w:p>
              </w:tc>
              <w:tc>
                <w:tcPr>
                  <w:tcW w:w="667" w:type="dxa"/>
                  <w:vAlign w:val="top"/>
                </w:tcPr>
                <w:p w14:paraId="414A666E">
                  <w:pPr>
                    <w:spacing w:before="171" w:line="202" w:lineRule="auto"/>
                    <w:ind w:left="3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83" w:type="dxa"/>
                  <w:vAlign w:val="top"/>
                </w:tcPr>
                <w:p w14:paraId="5CF63CC2">
                  <w:pPr>
                    <w:spacing w:before="171" w:line="202" w:lineRule="auto"/>
                    <w:ind w:left="26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0" w:type="dxa"/>
                  <w:vAlign w:val="top"/>
                </w:tcPr>
                <w:p w14:paraId="0CB9ED2F">
                  <w:pPr>
                    <w:spacing w:before="171" w:line="202" w:lineRule="auto"/>
                    <w:ind w:left="21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43671A19">
                  <w:pPr>
                    <w:spacing w:before="171"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Align w:val="top"/>
                </w:tcPr>
                <w:p w14:paraId="6F11E67F">
                  <w:pPr>
                    <w:spacing w:before="171"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Align w:val="top"/>
                </w:tcPr>
                <w:p w14:paraId="094FCA9F">
                  <w:pPr>
                    <w:spacing w:before="171" w:line="202" w:lineRule="auto"/>
                    <w:ind w:left="24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708" w:type="dxa"/>
                  <w:vAlign w:val="top"/>
                </w:tcPr>
                <w:p w14:paraId="44983AA0">
                  <w:pPr>
                    <w:spacing w:before="171"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4" w:type="dxa"/>
                  <w:vAlign w:val="top"/>
                </w:tcPr>
                <w:p w14:paraId="6841C23D">
                  <w:pPr>
                    <w:spacing w:before="171" w:line="202" w:lineRule="auto"/>
                    <w:ind w:left="2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1" w:type="dxa"/>
                  <w:vAlign w:val="top"/>
                </w:tcPr>
                <w:p w14:paraId="616BFEC0">
                  <w:pPr>
                    <w:spacing w:before="171"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bl>
          <w:p w14:paraId="4CB105B9">
            <w:pPr>
              <w:spacing w:before="102" w:line="221" w:lineRule="auto"/>
              <w:ind w:left="21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4-7    </w:t>
            </w:r>
            <w:r>
              <w:rPr>
                <w:rFonts w:ascii="黑体" w:hAnsi="黑体" w:eastAsia="黑体" w:cs="黑体"/>
                <w:spacing w:val="-1"/>
                <w:sz w:val="18"/>
                <w:szCs w:val="18"/>
              </w:rPr>
              <w:t>废水类别、污染物及污染治理设施信息表</w:t>
            </w:r>
          </w:p>
          <w:p w14:paraId="2A53340C">
            <w:pPr>
              <w:spacing w:line="30" w:lineRule="auto"/>
              <w:rPr>
                <w:rFonts w:ascii="Arial"/>
                <w:sz w:val="2"/>
              </w:rPr>
            </w:pPr>
          </w:p>
          <w:tbl>
            <w:tblPr>
              <w:tblStyle w:val="5"/>
              <w:tblW w:w="7960"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749"/>
              <w:gridCol w:w="634"/>
              <w:gridCol w:w="607"/>
              <w:gridCol w:w="810"/>
              <w:gridCol w:w="749"/>
              <w:gridCol w:w="899"/>
              <w:gridCol w:w="662"/>
              <w:gridCol w:w="586"/>
              <w:gridCol w:w="723"/>
              <w:gridCol w:w="514"/>
            </w:tblGrid>
            <w:tr w14:paraId="7FE6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27" w:type="dxa"/>
                  <w:vMerge w:val="restart"/>
                  <w:tcBorders>
                    <w:bottom w:val="nil"/>
                  </w:tcBorders>
                  <w:vAlign w:val="top"/>
                </w:tcPr>
                <w:p w14:paraId="4CE80DF1">
                  <w:pPr>
                    <w:spacing w:line="416" w:lineRule="auto"/>
                    <w:rPr>
                      <w:rFonts w:ascii="Arial"/>
                      <w:sz w:val="21"/>
                    </w:rPr>
                  </w:pPr>
                </w:p>
                <w:p w14:paraId="5BE0C590">
                  <w:pPr>
                    <w:pStyle w:val="6"/>
                    <w:spacing w:before="52" w:line="220" w:lineRule="auto"/>
                    <w:ind w:left="191"/>
                    <w:rPr>
                      <w:sz w:val="16"/>
                      <w:szCs w:val="16"/>
                    </w:rPr>
                  </w:pPr>
                  <w:r>
                    <w:rPr>
                      <w:b/>
                      <w:bCs/>
                      <w:spacing w:val="-3"/>
                      <w:sz w:val="16"/>
                      <w:szCs w:val="16"/>
                    </w:rPr>
                    <w:t>废水类别</w:t>
                  </w:r>
                </w:p>
              </w:tc>
              <w:tc>
                <w:tcPr>
                  <w:tcW w:w="749" w:type="dxa"/>
                  <w:vMerge w:val="restart"/>
                  <w:tcBorders>
                    <w:bottom w:val="nil"/>
                  </w:tcBorders>
                  <w:vAlign w:val="top"/>
                </w:tcPr>
                <w:p w14:paraId="33FDEFB8">
                  <w:pPr>
                    <w:spacing w:line="285" w:lineRule="auto"/>
                    <w:rPr>
                      <w:rFonts w:ascii="Arial"/>
                      <w:sz w:val="21"/>
                    </w:rPr>
                  </w:pPr>
                </w:p>
                <w:p w14:paraId="7B0E7F45">
                  <w:pPr>
                    <w:pStyle w:val="6"/>
                    <w:spacing w:before="52" w:line="288" w:lineRule="auto"/>
                    <w:ind w:left="213" w:right="135" w:hanging="80"/>
                    <w:rPr>
                      <w:sz w:val="16"/>
                      <w:szCs w:val="16"/>
                    </w:rPr>
                  </w:pPr>
                  <w:r>
                    <w:rPr>
                      <w:b/>
                      <w:bCs/>
                      <w:spacing w:val="-4"/>
                      <w:sz w:val="16"/>
                      <w:szCs w:val="16"/>
                    </w:rPr>
                    <w:t>污染物</w:t>
                  </w:r>
                  <w:r>
                    <w:rPr>
                      <w:sz w:val="16"/>
                      <w:szCs w:val="16"/>
                    </w:rPr>
                    <w:t xml:space="preserve"> </w:t>
                  </w:r>
                  <w:r>
                    <w:rPr>
                      <w:b/>
                      <w:bCs/>
                      <w:spacing w:val="-4"/>
                      <w:sz w:val="16"/>
                      <w:szCs w:val="16"/>
                    </w:rPr>
                    <w:t>种类</w:t>
                  </w:r>
                </w:p>
              </w:tc>
              <w:tc>
                <w:tcPr>
                  <w:tcW w:w="634" w:type="dxa"/>
                  <w:vMerge w:val="restart"/>
                  <w:tcBorders>
                    <w:bottom w:val="nil"/>
                  </w:tcBorders>
                  <w:vAlign w:val="top"/>
                </w:tcPr>
                <w:p w14:paraId="00D138E4">
                  <w:pPr>
                    <w:spacing w:line="285" w:lineRule="auto"/>
                    <w:rPr>
                      <w:rFonts w:ascii="Arial"/>
                      <w:sz w:val="21"/>
                    </w:rPr>
                  </w:pPr>
                </w:p>
                <w:p w14:paraId="6A5C66B4">
                  <w:pPr>
                    <w:pStyle w:val="6"/>
                    <w:spacing w:before="52" w:line="289" w:lineRule="auto"/>
                    <w:ind w:left="253" w:right="76" w:hanging="177"/>
                    <w:rPr>
                      <w:sz w:val="16"/>
                      <w:szCs w:val="16"/>
                    </w:rPr>
                  </w:pPr>
                  <w:r>
                    <w:rPr>
                      <w:b/>
                      <w:bCs/>
                      <w:spacing w:val="-3"/>
                      <w:sz w:val="16"/>
                      <w:szCs w:val="16"/>
                    </w:rPr>
                    <w:t>排放去</w:t>
                  </w:r>
                  <w:r>
                    <w:rPr>
                      <w:sz w:val="16"/>
                      <w:szCs w:val="16"/>
                    </w:rPr>
                    <w:t xml:space="preserve"> </w:t>
                  </w:r>
                  <w:r>
                    <w:rPr>
                      <w:b/>
                      <w:bCs/>
                      <w:spacing w:val="-2"/>
                      <w:sz w:val="16"/>
                      <w:szCs w:val="16"/>
                    </w:rPr>
                    <w:t>向</w:t>
                  </w:r>
                </w:p>
              </w:tc>
              <w:tc>
                <w:tcPr>
                  <w:tcW w:w="607" w:type="dxa"/>
                  <w:vMerge w:val="restart"/>
                  <w:tcBorders>
                    <w:bottom w:val="nil"/>
                  </w:tcBorders>
                  <w:vAlign w:val="top"/>
                </w:tcPr>
                <w:p w14:paraId="4FE2176F">
                  <w:pPr>
                    <w:spacing w:line="285" w:lineRule="auto"/>
                    <w:rPr>
                      <w:rFonts w:ascii="Arial"/>
                      <w:sz w:val="21"/>
                    </w:rPr>
                  </w:pPr>
                </w:p>
                <w:p w14:paraId="7515660E">
                  <w:pPr>
                    <w:pStyle w:val="6"/>
                    <w:spacing w:before="52" w:line="288" w:lineRule="auto"/>
                    <w:ind w:left="221" w:right="63" w:hanging="160"/>
                    <w:rPr>
                      <w:sz w:val="16"/>
                      <w:szCs w:val="16"/>
                    </w:rPr>
                  </w:pPr>
                  <w:r>
                    <w:rPr>
                      <w:b/>
                      <w:bCs/>
                      <w:spacing w:val="-3"/>
                      <w:sz w:val="16"/>
                      <w:szCs w:val="16"/>
                    </w:rPr>
                    <w:t>排放规</w:t>
                  </w:r>
                  <w:r>
                    <w:rPr>
                      <w:sz w:val="16"/>
                      <w:szCs w:val="16"/>
                    </w:rPr>
                    <w:t xml:space="preserve"> </w:t>
                  </w:r>
                  <w:r>
                    <w:rPr>
                      <w:b/>
                      <w:bCs/>
                      <w:spacing w:val="-2"/>
                      <w:sz w:val="16"/>
                      <w:szCs w:val="16"/>
                    </w:rPr>
                    <w:t>律</w:t>
                  </w:r>
                </w:p>
              </w:tc>
              <w:tc>
                <w:tcPr>
                  <w:tcW w:w="3120" w:type="dxa"/>
                  <w:gridSpan w:val="4"/>
                  <w:vAlign w:val="top"/>
                </w:tcPr>
                <w:p w14:paraId="70C5BB57">
                  <w:pPr>
                    <w:pStyle w:val="6"/>
                    <w:spacing w:before="74" w:line="213" w:lineRule="auto"/>
                    <w:ind w:left="1080"/>
                    <w:rPr>
                      <w:sz w:val="16"/>
                      <w:szCs w:val="16"/>
                    </w:rPr>
                  </w:pPr>
                  <w:r>
                    <w:rPr>
                      <w:b/>
                      <w:bCs/>
                      <w:spacing w:val="-3"/>
                      <w:sz w:val="16"/>
                      <w:szCs w:val="16"/>
                    </w:rPr>
                    <w:t>污染治理设施</w:t>
                  </w:r>
                </w:p>
              </w:tc>
              <w:tc>
                <w:tcPr>
                  <w:tcW w:w="586" w:type="dxa"/>
                  <w:vMerge w:val="restart"/>
                  <w:tcBorders>
                    <w:bottom w:val="nil"/>
                  </w:tcBorders>
                  <w:vAlign w:val="top"/>
                </w:tcPr>
                <w:p w14:paraId="06515622">
                  <w:pPr>
                    <w:spacing w:line="285" w:lineRule="auto"/>
                    <w:rPr>
                      <w:rFonts w:ascii="Arial"/>
                      <w:sz w:val="21"/>
                    </w:rPr>
                  </w:pPr>
                </w:p>
                <w:p w14:paraId="6F8C8879">
                  <w:pPr>
                    <w:pStyle w:val="6"/>
                    <w:spacing w:before="52" w:line="288" w:lineRule="auto"/>
                    <w:ind w:left="136" w:right="49" w:hanging="82"/>
                    <w:rPr>
                      <w:sz w:val="16"/>
                      <w:szCs w:val="16"/>
                    </w:rPr>
                  </w:pPr>
                  <w:r>
                    <w:rPr>
                      <w:b/>
                      <w:bCs/>
                      <w:spacing w:val="-3"/>
                      <w:sz w:val="16"/>
                      <w:szCs w:val="16"/>
                    </w:rPr>
                    <w:t>排放口</w:t>
                  </w:r>
                  <w:r>
                    <w:rPr>
                      <w:sz w:val="16"/>
                      <w:szCs w:val="16"/>
                    </w:rPr>
                    <w:t xml:space="preserve"> </w:t>
                  </w:r>
                  <w:r>
                    <w:rPr>
                      <w:b/>
                      <w:bCs/>
                      <w:spacing w:val="-5"/>
                      <w:sz w:val="16"/>
                      <w:szCs w:val="16"/>
                    </w:rPr>
                    <w:t>编号</w:t>
                  </w:r>
                </w:p>
              </w:tc>
              <w:tc>
                <w:tcPr>
                  <w:tcW w:w="723" w:type="dxa"/>
                  <w:vMerge w:val="restart"/>
                  <w:tcBorders>
                    <w:bottom w:val="nil"/>
                  </w:tcBorders>
                  <w:vAlign w:val="top"/>
                </w:tcPr>
                <w:p w14:paraId="4ABA4DE1">
                  <w:pPr>
                    <w:pStyle w:val="6"/>
                    <w:spacing w:before="209" w:line="222" w:lineRule="auto"/>
                    <w:ind w:left="42"/>
                    <w:rPr>
                      <w:sz w:val="16"/>
                      <w:szCs w:val="16"/>
                    </w:rPr>
                  </w:pPr>
                  <w:r>
                    <w:rPr>
                      <w:b/>
                      <w:bCs/>
                      <w:spacing w:val="-3"/>
                      <w:sz w:val="16"/>
                      <w:szCs w:val="16"/>
                    </w:rPr>
                    <w:t>排放口设</w:t>
                  </w:r>
                </w:p>
                <w:p w14:paraId="071AF289">
                  <w:pPr>
                    <w:pStyle w:val="6"/>
                    <w:spacing w:before="69" w:line="220" w:lineRule="auto"/>
                    <w:ind w:left="41"/>
                    <w:rPr>
                      <w:sz w:val="16"/>
                      <w:szCs w:val="16"/>
                    </w:rPr>
                  </w:pPr>
                  <w:r>
                    <w:rPr>
                      <w:b/>
                      <w:bCs/>
                      <w:spacing w:val="-3"/>
                      <w:sz w:val="16"/>
                      <w:szCs w:val="16"/>
                    </w:rPr>
                    <w:t>置是否符</w:t>
                  </w:r>
                </w:p>
                <w:p w14:paraId="236033FD">
                  <w:pPr>
                    <w:pStyle w:val="6"/>
                    <w:spacing w:before="68" w:line="222" w:lineRule="auto"/>
                    <w:ind w:left="124"/>
                    <w:rPr>
                      <w:sz w:val="16"/>
                      <w:szCs w:val="16"/>
                    </w:rPr>
                  </w:pPr>
                  <w:r>
                    <w:rPr>
                      <w:b/>
                      <w:bCs/>
                      <w:spacing w:val="-4"/>
                      <w:sz w:val="16"/>
                      <w:szCs w:val="16"/>
                    </w:rPr>
                    <w:t>合要求</w:t>
                  </w:r>
                </w:p>
              </w:tc>
              <w:tc>
                <w:tcPr>
                  <w:tcW w:w="514" w:type="dxa"/>
                  <w:vMerge w:val="restart"/>
                  <w:tcBorders>
                    <w:bottom w:val="nil"/>
                  </w:tcBorders>
                  <w:vAlign w:val="top"/>
                </w:tcPr>
                <w:p w14:paraId="4739B715">
                  <w:pPr>
                    <w:pStyle w:val="6"/>
                    <w:spacing w:before="209" w:line="222" w:lineRule="auto"/>
                    <w:ind w:left="97"/>
                    <w:rPr>
                      <w:sz w:val="16"/>
                      <w:szCs w:val="16"/>
                    </w:rPr>
                  </w:pPr>
                  <w:r>
                    <w:rPr>
                      <w:b/>
                      <w:bCs/>
                      <w:spacing w:val="-4"/>
                      <w:sz w:val="16"/>
                      <w:szCs w:val="16"/>
                    </w:rPr>
                    <w:t>排放</w:t>
                  </w:r>
                </w:p>
                <w:p w14:paraId="68480453">
                  <w:pPr>
                    <w:pStyle w:val="6"/>
                    <w:spacing w:before="69" w:line="220" w:lineRule="auto"/>
                    <w:ind w:left="121"/>
                    <w:rPr>
                      <w:sz w:val="16"/>
                      <w:szCs w:val="16"/>
                    </w:rPr>
                  </w:pPr>
                  <w:r>
                    <w:rPr>
                      <w:b/>
                      <w:bCs/>
                      <w:spacing w:val="-17"/>
                      <w:sz w:val="16"/>
                      <w:szCs w:val="16"/>
                    </w:rPr>
                    <w:t>口类</w:t>
                  </w:r>
                </w:p>
                <w:p w14:paraId="16390D7B">
                  <w:pPr>
                    <w:pStyle w:val="6"/>
                    <w:spacing w:before="68" w:line="228" w:lineRule="auto"/>
                    <w:ind w:left="183"/>
                    <w:rPr>
                      <w:sz w:val="16"/>
                      <w:szCs w:val="16"/>
                    </w:rPr>
                  </w:pPr>
                  <w:r>
                    <w:rPr>
                      <w:b/>
                      <w:bCs/>
                      <w:spacing w:val="-2"/>
                      <w:sz w:val="16"/>
                      <w:szCs w:val="16"/>
                    </w:rPr>
                    <w:t>型</w:t>
                  </w:r>
                </w:p>
              </w:tc>
            </w:tr>
            <w:tr w14:paraId="465F9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27" w:type="dxa"/>
                  <w:vMerge w:val="continue"/>
                  <w:tcBorders>
                    <w:top w:val="nil"/>
                  </w:tcBorders>
                  <w:vAlign w:val="top"/>
                </w:tcPr>
                <w:p w14:paraId="0E2423F1">
                  <w:pPr>
                    <w:rPr>
                      <w:rFonts w:ascii="Arial"/>
                      <w:sz w:val="21"/>
                    </w:rPr>
                  </w:pPr>
                </w:p>
              </w:tc>
              <w:tc>
                <w:tcPr>
                  <w:tcW w:w="749" w:type="dxa"/>
                  <w:vMerge w:val="continue"/>
                  <w:tcBorders>
                    <w:top w:val="nil"/>
                  </w:tcBorders>
                  <w:vAlign w:val="top"/>
                </w:tcPr>
                <w:p w14:paraId="48717132">
                  <w:pPr>
                    <w:rPr>
                      <w:rFonts w:ascii="Arial"/>
                      <w:sz w:val="21"/>
                    </w:rPr>
                  </w:pPr>
                </w:p>
              </w:tc>
              <w:tc>
                <w:tcPr>
                  <w:tcW w:w="634" w:type="dxa"/>
                  <w:vMerge w:val="continue"/>
                  <w:tcBorders>
                    <w:top w:val="nil"/>
                  </w:tcBorders>
                  <w:vAlign w:val="top"/>
                </w:tcPr>
                <w:p w14:paraId="2C743546">
                  <w:pPr>
                    <w:rPr>
                      <w:rFonts w:ascii="Arial"/>
                      <w:sz w:val="21"/>
                    </w:rPr>
                  </w:pPr>
                </w:p>
              </w:tc>
              <w:tc>
                <w:tcPr>
                  <w:tcW w:w="607" w:type="dxa"/>
                  <w:vMerge w:val="continue"/>
                  <w:tcBorders>
                    <w:top w:val="nil"/>
                  </w:tcBorders>
                  <w:vAlign w:val="top"/>
                </w:tcPr>
                <w:p w14:paraId="4E5A3F5B">
                  <w:pPr>
                    <w:rPr>
                      <w:rFonts w:ascii="Arial"/>
                      <w:sz w:val="21"/>
                    </w:rPr>
                  </w:pPr>
                </w:p>
              </w:tc>
              <w:tc>
                <w:tcPr>
                  <w:tcW w:w="810" w:type="dxa"/>
                  <w:vAlign w:val="top"/>
                </w:tcPr>
                <w:p w14:paraId="51CA8AED">
                  <w:pPr>
                    <w:pStyle w:val="6"/>
                    <w:spacing w:before="200" w:line="286" w:lineRule="auto"/>
                    <w:ind w:left="85" w:right="84" w:hanging="1"/>
                    <w:rPr>
                      <w:sz w:val="16"/>
                      <w:szCs w:val="16"/>
                    </w:rPr>
                  </w:pPr>
                  <w:r>
                    <w:rPr>
                      <w:b/>
                      <w:bCs/>
                      <w:spacing w:val="-3"/>
                      <w:sz w:val="16"/>
                      <w:szCs w:val="16"/>
                    </w:rPr>
                    <w:t>污染治理</w:t>
                  </w:r>
                  <w:r>
                    <w:rPr>
                      <w:sz w:val="16"/>
                      <w:szCs w:val="16"/>
                    </w:rPr>
                    <w:t xml:space="preserve"> </w:t>
                  </w:r>
                  <w:r>
                    <w:rPr>
                      <w:b/>
                      <w:bCs/>
                      <w:spacing w:val="-4"/>
                      <w:sz w:val="16"/>
                      <w:szCs w:val="16"/>
                    </w:rPr>
                    <w:t>设施编号</w:t>
                  </w:r>
                </w:p>
              </w:tc>
              <w:tc>
                <w:tcPr>
                  <w:tcW w:w="749" w:type="dxa"/>
                  <w:vAlign w:val="top"/>
                </w:tcPr>
                <w:p w14:paraId="2BDA3B6C">
                  <w:pPr>
                    <w:pStyle w:val="6"/>
                    <w:spacing w:before="202" w:line="286" w:lineRule="auto"/>
                    <w:ind w:left="58" w:right="50" w:hanging="1"/>
                    <w:rPr>
                      <w:sz w:val="16"/>
                      <w:szCs w:val="16"/>
                    </w:rPr>
                  </w:pPr>
                  <w:r>
                    <w:rPr>
                      <w:b/>
                      <w:bCs/>
                      <w:spacing w:val="-3"/>
                      <w:sz w:val="16"/>
                      <w:szCs w:val="16"/>
                    </w:rPr>
                    <w:t>污染治理</w:t>
                  </w:r>
                  <w:r>
                    <w:rPr>
                      <w:sz w:val="16"/>
                      <w:szCs w:val="16"/>
                    </w:rPr>
                    <w:t xml:space="preserve"> </w:t>
                  </w:r>
                  <w:r>
                    <w:rPr>
                      <w:b/>
                      <w:bCs/>
                      <w:spacing w:val="-4"/>
                      <w:sz w:val="16"/>
                      <w:szCs w:val="16"/>
                    </w:rPr>
                    <w:t>设施名称</w:t>
                  </w:r>
                </w:p>
              </w:tc>
              <w:tc>
                <w:tcPr>
                  <w:tcW w:w="899" w:type="dxa"/>
                  <w:vAlign w:val="top"/>
                </w:tcPr>
                <w:p w14:paraId="50A04AFE">
                  <w:pPr>
                    <w:pStyle w:val="6"/>
                    <w:spacing w:before="201" w:line="287" w:lineRule="auto"/>
                    <w:ind w:left="210" w:right="45" w:hanging="158"/>
                    <w:rPr>
                      <w:sz w:val="16"/>
                      <w:szCs w:val="16"/>
                    </w:rPr>
                  </w:pPr>
                  <w:r>
                    <w:rPr>
                      <w:b/>
                      <w:bCs/>
                      <w:spacing w:val="-3"/>
                      <w:sz w:val="16"/>
                      <w:szCs w:val="16"/>
                    </w:rPr>
                    <w:t>污染治理设</w:t>
                  </w:r>
                  <w:r>
                    <w:rPr>
                      <w:spacing w:val="2"/>
                      <w:sz w:val="16"/>
                      <w:szCs w:val="16"/>
                    </w:rPr>
                    <w:t xml:space="preserve"> </w:t>
                  </w:r>
                  <w:r>
                    <w:rPr>
                      <w:b/>
                      <w:bCs/>
                      <w:spacing w:val="-3"/>
                      <w:sz w:val="16"/>
                      <w:szCs w:val="16"/>
                    </w:rPr>
                    <w:t>施工艺</w:t>
                  </w:r>
                </w:p>
              </w:tc>
              <w:tc>
                <w:tcPr>
                  <w:tcW w:w="662" w:type="dxa"/>
                  <w:vAlign w:val="top"/>
                </w:tcPr>
                <w:p w14:paraId="62F49758">
                  <w:pPr>
                    <w:pStyle w:val="6"/>
                    <w:spacing w:before="69" w:line="221" w:lineRule="auto"/>
                    <w:ind w:left="95"/>
                    <w:rPr>
                      <w:sz w:val="16"/>
                      <w:szCs w:val="16"/>
                    </w:rPr>
                  </w:pPr>
                  <w:r>
                    <w:rPr>
                      <w:b/>
                      <w:bCs/>
                      <w:spacing w:val="-4"/>
                      <w:sz w:val="16"/>
                      <w:szCs w:val="16"/>
                    </w:rPr>
                    <w:t>是否为</w:t>
                  </w:r>
                </w:p>
                <w:p w14:paraId="2F7B6829">
                  <w:pPr>
                    <w:pStyle w:val="6"/>
                    <w:spacing w:before="70" w:line="221" w:lineRule="auto"/>
                    <w:ind w:left="94"/>
                    <w:rPr>
                      <w:sz w:val="16"/>
                      <w:szCs w:val="16"/>
                    </w:rPr>
                  </w:pPr>
                  <w:r>
                    <w:rPr>
                      <w:b/>
                      <w:bCs/>
                      <w:spacing w:val="-4"/>
                      <w:sz w:val="16"/>
                      <w:szCs w:val="16"/>
                    </w:rPr>
                    <w:t>可行技</w:t>
                  </w:r>
                </w:p>
                <w:p w14:paraId="408A589C">
                  <w:pPr>
                    <w:pStyle w:val="6"/>
                    <w:spacing w:before="67" w:line="211" w:lineRule="auto"/>
                    <w:ind w:left="254"/>
                    <w:rPr>
                      <w:sz w:val="16"/>
                      <w:szCs w:val="16"/>
                    </w:rPr>
                  </w:pPr>
                  <w:r>
                    <w:rPr>
                      <w:b/>
                      <w:bCs/>
                      <w:spacing w:val="-2"/>
                      <w:sz w:val="16"/>
                      <w:szCs w:val="16"/>
                    </w:rPr>
                    <w:t>术</w:t>
                  </w:r>
                </w:p>
              </w:tc>
              <w:tc>
                <w:tcPr>
                  <w:tcW w:w="586" w:type="dxa"/>
                  <w:vMerge w:val="continue"/>
                  <w:tcBorders>
                    <w:top w:val="nil"/>
                  </w:tcBorders>
                  <w:vAlign w:val="top"/>
                </w:tcPr>
                <w:p w14:paraId="7B6F66C0">
                  <w:pPr>
                    <w:rPr>
                      <w:rFonts w:ascii="Arial"/>
                      <w:sz w:val="21"/>
                    </w:rPr>
                  </w:pPr>
                </w:p>
              </w:tc>
              <w:tc>
                <w:tcPr>
                  <w:tcW w:w="723" w:type="dxa"/>
                  <w:vMerge w:val="continue"/>
                  <w:tcBorders>
                    <w:top w:val="nil"/>
                  </w:tcBorders>
                  <w:vAlign w:val="top"/>
                </w:tcPr>
                <w:p w14:paraId="09029319">
                  <w:pPr>
                    <w:rPr>
                      <w:rFonts w:ascii="Arial"/>
                      <w:sz w:val="21"/>
                    </w:rPr>
                  </w:pPr>
                </w:p>
              </w:tc>
              <w:tc>
                <w:tcPr>
                  <w:tcW w:w="514" w:type="dxa"/>
                  <w:vMerge w:val="continue"/>
                  <w:tcBorders>
                    <w:top w:val="nil"/>
                  </w:tcBorders>
                  <w:vAlign w:val="top"/>
                </w:tcPr>
                <w:p w14:paraId="4C154AF0">
                  <w:pPr>
                    <w:rPr>
                      <w:rFonts w:ascii="Arial"/>
                      <w:sz w:val="21"/>
                    </w:rPr>
                  </w:pPr>
                </w:p>
              </w:tc>
            </w:tr>
            <w:tr w14:paraId="6E4D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27" w:type="dxa"/>
                  <w:vAlign w:val="top"/>
                </w:tcPr>
                <w:p w14:paraId="7BEB7BBC">
                  <w:pPr>
                    <w:pStyle w:val="6"/>
                    <w:spacing w:before="73" w:line="208" w:lineRule="auto"/>
                    <w:ind w:left="195"/>
                    <w:rPr>
                      <w:sz w:val="16"/>
                      <w:szCs w:val="16"/>
                    </w:rPr>
                  </w:pPr>
                  <w:r>
                    <w:rPr>
                      <w:spacing w:val="-2"/>
                      <w:sz w:val="16"/>
                      <w:szCs w:val="16"/>
                    </w:rPr>
                    <w:t>生产废水</w:t>
                  </w:r>
                </w:p>
              </w:tc>
              <w:tc>
                <w:tcPr>
                  <w:tcW w:w="749" w:type="dxa"/>
                  <w:vAlign w:val="top"/>
                </w:tcPr>
                <w:p w14:paraId="75FC64F0">
                  <w:pPr>
                    <w:spacing w:before="101" w:line="189" w:lineRule="auto"/>
                    <w:ind w:left="289"/>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SS</w:t>
                  </w:r>
                </w:p>
              </w:tc>
              <w:tc>
                <w:tcPr>
                  <w:tcW w:w="634" w:type="dxa"/>
                  <w:vAlign w:val="top"/>
                </w:tcPr>
                <w:p w14:paraId="5A209210">
                  <w:pPr>
                    <w:spacing w:before="98" w:line="193" w:lineRule="auto"/>
                    <w:ind w:left="28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607" w:type="dxa"/>
                  <w:vAlign w:val="top"/>
                </w:tcPr>
                <w:p w14:paraId="1749AB2F">
                  <w:pPr>
                    <w:spacing w:before="98" w:line="193" w:lineRule="auto"/>
                    <w:ind w:left="27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810" w:type="dxa"/>
                  <w:vAlign w:val="top"/>
                </w:tcPr>
                <w:p w14:paraId="16C550D6">
                  <w:pPr>
                    <w:spacing w:before="101" w:line="189" w:lineRule="auto"/>
                    <w:ind w:left="15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TW001</w:t>
                  </w:r>
                </w:p>
              </w:tc>
              <w:tc>
                <w:tcPr>
                  <w:tcW w:w="749" w:type="dxa"/>
                  <w:vAlign w:val="top"/>
                </w:tcPr>
                <w:p w14:paraId="54954A4E">
                  <w:pPr>
                    <w:pStyle w:val="6"/>
                    <w:spacing w:before="73" w:line="208" w:lineRule="auto"/>
                    <w:ind w:left="134"/>
                    <w:rPr>
                      <w:sz w:val="16"/>
                      <w:szCs w:val="16"/>
                    </w:rPr>
                  </w:pPr>
                  <w:r>
                    <w:rPr>
                      <w:spacing w:val="-2"/>
                      <w:sz w:val="16"/>
                      <w:szCs w:val="16"/>
                    </w:rPr>
                    <w:t>废浆池</w:t>
                  </w:r>
                </w:p>
              </w:tc>
              <w:tc>
                <w:tcPr>
                  <w:tcW w:w="899" w:type="dxa"/>
                  <w:vAlign w:val="top"/>
                </w:tcPr>
                <w:p w14:paraId="4638F3F5">
                  <w:pPr>
                    <w:pStyle w:val="6"/>
                    <w:spacing w:before="73" w:line="208" w:lineRule="auto"/>
                    <w:ind w:left="132"/>
                    <w:rPr>
                      <w:sz w:val="16"/>
                      <w:szCs w:val="16"/>
                    </w:rPr>
                  </w:pPr>
                  <w:r>
                    <w:rPr>
                      <w:spacing w:val="-2"/>
                      <w:sz w:val="16"/>
                      <w:szCs w:val="16"/>
                    </w:rPr>
                    <w:t>物理搅拌</w:t>
                  </w:r>
                </w:p>
              </w:tc>
              <w:tc>
                <w:tcPr>
                  <w:tcW w:w="662" w:type="dxa"/>
                  <w:vAlign w:val="top"/>
                </w:tcPr>
                <w:p w14:paraId="0051BEEF">
                  <w:pPr>
                    <w:spacing w:before="98" w:line="193" w:lineRule="auto"/>
                    <w:ind w:left="30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86" w:type="dxa"/>
                  <w:vAlign w:val="top"/>
                </w:tcPr>
                <w:p w14:paraId="60AAE0A8">
                  <w:pPr>
                    <w:spacing w:before="98" w:line="193" w:lineRule="auto"/>
                    <w:ind w:left="26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23" w:type="dxa"/>
                  <w:vAlign w:val="top"/>
                </w:tcPr>
                <w:p w14:paraId="763C28E2">
                  <w:pPr>
                    <w:spacing w:before="98" w:line="193" w:lineRule="auto"/>
                    <w:ind w:left="33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14" w:type="dxa"/>
                  <w:vAlign w:val="top"/>
                </w:tcPr>
                <w:p w14:paraId="07AE2F55">
                  <w:pPr>
                    <w:spacing w:before="98" w:line="193" w:lineRule="auto"/>
                    <w:ind w:left="230"/>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14:paraId="50F4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27" w:type="dxa"/>
                  <w:vAlign w:val="top"/>
                </w:tcPr>
                <w:p w14:paraId="23BE0672">
                  <w:pPr>
                    <w:pStyle w:val="6"/>
                    <w:spacing w:before="83" w:line="226" w:lineRule="auto"/>
                    <w:ind w:left="65"/>
                    <w:rPr>
                      <w:sz w:val="14"/>
                      <w:szCs w:val="14"/>
                    </w:rPr>
                  </w:pPr>
                  <w:r>
                    <w:rPr>
                      <w:spacing w:val="8"/>
                      <w:sz w:val="14"/>
                      <w:szCs w:val="14"/>
                    </w:rPr>
                    <w:t>车辆冲洗废水</w:t>
                  </w:r>
                </w:p>
              </w:tc>
              <w:tc>
                <w:tcPr>
                  <w:tcW w:w="749" w:type="dxa"/>
                  <w:vAlign w:val="top"/>
                </w:tcPr>
                <w:p w14:paraId="0DF4BCFE">
                  <w:pPr>
                    <w:spacing w:before="101" w:line="189" w:lineRule="auto"/>
                    <w:ind w:left="289"/>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SS</w:t>
                  </w:r>
                </w:p>
              </w:tc>
              <w:tc>
                <w:tcPr>
                  <w:tcW w:w="634" w:type="dxa"/>
                  <w:vAlign w:val="top"/>
                </w:tcPr>
                <w:p w14:paraId="68090AF9">
                  <w:pPr>
                    <w:spacing w:before="98" w:line="193" w:lineRule="auto"/>
                    <w:ind w:left="28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607" w:type="dxa"/>
                  <w:vAlign w:val="top"/>
                </w:tcPr>
                <w:p w14:paraId="35295C87">
                  <w:pPr>
                    <w:spacing w:before="98" w:line="193" w:lineRule="auto"/>
                    <w:ind w:left="27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810" w:type="dxa"/>
                  <w:vAlign w:val="top"/>
                </w:tcPr>
                <w:p w14:paraId="1D6D6E6D">
                  <w:pPr>
                    <w:spacing w:before="101" w:line="189" w:lineRule="auto"/>
                    <w:ind w:left="15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TW002</w:t>
                  </w:r>
                </w:p>
              </w:tc>
              <w:tc>
                <w:tcPr>
                  <w:tcW w:w="749" w:type="dxa"/>
                  <w:vAlign w:val="top"/>
                </w:tcPr>
                <w:p w14:paraId="7F7F72CA">
                  <w:pPr>
                    <w:pStyle w:val="6"/>
                    <w:spacing w:before="73" w:line="210" w:lineRule="auto"/>
                    <w:ind w:left="135"/>
                    <w:rPr>
                      <w:sz w:val="16"/>
                      <w:szCs w:val="16"/>
                    </w:rPr>
                  </w:pPr>
                  <w:r>
                    <w:rPr>
                      <w:spacing w:val="-2"/>
                      <w:sz w:val="16"/>
                      <w:szCs w:val="16"/>
                    </w:rPr>
                    <w:t>沉淀池</w:t>
                  </w:r>
                </w:p>
              </w:tc>
              <w:tc>
                <w:tcPr>
                  <w:tcW w:w="899" w:type="dxa"/>
                  <w:vAlign w:val="top"/>
                </w:tcPr>
                <w:p w14:paraId="38574DFA">
                  <w:pPr>
                    <w:pStyle w:val="6"/>
                    <w:spacing w:before="73" w:line="210" w:lineRule="auto"/>
                    <w:ind w:left="159"/>
                    <w:rPr>
                      <w:sz w:val="16"/>
                      <w:szCs w:val="16"/>
                    </w:rPr>
                  </w:pPr>
                  <w:r>
                    <w:rPr>
                      <w:spacing w:val="-8"/>
                      <w:sz w:val="16"/>
                      <w:szCs w:val="16"/>
                    </w:rPr>
                    <w:t>自然沉淀</w:t>
                  </w:r>
                </w:p>
              </w:tc>
              <w:tc>
                <w:tcPr>
                  <w:tcW w:w="662" w:type="dxa"/>
                  <w:vAlign w:val="top"/>
                </w:tcPr>
                <w:p w14:paraId="72E5B70D">
                  <w:pPr>
                    <w:spacing w:before="98" w:line="193" w:lineRule="auto"/>
                    <w:ind w:left="30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86" w:type="dxa"/>
                  <w:vAlign w:val="top"/>
                </w:tcPr>
                <w:p w14:paraId="6AAB6E51">
                  <w:pPr>
                    <w:spacing w:before="98" w:line="193" w:lineRule="auto"/>
                    <w:ind w:left="26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23" w:type="dxa"/>
                  <w:vAlign w:val="top"/>
                </w:tcPr>
                <w:p w14:paraId="0B680F29">
                  <w:pPr>
                    <w:spacing w:before="98" w:line="193" w:lineRule="auto"/>
                    <w:ind w:left="33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14" w:type="dxa"/>
                  <w:vAlign w:val="top"/>
                </w:tcPr>
                <w:p w14:paraId="2B192E8B">
                  <w:pPr>
                    <w:spacing w:before="98" w:line="193" w:lineRule="auto"/>
                    <w:ind w:left="230"/>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14:paraId="045E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27" w:type="dxa"/>
                  <w:vAlign w:val="top"/>
                </w:tcPr>
                <w:p w14:paraId="29146219">
                  <w:pPr>
                    <w:pStyle w:val="6"/>
                    <w:spacing w:before="74" w:line="295" w:lineRule="auto"/>
                    <w:ind w:left="65" w:right="39" w:hanging="24"/>
                    <w:jc w:val="both"/>
                    <w:rPr>
                      <w:sz w:val="14"/>
                      <w:szCs w:val="14"/>
                    </w:rPr>
                  </w:pPr>
                  <w:r>
                    <w:rPr>
                      <w:sz w:val="16"/>
                      <w:szCs w:val="16"/>
                    </w:rPr>
                    <w:t>生活污水、</w:t>
                  </w:r>
                  <w:r>
                    <w:rPr>
                      <w:sz w:val="14"/>
                      <w:szCs w:val="14"/>
                    </w:rPr>
                    <w:t xml:space="preserve">锅 </w:t>
                  </w:r>
                  <w:r>
                    <w:rPr>
                      <w:spacing w:val="8"/>
                      <w:sz w:val="14"/>
                      <w:szCs w:val="14"/>
                    </w:rPr>
                    <w:t>炉排水、软水</w:t>
                  </w:r>
                  <w:r>
                    <w:rPr>
                      <w:spacing w:val="1"/>
                      <w:sz w:val="14"/>
                      <w:szCs w:val="14"/>
                    </w:rPr>
                    <w:t xml:space="preserve"> </w:t>
                  </w:r>
                  <w:r>
                    <w:rPr>
                      <w:spacing w:val="8"/>
                      <w:sz w:val="14"/>
                      <w:szCs w:val="14"/>
                    </w:rPr>
                    <w:t>设备再生废水</w:t>
                  </w:r>
                </w:p>
              </w:tc>
              <w:tc>
                <w:tcPr>
                  <w:tcW w:w="749" w:type="dxa"/>
                  <w:vAlign w:val="top"/>
                </w:tcPr>
                <w:p w14:paraId="6FF02686">
                  <w:pPr>
                    <w:pStyle w:val="6"/>
                    <w:spacing w:before="232" w:line="323" w:lineRule="auto"/>
                    <w:ind w:left="140" w:right="149" w:hanging="16"/>
                    <w:rPr>
                      <w:rFonts w:ascii="Times New Roman" w:hAnsi="Times New Roman" w:eastAsia="Times New Roman" w:cs="Times New Roman"/>
                      <w:sz w:val="16"/>
                      <w:szCs w:val="16"/>
                    </w:rPr>
                  </w:pPr>
                  <w:r>
                    <w:rPr>
                      <w:rFonts w:ascii="Times New Roman" w:hAnsi="Times New Roman" w:eastAsia="Times New Roman" w:cs="Times New Roman"/>
                      <w:spacing w:val="-7"/>
                      <w:sz w:val="16"/>
                      <w:szCs w:val="16"/>
                    </w:rPr>
                    <w:t>COD</w:t>
                  </w:r>
                  <w:r>
                    <w:rPr>
                      <w:spacing w:val="-7"/>
                      <w:sz w:val="16"/>
                      <w:szCs w:val="16"/>
                    </w:rPr>
                    <w:t>、</w:t>
                  </w:r>
                  <w:r>
                    <w:rPr>
                      <w:sz w:val="16"/>
                      <w:szCs w:val="16"/>
                    </w:rPr>
                    <w:t xml:space="preserve"> </w:t>
                  </w:r>
                  <w:r>
                    <w:rPr>
                      <w:rFonts w:ascii="Times New Roman" w:hAnsi="Times New Roman" w:eastAsia="Times New Roman" w:cs="Times New Roman"/>
                      <w:sz w:val="16"/>
                      <w:szCs w:val="16"/>
                    </w:rPr>
                    <w:t>NH</w:t>
                  </w:r>
                  <w:r>
                    <w:rPr>
                      <w:rFonts w:ascii="Times New Roman" w:hAnsi="Times New Roman" w:eastAsia="Times New Roman" w:cs="Times New Roman"/>
                      <w:spacing w:val="1"/>
                      <w:position w:val="-1"/>
                      <w:sz w:val="10"/>
                      <w:szCs w:val="10"/>
                    </w:rPr>
                    <w:t>3</w:t>
                  </w:r>
                  <w:r>
                    <w:rPr>
                      <w:rFonts w:ascii="Times New Roman" w:hAnsi="Times New Roman" w:eastAsia="Times New Roman" w:cs="Times New Roman"/>
                      <w:spacing w:val="1"/>
                      <w:sz w:val="16"/>
                      <w:szCs w:val="16"/>
                    </w:rPr>
                    <w:t>-N</w:t>
                  </w:r>
                </w:p>
              </w:tc>
              <w:tc>
                <w:tcPr>
                  <w:tcW w:w="634" w:type="dxa"/>
                  <w:vAlign w:val="top"/>
                </w:tcPr>
                <w:p w14:paraId="0BF1324C">
                  <w:pPr>
                    <w:pStyle w:val="6"/>
                    <w:spacing w:before="73" w:line="271" w:lineRule="auto"/>
                    <w:ind w:left="76" w:right="78" w:firstLine="5"/>
                    <w:jc w:val="both"/>
                    <w:rPr>
                      <w:sz w:val="16"/>
                      <w:szCs w:val="16"/>
                    </w:rPr>
                  </w:pPr>
                  <w:r>
                    <w:rPr>
                      <w:spacing w:val="-4"/>
                      <w:sz w:val="16"/>
                      <w:szCs w:val="16"/>
                    </w:rPr>
                    <w:t>东岳场</w:t>
                  </w:r>
                  <w:r>
                    <w:rPr>
                      <w:sz w:val="16"/>
                      <w:szCs w:val="16"/>
                    </w:rPr>
                    <w:t xml:space="preserve"> </w:t>
                  </w:r>
                  <w:r>
                    <w:rPr>
                      <w:spacing w:val="-3"/>
                      <w:sz w:val="16"/>
                      <w:szCs w:val="16"/>
                    </w:rPr>
                    <w:t>镇污水</w:t>
                  </w:r>
                  <w:r>
                    <w:rPr>
                      <w:spacing w:val="1"/>
                      <w:sz w:val="16"/>
                      <w:szCs w:val="16"/>
                    </w:rPr>
                    <w:t xml:space="preserve"> </w:t>
                  </w:r>
                  <w:r>
                    <w:rPr>
                      <w:spacing w:val="-3"/>
                      <w:sz w:val="16"/>
                      <w:szCs w:val="16"/>
                    </w:rPr>
                    <w:t>处理厂</w:t>
                  </w:r>
                </w:p>
              </w:tc>
              <w:tc>
                <w:tcPr>
                  <w:tcW w:w="607" w:type="dxa"/>
                  <w:vAlign w:val="top"/>
                </w:tcPr>
                <w:p w14:paraId="29850BD1">
                  <w:pPr>
                    <w:spacing w:line="280" w:lineRule="auto"/>
                    <w:rPr>
                      <w:rFonts w:ascii="Arial"/>
                      <w:sz w:val="21"/>
                    </w:rPr>
                  </w:pPr>
                </w:p>
                <w:p w14:paraId="1755FC21">
                  <w:pPr>
                    <w:pStyle w:val="6"/>
                    <w:spacing w:before="52" w:line="220" w:lineRule="auto"/>
                    <w:ind w:left="156"/>
                    <w:rPr>
                      <w:sz w:val="16"/>
                      <w:szCs w:val="16"/>
                    </w:rPr>
                  </w:pPr>
                  <w:r>
                    <w:rPr>
                      <w:spacing w:val="-9"/>
                      <w:sz w:val="16"/>
                      <w:szCs w:val="16"/>
                    </w:rPr>
                    <w:t>间歇</w:t>
                  </w:r>
                </w:p>
              </w:tc>
              <w:tc>
                <w:tcPr>
                  <w:tcW w:w="810" w:type="dxa"/>
                  <w:vAlign w:val="top"/>
                </w:tcPr>
                <w:p w14:paraId="266E0D60">
                  <w:pPr>
                    <w:spacing w:line="313" w:lineRule="auto"/>
                    <w:rPr>
                      <w:rFonts w:ascii="Arial"/>
                      <w:sz w:val="21"/>
                    </w:rPr>
                  </w:pPr>
                </w:p>
                <w:p w14:paraId="4A299CFA">
                  <w:pPr>
                    <w:spacing w:before="46" w:line="189" w:lineRule="auto"/>
                    <w:ind w:left="15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TW003</w:t>
                  </w:r>
                </w:p>
              </w:tc>
              <w:tc>
                <w:tcPr>
                  <w:tcW w:w="749" w:type="dxa"/>
                  <w:vAlign w:val="top"/>
                </w:tcPr>
                <w:p w14:paraId="7E4C7008">
                  <w:pPr>
                    <w:spacing w:line="280" w:lineRule="auto"/>
                    <w:rPr>
                      <w:rFonts w:ascii="Arial"/>
                      <w:sz w:val="21"/>
                    </w:rPr>
                  </w:pPr>
                </w:p>
                <w:p w14:paraId="7EFC1F17">
                  <w:pPr>
                    <w:pStyle w:val="6"/>
                    <w:spacing w:before="52" w:line="220" w:lineRule="auto"/>
                    <w:ind w:left="135"/>
                    <w:rPr>
                      <w:sz w:val="16"/>
                      <w:szCs w:val="16"/>
                    </w:rPr>
                  </w:pPr>
                  <w:r>
                    <w:rPr>
                      <w:spacing w:val="-2"/>
                      <w:sz w:val="16"/>
                      <w:szCs w:val="16"/>
                    </w:rPr>
                    <w:t>化粪池</w:t>
                  </w:r>
                </w:p>
              </w:tc>
              <w:tc>
                <w:tcPr>
                  <w:tcW w:w="899" w:type="dxa"/>
                  <w:vAlign w:val="top"/>
                </w:tcPr>
                <w:p w14:paraId="5E84E81C">
                  <w:pPr>
                    <w:spacing w:line="279" w:lineRule="auto"/>
                    <w:rPr>
                      <w:rFonts w:ascii="Arial"/>
                      <w:sz w:val="21"/>
                    </w:rPr>
                  </w:pPr>
                </w:p>
                <w:p w14:paraId="32AA3598">
                  <w:pPr>
                    <w:pStyle w:val="6"/>
                    <w:spacing w:before="52" w:line="220" w:lineRule="auto"/>
                    <w:ind w:left="87"/>
                    <w:rPr>
                      <w:sz w:val="16"/>
                      <w:szCs w:val="16"/>
                    </w:rPr>
                  </w:pPr>
                  <w:r>
                    <w:rPr>
                      <w:spacing w:val="-1"/>
                      <w:sz w:val="16"/>
                      <w:szCs w:val="16"/>
                    </w:rPr>
                    <w:t>厌氧</w:t>
                  </w:r>
                  <w:r>
                    <w:rPr>
                      <w:rFonts w:ascii="Times New Roman" w:hAnsi="Times New Roman" w:eastAsia="Times New Roman" w:cs="Times New Roman"/>
                      <w:spacing w:val="-1"/>
                      <w:sz w:val="16"/>
                      <w:szCs w:val="16"/>
                    </w:rPr>
                    <w:t>+</w:t>
                  </w:r>
                  <w:r>
                    <w:rPr>
                      <w:spacing w:val="-1"/>
                      <w:sz w:val="16"/>
                      <w:szCs w:val="16"/>
                    </w:rPr>
                    <w:t>沉淀</w:t>
                  </w:r>
                </w:p>
              </w:tc>
              <w:tc>
                <w:tcPr>
                  <w:tcW w:w="662" w:type="dxa"/>
                  <w:vAlign w:val="top"/>
                </w:tcPr>
                <w:p w14:paraId="34BB720A">
                  <w:pPr>
                    <w:spacing w:line="280" w:lineRule="auto"/>
                    <w:rPr>
                      <w:rFonts w:ascii="Arial"/>
                      <w:sz w:val="21"/>
                    </w:rPr>
                  </w:pPr>
                </w:p>
                <w:p w14:paraId="008B8231">
                  <w:pPr>
                    <w:pStyle w:val="6"/>
                    <w:spacing w:before="52" w:line="224" w:lineRule="auto"/>
                    <w:ind w:left="256"/>
                    <w:rPr>
                      <w:sz w:val="16"/>
                      <w:szCs w:val="16"/>
                    </w:rPr>
                  </w:pPr>
                  <w:r>
                    <w:rPr>
                      <w:sz w:val="16"/>
                      <w:szCs w:val="16"/>
                    </w:rPr>
                    <w:t>是</w:t>
                  </w:r>
                </w:p>
              </w:tc>
              <w:tc>
                <w:tcPr>
                  <w:tcW w:w="586" w:type="dxa"/>
                  <w:vAlign w:val="top"/>
                </w:tcPr>
                <w:p w14:paraId="78E2E922">
                  <w:pPr>
                    <w:spacing w:line="310" w:lineRule="auto"/>
                    <w:rPr>
                      <w:rFonts w:ascii="Arial"/>
                      <w:sz w:val="21"/>
                    </w:rPr>
                  </w:pPr>
                </w:p>
                <w:p w14:paraId="42272597">
                  <w:pPr>
                    <w:spacing w:before="46" w:line="193" w:lineRule="auto"/>
                    <w:ind w:left="26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23" w:type="dxa"/>
                  <w:vAlign w:val="top"/>
                </w:tcPr>
                <w:p w14:paraId="21EA0D95">
                  <w:pPr>
                    <w:spacing w:line="310" w:lineRule="auto"/>
                    <w:rPr>
                      <w:rFonts w:ascii="Arial"/>
                      <w:sz w:val="21"/>
                    </w:rPr>
                  </w:pPr>
                </w:p>
                <w:p w14:paraId="255804D4">
                  <w:pPr>
                    <w:spacing w:before="46" w:line="193" w:lineRule="auto"/>
                    <w:ind w:left="33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14" w:type="dxa"/>
                  <w:vAlign w:val="top"/>
                </w:tcPr>
                <w:p w14:paraId="1885EF16">
                  <w:pPr>
                    <w:spacing w:line="310" w:lineRule="auto"/>
                    <w:rPr>
                      <w:rFonts w:ascii="Arial"/>
                      <w:sz w:val="21"/>
                    </w:rPr>
                  </w:pPr>
                </w:p>
                <w:p w14:paraId="5EA92DC6">
                  <w:pPr>
                    <w:spacing w:before="46" w:line="193" w:lineRule="auto"/>
                    <w:ind w:left="230"/>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bl>
          <w:p w14:paraId="1AEA3982">
            <w:pPr>
              <w:pStyle w:val="6"/>
              <w:spacing w:before="131" w:line="221" w:lineRule="auto"/>
              <w:ind w:left="87"/>
            </w:pPr>
            <w:r>
              <w:rPr>
                <w:rFonts w:ascii="Times New Roman" w:hAnsi="Times New Roman" w:eastAsia="Times New Roman" w:cs="Times New Roman"/>
                <w:b/>
                <w:bCs/>
                <w:spacing w:val="-2"/>
              </w:rPr>
              <w:t>2.6</w:t>
            </w:r>
            <w:r>
              <w:rPr>
                <w:b/>
                <w:bCs/>
                <w:spacing w:val="-2"/>
              </w:rPr>
              <w:t>影响分析</w:t>
            </w:r>
          </w:p>
          <w:p w14:paraId="43703C34">
            <w:pPr>
              <w:pStyle w:val="6"/>
              <w:spacing w:before="136" w:line="322" w:lineRule="auto"/>
              <w:ind w:left="90" w:right="86" w:firstLine="442"/>
              <w:jc w:val="both"/>
              <w:rPr>
                <w:sz w:val="20"/>
                <w:szCs w:val="20"/>
              </w:rPr>
            </w:pPr>
            <w:r>
              <w:rPr>
                <w:spacing w:val="6"/>
              </w:rPr>
              <w:t>本项目营运期废水主要为</w:t>
            </w:r>
            <w:r>
              <w:rPr>
                <w:spacing w:val="6"/>
                <w:sz w:val="20"/>
                <w:szCs w:val="20"/>
              </w:rPr>
              <w:t>蒸汽冷凝水、切割废料冲水产生的冲洗废水、车间地面</w:t>
            </w:r>
            <w:r>
              <w:rPr>
                <w:spacing w:val="16"/>
                <w:sz w:val="20"/>
                <w:szCs w:val="20"/>
              </w:rPr>
              <w:t xml:space="preserve"> </w:t>
            </w:r>
            <w:r>
              <w:rPr>
                <w:spacing w:val="9"/>
                <w:sz w:val="20"/>
                <w:szCs w:val="20"/>
              </w:rPr>
              <w:t>冲洗废水、备用锅炉排污水和软水装置再生废水以及员工办公生活产生的生活污</w:t>
            </w:r>
            <w:r>
              <w:rPr>
                <w:spacing w:val="8"/>
                <w:sz w:val="20"/>
                <w:szCs w:val="20"/>
              </w:rPr>
              <w:t>水。生</w:t>
            </w:r>
            <w:r>
              <w:rPr>
                <w:sz w:val="20"/>
                <w:szCs w:val="20"/>
              </w:rPr>
              <w:t xml:space="preserve"> </w:t>
            </w:r>
            <w:r>
              <w:rPr>
                <w:spacing w:val="9"/>
                <w:sz w:val="20"/>
                <w:szCs w:val="20"/>
              </w:rPr>
              <w:t>产废水通过管沟收集至废浆池，循环回用至砌块车间的湿法球磨环节，不外排。</w:t>
            </w:r>
            <w:r>
              <w:rPr>
                <w:spacing w:val="8"/>
                <w:sz w:val="20"/>
                <w:szCs w:val="20"/>
              </w:rPr>
              <w:t>锅炉定</w:t>
            </w:r>
          </w:p>
        </w:tc>
      </w:tr>
    </w:tbl>
    <w:p w14:paraId="59208A40">
      <w:pPr>
        <w:pStyle w:val="2"/>
      </w:pPr>
    </w:p>
    <w:p w14:paraId="60DF76A8">
      <w:pPr>
        <w:sectPr>
          <w:footerReference r:id="rId75" w:type="default"/>
          <w:pgSz w:w="11907" w:h="16840"/>
          <w:pgMar w:top="1431" w:right="1490" w:bottom="1259" w:left="1489" w:header="0" w:footer="1080" w:gutter="0"/>
          <w:cols w:space="720" w:num="1"/>
        </w:sectPr>
      </w:pPr>
    </w:p>
    <w:p w14:paraId="74A66DD5">
      <w:pPr>
        <w:spacing w:before="2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8127"/>
      </w:tblGrid>
      <w:tr w14:paraId="06B2C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50" w:hRule="atLeast"/>
        </w:trPr>
        <w:tc>
          <w:tcPr>
            <w:tcW w:w="785" w:type="dxa"/>
            <w:vMerge w:val="restart"/>
            <w:tcBorders>
              <w:left w:val="single" w:color="000000" w:sz="6" w:space="0"/>
              <w:bottom w:val="nil"/>
            </w:tcBorders>
            <w:vAlign w:val="top"/>
          </w:tcPr>
          <w:p w14:paraId="4B569057">
            <w:pPr>
              <w:rPr>
                <w:rFonts w:ascii="Arial"/>
                <w:sz w:val="21"/>
              </w:rPr>
            </w:pPr>
          </w:p>
        </w:tc>
        <w:tc>
          <w:tcPr>
            <w:tcW w:w="8127" w:type="dxa"/>
            <w:tcBorders>
              <w:right w:val="single" w:color="000000" w:sz="6" w:space="0"/>
            </w:tcBorders>
            <w:vAlign w:val="top"/>
          </w:tcPr>
          <w:p w14:paraId="68954E4E">
            <w:pPr>
              <w:pStyle w:val="6"/>
              <w:spacing w:before="146" w:line="353" w:lineRule="auto"/>
              <w:ind w:left="90" w:right="88" w:firstLine="2"/>
              <w:rPr>
                <w:sz w:val="20"/>
                <w:szCs w:val="20"/>
              </w:rPr>
            </w:pPr>
            <w:r>
              <w:rPr>
                <w:spacing w:val="9"/>
                <w:sz w:val="20"/>
                <w:szCs w:val="20"/>
              </w:rPr>
              <w:t>期排污水、软水装置再生废水以及生活污水，经化粪池收集处理后，</w:t>
            </w:r>
            <w:r>
              <w:rPr>
                <w:spacing w:val="8"/>
                <w:sz w:val="20"/>
                <w:szCs w:val="20"/>
              </w:rPr>
              <w:t>定期拉运至东岳场</w:t>
            </w:r>
            <w:r>
              <w:rPr>
                <w:sz w:val="20"/>
                <w:szCs w:val="20"/>
              </w:rPr>
              <w:t xml:space="preserve"> </w:t>
            </w:r>
            <w:r>
              <w:rPr>
                <w:spacing w:val="8"/>
                <w:sz w:val="20"/>
                <w:szCs w:val="20"/>
              </w:rPr>
              <w:t>镇生活污水处理厂处理后达标排放。</w:t>
            </w:r>
          </w:p>
          <w:p w14:paraId="0669F627">
            <w:pPr>
              <w:pStyle w:val="6"/>
              <w:spacing w:before="26" w:line="219" w:lineRule="auto"/>
              <w:ind w:left="549"/>
            </w:pPr>
            <w:r>
              <w:rPr>
                <w:spacing w:val="-1"/>
              </w:rPr>
              <w:t>因此，通过采取上述控制措施，本项目废水对区域地表水体影响较小。</w:t>
            </w:r>
          </w:p>
          <w:p w14:paraId="39EDB6E9">
            <w:pPr>
              <w:spacing w:before="137" w:line="223" w:lineRule="auto"/>
              <w:ind w:left="90"/>
              <w:rPr>
                <w:rFonts w:ascii="黑体" w:hAnsi="黑体" w:eastAsia="黑体" w:cs="黑体"/>
                <w:sz w:val="22"/>
                <w:szCs w:val="22"/>
              </w:rPr>
            </w:pPr>
            <w:r>
              <w:rPr>
                <w:rFonts w:ascii="黑体" w:hAnsi="黑体" w:eastAsia="黑体" w:cs="黑体"/>
                <w:spacing w:val="-2"/>
                <w:sz w:val="22"/>
                <w:szCs w:val="22"/>
              </w:rPr>
              <w:t>3、噪声</w:t>
            </w:r>
          </w:p>
          <w:p w14:paraId="45DF4B67">
            <w:pPr>
              <w:pStyle w:val="6"/>
              <w:spacing w:before="134" w:line="221" w:lineRule="auto"/>
              <w:ind w:left="85"/>
            </w:pPr>
            <w:r>
              <w:rPr>
                <w:rFonts w:ascii="Times New Roman" w:hAnsi="Times New Roman" w:eastAsia="Times New Roman" w:cs="Times New Roman"/>
                <w:b/>
                <w:bCs/>
                <w:spacing w:val="-2"/>
              </w:rPr>
              <w:t>3.1</w:t>
            </w:r>
            <w:r>
              <w:rPr>
                <w:b/>
                <w:bCs/>
                <w:spacing w:val="-2"/>
              </w:rPr>
              <w:t>噪声源强</w:t>
            </w:r>
          </w:p>
          <w:p w14:paraId="66B86198">
            <w:pPr>
              <w:pStyle w:val="6"/>
              <w:spacing w:before="138" w:line="326" w:lineRule="auto"/>
              <w:ind w:left="90" w:right="86" w:firstLine="445"/>
              <w:jc w:val="both"/>
            </w:pPr>
            <w:r>
              <w:t>项目营运期噪声主要来源于各类生产设备，包括</w:t>
            </w:r>
            <w:r>
              <w:rPr>
                <w:spacing w:val="-1"/>
              </w:rPr>
              <w:t>颚破机、筛分机、球磨机、翻</w:t>
            </w:r>
            <w:r>
              <w:t xml:space="preserve"> 转机、切割机、碰焊机、烘干机、搅拌机、输送带、风机、水泵、</w:t>
            </w:r>
            <w:r>
              <w:rPr>
                <w:spacing w:val="-1"/>
              </w:rPr>
              <w:t>空压机等，噪声</w:t>
            </w:r>
            <w:r>
              <w:t xml:space="preserve"> </w:t>
            </w:r>
            <w:r>
              <w:rPr>
                <w:spacing w:val="-2"/>
              </w:rPr>
              <w:t>声压级约</w:t>
            </w:r>
            <w:r>
              <w:rPr>
                <w:rFonts w:ascii="Times New Roman" w:hAnsi="Times New Roman" w:eastAsia="Times New Roman" w:cs="Times New Roman"/>
                <w:spacing w:val="-2"/>
              </w:rPr>
              <w:t>75</w:t>
            </w:r>
            <w:r>
              <w:rPr>
                <w:spacing w:val="-2"/>
              </w:rPr>
              <w:t>～</w:t>
            </w:r>
            <w:r>
              <w:rPr>
                <w:rFonts w:ascii="Times New Roman" w:hAnsi="Times New Roman" w:eastAsia="Times New Roman" w:cs="Times New Roman"/>
                <w:spacing w:val="-2"/>
              </w:rPr>
              <w:t>95dB(A)</w:t>
            </w:r>
            <w:r>
              <w:rPr>
                <w:spacing w:val="-2"/>
              </w:rPr>
              <w:t>。另外，物料</w:t>
            </w:r>
            <w:r>
              <w:rPr>
                <w:spacing w:val="-3"/>
              </w:rPr>
              <w:t>运输车辆会产生一定的交通噪声，噪声声压级约</w:t>
            </w:r>
            <w:r>
              <w:t xml:space="preserve"> </w:t>
            </w:r>
            <w:r>
              <w:rPr>
                <w:rFonts w:ascii="Times New Roman" w:hAnsi="Times New Roman" w:eastAsia="Times New Roman" w:cs="Times New Roman"/>
                <w:spacing w:val="-1"/>
              </w:rPr>
              <w:t>75</w:t>
            </w:r>
            <w:r>
              <w:rPr>
                <w:spacing w:val="-1"/>
              </w:rPr>
              <w:t>～</w:t>
            </w:r>
            <w:r>
              <w:rPr>
                <w:rFonts w:ascii="Times New Roman" w:hAnsi="Times New Roman" w:eastAsia="Times New Roman" w:cs="Times New Roman"/>
                <w:spacing w:val="-1"/>
              </w:rPr>
              <w:t>85dB(A)</w:t>
            </w:r>
            <w:r>
              <w:rPr>
                <w:spacing w:val="-1"/>
              </w:rPr>
              <w:t>。</w:t>
            </w:r>
          </w:p>
          <w:p w14:paraId="7E27B37B">
            <w:pPr>
              <w:spacing w:before="61" w:line="222" w:lineRule="auto"/>
              <w:ind w:left="2879"/>
              <w:rPr>
                <w:rFonts w:ascii="黑体" w:hAnsi="黑体" w:eastAsia="黑体" w:cs="黑体"/>
                <w:sz w:val="16"/>
                <w:szCs w:val="16"/>
              </w:rPr>
            </w:pPr>
            <w:r>
              <w:rPr>
                <w:rFonts w:ascii="黑体" w:hAnsi="黑体" w:eastAsia="黑体" w:cs="黑体"/>
                <w:spacing w:val="-1"/>
                <w:sz w:val="16"/>
                <w:szCs w:val="16"/>
              </w:rPr>
              <w:t>表</w:t>
            </w:r>
            <w:r>
              <w:rPr>
                <w:rFonts w:ascii="Times New Roman" w:hAnsi="Times New Roman" w:eastAsia="Times New Roman" w:cs="Times New Roman"/>
                <w:spacing w:val="-1"/>
                <w:sz w:val="16"/>
                <w:szCs w:val="16"/>
              </w:rPr>
              <w:t xml:space="preserve">4-8      </w:t>
            </w:r>
            <w:r>
              <w:rPr>
                <w:rFonts w:ascii="黑体" w:hAnsi="黑体" w:eastAsia="黑体" w:cs="黑体"/>
                <w:spacing w:val="-1"/>
                <w:sz w:val="16"/>
                <w:szCs w:val="16"/>
              </w:rPr>
              <w:t>项目室内声源调查一览表</w:t>
            </w:r>
          </w:p>
          <w:p w14:paraId="2A7C91CC">
            <w:pPr>
              <w:spacing w:line="19" w:lineRule="exact"/>
            </w:pPr>
          </w:p>
          <w:tbl>
            <w:tblPr>
              <w:tblStyle w:val="5"/>
              <w:tblW w:w="7784"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12"/>
              <w:gridCol w:w="621"/>
              <w:gridCol w:w="711"/>
              <w:gridCol w:w="1267"/>
              <w:gridCol w:w="607"/>
              <w:gridCol w:w="667"/>
              <w:gridCol w:w="506"/>
              <w:gridCol w:w="680"/>
              <w:gridCol w:w="737"/>
              <w:gridCol w:w="727"/>
            </w:tblGrid>
            <w:tr w14:paraId="75AD3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549" w:type="dxa"/>
                  <w:vMerge w:val="restart"/>
                  <w:tcBorders>
                    <w:bottom w:val="nil"/>
                  </w:tcBorders>
                  <w:vAlign w:val="top"/>
                </w:tcPr>
                <w:p w14:paraId="40D08A08">
                  <w:pPr>
                    <w:pStyle w:val="6"/>
                    <w:spacing w:before="222" w:line="328" w:lineRule="auto"/>
                    <w:ind w:left="128" w:right="50" w:hanging="76"/>
                    <w:rPr>
                      <w:sz w:val="14"/>
                      <w:szCs w:val="14"/>
                    </w:rPr>
                  </w:pPr>
                  <w:r>
                    <w:rPr>
                      <w:b/>
                      <w:bCs/>
                      <w:spacing w:val="5"/>
                      <w:sz w:val="14"/>
                      <w:szCs w:val="14"/>
                    </w:rPr>
                    <w:t>建筑物</w:t>
                  </w:r>
                  <w:r>
                    <w:rPr>
                      <w:sz w:val="14"/>
                      <w:szCs w:val="14"/>
                    </w:rPr>
                    <w:t xml:space="preserve"> </w:t>
                  </w:r>
                  <w:r>
                    <w:rPr>
                      <w:b/>
                      <w:bCs/>
                      <w:spacing w:val="4"/>
                      <w:sz w:val="14"/>
                      <w:szCs w:val="14"/>
                    </w:rPr>
                    <w:t>名称</w:t>
                  </w:r>
                </w:p>
              </w:tc>
              <w:tc>
                <w:tcPr>
                  <w:tcW w:w="712" w:type="dxa"/>
                  <w:vMerge w:val="restart"/>
                  <w:tcBorders>
                    <w:bottom w:val="nil"/>
                  </w:tcBorders>
                  <w:vAlign w:val="top"/>
                </w:tcPr>
                <w:p w14:paraId="781626BA">
                  <w:pPr>
                    <w:pStyle w:val="6"/>
                    <w:spacing w:before="222" w:line="328" w:lineRule="auto"/>
                    <w:ind w:left="208" w:right="205" w:firstLine="1"/>
                    <w:rPr>
                      <w:sz w:val="14"/>
                      <w:szCs w:val="14"/>
                    </w:rPr>
                  </w:pPr>
                  <w:r>
                    <w:rPr>
                      <w:b/>
                      <w:bCs/>
                      <w:spacing w:val="4"/>
                      <w:sz w:val="14"/>
                      <w:szCs w:val="14"/>
                    </w:rPr>
                    <w:t>声源</w:t>
                  </w:r>
                  <w:r>
                    <w:rPr>
                      <w:sz w:val="14"/>
                      <w:szCs w:val="14"/>
                    </w:rPr>
                    <w:t xml:space="preserve"> </w:t>
                  </w:r>
                  <w:r>
                    <w:rPr>
                      <w:b/>
                      <w:bCs/>
                      <w:spacing w:val="4"/>
                      <w:sz w:val="14"/>
                      <w:szCs w:val="14"/>
                    </w:rPr>
                    <w:t>名称</w:t>
                  </w:r>
                </w:p>
              </w:tc>
              <w:tc>
                <w:tcPr>
                  <w:tcW w:w="621" w:type="dxa"/>
                  <w:vMerge w:val="restart"/>
                  <w:tcBorders>
                    <w:bottom w:val="nil"/>
                  </w:tcBorders>
                  <w:vAlign w:val="top"/>
                </w:tcPr>
                <w:p w14:paraId="56731D9B">
                  <w:pPr>
                    <w:pStyle w:val="6"/>
                    <w:spacing w:before="93" w:line="232" w:lineRule="auto"/>
                    <w:ind w:left="165"/>
                    <w:rPr>
                      <w:sz w:val="14"/>
                      <w:szCs w:val="14"/>
                    </w:rPr>
                  </w:pPr>
                  <w:r>
                    <w:rPr>
                      <w:b/>
                      <w:bCs/>
                      <w:spacing w:val="4"/>
                      <w:sz w:val="14"/>
                      <w:szCs w:val="14"/>
                    </w:rPr>
                    <w:t>声功</w:t>
                  </w:r>
                </w:p>
                <w:p w14:paraId="316EFAFB">
                  <w:pPr>
                    <w:pStyle w:val="6"/>
                    <w:spacing w:before="83" w:line="231" w:lineRule="auto"/>
                    <w:ind w:left="163"/>
                    <w:rPr>
                      <w:sz w:val="14"/>
                      <w:szCs w:val="14"/>
                    </w:rPr>
                  </w:pPr>
                  <w:r>
                    <w:rPr>
                      <w:b/>
                      <w:bCs/>
                      <w:spacing w:val="5"/>
                      <w:sz w:val="14"/>
                      <w:szCs w:val="14"/>
                    </w:rPr>
                    <w:t>率级</w:t>
                  </w:r>
                </w:p>
                <w:p w14:paraId="42194F64">
                  <w:pPr>
                    <w:spacing w:before="109" w:line="200" w:lineRule="auto"/>
                    <w:ind w:left="91"/>
                    <w:rPr>
                      <w:rFonts w:ascii="Times New Roman" w:hAnsi="Times New Roman" w:eastAsia="Times New Roman" w:cs="Times New Roman"/>
                      <w:sz w:val="14"/>
                      <w:szCs w:val="14"/>
                    </w:rPr>
                  </w:pPr>
                  <w:r>
                    <w:rPr>
                      <w:rFonts w:ascii="Times New Roman" w:hAnsi="Times New Roman" w:eastAsia="Times New Roman" w:cs="Times New Roman"/>
                      <w:b/>
                      <w:bCs/>
                      <w:spacing w:val="6"/>
                      <w:sz w:val="14"/>
                      <w:szCs w:val="14"/>
                    </w:rPr>
                    <w:t>/</w:t>
                  </w:r>
                  <w:r>
                    <w:rPr>
                      <w:rFonts w:ascii="Times New Roman" w:hAnsi="Times New Roman" w:eastAsia="Times New Roman" w:cs="Times New Roman"/>
                      <w:b/>
                      <w:bCs/>
                      <w:sz w:val="14"/>
                      <w:szCs w:val="14"/>
                    </w:rPr>
                    <w:t>dB</w:t>
                  </w:r>
                  <w:r>
                    <w:rPr>
                      <w:rFonts w:ascii="Times New Roman" w:hAnsi="Times New Roman" w:eastAsia="Times New Roman" w:cs="Times New Roman"/>
                      <w:b/>
                      <w:bCs/>
                      <w:spacing w:val="6"/>
                      <w:sz w:val="14"/>
                      <w:szCs w:val="14"/>
                    </w:rPr>
                    <w:t>(A)</w:t>
                  </w:r>
                </w:p>
              </w:tc>
              <w:tc>
                <w:tcPr>
                  <w:tcW w:w="711" w:type="dxa"/>
                  <w:vMerge w:val="restart"/>
                  <w:tcBorders>
                    <w:bottom w:val="nil"/>
                  </w:tcBorders>
                  <w:vAlign w:val="top"/>
                </w:tcPr>
                <w:p w14:paraId="48424407">
                  <w:pPr>
                    <w:pStyle w:val="6"/>
                    <w:spacing w:before="223" w:line="327" w:lineRule="auto"/>
                    <w:ind w:left="208" w:right="54" w:hanging="148"/>
                    <w:rPr>
                      <w:sz w:val="14"/>
                      <w:szCs w:val="14"/>
                    </w:rPr>
                  </w:pPr>
                  <w:r>
                    <w:rPr>
                      <w:b/>
                      <w:bCs/>
                      <w:spacing w:val="6"/>
                      <w:sz w:val="14"/>
                      <w:szCs w:val="14"/>
                    </w:rPr>
                    <w:t>声源控制</w:t>
                  </w:r>
                  <w:r>
                    <w:rPr>
                      <w:sz w:val="14"/>
                      <w:szCs w:val="14"/>
                    </w:rPr>
                    <w:t xml:space="preserve"> </w:t>
                  </w:r>
                  <w:r>
                    <w:rPr>
                      <w:b/>
                      <w:bCs/>
                      <w:spacing w:val="5"/>
                      <w:sz w:val="14"/>
                      <w:szCs w:val="14"/>
                    </w:rPr>
                    <w:t>措施</w:t>
                  </w:r>
                </w:p>
              </w:tc>
              <w:tc>
                <w:tcPr>
                  <w:tcW w:w="1267" w:type="dxa"/>
                  <w:vAlign w:val="top"/>
                </w:tcPr>
                <w:p w14:paraId="7BA45DA1">
                  <w:pPr>
                    <w:pStyle w:val="6"/>
                    <w:spacing w:before="71" w:line="233" w:lineRule="auto"/>
                    <w:ind w:left="227"/>
                    <w:rPr>
                      <w:rFonts w:ascii="Times New Roman" w:hAnsi="Times New Roman" w:eastAsia="Times New Roman" w:cs="Times New Roman"/>
                      <w:sz w:val="14"/>
                      <w:szCs w:val="14"/>
                    </w:rPr>
                  </w:pPr>
                  <w:r>
                    <w:rPr>
                      <w:b/>
                      <w:bCs/>
                      <w:spacing w:val="-10"/>
                      <w:w w:val="92"/>
                      <w:sz w:val="14"/>
                      <w:szCs w:val="14"/>
                    </w:rPr>
                    <w:t>空间相对位置</w:t>
                  </w:r>
                  <w:r>
                    <w:rPr>
                      <w:rFonts w:ascii="Times New Roman" w:hAnsi="Times New Roman" w:eastAsia="Times New Roman" w:cs="Times New Roman"/>
                      <w:b/>
                      <w:bCs/>
                      <w:spacing w:val="-10"/>
                      <w:w w:val="92"/>
                      <w:sz w:val="14"/>
                      <w:szCs w:val="14"/>
                    </w:rPr>
                    <w:t>/m</w:t>
                  </w:r>
                </w:p>
              </w:tc>
              <w:tc>
                <w:tcPr>
                  <w:tcW w:w="607" w:type="dxa"/>
                  <w:vMerge w:val="restart"/>
                  <w:tcBorders>
                    <w:bottom w:val="nil"/>
                  </w:tcBorders>
                  <w:vAlign w:val="top"/>
                </w:tcPr>
                <w:p w14:paraId="76303699">
                  <w:pPr>
                    <w:pStyle w:val="6"/>
                    <w:spacing w:before="93" w:line="308" w:lineRule="auto"/>
                    <w:ind w:left="80" w:right="77"/>
                    <w:jc w:val="both"/>
                    <w:rPr>
                      <w:rFonts w:ascii="Times New Roman" w:hAnsi="Times New Roman" w:eastAsia="Times New Roman" w:cs="Times New Roman"/>
                      <w:sz w:val="14"/>
                      <w:szCs w:val="14"/>
                    </w:rPr>
                  </w:pPr>
                  <w:r>
                    <w:rPr>
                      <w:b/>
                      <w:bCs/>
                      <w:spacing w:val="6"/>
                      <w:sz w:val="14"/>
                      <w:szCs w:val="14"/>
                    </w:rPr>
                    <w:t>距室内</w:t>
                  </w:r>
                  <w:r>
                    <w:rPr>
                      <w:sz w:val="14"/>
                      <w:szCs w:val="14"/>
                    </w:rPr>
                    <w:t xml:space="preserve"> </w:t>
                  </w:r>
                  <w:r>
                    <w:rPr>
                      <w:b/>
                      <w:bCs/>
                      <w:spacing w:val="6"/>
                      <w:sz w:val="14"/>
                      <w:szCs w:val="14"/>
                    </w:rPr>
                    <w:t>边界距</w:t>
                  </w:r>
                  <w:r>
                    <w:rPr>
                      <w:sz w:val="14"/>
                      <w:szCs w:val="14"/>
                    </w:rPr>
                    <w:t xml:space="preserve"> </w:t>
                  </w:r>
                  <w:r>
                    <w:rPr>
                      <w:b/>
                      <w:bCs/>
                      <w:spacing w:val="7"/>
                      <w:w w:val="120"/>
                      <w:sz w:val="14"/>
                      <w:szCs w:val="14"/>
                    </w:rPr>
                    <w:t>离</w:t>
                  </w:r>
                  <w:r>
                    <w:rPr>
                      <w:rFonts w:ascii="Times New Roman" w:hAnsi="Times New Roman" w:eastAsia="Times New Roman" w:cs="Times New Roman"/>
                      <w:b/>
                      <w:bCs/>
                      <w:spacing w:val="7"/>
                      <w:w w:val="120"/>
                      <w:sz w:val="14"/>
                      <w:szCs w:val="14"/>
                    </w:rPr>
                    <w:t>/m</w:t>
                  </w:r>
                </w:p>
              </w:tc>
              <w:tc>
                <w:tcPr>
                  <w:tcW w:w="667" w:type="dxa"/>
                  <w:vMerge w:val="restart"/>
                  <w:tcBorders>
                    <w:bottom w:val="nil"/>
                  </w:tcBorders>
                  <w:vAlign w:val="top"/>
                </w:tcPr>
                <w:p w14:paraId="749ABCB2">
                  <w:pPr>
                    <w:pStyle w:val="6"/>
                    <w:spacing w:before="94" w:line="320" w:lineRule="auto"/>
                    <w:ind w:left="115" w:right="106" w:hanging="1"/>
                    <w:jc w:val="both"/>
                    <w:rPr>
                      <w:rFonts w:ascii="Times New Roman" w:hAnsi="Times New Roman" w:eastAsia="Times New Roman" w:cs="Times New Roman"/>
                      <w:sz w:val="14"/>
                      <w:szCs w:val="14"/>
                    </w:rPr>
                  </w:pPr>
                  <w:r>
                    <w:rPr>
                      <w:b/>
                      <w:bCs/>
                      <w:spacing w:val="5"/>
                      <w:sz w:val="14"/>
                      <w:szCs w:val="14"/>
                    </w:rPr>
                    <w:t>室内边</w:t>
                  </w:r>
                  <w:r>
                    <w:rPr>
                      <w:sz w:val="14"/>
                      <w:szCs w:val="14"/>
                    </w:rPr>
                    <w:t xml:space="preserve"> </w:t>
                  </w:r>
                  <w:r>
                    <w:rPr>
                      <w:b/>
                      <w:bCs/>
                      <w:spacing w:val="5"/>
                      <w:sz w:val="14"/>
                      <w:szCs w:val="14"/>
                    </w:rPr>
                    <w:t>界声级</w:t>
                  </w:r>
                  <w:r>
                    <w:rPr>
                      <w:sz w:val="14"/>
                      <w:szCs w:val="14"/>
                    </w:rPr>
                    <w:t xml:space="preserve"> </w:t>
                  </w:r>
                  <w:r>
                    <w:rPr>
                      <w:rFonts w:ascii="Times New Roman" w:hAnsi="Times New Roman" w:eastAsia="Times New Roman" w:cs="Times New Roman"/>
                      <w:b/>
                      <w:bCs/>
                      <w:spacing w:val="6"/>
                      <w:sz w:val="14"/>
                      <w:szCs w:val="14"/>
                    </w:rPr>
                    <w:t>/</w:t>
                  </w:r>
                  <w:r>
                    <w:rPr>
                      <w:rFonts w:ascii="Times New Roman" w:hAnsi="Times New Roman" w:eastAsia="Times New Roman" w:cs="Times New Roman"/>
                      <w:b/>
                      <w:bCs/>
                      <w:sz w:val="14"/>
                      <w:szCs w:val="14"/>
                    </w:rPr>
                    <w:t>dB</w:t>
                  </w:r>
                  <w:r>
                    <w:rPr>
                      <w:rFonts w:ascii="Times New Roman" w:hAnsi="Times New Roman" w:eastAsia="Times New Roman" w:cs="Times New Roman"/>
                      <w:b/>
                      <w:bCs/>
                      <w:spacing w:val="6"/>
                      <w:sz w:val="14"/>
                      <w:szCs w:val="14"/>
                    </w:rPr>
                    <w:t>(A)</w:t>
                  </w:r>
                </w:p>
              </w:tc>
              <w:tc>
                <w:tcPr>
                  <w:tcW w:w="506" w:type="dxa"/>
                  <w:vMerge w:val="restart"/>
                  <w:tcBorders>
                    <w:bottom w:val="nil"/>
                  </w:tcBorders>
                  <w:vAlign w:val="top"/>
                </w:tcPr>
                <w:p w14:paraId="2E698D26">
                  <w:pPr>
                    <w:pStyle w:val="6"/>
                    <w:spacing w:before="223" w:line="327" w:lineRule="auto"/>
                    <w:ind w:left="112" w:right="101" w:hanging="7"/>
                    <w:rPr>
                      <w:sz w:val="14"/>
                      <w:szCs w:val="14"/>
                    </w:rPr>
                  </w:pPr>
                  <w:r>
                    <w:rPr>
                      <w:b/>
                      <w:bCs/>
                      <w:spacing w:val="5"/>
                      <w:sz w:val="14"/>
                      <w:szCs w:val="14"/>
                    </w:rPr>
                    <w:t>运行</w:t>
                  </w:r>
                  <w:r>
                    <w:rPr>
                      <w:sz w:val="14"/>
                      <w:szCs w:val="14"/>
                    </w:rPr>
                    <w:t xml:space="preserve"> </w:t>
                  </w:r>
                  <w:r>
                    <w:rPr>
                      <w:b/>
                      <w:bCs/>
                      <w:spacing w:val="2"/>
                      <w:sz w:val="14"/>
                      <w:szCs w:val="14"/>
                    </w:rPr>
                    <w:t>时段</w:t>
                  </w:r>
                </w:p>
              </w:tc>
              <w:tc>
                <w:tcPr>
                  <w:tcW w:w="680" w:type="dxa"/>
                  <w:vMerge w:val="restart"/>
                  <w:tcBorders>
                    <w:bottom w:val="nil"/>
                  </w:tcBorders>
                  <w:vAlign w:val="top"/>
                </w:tcPr>
                <w:p w14:paraId="0E9B1D28">
                  <w:pPr>
                    <w:pStyle w:val="6"/>
                    <w:spacing w:before="222" w:line="325" w:lineRule="auto"/>
                    <w:ind w:left="61" w:right="13" w:hanging="7"/>
                    <w:rPr>
                      <w:rFonts w:ascii="Times New Roman" w:hAnsi="Times New Roman" w:eastAsia="Times New Roman" w:cs="Times New Roman"/>
                      <w:sz w:val="14"/>
                      <w:szCs w:val="14"/>
                    </w:rPr>
                  </w:pPr>
                  <w:r>
                    <w:rPr>
                      <w:b/>
                      <w:bCs/>
                      <w:spacing w:val="-9"/>
                      <w:w w:val="92"/>
                      <w:sz w:val="14"/>
                      <w:szCs w:val="14"/>
                    </w:rPr>
                    <w:t>建筑物插入</w:t>
                  </w:r>
                  <w:r>
                    <w:rPr>
                      <w:sz w:val="14"/>
                      <w:szCs w:val="14"/>
                    </w:rPr>
                    <w:t xml:space="preserve"> </w:t>
                  </w:r>
                  <w:r>
                    <w:rPr>
                      <w:b/>
                      <w:bCs/>
                      <w:spacing w:val="-5"/>
                      <w:w w:val="91"/>
                      <w:sz w:val="14"/>
                      <w:szCs w:val="14"/>
                    </w:rPr>
                    <w:t>损失</w:t>
                  </w:r>
                  <w:r>
                    <w:rPr>
                      <w:rFonts w:ascii="Times New Roman" w:hAnsi="Times New Roman" w:eastAsia="Times New Roman" w:cs="Times New Roman"/>
                      <w:b/>
                      <w:bCs/>
                      <w:spacing w:val="-5"/>
                      <w:w w:val="91"/>
                      <w:sz w:val="14"/>
                      <w:szCs w:val="14"/>
                    </w:rPr>
                    <w:t>/dB(A)</w:t>
                  </w:r>
                </w:p>
              </w:tc>
              <w:tc>
                <w:tcPr>
                  <w:tcW w:w="1464" w:type="dxa"/>
                  <w:gridSpan w:val="2"/>
                  <w:vAlign w:val="top"/>
                </w:tcPr>
                <w:p w14:paraId="54C8E56D">
                  <w:pPr>
                    <w:pStyle w:val="6"/>
                    <w:spacing w:before="86" w:line="232" w:lineRule="auto"/>
                    <w:ind w:left="277"/>
                    <w:rPr>
                      <w:sz w:val="14"/>
                      <w:szCs w:val="14"/>
                    </w:rPr>
                  </w:pPr>
                  <w:r>
                    <w:rPr>
                      <w:b/>
                      <w:bCs/>
                      <w:spacing w:val="7"/>
                      <w:sz w:val="14"/>
                      <w:szCs w:val="14"/>
                    </w:rPr>
                    <w:t>建筑物外噪声</w:t>
                  </w:r>
                </w:p>
              </w:tc>
            </w:tr>
            <w:tr w14:paraId="5E32E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49" w:type="dxa"/>
                  <w:vMerge w:val="continue"/>
                  <w:tcBorders>
                    <w:top w:val="nil"/>
                  </w:tcBorders>
                  <w:vAlign w:val="top"/>
                </w:tcPr>
                <w:p w14:paraId="6A1D5335">
                  <w:pPr>
                    <w:rPr>
                      <w:rFonts w:ascii="Arial"/>
                      <w:sz w:val="21"/>
                    </w:rPr>
                  </w:pPr>
                </w:p>
              </w:tc>
              <w:tc>
                <w:tcPr>
                  <w:tcW w:w="712" w:type="dxa"/>
                  <w:vMerge w:val="continue"/>
                  <w:tcBorders>
                    <w:top w:val="nil"/>
                  </w:tcBorders>
                  <w:vAlign w:val="top"/>
                </w:tcPr>
                <w:p w14:paraId="3ADDF4EF">
                  <w:pPr>
                    <w:rPr>
                      <w:rFonts w:ascii="Arial"/>
                      <w:sz w:val="21"/>
                    </w:rPr>
                  </w:pPr>
                </w:p>
              </w:tc>
              <w:tc>
                <w:tcPr>
                  <w:tcW w:w="621" w:type="dxa"/>
                  <w:vMerge w:val="continue"/>
                  <w:tcBorders>
                    <w:top w:val="nil"/>
                  </w:tcBorders>
                  <w:vAlign w:val="top"/>
                </w:tcPr>
                <w:p w14:paraId="6E7E2619">
                  <w:pPr>
                    <w:rPr>
                      <w:rFonts w:ascii="Arial"/>
                      <w:sz w:val="21"/>
                    </w:rPr>
                  </w:pPr>
                </w:p>
              </w:tc>
              <w:tc>
                <w:tcPr>
                  <w:tcW w:w="711" w:type="dxa"/>
                  <w:vMerge w:val="continue"/>
                  <w:tcBorders>
                    <w:top w:val="nil"/>
                  </w:tcBorders>
                  <w:vAlign w:val="top"/>
                </w:tcPr>
                <w:p w14:paraId="5465EA3F">
                  <w:pPr>
                    <w:rPr>
                      <w:rFonts w:ascii="Arial"/>
                      <w:sz w:val="21"/>
                    </w:rPr>
                  </w:pPr>
                </w:p>
              </w:tc>
              <w:tc>
                <w:tcPr>
                  <w:tcW w:w="1267" w:type="dxa"/>
                  <w:vAlign w:val="top"/>
                </w:tcPr>
                <w:p w14:paraId="42E010D8">
                  <w:pPr>
                    <w:pStyle w:val="6"/>
                    <w:spacing w:before="221" w:line="189" w:lineRule="auto"/>
                    <w:ind w:left="323"/>
                    <w:rPr>
                      <w:rFonts w:ascii="Times New Roman" w:hAnsi="Times New Roman" w:eastAsia="Times New Roman" w:cs="Times New Roman"/>
                      <w:sz w:val="14"/>
                      <w:szCs w:val="14"/>
                    </w:rPr>
                  </w:pPr>
                  <w:r>
                    <w:rPr>
                      <w:rFonts w:ascii="Times New Roman" w:hAnsi="Times New Roman" w:eastAsia="Times New Roman" w:cs="Times New Roman"/>
                      <w:b/>
                      <w:bCs/>
                      <w:sz w:val="14"/>
                      <w:szCs w:val="14"/>
                    </w:rPr>
                    <w:t>X</w:t>
                  </w:r>
                  <w:r>
                    <w:rPr>
                      <w:rFonts w:ascii="Times New Roman" w:hAnsi="Times New Roman" w:eastAsia="Times New Roman" w:cs="Times New Roman"/>
                      <w:b/>
                      <w:bCs/>
                      <w:spacing w:val="-17"/>
                      <w:sz w:val="14"/>
                      <w:szCs w:val="14"/>
                    </w:rPr>
                    <w:t xml:space="preserve"> </w:t>
                  </w:r>
                  <w:r>
                    <w:rPr>
                      <w:b/>
                      <w:bCs/>
                      <w:sz w:val="14"/>
                      <w:szCs w:val="14"/>
                    </w:rPr>
                    <w:t>，</w:t>
                  </w:r>
                  <w:r>
                    <w:rPr>
                      <w:rFonts w:ascii="Times New Roman" w:hAnsi="Times New Roman" w:eastAsia="Times New Roman" w:cs="Times New Roman"/>
                      <w:b/>
                      <w:bCs/>
                      <w:sz w:val="14"/>
                      <w:szCs w:val="14"/>
                    </w:rPr>
                    <w:t>Y</w:t>
                  </w:r>
                  <w:r>
                    <w:rPr>
                      <w:rFonts w:ascii="Times New Roman" w:hAnsi="Times New Roman" w:eastAsia="Times New Roman" w:cs="Times New Roman"/>
                      <w:b/>
                      <w:bCs/>
                      <w:spacing w:val="-16"/>
                      <w:sz w:val="14"/>
                      <w:szCs w:val="14"/>
                    </w:rPr>
                    <w:t xml:space="preserve"> </w:t>
                  </w:r>
                  <w:r>
                    <w:rPr>
                      <w:b/>
                      <w:bCs/>
                      <w:sz w:val="14"/>
                      <w:szCs w:val="14"/>
                    </w:rPr>
                    <w:t>，</w:t>
                  </w:r>
                  <w:r>
                    <w:rPr>
                      <w:rFonts w:ascii="Times New Roman" w:hAnsi="Times New Roman" w:eastAsia="Times New Roman" w:cs="Times New Roman"/>
                      <w:b/>
                      <w:bCs/>
                      <w:sz w:val="14"/>
                      <w:szCs w:val="14"/>
                    </w:rPr>
                    <w:t>Z</w:t>
                  </w:r>
                </w:p>
              </w:tc>
              <w:tc>
                <w:tcPr>
                  <w:tcW w:w="607" w:type="dxa"/>
                  <w:vMerge w:val="continue"/>
                  <w:tcBorders>
                    <w:top w:val="nil"/>
                  </w:tcBorders>
                  <w:vAlign w:val="top"/>
                </w:tcPr>
                <w:p w14:paraId="3DC8C550">
                  <w:pPr>
                    <w:rPr>
                      <w:rFonts w:ascii="Arial"/>
                      <w:sz w:val="21"/>
                    </w:rPr>
                  </w:pPr>
                </w:p>
              </w:tc>
              <w:tc>
                <w:tcPr>
                  <w:tcW w:w="667" w:type="dxa"/>
                  <w:vMerge w:val="continue"/>
                  <w:tcBorders>
                    <w:top w:val="nil"/>
                  </w:tcBorders>
                  <w:vAlign w:val="top"/>
                </w:tcPr>
                <w:p w14:paraId="541C9186">
                  <w:pPr>
                    <w:rPr>
                      <w:rFonts w:ascii="Arial"/>
                      <w:sz w:val="21"/>
                    </w:rPr>
                  </w:pPr>
                </w:p>
              </w:tc>
              <w:tc>
                <w:tcPr>
                  <w:tcW w:w="506" w:type="dxa"/>
                  <w:vMerge w:val="continue"/>
                  <w:tcBorders>
                    <w:top w:val="nil"/>
                  </w:tcBorders>
                  <w:vAlign w:val="top"/>
                </w:tcPr>
                <w:p w14:paraId="79988CCC">
                  <w:pPr>
                    <w:rPr>
                      <w:rFonts w:ascii="Arial"/>
                      <w:sz w:val="21"/>
                    </w:rPr>
                  </w:pPr>
                </w:p>
              </w:tc>
              <w:tc>
                <w:tcPr>
                  <w:tcW w:w="680" w:type="dxa"/>
                  <w:vMerge w:val="continue"/>
                  <w:tcBorders>
                    <w:top w:val="nil"/>
                  </w:tcBorders>
                  <w:vAlign w:val="top"/>
                </w:tcPr>
                <w:p w14:paraId="5981EFD1">
                  <w:pPr>
                    <w:rPr>
                      <w:rFonts w:ascii="Arial"/>
                      <w:sz w:val="21"/>
                    </w:rPr>
                  </w:pPr>
                </w:p>
              </w:tc>
              <w:tc>
                <w:tcPr>
                  <w:tcW w:w="737" w:type="dxa"/>
                  <w:vAlign w:val="top"/>
                </w:tcPr>
                <w:p w14:paraId="1BF65789">
                  <w:pPr>
                    <w:pStyle w:val="6"/>
                    <w:spacing w:before="80" w:line="304" w:lineRule="auto"/>
                    <w:ind w:left="149" w:right="140" w:firstLine="1"/>
                    <w:rPr>
                      <w:rFonts w:ascii="Times New Roman" w:hAnsi="Times New Roman" w:eastAsia="Times New Roman" w:cs="Times New Roman"/>
                      <w:sz w:val="14"/>
                      <w:szCs w:val="14"/>
                    </w:rPr>
                  </w:pPr>
                  <w:r>
                    <w:rPr>
                      <w:b/>
                      <w:bCs/>
                      <w:spacing w:val="5"/>
                      <w:sz w:val="14"/>
                      <w:szCs w:val="14"/>
                    </w:rPr>
                    <w:t>声压级</w:t>
                  </w:r>
                  <w:r>
                    <w:rPr>
                      <w:sz w:val="14"/>
                      <w:szCs w:val="14"/>
                    </w:rPr>
                    <w:t xml:space="preserve"> </w:t>
                  </w:r>
                  <w:r>
                    <w:rPr>
                      <w:rFonts w:ascii="Times New Roman" w:hAnsi="Times New Roman" w:eastAsia="Times New Roman" w:cs="Times New Roman"/>
                      <w:b/>
                      <w:bCs/>
                      <w:spacing w:val="7"/>
                      <w:sz w:val="14"/>
                      <w:szCs w:val="14"/>
                    </w:rPr>
                    <w:t>/</w:t>
                  </w:r>
                  <w:r>
                    <w:rPr>
                      <w:rFonts w:ascii="Times New Roman" w:hAnsi="Times New Roman" w:eastAsia="Times New Roman" w:cs="Times New Roman"/>
                      <w:b/>
                      <w:bCs/>
                      <w:sz w:val="14"/>
                      <w:szCs w:val="14"/>
                    </w:rPr>
                    <w:t>dB</w:t>
                  </w:r>
                  <w:r>
                    <w:rPr>
                      <w:rFonts w:ascii="Times New Roman" w:hAnsi="Times New Roman" w:eastAsia="Times New Roman" w:cs="Times New Roman"/>
                      <w:b/>
                      <w:bCs/>
                      <w:spacing w:val="7"/>
                      <w:sz w:val="14"/>
                      <w:szCs w:val="14"/>
                    </w:rPr>
                    <w:t>(A)</w:t>
                  </w:r>
                </w:p>
              </w:tc>
              <w:tc>
                <w:tcPr>
                  <w:tcW w:w="727" w:type="dxa"/>
                  <w:vAlign w:val="top"/>
                </w:tcPr>
                <w:p w14:paraId="776D1C40">
                  <w:pPr>
                    <w:pStyle w:val="6"/>
                    <w:spacing w:before="81" w:line="286" w:lineRule="auto"/>
                    <w:ind w:left="208" w:right="68" w:hanging="148"/>
                    <w:rPr>
                      <w:sz w:val="14"/>
                      <w:szCs w:val="14"/>
                    </w:rPr>
                  </w:pPr>
                  <w:r>
                    <w:rPr>
                      <w:b/>
                      <w:bCs/>
                      <w:spacing w:val="6"/>
                      <w:sz w:val="14"/>
                      <w:szCs w:val="14"/>
                    </w:rPr>
                    <w:t>建筑物外</w:t>
                  </w:r>
                  <w:r>
                    <w:rPr>
                      <w:spacing w:val="1"/>
                      <w:sz w:val="14"/>
                      <w:szCs w:val="14"/>
                    </w:rPr>
                    <w:t xml:space="preserve"> </w:t>
                  </w:r>
                  <w:r>
                    <w:rPr>
                      <w:b/>
                      <w:bCs/>
                      <w:spacing w:val="6"/>
                      <w:sz w:val="14"/>
                      <w:szCs w:val="14"/>
                    </w:rPr>
                    <w:t>距离</w:t>
                  </w:r>
                </w:p>
              </w:tc>
            </w:tr>
            <w:tr w14:paraId="6E929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restart"/>
                  <w:tcBorders>
                    <w:bottom w:val="nil"/>
                  </w:tcBorders>
                  <w:vAlign w:val="top"/>
                </w:tcPr>
                <w:p w14:paraId="646A6A08">
                  <w:pPr>
                    <w:spacing w:line="319" w:lineRule="auto"/>
                    <w:rPr>
                      <w:rFonts w:ascii="Arial"/>
                      <w:sz w:val="21"/>
                    </w:rPr>
                  </w:pPr>
                </w:p>
                <w:p w14:paraId="5ADB739A">
                  <w:pPr>
                    <w:pStyle w:val="6"/>
                    <w:spacing w:before="46" w:line="327" w:lineRule="auto"/>
                    <w:ind w:left="127" w:right="124"/>
                    <w:rPr>
                      <w:sz w:val="14"/>
                      <w:szCs w:val="14"/>
                    </w:rPr>
                  </w:pPr>
                  <w:r>
                    <w:rPr>
                      <w:spacing w:val="5"/>
                      <w:sz w:val="14"/>
                      <w:szCs w:val="14"/>
                    </w:rPr>
                    <w:t>地下</w:t>
                  </w:r>
                  <w:r>
                    <w:rPr>
                      <w:sz w:val="14"/>
                      <w:szCs w:val="14"/>
                    </w:rPr>
                    <w:t xml:space="preserve"> </w:t>
                  </w:r>
                  <w:r>
                    <w:rPr>
                      <w:spacing w:val="5"/>
                      <w:sz w:val="14"/>
                      <w:szCs w:val="14"/>
                    </w:rPr>
                    <w:t>堆场</w:t>
                  </w:r>
                </w:p>
              </w:tc>
              <w:tc>
                <w:tcPr>
                  <w:tcW w:w="712" w:type="dxa"/>
                  <w:vAlign w:val="top"/>
                </w:tcPr>
                <w:p w14:paraId="22F61BFB">
                  <w:pPr>
                    <w:pStyle w:val="6"/>
                    <w:spacing w:before="84" w:line="231" w:lineRule="auto"/>
                    <w:ind w:left="57"/>
                    <w:rPr>
                      <w:sz w:val="14"/>
                      <w:szCs w:val="14"/>
                    </w:rPr>
                  </w:pPr>
                  <w:r>
                    <w:rPr>
                      <w:spacing w:val="8"/>
                      <w:sz w:val="14"/>
                      <w:szCs w:val="14"/>
                    </w:rPr>
                    <w:t>输送皮带</w:t>
                  </w:r>
                </w:p>
              </w:tc>
              <w:tc>
                <w:tcPr>
                  <w:tcW w:w="621" w:type="dxa"/>
                  <w:vAlign w:val="top"/>
                </w:tcPr>
                <w:p w14:paraId="23FCCCD5">
                  <w:pPr>
                    <w:spacing w:before="112" w:line="194"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75</w:t>
                  </w:r>
                </w:p>
              </w:tc>
              <w:tc>
                <w:tcPr>
                  <w:tcW w:w="711" w:type="dxa"/>
                  <w:vMerge w:val="restart"/>
                  <w:tcBorders>
                    <w:bottom w:val="nil"/>
                  </w:tcBorders>
                  <w:vAlign w:val="top"/>
                </w:tcPr>
                <w:p w14:paraId="701F35A0">
                  <w:pPr>
                    <w:pStyle w:val="6"/>
                    <w:spacing w:before="108" w:line="231" w:lineRule="auto"/>
                    <w:ind w:left="133"/>
                    <w:rPr>
                      <w:sz w:val="14"/>
                      <w:szCs w:val="14"/>
                    </w:rPr>
                  </w:pPr>
                  <w:r>
                    <w:rPr>
                      <w:spacing w:val="7"/>
                      <w:sz w:val="14"/>
                      <w:szCs w:val="14"/>
                    </w:rPr>
                    <w:t>优选设</w:t>
                  </w:r>
                </w:p>
                <w:p w14:paraId="0432C8DA">
                  <w:pPr>
                    <w:pStyle w:val="6"/>
                    <w:spacing w:before="83" w:line="233" w:lineRule="auto"/>
                    <w:ind w:left="59"/>
                    <w:rPr>
                      <w:sz w:val="14"/>
                      <w:szCs w:val="14"/>
                    </w:rPr>
                  </w:pPr>
                  <w:r>
                    <w:rPr>
                      <w:spacing w:val="7"/>
                      <w:sz w:val="14"/>
                      <w:szCs w:val="14"/>
                    </w:rPr>
                    <w:t>备、基础</w:t>
                  </w:r>
                </w:p>
                <w:p w14:paraId="6D6D6DED">
                  <w:pPr>
                    <w:pStyle w:val="6"/>
                    <w:spacing w:before="82" w:line="232" w:lineRule="auto"/>
                    <w:ind w:left="57"/>
                    <w:rPr>
                      <w:sz w:val="14"/>
                      <w:szCs w:val="14"/>
                    </w:rPr>
                  </w:pPr>
                  <w:r>
                    <w:rPr>
                      <w:spacing w:val="7"/>
                      <w:sz w:val="14"/>
                      <w:szCs w:val="14"/>
                    </w:rPr>
                    <w:t>减震、建</w:t>
                  </w:r>
                </w:p>
                <w:p w14:paraId="07591352">
                  <w:pPr>
                    <w:pStyle w:val="6"/>
                    <w:spacing w:before="85" w:line="232" w:lineRule="auto"/>
                    <w:ind w:left="135"/>
                    <w:rPr>
                      <w:sz w:val="14"/>
                      <w:szCs w:val="14"/>
                    </w:rPr>
                  </w:pPr>
                  <w:r>
                    <w:rPr>
                      <w:spacing w:val="7"/>
                      <w:sz w:val="14"/>
                      <w:szCs w:val="14"/>
                    </w:rPr>
                    <w:t>筑隔声</w:t>
                  </w:r>
                </w:p>
              </w:tc>
              <w:tc>
                <w:tcPr>
                  <w:tcW w:w="1267" w:type="dxa"/>
                  <w:vAlign w:val="top"/>
                </w:tcPr>
                <w:p w14:paraId="35E14854">
                  <w:pPr>
                    <w:spacing w:before="92" w:line="200" w:lineRule="auto"/>
                    <w:ind w:left="11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11.75,-158.03,-10</w:t>
                  </w:r>
                </w:p>
              </w:tc>
              <w:tc>
                <w:tcPr>
                  <w:tcW w:w="607" w:type="dxa"/>
                  <w:vAlign w:val="top"/>
                </w:tcPr>
                <w:p w14:paraId="6ED8A94E">
                  <w:pPr>
                    <w:spacing w:before="109" w:line="198" w:lineRule="auto"/>
                    <w:ind w:left="267"/>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w:t>
                  </w:r>
                </w:p>
              </w:tc>
              <w:tc>
                <w:tcPr>
                  <w:tcW w:w="667" w:type="dxa"/>
                  <w:vAlign w:val="top"/>
                </w:tcPr>
                <w:p w14:paraId="591F2A26">
                  <w:pPr>
                    <w:spacing w:before="111"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69.0</w:t>
                  </w:r>
                </w:p>
              </w:tc>
              <w:tc>
                <w:tcPr>
                  <w:tcW w:w="506" w:type="dxa"/>
                  <w:vMerge w:val="restart"/>
                  <w:tcBorders>
                    <w:bottom w:val="nil"/>
                  </w:tcBorders>
                  <w:vAlign w:val="top"/>
                </w:tcPr>
                <w:p w14:paraId="1EF94B81">
                  <w:pPr>
                    <w:rPr>
                      <w:rFonts w:ascii="Arial"/>
                      <w:sz w:val="21"/>
                    </w:rPr>
                  </w:pPr>
                </w:p>
                <w:p w14:paraId="13072C9C">
                  <w:pPr>
                    <w:rPr>
                      <w:rFonts w:ascii="Arial"/>
                      <w:sz w:val="21"/>
                    </w:rPr>
                  </w:pPr>
                </w:p>
                <w:p w14:paraId="6812FED3">
                  <w:pPr>
                    <w:rPr>
                      <w:rFonts w:ascii="Arial"/>
                      <w:sz w:val="21"/>
                    </w:rPr>
                  </w:pPr>
                </w:p>
                <w:p w14:paraId="4FA91139">
                  <w:pPr>
                    <w:rPr>
                      <w:rFonts w:ascii="Arial"/>
                      <w:sz w:val="21"/>
                    </w:rPr>
                  </w:pPr>
                </w:p>
                <w:p w14:paraId="4A2C6FA7">
                  <w:pPr>
                    <w:rPr>
                      <w:rFonts w:ascii="Arial"/>
                      <w:sz w:val="21"/>
                    </w:rPr>
                  </w:pPr>
                </w:p>
                <w:p w14:paraId="2F74D32F">
                  <w:pPr>
                    <w:rPr>
                      <w:rFonts w:ascii="Arial"/>
                      <w:sz w:val="21"/>
                    </w:rPr>
                  </w:pPr>
                </w:p>
                <w:p w14:paraId="18689D49">
                  <w:pPr>
                    <w:rPr>
                      <w:rFonts w:ascii="Arial"/>
                      <w:sz w:val="21"/>
                    </w:rPr>
                  </w:pPr>
                </w:p>
                <w:p w14:paraId="55ACB0C0">
                  <w:pPr>
                    <w:rPr>
                      <w:rFonts w:ascii="Arial"/>
                      <w:sz w:val="21"/>
                    </w:rPr>
                  </w:pPr>
                </w:p>
                <w:p w14:paraId="292BEF4A">
                  <w:pPr>
                    <w:rPr>
                      <w:rFonts w:ascii="Arial"/>
                      <w:sz w:val="21"/>
                    </w:rPr>
                  </w:pPr>
                </w:p>
                <w:p w14:paraId="56B69BE1">
                  <w:pPr>
                    <w:spacing w:line="241" w:lineRule="auto"/>
                    <w:rPr>
                      <w:rFonts w:ascii="Arial"/>
                      <w:sz w:val="21"/>
                    </w:rPr>
                  </w:pPr>
                </w:p>
                <w:p w14:paraId="05652E3E">
                  <w:pPr>
                    <w:spacing w:line="241" w:lineRule="auto"/>
                    <w:rPr>
                      <w:rFonts w:ascii="Arial"/>
                      <w:sz w:val="21"/>
                    </w:rPr>
                  </w:pPr>
                </w:p>
                <w:p w14:paraId="3E0FF3EC">
                  <w:pPr>
                    <w:pStyle w:val="6"/>
                    <w:spacing w:before="45" w:line="338" w:lineRule="auto"/>
                    <w:ind w:left="155" w:right="101" w:hanging="48"/>
                    <w:rPr>
                      <w:rFonts w:ascii="Times New Roman" w:hAnsi="Times New Roman" w:eastAsia="Times New Roman" w:cs="Times New Roman"/>
                      <w:sz w:val="14"/>
                      <w:szCs w:val="14"/>
                    </w:rPr>
                  </w:pPr>
                  <w:r>
                    <w:rPr>
                      <w:spacing w:val="6"/>
                      <w:sz w:val="14"/>
                      <w:szCs w:val="14"/>
                    </w:rPr>
                    <w:t>昼间</w:t>
                  </w:r>
                  <w:r>
                    <w:rPr>
                      <w:sz w:val="14"/>
                      <w:szCs w:val="14"/>
                    </w:rPr>
                    <w:t xml:space="preserve"> </w:t>
                  </w:r>
                  <w:r>
                    <w:rPr>
                      <w:rFonts w:ascii="Times New Roman" w:hAnsi="Times New Roman" w:eastAsia="Times New Roman" w:cs="Times New Roman"/>
                      <w:spacing w:val="-1"/>
                      <w:sz w:val="14"/>
                      <w:szCs w:val="14"/>
                    </w:rPr>
                    <w:t>10h</w:t>
                  </w:r>
                </w:p>
              </w:tc>
              <w:tc>
                <w:tcPr>
                  <w:tcW w:w="680" w:type="dxa"/>
                  <w:vAlign w:val="top"/>
                </w:tcPr>
                <w:p w14:paraId="5FB29E1C">
                  <w:pPr>
                    <w:spacing w:before="111" w:line="198" w:lineRule="auto"/>
                    <w:ind w:left="2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737" w:type="dxa"/>
                  <w:vAlign w:val="top"/>
                </w:tcPr>
                <w:p w14:paraId="26B8AF2E">
                  <w:pPr>
                    <w:spacing w:before="111" w:line="198" w:lineRule="auto"/>
                    <w:ind w:left="29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34</w:t>
                  </w:r>
                </w:p>
              </w:tc>
              <w:tc>
                <w:tcPr>
                  <w:tcW w:w="727" w:type="dxa"/>
                  <w:vAlign w:val="top"/>
                </w:tcPr>
                <w:p w14:paraId="0E5AF07C">
                  <w:pPr>
                    <w:spacing w:before="106"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095FC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49" w:type="dxa"/>
                  <w:vMerge w:val="continue"/>
                  <w:tcBorders>
                    <w:top w:val="nil"/>
                    <w:bottom w:val="nil"/>
                  </w:tcBorders>
                  <w:vAlign w:val="top"/>
                </w:tcPr>
                <w:p w14:paraId="321058AB">
                  <w:pPr>
                    <w:rPr>
                      <w:rFonts w:ascii="Arial"/>
                      <w:sz w:val="21"/>
                    </w:rPr>
                  </w:pPr>
                </w:p>
              </w:tc>
              <w:tc>
                <w:tcPr>
                  <w:tcW w:w="712" w:type="dxa"/>
                  <w:vAlign w:val="top"/>
                </w:tcPr>
                <w:p w14:paraId="6DB726DF">
                  <w:pPr>
                    <w:pStyle w:val="6"/>
                    <w:spacing w:before="85" w:line="229" w:lineRule="auto"/>
                    <w:ind w:left="133"/>
                    <w:rPr>
                      <w:sz w:val="14"/>
                      <w:szCs w:val="14"/>
                    </w:rPr>
                  </w:pPr>
                  <w:r>
                    <w:rPr>
                      <w:spacing w:val="7"/>
                      <w:sz w:val="14"/>
                      <w:szCs w:val="14"/>
                    </w:rPr>
                    <w:t>颚破机</w:t>
                  </w:r>
                </w:p>
              </w:tc>
              <w:tc>
                <w:tcPr>
                  <w:tcW w:w="621" w:type="dxa"/>
                  <w:vAlign w:val="top"/>
                </w:tcPr>
                <w:p w14:paraId="51E8C8ED">
                  <w:pPr>
                    <w:spacing w:before="110"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95</w:t>
                  </w:r>
                </w:p>
              </w:tc>
              <w:tc>
                <w:tcPr>
                  <w:tcW w:w="711" w:type="dxa"/>
                  <w:vMerge w:val="continue"/>
                  <w:tcBorders>
                    <w:top w:val="nil"/>
                    <w:bottom w:val="nil"/>
                  </w:tcBorders>
                  <w:vAlign w:val="top"/>
                </w:tcPr>
                <w:p w14:paraId="0F3BA48C">
                  <w:pPr>
                    <w:rPr>
                      <w:rFonts w:ascii="Arial"/>
                      <w:sz w:val="21"/>
                    </w:rPr>
                  </w:pPr>
                </w:p>
              </w:tc>
              <w:tc>
                <w:tcPr>
                  <w:tcW w:w="1267" w:type="dxa"/>
                  <w:vAlign w:val="top"/>
                </w:tcPr>
                <w:p w14:paraId="44649DCB">
                  <w:pPr>
                    <w:spacing w:before="93" w:line="200" w:lineRule="auto"/>
                    <w:ind w:left="150"/>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13.63,-198.4,-20</w:t>
                  </w:r>
                </w:p>
              </w:tc>
              <w:tc>
                <w:tcPr>
                  <w:tcW w:w="607" w:type="dxa"/>
                  <w:vAlign w:val="top"/>
                </w:tcPr>
                <w:p w14:paraId="67D671DA">
                  <w:pPr>
                    <w:spacing w:before="110" w:line="198" w:lineRule="auto"/>
                    <w:ind w:left="22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22</w:t>
                  </w:r>
                </w:p>
              </w:tc>
              <w:tc>
                <w:tcPr>
                  <w:tcW w:w="667" w:type="dxa"/>
                  <w:vAlign w:val="top"/>
                </w:tcPr>
                <w:p w14:paraId="50E3B414">
                  <w:pPr>
                    <w:spacing w:before="112"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68.2</w:t>
                  </w:r>
                </w:p>
              </w:tc>
              <w:tc>
                <w:tcPr>
                  <w:tcW w:w="506" w:type="dxa"/>
                  <w:vMerge w:val="continue"/>
                  <w:tcBorders>
                    <w:top w:val="nil"/>
                    <w:bottom w:val="nil"/>
                  </w:tcBorders>
                  <w:vAlign w:val="top"/>
                </w:tcPr>
                <w:p w14:paraId="765D1B26">
                  <w:pPr>
                    <w:rPr>
                      <w:rFonts w:ascii="Arial"/>
                      <w:sz w:val="21"/>
                    </w:rPr>
                  </w:pPr>
                </w:p>
              </w:tc>
              <w:tc>
                <w:tcPr>
                  <w:tcW w:w="680" w:type="dxa"/>
                  <w:vAlign w:val="top"/>
                </w:tcPr>
                <w:p w14:paraId="1F90832B">
                  <w:pPr>
                    <w:spacing w:before="112" w:line="198" w:lineRule="auto"/>
                    <w:ind w:left="2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737" w:type="dxa"/>
                  <w:vAlign w:val="top"/>
                </w:tcPr>
                <w:p w14:paraId="417A639F">
                  <w:pPr>
                    <w:spacing w:before="112"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33.2</w:t>
                  </w:r>
                </w:p>
              </w:tc>
              <w:tc>
                <w:tcPr>
                  <w:tcW w:w="727" w:type="dxa"/>
                  <w:vAlign w:val="top"/>
                </w:tcPr>
                <w:p w14:paraId="42374489">
                  <w:pPr>
                    <w:spacing w:before="107"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445D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49" w:type="dxa"/>
                  <w:vMerge w:val="continue"/>
                  <w:tcBorders>
                    <w:top w:val="nil"/>
                    <w:bottom w:val="nil"/>
                  </w:tcBorders>
                  <w:vAlign w:val="top"/>
                </w:tcPr>
                <w:p w14:paraId="62B0A43D">
                  <w:pPr>
                    <w:rPr>
                      <w:rFonts w:ascii="Arial"/>
                      <w:sz w:val="21"/>
                    </w:rPr>
                  </w:pPr>
                </w:p>
              </w:tc>
              <w:tc>
                <w:tcPr>
                  <w:tcW w:w="712" w:type="dxa"/>
                  <w:vAlign w:val="top"/>
                </w:tcPr>
                <w:p w14:paraId="628AC6BD">
                  <w:pPr>
                    <w:pStyle w:val="6"/>
                    <w:spacing w:before="84" w:line="230" w:lineRule="auto"/>
                    <w:ind w:left="133"/>
                    <w:rPr>
                      <w:sz w:val="14"/>
                      <w:szCs w:val="14"/>
                    </w:rPr>
                  </w:pPr>
                  <w:r>
                    <w:rPr>
                      <w:spacing w:val="7"/>
                      <w:sz w:val="14"/>
                      <w:szCs w:val="14"/>
                    </w:rPr>
                    <w:t>筛分机</w:t>
                  </w:r>
                </w:p>
              </w:tc>
              <w:tc>
                <w:tcPr>
                  <w:tcW w:w="621" w:type="dxa"/>
                  <w:vAlign w:val="top"/>
                </w:tcPr>
                <w:p w14:paraId="75C60B34">
                  <w:pPr>
                    <w:spacing w:before="110"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90</w:t>
                  </w:r>
                </w:p>
              </w:tc>
              <w:tc>
                <w:tcPr>
                  <w:tcW w:w="711" w:type="dxa"/>
                  <w:vMerge w:val="continue"/>
                  <w:tcBorders>
                    <w:top w:val="nil"/>
                    <w:bottom w:val="nil"/>
                  </w:tcBorders>
                  <w:vAlign w:val="top"/>
                </w:tcPr>
                <w:p w14:paraId="15DD4211">
                  <w:pPr>
                    <w:rPr>
                      <w:rFonts w:ascii="Arial"/>
                      <w:sz w:val="21"/>
                    </w:rPr>
                  </w:pPr>
                </w:p>
              </w:tc>
              <w:tc>
                <w:tcPr>
                  <w:tcW w:w="1267" w:type="dxa"/>
                  <w:vAlign w:val="top"/>
                </w:tcPr>
                <w:p w14:paraId="2AE3FAED">
                  <w:pPr>
                    <w:spacing w:before="93" w:line="200" w:lineRule="auto"/>
                    <w:ind w:left="97"/>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24.56,-201.78,-20</w:t>
                  </w:r>
                </w:p>
              </w:tc>
              <w:tc>
                <w:tcPr>
                  <w:tcW w:w="607" w:type="dxa"/>
                  <w:vAlign w:val="top"/>
                </w:tcPr>
                <w:p w14:paraId="3E53FA95">
                  <w:pPr>
                    <w:spacing w:before="110" w:line="198" w:lineRule="auto"/>
                    <w:ind w:left="22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23</w:t>
                  </w:r>
                </w:p>
              </w:tc>
              <w:tc>
                <w:tcPr>
                  <w:tcW w:w="667" w:type="dxa"/>
                  <w:vAlign w:val="top"/>
                </w:tcPr>
                <w:p w14:paraId="3568EB96">
                  <w:pPr>
                    <w:spacing w:before="112"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62.8</w:t>
                  </w:r>
                </w:p>
              </w:tc>
              <w:tc>
                <w:tcPr>
                  <w:tcW w:w="506" w:type="dxa"/>
                  <w:vMerge w:val="continue"/>
                  <w:tcBorders>
                    <w:top w:val="nil"/>
                    <w:bottom w:val="nil"/>
                  </w:tcBorders>
                  <w:vAlign w:val="top"/>
                </w:tcPr>
                <w:p w14:paraId="29FABFA6">
                  <w:pPr>
                    <w:rPr>
                      <w:rFonts w:ascii="Arial"/>
                      <w:sz w:val="21"/>
                    </w:rPr>
                  </w:pPr>
                </w:p>
              </w:tc>
              <w:tc>
                <w:tcPr>
                  <w:tcW w:w="680" w:type="dxa"/>
                  <w:vAlign w:val="top"/>
                </w:tcPr>
                <w:p w14:paraId="19BD2D7C">
                  <w:pPr>
                    <w:spacing w:before="112" w:line="198" w:lineRule="auto"/>
                    <w:ind w:left="2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737" w:type="dxa"/>
                  <w:vAlign w:val="top"/>
                </w:tcPr>
                <w:p w14:paraId="0D7E5B54">
                  <w:pPr>
                    <w:spacing w:before="112" w:line="198" w:lineRule="auto"/>
                    <w:ind w:left="239"/>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27.8</w:t>
                  </w:r>
                </w:p>
              </w:tc>
              <w:tc>
                <w:tcPr>
                  <w:tcW w:w="727" w:type="dxa"/>
                  <w:vAlign w:val="top"/>
                </w:tcPr>
                <w:p w14:paraId="27261C47">
                  <w:pPr>
                    <w:spacing w:before="107"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ACD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tcBorders>
                  <w:vAlign w:val="top"/>
                </w:tcPr>
                <w:p w14:paraId="1E7B980F">
                  <w:pPr>
                    <w:rPr>
                      <w:rFonts w:ascii="Arial"/>
                      <w:sz w:val="21"/>
                    </w:rPr>
                  </w:pPr>
                </w:p>
              </w:tc>
              <w:tc>
                <w:tcPr>
                  <w:tcW w:w="712" w:type="dxa"/>
                  <w:vAlign w:val="top"/>
                </w:tcPr>
                <w:p w14:paraId="1F4A4CAE">
                  <w:pPr>
                    <w:pStyle w:val="6"/>
                    <w:spacing w:before="86" w:line="229" w:lineRule="auto"/>
                    <w:ind w:left="132"/>
                    <w:rPr>
                      <w:sz w:val="14"/>
                      <w:szCs w:val="14"/>
                    </w:rPr>
                  </w:pPr>
                  <w:r>
                    <w:rPr>
                      <w:spacing w:val="7"/>
                      <w:sz w:val="14"/>
                      <w:szCs w:val="14"/>
                    </w:rPr>
                    <w:t>装载机</w:t>
                  </w:r>
                </w:p>
              </w:tc>
              <w:tc>
                <w:tcPr>
                  <w:tcW w:w="621" w:type="dxa"/>
                  <w:vAlign w:val="top"/>
                </w:tcPr>
                <w:p w14:paraId="6AC4FD96">
                  <w:pPr>
                    <w:spacing w:before="112"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tcBorders>
                  <w:vAlign w:val="top"/>
                </w:tcPr>
                <w:p w14:paraId="23749369">
                  <w:pPr>
                    <w:rPr>
                      <w:rFonts w:ascii="Arial"/>
                      <w:sz w:val="21"/>
                    </w:rPr>
                  </w:pPr>
                </w:p>
              </w:tc>
              <w:tc>
                <w:tcPr>
                  <w:tcW w:w="1267" w:type="dxa"/>
                  <w:vAlign w:val="top"/>
                </w:tcPr>
                <w:p w14:paraId="502D9E0B">
                  <w:pPr>
                    <w:spacing w:before="95" w:line="200" w:lineRule="auto"/>
                    <w:ind w:left="97"/>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22.74,-189.03,-20</w:t>
                  </w:r>
                </w:p>
              </w:tc>
              <w:tc>
                <w:tcPr>
                  <w:tcW w:w="607" w:type="dxa"/>
                  <w:vAlign w:val="top"/>
                </w:tcPr>
                <w:p w14:paraId="18F40B58">
                  <w:pPr>
                    <w:spacing w:before="112" w:line="198" w:lineRule="auto"/>
                    <w:ind w:left="22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667" w:type="dxa"/>
                  <w:vAlign w:val="top"/>
                </w:tcPr>
                <w:p w14:paraId="76D47CC0">
                  <w:pPr>
                    <w:spacing w:before="114"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54.0</w:t>
                  </w:r>
                </w:p>
              </w:tc>
              <w:tc>
                <w:tcPr>
                  <w:tcW w:w="506" w:type="dxa"/>
                  <w:vMerge w:val="continue"/>
                  <w:tcBorders>
                    <w:top w:val="nil"/>
                    <w:bottom w:val="nil"/>
                  </w:tcBorders>
                  <w:vAlign w:val="top"/>
                </w:tcPr>
                <w:p w14:paraId="1F9B6C5E">
                  <w:pPr>
                    <w:rPr>
                      <w:rFonts w:ascii="Arial"/>
                      <w:sz w:val="21"/>
                    </w:rPr>
                  </w:pPr>
                </w:p>
              </w:tc>
              <w:tc>
                <w:tcPr>
                  <w:tcW w:w="680" w:type="dxa"/>
                  <w:vAlign w:val="top"/>
                </w:tcPr>
                <w:p w14:paraId="4F143F37">
                  <w:pPr>
                    <w:spacing w:before="114" w:line="198" w:lineRule="auto"/>
                    <w:ind w:left="2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737" w:type="dxa"/>
                  <w:vAlign w:val="top"/>
                </w:tcPr>
                <w:p w14:paraId="0014F341">
                  <w:pPr>
                    <w:spacing w:before="114" w:line="198" w:lineRule="auto"/>
                    <w:ind w:left="311"/>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19</w:t>
                  </w:r>
                </w:p>
              </w:tc>
              <w:tc>
                <w:tcPr>
                  <w:tcW w:w="727" w:type="dxa"/>
                  <w:vAlign w:val="top"/>
                </w:tcPr>
                <w:p w14:paraId="2A9CE7DF">
                  <w:pPr>
                    <w:spacing w:before="109"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36FA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restart"/>
                  <w:tcBorders>
                    <w:bottom w:val="nil"/>
                  </w:tcBorders>
                  <w:vAlign w:val="top"/>
                </w:tcPr>
                <w:p w14:paraId="50F6853C">
                  <w:pPr>
                    <w:spacing w:line="293" w:lineRule="auto"/>
                    <w:rPr>
                      <w:rFonts w:ascii="Arial"/>
                      <w:sz w:val="21"/>
                    </w:rPr>
                  </w:pPr>
                </w:p>
                <w:p w14:paraId="2ABA6D62">
                  <w:pPr>
                    <w:spacing w:line="293" w:lineRule="auto"/>
                    <w:rPr>
                      <w:rFonts w:ascii="Arial"/>
                      <w:sz w:val="21"/>
                    </w:rPr>
                  </w:pPr>
                </w:p>
                <w:p w14:paraId="419157B9">
                  <w:pPr>
                    <w:spacing w:line="293" w:lineRule="auto"/>
                    <w:rPr>
                      <w:rFonts w:ascii="Arial"/>
                      <w:sz w:val="21"/>
                    </w:rPr>
                  </w:pPr>
                </w:p>
                <w:p w14:paraId="42EE151D">
                  <w:pPr>
                    <w:pStyle w:val="6"/>
                    <w:spacing w:before="45" w:line="232" w:lineRule="auto"/>
                    <w:ind w:left="53"/>
                    <w:rPr>
                      <w:sz w:val="14"/>
                      <w:szCs w:val="14"/>
                    </w:rPr>
                  </w:pPr>
                  <w:r>
                    <w:rPr>
                      <w:spacing w:val="7"/>
                      <w:sz w:val="14"/>
                      <w:szCs w:val="14"/>
                    </w:rPr>
                    <w:t>砌块和</w:t>
                  </w:r>
                </w:p>
                <w:p w14:paraId="59802EF5">
                  <w:pPr>
                    <w:pStyle w:val="6"/>
                    <w:spacing w:before="83" w:line="230" w:lineRule="auto"/>
                    <w:ind w:left="53"/>
                    <w:rPr>
                      <w:sz w:val="14"/>
                      <w:szCs w:val="14"/>
                    </w:rPr>
                  </w:pPr>
                  <w:r>
                    <w:rPr>
                      <w:spacing w:val="7"/>
                      <w:sz w:val="14"/>
                      <w:szCs w:val="14"/>
                    </w:rPr>
                    <w:t>板材车</w:t>
                  </w:r>
                </w:p>
                <w:p w14:paraId="041B91BF">
                  <w:pPr>
                    <w:pStyle w:val="6"/>
                    <w:spacing w:before="86" w:line="234" w:lineRule="auto"/>
                    <w:ind w:left="213"/>
                    <w:rPr>
                      <w:sz w:val="14"/>
                      <w:szCs w:val="14"/>
                    </w:rPr>
                  </w:pPr>
                  <w:r>
                    <w:rPr>
                      <w:sz w:val="14"/>
                      <w:szCs w:val="14"/>
                    </w:rPr>
                    <w:t>间</w:t>
                  </w:r>
                </w:p>
              </w:tc>
              <w:tc>
                <w:tcPr>
                  <w:tcW w:w="712" w:type="dxa"/>
                  <w:vAlign w:val="top"/>
                </w:tcPr>
                <w:p w14:paraId="3BFA1C2D">
                  <w:pPr>
                    <w:pStyle w:val="6"/>
                    <w:spacing w:before="85" w:line="230" w:lineRule="auto"/>
                    <w:ind w:left="132"/>
                    <w:rPr>
                      <w:sz w:val="14"/>
                      <w:szCs w:val="14"/>
                    </w:rPr>
                  </w:pPr>
                  <w:r>
                    <w:rPr>
                      <w:spacing w:val="7"/>
                      <w:sz w:val="14"/>
                      <w:szCs w:val="14"/>
                    </w:rPr>
                    <w:t>球磨机</w:t>
                  </w:r>
                </w:p>
              </w:tc>
              <w:tc>
                <w:tcPr>
                  <w:tcW w:w="621" w:type="dxa"/>
                  <w:vAlign w:val="top"/>
                </w:tcPr>
                <w:p w14:paraId="3E038A87">
                  <w:pPr>
                    <w:spacing w:before="110"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85</w:t>
                  </w:r>
                </w:p>
              </w:tc>
              <w:tc>
                <w:tcPr>
                  <w:tcW w:w="711" w:type="dxa"/>
                  <w:vMerge w:val="restart"/>
                  <w:tcBorders>
                    <w:bottom w:val="nil"/>
                  </w:tcBorders>
                  <w:vAlign w:val="top"/>
                </w:tcPr>
                <w:p w14:paraId="381A6FCD">
                  <w:pPr>
                    <w:spacing w:line="250" w:lineRule="auto"/>
                    <w:rPr>
                      <w:rFonts w:ascii="Arial"/>
                      <w:sz w:val="21"/>
                    </w:rPr>
                  </w:pPr>
                </w:p>
                <w:p w14:paraId="2A526D10">
                  <w:pPr>
                    <w:spacing w:line="250" w:lineRule="auto"/>
                    <w:rPr>
                      <w:rFonts w:ascii="Arial"/>
                      <w:sz w:val="21"/>
                    </w:rPr>
                  </w:pPr>
                </w:p>
                <w:p w14:paraId="74F52738">
                  <w:pPr>
                    <w:spacing w:line="250" w:lineRule="auto"/>
                    <w:rPr>
                      <w:rFonts w:ascii="Arial"/>
                      <w:sz w:val="21"/>
                    </w:rPr>
                  </w:pPr>
                </w:p>
                <w:p w14:paraId="22617AC3">
                  <w:pPr>
                    <w:pStyle w:val="6"/>
                    <w:spacing w:before="45" w:line="231" w:lineRule="auto"/>
                    <w:ind w:left="133"/>
                    <w:rPr>
                      <w:sz w:val="14"/>
                      <w:szCs w:val="14"/>
                    </w:rPr>
                  </w:pPr>
                  <w:r>
                    <w:rPr>
                      <w:spacing w:val="7"/>
                      <w:sz w:val="14"/>
                      <w:szCs w:val="14"/>
                    </w:rPr>
                    <w:t>优选设</w:t>
                  </w:r>
                </w:p>
                <w:p w14:paraId="0081A735">
                  <w:pPr>
                    <w:pStyle w:val="6"/>
                    <w:spacing w:before="83" w:line="233" w:lineRule="auto"/>
                    <w:ind w:left="59"/>
                    <w:rPr>
                      <w:sz w:val="14"/>
                      <w:szCs w:val="14"/>
                    </w:rPr>
                  </w:pPr>
                  <w:r>
                    <w:rPr>
                      <w:spacing w:val="7"/>
                      <w:sz w:val="14"/>
                      <w:szCs w:val="14"/>
                    </w:rPr>
                    <w:t>备、基础</w:t>
                  </w:r>
                </w:p>
                <w:p w14:paraId="422392C9">
                  <w:pPr>
                    <w:pStyle w:val="6"/>
                    <w:spacing w:before="82" w:line="232" w:lineRule="auto"/>
                    <w:ind w:left="57"/>
                    <w:rPr>
                      <w:sz w:val="14"/>
                      <w:szCs w:val="14"/>
                    </w:rPr>
                  </w:pPr>
                  <w:r>
                    <w:rPr>
                      <w:spacing w:val="7"/>
                      <w:sz w:val="14"/>
                      <w:szCs w:val="14"/>
                    </w:rPr>
                    <w:t>减震、建</w:t>
                  </w:r>
                </w:p>
                <w:p w14:paraId="2B9BC1E4">
                  <w:pPr>
                    <w:pStyle w:val="6"/>
                    <w:spacing w:before="85" w:line="232" w:lineRule="auto"/>
                    <w:ind w:left="135"/>
                    <w:rPr>
                      <w:sz w:val="14"/>
                      <w:szCs w:val="14"/>
                    </w:rPr>
                  </w:pPr>
                  <w:r>
                    <w:rPr>
                      <w:spacing w:val="7"/>
                      <w:sz w:val="14"/>
                      <w:szCs w:val="14"/>
                    </w:rPr>
                    <w:t>筑隔声</w:t>
                  </w:r>
                </w:p>
              </w:tc>
              <w:tc>
                <w:tcPr>
                  <w:tcW w:w="1267" w:type="dxa"/>
                  <w:vAlign w:val="top"/>
                </w:tcPr>
                <w:p w14:paraId="5CF97CCE">
                  <w:pPr>
                    <w:spacing w:before="96" w:line="200" w:lineRule="auto"/>
                    <w:ind w:left="159"/>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24.34,-167.64,0</w:t>
                  </w:r>
                </w:p>
              </w:tc>
              <w:tc>
                <w:tcPr>
                  <w:tcW w:w="607" w:type="dxa"/>
                  <w:vAlign w:val="top"/>
                </w:tcPr>
                <w:p w14:paraId="1EEB4282">
                  <w:pPr>
                    <w:spacing w:before="110"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18</w:t>
                  </w:r>
                </w:p>
              </w:tc>
              <w:tc>
                <w:tcPr>
                  <w:tcW w:w="667" w:type="dxa"/>
                  <w:vAlign w:val="top"/>
                </w:tcPr>
                <w:p w14:paraId="7F398B64">
                  <w:pPr>
                    <w:spacing w:before="115"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59.9</w:t>
                  </w:r>
                </w:p>
              </w:tc>
              <w:tc>
                <w:tcPr>
                  <w:tcW w:w="506" w:type="dxa"/>
                  <w:vMerge w:val="continue"/>
                  <w:tcBorders>
                    <w:top w:val="nil"/>
                    <w:bottom w:val="nil"/>
                  </w:tcBorders>
                  <w:vAlign w:val="top"/>
                </w:tcPr>
                <w:p w14:paraId="5BAEAE21">
                  <w:pPr>
                    <w:rPr>
                      <w:rFonts w:ascii="Arial"/>
                      <w:sz w:val="21"/>
                    </w:rPr>
                  </w:pPr>
                </w:p>
              </w:tc>
              <w:tc>
                <w:tcPr>
                  <w:tcW w:w="680" w:type="dxa"/>
                  <w:vAlign w:val="top"/>
                </w:tcPr>
                <w:p w14:paraId="0449D02E">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7DBB8FB2">
                  <w:pPr>
                    <w:spacing w:before="115"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39.9</w:t>
                  </w:r>
                </w:p>
              </w:tc>
              <w:tc>
                <w:tcPr>
                  <w:tcW w:w="727" w:type="dxa"/>
                  <w:vAlign w:val="top"/>
                </w:tcPr>
                <w:p w14:paraId="60DBE354">
                  <w:pPr>
                    <w:spacing w:before="110"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3C26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7DA47FC3">
                  <w:pPr>
                    <w:rPr>
                      <w:rFonts w:ascii="Arial"/>
                      <w:sz w:val="21"/>
                    </w:rPr>
                  </w:pPr>
                </w:p>
              </w:tc>
              <w:tc>
                <w:tcPr>
                  <w:tcW w:w="712" w:type="dxa"/>
                  <w:vAlign w:val="top"/>
                </w:tcPr>
                <w:p w14:paraId="1DD50896">
                  <w:pPr>
                    <w:pStyle w:val="6"/>
                    <w:spacing w:before="86" w:line="229" w:lineRule="auto"/>
                    <w:ind w:left="136"/>
                    <w:rPr>
                      <w:sz w:val="14"/>
                      <w:szCs w:val="14"/>
                    </w:rPr>
                  </w:pPr>
                  <w:r>
                    <w:rPr>
                      <w:spacing w:val="6"/>
                      <w:sz w:val="14"/>
                      <w:szCs w:val="14"/>
                    </w:rPr>
                    <w:t>原浆泵</w:t>
                  </w:r>
                </w:p>
              </w:tc>
              <w:tc>
                <w:tcPr>
                  <w:tcW w:w="621" w:type="dxa"/>
                  <w:vAlign w:val="top"/>
                </w:tcPr>
                <w:p w14:paraId="771D96B3">
                  <w:pPr>
                    <w:spacing w:before="111"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bottom w:val="nil"/>
                  </w:tcBorders>
                  <w:vAlign w:val="top"/>
                </w:tcPr>
                <w:p w14:paraId="51852B9E">
                  <w:pPr>
                    <w:rPr>
                      <w:rFonts w:ascii="Arial"/>
                      <w:sz w:val="21"/>
                    </w:rPr>
                  </w:pPr>
                </w:p>
              </w:tc>
              <w:tc>
                <w:tcPr>
                  <w:tcW w:w="1267" w:type="dxa"/>
                  <w:vAlign w:val="top"/>
                </w:tcPr>
                <w:p w14:paraId="1EF41DF2">
                  <w:pPr>
                    <w:spacing w:before="94" w:line="200" w:lineRule="auto"/>
                    <w:ind w:left="274"/>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7.6,-178.</w:t>
                  </w:r>
                  <w:r>
                    <w:rPr>
                      <w:rFonts w:ascii="Times New Roman" w:hAnsi="Times New Roman" w:eastAsia="Times New Roman" w:cs="Times New Roman"/>
                      <w:spacing w:val="-8"/>
                      <w:sz w:val="14"/>
                      <w:szCs w:val="14"/>
                    </w:rPr>
                    <w:t xml:space="preserve"> </w:t>
                  </w:r>
                  <w:r>
                    <w:rPr>
                      <w:rFonts w:ascii="Times New Roman" w:hAnsi="Times New Roman" w:eastAsia="Times New Roman" w:cs="Times New Roman"/>
                      <w:spacing w:val="1"/>
                      <w:sz w:val="14"/>
                      <w:szCs w:val="14"/>
                    </w:rPr>
                    <w:t>1,0</w:t>
                  </w:r>
                </w:p>
              </w:tc>
              <w:tc>
                <w:tcPr>
                  <w:tcW w:w="607" w:type="dxa"/>
                  <w:vAlign w:val="top"/>
                </w:tcPr>
                <w:p w14:paraId="4A24081C">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tc>
              <w:tc>
                <w:tcPr>
                  <w:tcW w:w="667" w:type="dxa"/>
                  <w:vAlign w:val="top"/>
                </w:tcPr>
                <w:p w14:paraId="2B2DFFDB">
                  <w:pPr>
                    <w:spacing w:before="114"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60.0</w:t>
                  </w:r>
                </w:p>
              </w:tc>
              <w:tc>
                <w:tcPr>
                  <w:tcW w:w="506" w:type="dxa"/>
                  <w:vMerge w:val="continue"/>
                  <w:tcBorders>
                    <w:top w:val="nil"/>
                    <w:bottom w:val="nil"/>
                  </w:tcBorders>
                  <w:vAlign w:val="top"/>
                </w:tcPr>
                <w:p w14:paraId="6443E86B">
                  <w:pPr>
                    <w:rPr>
                      <w:rFonts w:ascii="Arial"/>
                      <w:sz w:val="21"/>
                    </w:rPr>
                  </w:pPr>
                </w:p>
              </w:tc>
              <w:tc>
                <w:tcPr>
                  <w:tcW w:w="680" w:type="dxa"/>
                  <w:vAlign w:val="top"/>
                </w:tcPr>
                <w:p w14:paraId="2C0F8199">
                  <w:pPr>
                    <w:spacing w:before="114"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1C83E466">
                  <w:pPr>
                    <w:spacing w:before="114" w:line="198" w:lineRule="auto"/>
                    <w:ind w:left="295"/>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40</w:t>
                  </w:r>
                </w:p>
              </w:tc>
              <w:tc>
                <w:tcPr>
                  <w:tcW w:w="727" w:type="dxa"/>
                  <w:vAlign w:val="top"/>
                </w:tcPr>
                <w:p w14:paraId="2F2AAFA6">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7C8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773CB1DE">
                  <w:pPr>
                    <w:rPr>
                      <w:rFonts w:ascii="Arial"/>
                      <w:sz w:val="21"/>
                    </w:rPr>
                  </w:pPr>
                </w:p>
              </w:tc>
              <w:tc>
                <w:tcPr>
                  <w:tcW w:w="712" w:type="dxa"/>
                  <w:vAlign w:val="top"/>
                </w:tcPr>
                <w:p w14:paraId="14F286FE">
                  <w:pPr>
                    <w:pStyle w:val="6"/>
                    <w:spacing w:before="84" w:line="231" w:lineRule="auto"/>
                    <w:ind w:left="134"/>
                    <w:rPr>
                      <w:sz w:val="14"/>
                      <w:szCs w:val="14"/>
                    </w:rPr>
                  </w:pPr>
                  <w:r>
                    <w:rPr>
                      <w:spacing w:val="7"/>
                      <w:sz w:val="14"/>
                      <w:szCs w:val="14"/>
                    </w:rPr>
                    <w:t>蒸压釜</w:t>
                  </w:r>
                </w:p>
              </w:tc>
              <w:tc>
                <w:tcPr>
                  <w:tcW w:w="621" w:type="dxa"/>
                  <w:vAlign w:val="top"/>
                </w:tcPr>
                <w:p w14:paraId="0B48DAE6">
                  <w:pPr>
                    <w:spacing w:before="110"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bottom w:val="nil"/>
                  </w:tcBorders>
                  <w:vAlign w:val="top"/>
                </w:tcPr>
                <w:p w14:paraId="03240F8C">
                  <w:pPr>
                    <w:rPr>
                      <w:rFonts w:ascii="Arial"/>
                      <w:sz w:val="21"/>
                    </w:rPr>
                  </w:pPr>
                </w:p>
              </w:tc>
              <w:tc>
                <w:tcPr>
                  <w:tcW w:w="1267" w:type="dxa"/>
                  <w:vAlign w:val="top"/>
                </w:tcPr>
                <w:p w14:paraId="53488E5D">
                  <w:pPr>
                    <w:spacing w:before="95" w:line="200" w:lineRule="auto"/>
                    <w:ind w:left="19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71.27,-233.</w:t>
                  </w:r>
                  <w:r>
                    <w:rPr>
                      <w:rFonts w:ascii="Times New Roman" w:hAnsi="Times New Roman" w:eastAsia="Times New Roman" w:cs="Times New Roman"/>
                      <w:spacing w:val="-11"/>
                      <w:sz w:val="14"/>
                      <w:szCs w:val="14"/>
                    </w:rPr>
                    <w:t xml:space="preserve"> </w:t>
                  </w:r>
                  <w:r>
                    <w:rPr>
                      <w:rFonts w:ascii="Times New Roman" w:hAnsi="Times New Roman" w:eastAsia="Times New Roman" w:cs="Times New Roman"/>
                      <w:spacing w:val="2"/>
                      <w:sz w:val="14"/>
                      <w:szCs w:val="14"/>
                    </w:rPr>
                    <w:t>1,0</w:t>
                  </w:r>
                </w:p>
              </w:tc>
              <w:tc>
                <w:tcPr>
                  <w:tcW w:w="607" w:type="dxa"/>
                  <w:vAlign w:val="top"/>
                </w:tcPr>
                <w:p w14:paraId="7DF8886A">
                  <w:pPr>
                    <w:spacing w:before="110" w:line="198" w:lineRule="auto"/>
                    <w:ind w:left="22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25</w:t>
                  </w:r>
                </w:p>
              </w:tc>
              <w:tc>
                <w:tcPr>
                  <w:tcW w:w="667" w:type="dxa"/>
                  <w:vAlign w:val="top"/>
                </w:tcPr>
                <w:p w14:paraId="50B2264C">
                  <w:pPr>
                    <w:spacing w:before="115"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52.0</w:t>
                  </w:r>
                </w:p>
              </w:tc>
              <w:tc>
                <w:tcPr>
                  <w:tcW w:w="506" w:type="dxa"/>
                  <w:vMerge w:val="continue"/>
                  <w:tcBorders>
                    <w:top w:val="nil"/>
                    <w:bottom w:val="nil"/>
                  </w:tcBorders>
                  <w:vAlign w:val="top"/>
                </w:tcPr>
                <w:p w14:paraId="62F4DD8A">
                  <w:pPr>
                    <w:rPr>
                      <w:rFonts w:ascii="Arial"/>
                      <w:sz w:val="21"/>
                    </w:rPr>
                  </w:pPr>
                </w:p>
              </w:tc>
              <w:tc>
                <w:tcPr>
                  <w:tcW w:w="680" w:type="dxa"/>
                  <w:vAlign w:val="top"/>
                </w:tcPr>
                <w:p w14:paraId="1494CFB1">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13E0E3C7">
                  <w:pPr>
                    <w:spacing w:before="115" w:line="198" w:lineRule="auto"/>
                    <w:ind w:left="29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32</w:t>
                  </w:r>
                </w:p>
              </w:tc>
              <w:tc>
                <w:tcPr>
                  <w:tcW w:w="727" w:type="dxa"/>
                  <w:vAlign w:val="top"/>
                </w:tcPr>
                <w:p w14:paraId="12FA2BEA">
                  <w:pPr>
                    <w:spacing w:before="110"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12213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59821FB2">
                  <w:pPr>
                    <w:rPr>
                      <w:rFonts w:ascii="Arial"/>
                      <w:sz w:val="21"/>
                    </w:rPr>
                  </w:pPr>
                </w:p>
              </w:tc>
              <w:tc>
                <w:tcPr>
                  <w:tcW w:w="712" w:type="dxa"/>
                  <w:vAlign w:val="top"/>
                </w:tcPr>
                <w:p w14:paraId="531F7C1C">
                  <w:pPr>
                    <w:pStyle w:val="6"/>
                    <w:spacing w:before="85" w:line="230" w:lineRule="auto"/>
                    <w:ind w:left="132"/>
                    <w:rPr>
                      <w:sz w:val="14"/>
                      <w:szCs w:val="14"/>
                    </w:rPr>
                  </w:pPr>
                  <w:r>
                    <w:rPr>
                      <w:spacing w:val="7"/>
                      <w:sz w:val="14"/>
                      <w:szCs w:val="14"/>
                    </w:rPr>
                    <w:t>切割机</w:t>
                  </w:r>
                </w:p>
              </w:tc>
              <w:tc>
                <w:tcPr>
                  <w:tcW w:w="621" w:type="dxa"/>
                  <w:vAlign w:val="top"/>
                </w:tcPr>
                <w:p w14:paraId="4493AB48">
                  <w:pPr>
                    <w:spacing w:before="111"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90</w:t>
                  </w:r>
                </w:p>
              </w:tc>
              <w:tc>
                <w:tcPr>
                  <w:tcW w:w="711" w:type="dxa"/>
                  <w:vMerge w:val="continue"/>
                  <w:tcBorders>
                    <w:top w:val="nil"/>
                    <w:bottom w:val="nil"/>
                  </w:tcBorders>
                  <w:vAlign w:val="top"/>
                </w:tcPr>
                <w:p w14:paraId="34E22585">
                  <w:pPr>
                    <w:rPr>
                      <w:rFonts w:ascii="Arial"/>
                      <w:sz w:val="21"/>
                    </w:rPr>
                  </w:pPr>
                </w:p>
              </w:tc>
              <w:tc>
                <w:tcPr>
                  <w:tcW w:w="1267" w:type="dxa"/>
                  <w:vAlign w:val="top"/>
                </w:tcPr>
                <w:p w14:paraId="4B8184C2">
                  <w:pPr>
                    <w:spacing w:before="94" w:line="200" w:lineRule="auto"/>
                    <w:ind w:left="16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50.65,-199.92,0</w:t>
                  </w:r>
                </w:p>
              </w:tc>
              <w:tc>
                <w:tcPr>
                  <w:tcW w:w="607" w:type="dxa"/>
                  <w:vAlign w:val="top"/>
                </w:tcPr>
                <w:p w14:paraId="3BC8249F">
                  <w:pPr>
                    <w:spacing w:before="111" w:line="198" w:lineRule="auto"/>
                    <w:ind w:left="23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32</w:t>
                  </w:r>
                </w:p>
              </w:tc>
              <w:tc>
                <w:tcPr>
                  <w:tcW w:w="667" w:type="dxa"/>
                  <w:vAlign w:val="top"/>
                </w:tcPr>
                <w:p w14:paraId="532129B1">
                  <w:pPr>
                    <w:spacing w:before="113"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59.9</w:t>
                  </w:r>
                </w:p>
              </w:tc>
              <w:tc>
                <w:tcPr>
                  <w:tcW w:w="506" w:type="dxa"/>
                  <w:vMerge w:val="continue"/>
                  <w:tcBorders>
                    <w:top w:val="nil"/>
                    <w:bottom w:val="nil"/>
                  </w:tcBorders>
                  <w:vAlign w:val="top"/>
                </w:tcPr>
                <w:p w14:paraId="71675424">
                  <w:pPr>
                    <w:rPr>
                      <w:rFonts w:ascii="Arial"/>
                      <w:sz w:val="21"/>
                    </w:rPr>
                  </w:pPr>
                </w:p>
              </w:tc>
              <w:tc>
                <w:tcPr>
                  <w:tcW w:w="680" w:type="dxa"/>
                  <w:vAlign w:val="top"/>
                </w:tcPr>
                <w:p w14:paraId="0EB5ADA0">
                  <w:pPr>
                    <w:spacing w:before="113"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64E6AC67">
                  <w:pPr>
                    <w:spacing w:before="113"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39.9</w:t>
                  </w:r>
                </w:p>
              </w:tc>
              <w:tc>
                <w:tcPr>
                  <w:tcW w:w="727" w:type="dxa"/>
                  <w:vAlign w:val="top"/>
                </w:tcPr>
                <w:p w14:paraId="5AD53683">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6BF6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3580BD0C">
                  <w:pPr>
                    <w:rPr>
                      <w:rFonts w:ascii="Arial"/>
                      <w:sz w:val="21"/>
                    </w:rPr>
                  </w:pPr>
                </w:p>
              </w:tc>
              <w:tc>
                <w:tcPr>
                  <w:tcW w:w="712" w:type="dxa"/>
                  <w:vAlign w:val="top"/>
                </w:tcPr>
                <w:p w14:paraId="2A52AAAC">
                  <w:pPr>
                    <w:pStyle w:val="6"/>
                    <w:spacing w:before="87" w:line="228" w:lineRule="auto"/>
                    <w:ind w:left="131"/>
                    <w:rPr>
                      <w:sz w:val="14"/>
                      <w:szCs w:val="14"/>
                    </w:rPr>
                  </w:pPr>
                  <w:r>
                    <w:rPr>
                      <w:spacing w:val="8"/>
                      <w:sz w:val="14"/>
                      <w:szCs w:val="14"/>
                    </w:rPr>
                    <w:t>碰焊机</w:t>
                  </w:r>
                </w:p>
              </w:tc>
              <w:tc>
                <w:tcPr>
                  <w:tcW w:w="621" w:type="dxa"/>
                  <w:vAlign w:val="top"/>
                </w:tcPr>
                <w:p w14:paraId="0A4C6130">
                  <w:pPr>
                    <w:spacing w:before="112"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85</w:t>
                  </w:r>
                </w:p>
              </w:tc>
              <w:tc>
                <w:tcPr>
                  <w:tcW w:w="711" w:type="dxa"/>
                  <w:vMerge w:val="continue"/>
                  <w:tcBorders>
                    <w:top w:val="nil"/>
                    <w:bottom w:val="nil"/>
                  </w:tcBorders>
                  <w:vAlign w:val="top"/>
                </w:tcPr>
                <w:p w14:paraId="7EB8CE89">
                  <w:pPr>
                    <w:rPr>
                      <w:rFonts w:ascii="Arial"/>
                      <w:sz w:val="21"/>
                    </w:rPr>
                  </w:pPr>
                </w:p>
              </w:tc>
              <w:tc>
                <w:tcPr>
                  <w:tcW w:w="1267" w:type="dxa"/>
                  <w:vAlign w:val="top"/>
                </w:tcPr>
                <w:p w14:paraId="79B0FE83">
                  <w:pPr>
                    <w:spacing w:before="95" w:line="200" w:lineRule="auto"/>
                    <w:ind w:left="16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51.54,-167.34,0</w:t>
                  </w:r>
                </w:p>
              </w:tc>
              <w:tc>
                <w:tcPr>
                  <w:tcW w:w="607" w:type="dxa"/>
                  <w:vAlign w:val="top"/>
                </w:tcPr>
                <w:p w14:paraId="641254B8">
                  <w:pPr>
                    <w:spacing w:before="114" w:line="194" w:lineRule="auto"/>
                    <w:ind w:left="270"/>
                    <w:rPr>
                      <w:rFonts w:ascii="Times New Roman" w:hAnsi="Times New Roman" w:eastAsia="Times New Roman" w:cs="Times New Roman"/>
                      <w:sz w:val="14"/>
                      <w:szCs w:val="14"/>
                    </w:rPr>
                  </w:pPr>
                  <w:r>
                    <w:rPr>
                      <w:rFonts w:ascii="Times New Roman" w:hAnsi="Times New Roman" w:eastAsia="Times New Roman" w:cs="Times New Roman"/>
                      <w:sz w:val="14"/>
                      <w:szCs w:val="14"/>
                    </w:rPr>
                    <w:t>7</w:t>
                  </w:r>
                </w:p>
              </w:tc>
              <w:tc>
                <w:tcPr>
                  <w:tcW w:w="667" w:type="dxa"/>
                  <w:vAlign w:val="top"/>
                </w:tcPr>
                <w:p w14:paraId="50EB04D8">
                  <w:pPr>
                    <w:spacing w:before="114"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68.</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1"/>
                      <w:sz w:val="14"/>
                      <w:szCs w:val="14"/>
                    </w:rPr>
                    <w:t>1</w:t>
                  </w:r>
                </w:p>
              </w:tc>
              <w:tc>
                <w:tcPr>
                  <w:tcW w:w="506" w:type="dxa"/>
                  <w:vMerge w:val="continue"/>
                  <w:tcBorders>
                    <w:top w:val="nil"/>
                    <w:bottom w:val="nil"/>
                  </w:tcBorders>
                  <w:vAlign w:val="top"/>
                </w:tcPr>
                <w:p w14:paraId="797501C8">
                  <w:pPr>
                    <w:rPr>
                      <w:rFonts w:ascii="Arial"/>
                      <w:sz w:val="21"/>
                    </w:rPr>
                  </w:pPr>
                </w:p>
              </w:tc>
              <w:tc>
                <w:tcPr>
                  <w:tcW w:w="680" w:type="dxa"/>
                  <w:vAlign w:val="top"/>
                </w:tcPr>
                <w:p w14:paraId="5E09C9CD">
                  <w:pPr>
                    <w:spacing w:before="114"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1FB50460">
                  <w:pPr>
                    <w:spacing w:before="114" w:line="198" w:lineRule="auto"/>
                    <w:ind w:left="2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48.</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2"/>
                      <w:sz w:val="14"/>
                      <w:szCs w:val="14"/>
                    </w:rPr>
                    <w:t>1</w:t>
                  </w:r>
                </w:p>
              </w:tc>
              <w:tc>
                <w:tcPr>
                  <w:tcW w:w="727" w:type="dxa"/>
                  <w:vAlign w:val="top"/>
                </w:tcPr>
                <w:p w14:paraId="77EA6AB9">
                  <w:pPr>
                    <w:spacing w:before="112"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5F29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4A33F608">
                  <w:pPr>
                    <w:rPr>
                      <w:rFonts w:ascii="Arial"/>
                      <w:sz w:val="21"/>
                    </w:rPr>
                  </w:pPr>
                </w:p>
              </w:tc>
              <w:tc>
                <w:tcPr>
                  <w:tcW w:w="712" w:type="dxa"/>
                  <w:vAlign w:val="top"/>
                </w:tcPr>
                <w:p w14:paraId="7B3EA327">
                  <w:pPr>
                    <w:pStyle w:val="6"/>
                    <w:spacing w:before="85" w:line="230" w:lineRule="auto"/>
                    <w:ind w:left="207"/>
                    <w:rPr>
                      <w:sz w:val="14"/>
                      <w:szCs w:val="14"/>
                    </w:rPr>
                  </w:pPr>
                  <w:r>
                    <w:rPr>
                      <w:spacing w:val="5"/>
                      <w:sz w:val="14"/>
                      <w:szCs w:val="14"/>
                    </w:rPr>
                    <w:t>风机</w:t>
                  </w:r>
                </w:p>
              </w:tc>
              <w:tc>
                <w:tcPr>
                  <w:tcW w:w="621" w:type="dxa"/>
                  <w:vAlign w:val="top"/>
                </w:tcPr>
                <w:p w14:paraId="6699AE9F">
                  <w:pPr>
                    <w:spacing w:before="110"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90</w:t>
                  </w:r>
                </w:p>
              </w:tc>
              <w:tc>
                <w:tcPr>
                  <w:tcW w:w="711" w:type="dxa"/>
                  <w:vMerge w:val="continue"/>
                  <w:tcBorders>
                    <w:top w:val="nil"/>
                    <w:bottom w:val="nil"/>
                  </w:tcBorders>
                  <w:vAlign w:val="top"/>
                </w:tcPr>
                <w:p w14:paraId="3D158887">
                  <w:pPr>
                    <w:rPr>
                      <w:rFonts w:ascii="Arial"/>
                      <w:sz w:val="21"/>
                    </w:rPr>
                  </w:pPr>
                </w:p>
              </w:tc>
              <w:tc>
                <w:tcPr>
                  <w:tcW w:w="1267" w:type="dxa"/>
                  <w:vAlign w:val="top"/>
                </w:tcPr>
                <w:p w14:paraId="66E6B92C">
                  <w:pPr>
                    <w:spacing w:before="96" w:line="200" w:lineRule="auto"/>
                    <w:ind w:left="15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48.54,-155.33,0</w:t>
                  </w:r>
                </w:p>
              </w:tc>
              <w:tc>
                <w:tcPr>
                  <w:tcW w:w="607" w:type="dxa"/>
                  <w:vAlign w:val="top"/>
                </w:tcPr>
                <w:p w14:paraId="6D72CD46">
                  <w:pPr>
                    <w:spacing w:before="110" w:line="198" w:lineRule="auto"/>
                    <w:ind w:left="273"/>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tc>
              <w:tc>
                <w:tcPr>
                  <w:tcW w:w="667" w:type="dxa"/>
                  <w:vAlign w:val="top"/>
                </w:tcPr>
                <w:p w14:paraId="2B7F7076">
                  <w:pPr>
                    <w:spacing w:before="113" w:line="198" w:lineRule="auto"/>
                    <w:ind w:left="20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71.9</w:t>
                  </w:r>
                </w:p>
              </w:tc>
              <w:tc>
                <w:tcPr>
                  <w:tcW w:w="506" w:type="dxa"/>
                  <w:vMerge w:val="continue"/>
                  <w:tcBorders>
                    <w:top w:val="nil"/>
                    <w:bottom w:val="nil"/>
                  </w:tcBorders>
                  <w:vAlign w:val="top"/>
                </w:tcPr>
                <w:p w14:paraId="2C4A447D">
                  <w:pPr>
                    <w:rPr>
                      <w:rFonts w:ascii="Arial"/>
                      <w:sz w:val="21"/>
                    </w:rPr>
                  </w:pPr>
                </w:p>
              </w:tc>
              <w:tc>
                <w:tcPr>
                  <w:tcW w:w="680" w:type="dxa"/>
                  <w:vAlign w:val="top"/>
                </w:tcPr>
                <w:p w14:paraId="660D898D">
                  <w:pPr>
                    <w:spacing w:before="113"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2966AA9E">
                  <w:pPr>
                    <w:spacing w:before="113"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51.9</w:t>
                  </w:r>
                </w:p>
              </w:tc>
              <w:tc>
                <w:tcPr>
                  <w:tcW w:w="727" w:type="dxa"/>
                  <w:vAlign w:val="top"/>
                </w:tcPr>
                <w:p w14:paraId="07C73122">
                  <w:pPr>
                    <w:spacing w:before="110"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76848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3BB6058">
                  <w:pPr>
                    <w:rPr>
                      <w:rFonts w:ascii="Arial"/>
                      <w:sz w:val="21"/>
                    </w:rPr>
                  </w:pPr>
                </w:p>
              </w:tc>
              <w:tc>
                <w:tcPr>
                  <w:tcW w:w="712" w:type="dxa"/>
                  <w:vAlign w:val="top"/>
                </w:tcPr>
                <w:p w14:paraId="656FADF2">
                  <w:pPr>
                    <w:pStyle w:val="6"/>
                    <w:spacing w:before="89" w:line="230" w:lineRule="auto"/>
                    <w:ind w:left="131"/>
                    <w:rPr>
                      <w:sz w:val="14"/>
                      <w:szCs w:val="14"/>
                    </w:rPr>
                  </w:pPr>
                  <w:r>
                    <w:rPr>
                      <w:spacing w:val="8"/>
                      <w:sz w:val="14"/>
                      <w:szCs w:val="14"/>
                    </w:rPr>
                    <w:t>翻转机</w:t>
                  </w:r>
                </w:p>
              </w:tc>
              <w:tc>
                <w:tcPr>
                  <w:tcW w:w="621" w:type="dxa"/>
                  <w:vAlign w:val="top"/>
                </w:tcPr>
                <w:p w14:paraId="7F21F8A5">
                  <w:pPr>
                    <w:spacing w:before="114"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bottom w:val="nil"/>
                  </w:tcBorders>
                  <w:vAlign w:val="top"/>
                </w:tcPr>
                <w:p w14:paraId="5F8E6526">
                  <w:pPr>
                    <w:rPr>
                      <w:rFonts w:ascii="Arial"/>
                      <w:sz w:val="21"/>
                    </w:rPr>
                  </w:pPr>
                </w:p>
              </w:tc>
              <w:tc>
                <w:tcPr>
                  <w:tcW w:w="1267" w:type="dxa"/>
                  <w:vAlign w:val="top"/>
                </w:tcPr>
                <w:p w14:paraId="35F81CA0">
                  <w:pPr>
                    <w:spacing w:before="99" w:line="200" w:lineRule="auto"/>
                    <w:ind w:left="1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58.42,-204.</w:t>
                  </w:r>
                  <w:r>
                    <w:rPr>
                      <w:rFonts w:ascii="Times New Roman" w:hAnsi="Times New Roman" w:eastAsia="Times New Roman" w:cs="Times New Roman"/>
                      <w:spacing w:val="-12"/>
                      <w:sz w:val="14"/>
                      <w:szCs w:val="14"/>
                    </w:rPr>
                    <w:t xml:space="preserve"> </w:t>
                  </w:r>
                  <w:r>
                    <w:rPr>
                      <w:rFonts w:ascii="Times New Roman" w:hAnsi="Times New Roman" w:eastAsia="Times New Roman" w:cs="Times New Roman"/>
                      <w:spacing w:val="2"/>
                      <w:sz w:val="14"/>
                      <w:szCs w:val="14"/>
                    </w:rPr>
                    <w:t>11,0</w:t>
                  </w:r>
                </w:p>
              </w:tc>
              <w:tc>
                <w:tcPr>
                  <w:tcW w:w="607" w:type="dxa"/>
                  <w:vAlign w:val="top"/>
                </w:tcPr>
                <w:p w14:paraId="6BB0C4C0">
                  <w:pPr>
                    <w:spacing w:before="114" w:line="198" w:lineRule="auto"/>
                    <w:ind w:left="23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667" w:type="dxa"/>
                  <w:vAlign w:val="top"/>
                </w:tcPr>
                <w:p w14:paraId="3EC187FB">
                  <w:pPr>
                    <w:spacing w:before="121" w:line="198" w:lineRule="auto"/>
                    <w:ind w:left="20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49.</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2"/>
                      <w:sz w:val="14"/>
                      <w:szCs w:val="14"/>
                    </w:rPr>
                    <w:t>1</w:t>
                  </w:r>
                </w:p>
              </w:tc>
              <w:tc>
                <w:tcPr>
                  <w:tcW w:w="506" w:type="dxa"/>
                  <w:vMerge w:val="continue"/>
                  <w:tcBorders>
                    <w:top w:val="nil"/>
                    <w:bottom w:val="nil"/>
                  </w:tcBorders>
                  <w:vAlign w:val="top"/>
                </w:tcPr>
                <w:p w14:paraId="4D4BEB50">
                  <w:pPr>
                    <w:rPr>
                      <w:rFonts w:ascii="Arial"/>
                      <w:sz w:val="21"/>
                    </w:rPr>
                  </w:pPr>
                </w:p>
              </w:tc>
              <w:tc>
                <w:tcPr>
                  <w:tcW w:w="680" w:type="dxa"/>
                  <w:vAlign w:val="top"/>
                </w:tcPr>
                <w:p w14:paraId="0FF6E52D">
                  <w:pPr>
                    <w:spacing w:before="121"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43C2BF06">
                  <w:pPr>
                    <w:spacing w:before="121" w:line="198" w:lineRule="auto"/>
                    <w:ind w:left="23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29.</w:t>
                  </w:r>
                  <w:r>
                    <w:rPr>
                      <w:rFonts w:ascii="Times New Roman" w:hAnsi="Times New Roman" w:eastAsia="Times New Roman" w:cs="Times New Roman"/>
                      <w:spacing w:val="-14"/>
                      <w:sz w:val="14"/>
                      <w:szCs w:val="14"/>
                    </w:rPr>
                    <w:t xml:space="preserve"> </w:t>
                  </w:r>
                  <w:r>
                    <w:rPr>
                      <w:rFonts w:ascii="Times New Roman" w:hAnsi="Times New Roman" w:eastAsia="Times New Roman" w:cs="Times New Roman"/>
                      <w:spacing w:val="1"/>
                      <w:sz w:val="14"/>
                      <w:szCs w:val="14"/>
                    </w:rPr>
                    <w:t>1</w:t>
                  </w:r>
                </w:p>
              </w:tc>
              <w:tc>
                <w:tcPr>
                  <w:tcW w:w="727" w:type="dxa"/>
                  <w:vAlign w:val="top"/>
                </w:tcPr>
                <w:p w14:paraId="71527900">
                  <w:pPr>
                    <w:spacing w:before="114"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681FA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2376A21A">
                  <w:pPr>
                    <w:rPr>
                      <w:rFonts w:ascii="Arial"/>
                      <w:sz w:val="21"/>
                    </w:rPr>
                  </w:pPr>
                </w:p>
              </w:tc>
              <w:tc>
                <w:tcPr>
                  <w:tcW w:w="712" w:type="dxa"/>
                  <w:vAlign w:val="top"/>
                </w:tcPr>
                <w:p w14:paraId="406CBABA">
                  <w:pPr>
                    <w:pStyle w:val="6"/>
                    <w:spacing w:before="86" w:line="229" w:lineRule="auto"/>
                    <w:ind w:left="133"/>
                    <w:rPr>
                      <w:sz w:val="14"/>
                      <w:szCs w:val="14"/>
                    </w:rPr>
                  </w:pPr>
                  <w:r>
                    <w:rPr>
                      <w:spacing w:val="7"/>
                      <w:sz w:val="14"/>
                      <w:szCs w:val="14"/>
                    </w:rPr>
                    <w:t>掰板机</w:t>
                  </w:r>
                </w:p>
              </w:tc>
              <w:tc>
                <w:tcPr>
                  <w:tcW w:w="621" w:type="dxa"/>
                  <w:vAlign w:val="top"/>
                </w:tcPr>
                <w:p w14:paraId="3FA5133D">
                  <w:pPr>
                    <w:spacing w:before="111"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bottom w:val="nil"/>
                  </w:tcBorders>
                  <w:vAlign w:val="top"/>
                </w:tcPr>
                <w:p w14:paraId="422EA809">
                  <w:pPr>
                    <w:rPr>
                      <w:rFonts w:ascii="Arial"/>
                      <w:sz w:val="21"/>
                    </w:rPr>
                  </w:pPr>
                </w:p>
              </w:tc>
              <w:tc>
                <w:tcPr>
                  <w:tcW w:w="1267" w:type="dxa"/>
                  <w:vAlign w:val="top"/>
                </w:tcPr>
                <w:p w14:paraId="7BD48026">
                  <w:pPr>
                    <w:spacing w:before="97" w:line="200"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98.</w:t>
                  </w:r>
                  <w:r>
                    <w:rPr>
                      <w:rFonts w:ascii="Times New Roman" w:hAnsi="Times New Roman" w:eastAsia="Times New Roman" w:cs="Times New Roman"/>
                      <w:spacing w:val="-15"/>
                      <w:sz w:val="14"/>
                      <w:szCs w:val="14"/>
                    </w:rPr>
                    <w:t xml:space="preserve"> </w:t>
                  </w:r>
                  <w:r>
                    <w:rPr>
                      <w:rFonts w:ascii="Times New Roman" w:hAnsi="Times New Roman" w:eastAsia="Times New Roman" w:cs="Times New Roman"/>
                      <w:spacing w:val="1"/>
                      <w:sz w:val="14"/>
                      <w:szCs w:val="14"/>
                    </w:rPr>
                    <w:t>18,-218.</w:t>
                  </w:r>
                  <w:r>
                    <w:rPr>
                      <w:rFonts w:ascii="Times New Roman" w:hAnsi="Times New Roman" w:eastAsia="Times New Roman" w:cs="Times New Roman"/>
                      <w:spacing w:val="-16"/>
                      <w:sz w:val="14"/>
                      <w:szCs w:val="14"/>
                    </w:rPr>
                    <w:t xml:space="preserve"> </w:t>
                  </w:r>
                  <w:r>
                    <w:rPr>
                      <w:rFonts w:ascii="Times New Roman" w:hAnsi="Times New Roman" w:eastAsia="Times New Roman" w:cs="Times New Roman"/>
                      <w:spacing w:val="1"/>
                      <w:sz w:val="14"/>
                      <w:szCs w:val="14"/>
                    </w:rPr>
                    <w:t>16,0</w:t>
                  </w:r>
                </w:p>
              </w:tc>
              <w:tc>
                <w:tcPr>
                  <w:tcW w:w="607" w:type="dxa"/>
                  <w:vAlign w:val="top"/>
                </w:tcPr>
                <w:p w14:paraId="192DE6A2">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15</w:t>
                  </w:r>
                </w:p>
              </w:tc>
              <w:tc>
                <w:tcPr>
                  <w:tcW w:w="667" w:type="dxa"/>
                  <w:vAlign w:val="top"/>
                </w:tcPr>
                <w:p w14:paraId="0E386E9F">
                  <w:pPr>
                    <w:spacing w:before="116"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56.5</w:t>
                  </w:r>
                </w:p>
              </w:tc>
              <w:tc>
                <w:tcPr>
                  <w:tcW w:w="506" w:type="dxa"/>
                  <w:vMerge w:val="continue"/>
                  <w:tcBorders>
                    <w:top w:val="nil"/>
                    <w:bottom w:val="nil"/>
                  </w:tcBorders>
                  <w:vAlign w:val="top"/>
                </w:tcPr>
                <w:p w14:paraId="03E34259">
                  <w:pPr>
                    <w:rPr>
                      <w:rFonts w:ascii="Arial"/>
                      <w:sz w:val="21"/>
                    </w:rPr>
                  </w:pPr>
                </w:p>
              </w:tc>
              <w:tc>
                <w:tcPr>
                  <w:tcW w:w="680" w:type="dxa"/>
                  <w:vAlign w:val="top"/>
                </w:tcPr>
                <w:p w14:paraId="3E8CF0D6">
                  <w:pPr>
                    <w:spacing w:before="116"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30D349A0">
                  <w:pPr>
                    <w:spacing w:before="116"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36.5</w:t>
                  </w:r>
                </w:p>
              </w:tc>
              <w:tc>
                <w:tcPr>
                  <w:tcW w:w="727" w:type="dxa"/>
                  <w:vAlign w:val="top"/>
                </w:tcPr>
                <w:p w14:paraId="31896AE2">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51CC7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tcBorders>
                  <w:vAlign w:val="top"/>
                </w:tcPr>
                <w:p w14:paraId="510CFA54">
                  <w:pPr>
                    <w:rPr>
                      <w:rFonts w:ascii="Arial"/>
                      <w:sz w:val="21"/>
                    </w:rPr>
                  </w:pPr>
                </w:p>
              </w:tc>
              <w:tc>
                <w:tcPr>
                  <w:tcW w:w="712" w:type="dxa"/>
                  <w:vAlign w:val="top"/>
                </w:tcPr>
                <w:p w14:paraId="7EA15DEC">
                  <w:pPr>
                    <w:pStyle w:val="6"/>
                    <w:spacing w:before="87" w:line="228" w:lineRule="auto"/>
                    <w:ind w:left="137"/>
                    <w:rPr>
                      <w:sz w:val="14"/>
                      <w:szCs w:val="14"/>
                    </w:rPr>
                  </w:pPr>
                  <w:r>
                    <w:rPr>
                      <w:spacing w:val="6"/>
                      <w:sz w:val="14"/>
                      <w:szCs w:val="14"/>
                    </w:rPr>
                    <w:t>空压机</w:t>
                  </w:r>
                </w:p>
              </w:tc>
              <w:tc>
                <w:tcPr>
                  <w:tcW w:w="621" w:type="dxa"/>
                  <w:vAlign w:val="top"/>
                </w:tcPr>
                <w:p w14:paraId="0DB393D7">
                  <w:pPr>
                    <w:spacing w:before="112"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90</w:t>
                  </w:r>
                </w:p>
              </w:tc>
              <w:tc>
                <w:tcPr>
                  <w:tcW w:w="711" w:type="dxa"/>
                  <w:vMerge w:val="continue"/>
                  <w:tcBorders>
                    <w:top w:val="nil"/>
                  </w:tcBorders>
                  <w:vAlign w:val="top"/>
                </w:tcPr>
                <w:p w14:paraId="4FD04E57">
                  <w:pPr>
                    <w:rPr>
                      <w:rFonts w:ascii="Arial"/>
                      <w:sz w:val="21"/>
                    </w:rPr>
                  </w:pPr>
                </w:p>
              </w:tc>
              <w:tc>
                <w:tcPr>
                  <w:tcW w:w="1267" w:type="dxa"/>
                  <w:vAlign w:val="top"/>
                </w:tcPr>
                <w:p w14:paraId="36FA6FF1">
                  <w:pPr>
                    <w:spacing w:before="95" w:line="200" w:lineRule="auto"/>
                    <w:ind w:left="23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4.01,-204.7,0</w:t>
                  </w:r>
                </w:p>
              </w:tc>
              <w:tc>
                <w:tcPr>
                  <w:tcW w:w="607" w:type="dxa"/>
                  <w:vAlign w:val="top"/>
                </w:tcPr>
                <w:p w14:paraId="451B4F7A">
                  <w:pPr>
                    <w:spacing w:before="112"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15</w:t>
                  </w:r>
                </w:p>
              </w:tc>
              <w:tc>
                <w:tcPr>
                  <w:tcW w:w="667" w:type="dxa"/>
                  <w:vAlign w:val="top"/>
                </w:tcPr>
                <w:p w14:paraId="48E35378">
                  <w:pPr>
                    <w:spacing w:before="115"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66.5</w:t>
                  </w:r>
                </w:p>
              </w:tc>
              <w:tc>
                <w:tcPr>
                  <w:tcW w:w="506" w:type="dxa"/>
                  <w:vMerge w:val="continue"/>
                  <w:tcBorders>
                    <w:top w:val="nil"/>
                    <w:bottom w:val="nil"/>
                  </w:tcBorders>
                  <w:vAlign w:val="top"/>
                </w:tcPr>
                <w:p w14:paraId="5D19D43E">
                  <w:pPr>
                    <w:rPr>
                      <w:rFonts w:ascii="Arial"/>
                      <w:sz w:val="21"/>
                    </w:rPr>
                  </w:pPr>
                </w:p>
              </w:tc>
              <w:tc>
                <w:tcPr>
                  <w:tcW w:w="680" w:type="dxa"/>
                  <w:vAlign w:val="top"/>
                </w:tcPr>
                <w:p w14:paraId="6641EA83">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04151084">
                  <w:pPr>
                    <w:spacing w:before="115" w:line="198" w:lineRule="auto"/>
                    <w:ind w:left="23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46.5</w:t>
                  </w:r>
                </w:p>
              </w:tc>
              <w:tc>
                <w:tcPr>
                  <w:tcW w:w="727" w:type="dxa"/>
                  <w:vAlign w:val="top"/>
                </w:tcPr>
                <w:p w14:paraId="376C509B">
                  <w:pPr>
                    <w:spacing w:before="112"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238C0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restart"/>
                  <w:tcBorders>
                    <w:bottom w:val="nil"/>
                  </w:tcBorders>
                  <w:vAlign w:val="top"/>
                </w:tcPr>
                <w:p w14:paraId="55DDADE5">
                  <w:pPr>
                    <w:spacing w:line="288" w:lineRule="auto"/>
                    <w:rPr>
                      <w:rFonts w:ascii="Arial"/>
                      <w:sz w:val="21"/>
                    </w:rPr>
                  </w:pPr>
                </w:p>
                <w:p w14:paraId="2942008B">
                  <w:pPr>
                    <w:spacing w:line="288" w:lineRule="auto"/>
                    <w:rPr>
                      <w:rFonts w:ascii="Arial"/>
                      <w:sz w:val="21"/>
                    </w:rPr>
                  </w:pPr>
                </w:p>
                <w:p w14:paraId="3909BEC1">
                  <w:pPr>
                    <w:spacing w:line="288" w:lineRule="auto"/>
                    <w:rPr>
                      <w:rFonts w:ascii="Arial"/>
                      <w:sz w:val="21"/>
                    </w:rPr>
                  </w:pPr>
                </w:p>
                <w:p w14:paraId="37D2635C">
                  <w:pPr>
                    <w:pStyle w:val="6"/>
                    <w:spacing w:before="46" w:line="330" w:lineRule="auto"/>
                    <w:ind w:left="52" w:right="47"/>
                    <w:rPr>
                      <w:sz w:val="14"/>
                      <w:szCs w:val="14"/>
                    </w:rPr>
                  </w:pPr>
                  <w:r>
                    <w:rPr>
                      <w:spacing w:val="7"/>
                      <w:sz w:val="14"/>
                      <w:szCs w:val="14"/>
                    </w:rPr>
                    <w:t>干混砂</w:t>
                  </w:r>
                  <w:r>
                    <w:rPr>
                      <w:spacing w:val="1"/>
                      <w:sz w:val="14"/>
                      <w:szCs w:val="14"/>
                    </w:rPr>
                    <w:t xml:space="preserve"> </w:t>
                  </w:r>
                  <w:r>
                    <w:rPr>
                      <w:spacing w:val="7"/>
                      <w:sz w:val="14"/>
                      <w:szCs w:val="14"/>
                    </w:rPr>
                    <w:t>浆车间</w:t>
                  </w:r>
                </w:p>
              </w:tc>
              <w:tc>
                <w:tcPr>
                  <w:tcW w:w="712" w:type="dxa"/>
                  <w:vAlign w:val="top"/>
                </w:tcPr>
                <w:p w14:paraId="3D1E7CBC">
                  <w:pPr>
                    <w:pStyle w:val="6"/>
                    <w:spacing w:before="71" w:line="231" w:lineRule="auto"/>
                    <w:ind w:left="57"/>
                    <w:rPr>
                      <w:sz w:val="14"/>
                      <w:szCs w:val="14"/>
                    </w:rPr>
                  </w:pPr>
                  <w:r>
                    <w:rPr>
                      <w:spacing w:val="8"/>
                      <w:sz w:val="14"/>
                      <w:szCs w:val="14"/>
                    </w:rPr>
                    <w:t>输送皮带</w:t>
                  </w:r>
                </w:p>
              </w:tc>
              <w:tc>
                <w:tcPr>
                  <w:tcW w:w="621" w:type="dxa"/>
                  <w:vAlign w:val="top"/>
                </w:tcPr>
                <w:p w14:paraId="75DEA843">
                  <w:pPr>
                    <w:spacing w:before="96"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restart"/>
                  <w:tcBorders>
                    <w:bottom w:val="nil"/>
                  </w:tcBorders>
                  <w:vAlign w:val="top"/>
                </w:tcPr>
                <w:p w14:paraId="7F4BC736">
                  <w:pPr>
                    <w:spacing w:line="303" w:lineRule="auto"/>
                    <w:rPr>
                      <w:rFonts w:ascii="Arial"/>
                      <w:sz w:val="21"/>
                    </w:rPr>
                  </w:pPr>
                </w:p>
                <w:p w14:paraId="5B17828A">
                  <w:pPr>
                    <w:spacing w:line="304" w:lineRule="auto"/>
                    <w:rPr>
                      <w:rFonts w:ascii="Arial"/>
                      <w:sz w:val="21"/>
                    </w:rPr>
                  </w:pPr>
                </w:p>
                <w:p w14:paraId="1160305F">
                  <w:pPr>
                    <w:pStyle w:val="6"/>
                    <w:spacing w:before="46" w:line="231" w:lineRule="auto"/>
                    <w:ind w:left="133"/>
                    <w:rPr>
                      <w:sz w:val="14"/>
                      <w:szCs w:val="14"/>
                    </w:rPr>
                  </w:pPr>
                  <w:r>
                    <w:rPr>
                      <w:spacing w:val="7"/>
                      <w:sz w:val="14"/>
                      <w:szCs w:val="14"/>
                    </w:rPr>
                    <w:t>优选设</w:t>
                  </w:r>
                </w:p>
                <w:p w14:paraId="4174334D">
                  <w:pPr>
                    <w:pStyle w:val="6"/>
                    <w:spacing w:before="83" w:line="233" w:lineRule="auto"/>
                    <w:ind w:left="59"/>
                    <w:rPr>
                      <w:sz w:val="14"/>
                      <w:szCs w:val="14"/>
                    </w:rPr>
                  </w:pPr>
                  <w:r>
                    <w:rPr>
                      <w:spacing w:val="7"/>
                      <w:sz w:val="14"/>
                      <w:szCs w:val="14"/>
                    </w:rPr>
                    <w:t>备、基础</w:t>
                  </w:r>
                </w:p>
                <w:p w14:paraId="6EE44543">
                  <w:pPr>
                    <w:pStyle w:val="6"/>
                    <w:spacing w:before="85" w:line="232" w:lineRule="auto"/>
                    <w:ind w:left="57"/>
                    <w:rPr>
                      <w:sz w:val="14"/>
                      <w:szCs w:val="14"/>
                    </w:rPr>
                  </w:pPr>
                  <w:r>
                    <w:rPr>
                      <w:spacing w:val="7"/>
                      <w:sz w:val="14"/>
                      <w:szCs w:val="14"/>
                    </w:rPr>
                    <w:t>减震、建</w:t>
                  </w:r>
                </w:p>
                <w:p w14:paraId="2B07B131">
                  <w:pPr>
                    <w:pStyle w:val="6"/>
                    <w:spacing w:before="83" w:line="232" w:lineRule="auto"/>
                    <w:ind w:left="135"/>
                    <w:rPr>
                      <w:sz w:val="14"/>
                      <w:szCs w:val="14"/>
                    </w:rPr>
                  </w:pPr>
                  <w:r>
                    <w:rPr>
                      <w:spacing w:val="7"/>
                      <w:sz w:val="14"/>
                      <w:szCs w:val="14"/>
                    </w:rPr>
                    <w:t>筑隔声</w:t>
                  </w:r>
                </w:p>
              </w:tc>
              <w:tc>
                <w:tcPr>
                  <w:tcW w:w="1267" w:type="dxa"/>
                  <w:vAlign w:val="top"/>
                </w:tcPr>
                <w:p w14:paraId="3B3D14B5">
                  <w:pPr>
                    <w:spacing w:before="111" w:line="200" w:lineRule="auto"/>
                    <w:ind w:left="15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44.</w:t>
                  </w:r>
                  <w:r>
                    <w:rPr>
                      <w:rFonts w:ascii="Times New Roman" w:hAnsi="Times New Roman" w:eastAsia="Times New Roman" w:cs="Times New Roman"/>
                      <w:spacing w:val="-7"/>
                      <w:sz w:val="14"/>
                      <w:szCs w:val="14"/>
                    </w:rPr>
                    <w:t xml:space="preserve"> </w:t>
                  </w:r>
                  <w:r>
                    <w:rPr>
                      <w:rFonts w:ascii="Times New Roman" w:hAnsi="Times New Roman" w:eastAsia="Times New Roman" w:cs="Times New Roman"/>
                      <w:spacing w:val="2"/>
                      <w:sz w:val="14"/>
                      <w:szCs w:val="14"/>
                    </w:rPr>
                    <w:t>17,-138.62,0</w:t>
                  </w:r>
                </w:p>
              </w:tc>
              <w:tc>
                <w:tcPr>
                  <w:tcW w:w="607" w:type="dxa"/>
                  <w:vAlign w:val="top"/>
                </w:tcPr>
                <w:p w14:paraId="2A94E363">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11</w:t>
                  </w:r>
                </w:p>
              </w:tc>
              <w:tc>
                <w:tcPr>
                  <w:tcW w:w="667" w:type="dxa"/>
                  <w:vAlign w:val="top"/>
                </w:tcPr>
                <w:p w14:paraId="6723922D">
                  <w:pPr>
                    <w:spacing w:before="116"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59.2</w:t>
                  </w:r>
                </w:p>
              </w:tc>
              <w:tc>
                <w:tcPr>
                  <w:tcW w:w="506" w:type="dxa"/>
                  <w:vMerge w:val="continue"/>
                  <w:tcBorders>
                    <w:top w:val="nil"/>
                    <w:bottom w:val="nil"/>
                  </w:tcBorders>
                  <w:vAlign w:val="top"/>
                </w:tcPr>
                <w:p w14:paraId="6C19BE62">
                  <w:pPr>
                    <w:rPr>
                      <w:rFonts w:ascii="Arial"/>
                      <w:sz w:val="21"/>
                    </w:rPr>
                  </w:pPr>
                </w:p>
              </w:tc>
              <w:tc>
                <w:tcPr>
                  <w:tcW w:w="680" w:type="dxa"/>
                  <w:vAlign w:val="top"/>
                </w:tcPr>
                <w:p w14:paraId="471F2A16">
                  <w:pPr>
                    <w:spacing w:before="116"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5ED5E423">
                  <w:pPr>
                    <w:spacing w:before="116"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39.2</w:t>
                  </w:r>
                </w:p>
              </w:tc>
              <w:tc>
                <w:tcPr>
                  <w:tcW w:w="727" w:type="dxa"/>
                  <w:vAlign w:val="top"/>
                </w:tcPr>
                <w:p w14:paraId="0BCAF7BC">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3944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1378EC7A">
                  <w:pPr>
                    <w:rPr>
                      <w:rFonts w:ascii="Arial"/>
                      <w:sz w:val="21"/>
                    </w:rPr>
                  </w:pPr>
                </w:p>
              </w:tc>
              <w:tc>
                <w:tcPr>
                  <w:tcW w:w="712" w:type="dxa"/>
                  <w:vAlign w:val="top"/>
                </w:tcPr>
                <w:p w14:paraId="29D90A85">
                  <w:pPr>
                    <w:pStyle w:val="6"/>
                    <w:spacing w:before="60" w:line="230" w:lineRule="auto"/>
                    <w:ind w:left="132"/>
                    <w:rPr>
                      <w:sz w:val="14"/>
                      <w:szCs w:val="14"/>
                    </w:rPr>
                  </w:pPr>
                  <w:r>
                    <w:rPr>
                      <w:spacing w:val="7"/>
                      <w:sz w:val="14"/>
                      <w:szCs w:val="14"/>
                    </w:rPr>
                    <w:t>球磨机</w:t>
                  </w:r>
                </w:p>
              </w:tc>
              <w:tc>
                <w:tcPr>
                  <w:tcW w:w="621" w:type="dxa"/>
                  <w:vAlign w:val="top"/>
                </w:tcPr>
                <w:p w14:paraId="2C261B8E">
                  <w:pPr>
                    <w:spacing w:before="95"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85</w:t>
                  </w:r>
                </w:p>
              </w:tc>
              <w:tc>
                <w:tcPr>
                  <w:tcW w:w="711" w:type="dxa"/>
                  <w:vMerge w:val="continue"/>
                  <w:tcBorders>
                    <w:top w:val="nil"/>
                    <w:bottom w:val="nil"/>
                  </w:tcBorders>
                  <w:vAlign w:val="top"/>
                </w:tcPr>
                <w:p w14:paraId="2875F632">
                  <w:pPr>
                    <w:rPr>
                      <w:rFonts w:ascii="Arial"/>
                      <w:sz w:val="21"/>
                    </w:rPr>
                  </w:pPr>
                </w:p>
              </w:tc>
              <w:tc>
                <w:tcPr>
                  <w:tcW w:w="1267" w:type="dxa"/>
                  <w:vAlign w:val="top"/>
                </w:tcPr>
                <w:p w14:paraId="00AC74E7">
                  <w:pPr>
                    <w:spacing w:before="112" w:line="200" w:lineRule="auto"/>
                    <w:ind w:left="16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51.83,-145.56,0</w:t>
                  </w:r>
                </w:p>
              </w:tc>
              <w:tc>
                <w:tcPr>
                  <w:tcW w:w="607" w:type="dxa"/>
                  <w:vAlign w:val="top"/>
                </w:tcPr>
                <w:p w14:paraId="7B17735B">
                  <w:pPr>
                    <w:spacing w:before="112"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tc>
              <w:tc>
                <w:tcPr>
                  <w:tcW w:w="667" w:type="dxa"/>
                  <w:vAlign w:val="top"/>
                </w:tcPr>
                <w:p w14:paraId="0461346D">
                  <w:pPr>
                    <w:spacing w:before="114"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65.0</w:t>
                  </w:r>
                </w:p>
              </w:tc>
              <w:tc>
                <w:tcPr>
                  <w:tcW w:w="506" w:type="dxa"/>
                  <w:vMerge w:val="continue"/>
                  <w:tcBorders>
                    <w:top w:val="nil"/>
                    <w:bottom w:val="nil"/>
                  </w:tcBorders>
                  <w:vAlign w:val="top"/>
                </w:tcPr>
                <w:p w14:paraId="5DBC2D30">
                  <w:pPr>
                    <w:rPr>
                      <w:rFonts w:ascii="Arial"/>
                      <w:sz w:val="21"/>
                    </w:rPr>
                  </w:pPr>
                </w:p>
              </w:tc>
              <w:tc>
                <w:tcPr>
                  <w:tcW w:w="680" w:type="dxa"/>
                  <w:vAlign w:val="top"/>
                </w:tcPr>
                <w:p w14:paraId="36CE6B79">
                  <w:pPr>
                    <w:spacing w:before="114"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14C9714D">
                  <w:pPr>
                    <w:spacing w:before="114" w:line="198" w:lineRule="auto"/>
                    <w:ind w:left="295"/>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45</w:t>
                  </w:r>
                </w:p>
              </w:tc>
              <w:tc>
                <w:tcPr>
                  <w:tcW w:w="727" w:type="dxa"/>
                  <w:vAlign w:val="top"/>
                </w:tcPr>
                <w:p w14:paraId="2CDD3725">
                  <w:pPr>
                    <w:spacing w:before="112"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02E7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334E2744">
                  <w:pPr>
                    <w:rPr>
                      <w:rFonts w:ascii="Arial"/>
                      <w:sz w:val="21"/>
                    </w:rPr>
                  </w:pPr>
                </w:p>
              </w:tc>
              <w:tc>
                <w:tcPr>
                  <w:tcW w:w="712" w:type="dxa"/>
                  <w:vAlign w:val="top"/>
                </w:tcPr>
                <w:p w14:paraId="33B3EDE3">
                  <w:pPr>
                    <w:pStyle w:val="6"/>
                    <w:spacing w:before="71" w:line="230" w:lineRule="auto"/>
                    <w:ind w:left="133"/>
                    <w:rPr>
                      <w:sz w:val="14"/>
                      <w:szCs w:val="14"/>
                    </w:rPr>
                  </w:pPr>
                  <w:r>
                    <w:rPr>
                      <w:spacing w:val="7"/>
                      <w:sz w:val="14"/>
                      <w:szCs w:val="14"/>
                    </w:rPr>
                    <w:t>筛分机</w:t>
                  </w:r>
                </w:p>
              </w:tc>
              <w:tc>
                <w:tcPr>
                  <w:tcW w:w="621" w:type="dxa"/>
                  <w:vAlign w:val="top"/>
                </w:tcPr>
                <w:p w14:paraId="3B78F71D">
                  <w:pPr>
                    <w:spacing w:before="96"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85</w:t>
                  </w:r>
                </w:p>
              </w:tc>
              <w:tc>
                <w:tcPr>
                  <w:tcW w:w="711" w:type="dxa"/>
                  <w:vMerge w:val="continue"/>
                  <w:tcBorders>
                    <w:top w:val="nil"/>
                    <w:bottom w:val="nil"/>
                  </w:tcBorders>
                  <w:vAlign w:val="top"/>
                </w:tcPr>
                <w:p w14:paraId="50F3BF5F">
                  <w:pPr>
                    <w:rPr>
                      <w:rFonts w:ascii="Arial"/>
                      <w:sz w:val="21"/>
                    </w:rPr>
                  </w:pPr>
                </w:p>
              </w:tc>
              <w:tc>
                <w:tcPr>
                  <w:tcW w:w="1267" w:type="dxa"/>
                  <w:vAlign w:val="top"/>
                </w:tcPr>
                <w:p w14:paraId="0ABB7085">
                  <w:pPr>
                    <w:spacing w:before="113" w:line="200" w:lineRule="auto"/>
                    <w:ind w:left="163"/>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58.77,-151.06,0</w:t>
                  </w:r>
                </w:p>
              </w:tc>
              <w:tc>
                <w:tcPr>
                  <w:tcW w:w="607" w:type="dxa"/>
                  <w:vAlign w:val="top"/>
                </w:tcPr>
                <w:p w14:paraId="4728A629">
                  <w:pPr>
                    <w:spacing w:before="113"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11</w:t>
                  </w:r>
                </w:p>
              </w:tc>
              <w:tc>
                <w:tcPr>
                  <w:tcW w:w="667" w:type="dxa"/>
                  <w:vAlign w:val="top"/>
                </w:tcPr>
                <w:p w14:paraId="35D742D9">
                  <w:pPr>
                    <w:spacing w:before="115"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64.2</w:t>
                  </w:r>
                </w:p>
              </w:tc>
              <w:tc>
                <w:tcPr>
                  <w:tcW w:w="506" w:type="dxa"/>
                  <w:vMerge w:val="continue"/>
                  <w:tcBorders>
                    <w:top w:val="nil"/>
                    <w:bottom w:val="nil"/>
                  </w:tcBorders>
                  <w:vAlign w:val="top"/>
                </w:tcPr>
                <w:p w14:paraId="523947D8">
                  <w:pPr>
                    <w:rPr>
                      <w:rFonts w:ascii="Arial"/>
                      <w:sz w:val="21"/>
                    </w:rPr>
                  </w:pPr>
                </w:p>
              </w:tc>
              <w:tc>
                <w:tcPr>
                  <w:tcW w:w="680" w:type="dxa"/>
                  <w:vAlign w:val="top"/>
                </w:tcPr>
                <w:p w14:paraId="5FA28E7E">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55F9E30E">
                  <w:pPr>
                    <w:spacing w:before="115" w:line="198" w:lineRule="auto"/>
                    <w:ind w:left="23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44.2</w:t>
                  </w:r>
                </w:p>
              </w:tc>
              <w:tc>
                <w:tcPr>
                  <w:tcW w:w="727" w:type="dxa"/>
                  <w:vAlign w:val="top"/>
                </w:tcPr>
                <w:p w14:paraId="33131DCF">
                  <w:pPr>
                    <w:spacing w:before="113"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775F3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783D3298">
                  <w:pPr>
                    <w:rPr>
                      <w:rFonts w:ascii="Arial"/>
                      <w:sz w:val="21"/>
                    </w:rPr>
                  </w:pPr>
                </w:p>
              </w:tc>
              <w:tc>
                <w:tcPr>
                  <w:tcW w:w="712" w:type="dxa"/>
                  <w:vAlign w:val="top"/>
                </w:tcPr>
                <w:p w14:paraId="0E0DC1EF">
                  <w:pPr>
                    <w:pStyle w:val="6"/>
                    <w:spacing w:before="72" w:line="230" w:lineRule="auto"/>
                    <w:ind w:left="132"/>
                    <w:rPr>
                      <w:sz w:val="14"/>
                      <w:szCs w:val="14"/>
                    </w:rPr>
                  </w:pPr>
                  <w:r>
                    <w:rPr>
                      <w:spacing w:val="7"/>
                      <w:sz w:val="14"/>
                      <w:szCs w:val="14"/>
                    </w:rPr>
                    <w:t>烘干机</w:t>
                  </w:r>
                </w:p>
              </w:tc>
              <w:tc>
                <w:tcPr>
                  <w:tcW w:w="621" w:type="dxa"/>
                  <w:vAlign w:val="top"/>
                </w:tcPr>
                <w:p w14:paraId="3FE73073">
                  <w:pPr>
                    <w:spacing w:before="97"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80</w:t>
                  </w:r>
                </w:p>
              </w:tc>
              <w:tc>
                <w:tcPr>
                  <w:tcW w:w="711" w:type="dxa"/>
                  <w:vMerge w:val="continue"/>
                  <w:tcBorders>
                    <w:top w:val="nil"/>
                    <w:bottom w:val="nil"/>
                  </w:tcBorders>
                  <w:vAlign w:val="top"/>
                </w:tcPr>
                <w:p w14:paraId="4C75BE56">
                  <w:pPr>
                    <w:rPr>
                      <w:rFonts w:ascii="Arial"/>
                      <w:sz w:val="21"/>
                    </w:rPr>
                  </w:pPr>
                </w:p>
              </w:tc>
              <w:tc>
                <w:tcPr>
                  <w:tcW w:w="1267" w:type="dxa"/>
                  <w:vAlign w:val="top"/>
                </w:tcPr>
                <w:p w14:paraId="12A79EF0">
                  <w:pPr>
                    <w:spacing w:before="111" w:line="200" w:lineRule="auto"/>
                    <w:ind w:left="18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56.37,</w:t>
                  </w:r>
                  <w:r>
                    <w:rPr>
                      <w:rFonts w:ascii="Times New Roman" w:hAnsi="Times New Roman" w:eastAsia="Times New Roman" w:cs="Times New Roman"/>
                      <w:spacing w:val="-12"/>
                      <w:sz w:val="14"/>
                      <w:szCs w:val="14"/>
                    </w:rPr>
                    <w:t xml:space="preserve"> </w:t>
                  </w:r>
                  <w:r>
                    <w:rPr>
                      <w:rFonts w:ascii="Times New Roman" w:hAnsi="Times New Roman" w:eastAsia="Times New Roman" w:cs="Times New Roman"/>
                      <w:spacing w:val="2"/>
                      <w:sz w:val="14"/>
                      <w:szCs w:val="14"/>
                    </w:rPr>
                    <w:t>139.82,0</w:t>
                  </w:r>
                </w:p>
              </w:tc>
              <w:tc>
                <w:tcPr>
                  <w:tcW w:w="607" w:type="dxa"/>
                  <w:vAlign w:val="top"/>
                </w:tcPr>
                <w:p w14:paraId="449DBDE4">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15</w:t>
                  </w:r>
                </w:p>
              </w:tc>
              <w:tc>
                <w:tcPr>
                  <w:tcW w:w="667" w:type="dxa"/>
                  <w:vAlign w:val="top"/>
                </w:tcPr>
                <w:p w14:paraId="008E431B">
                  <w:pPr>
                    <w:spacing w:before="114"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56.5</w:t>
                  </w:r>
                </w:p>
              </w:tc>
              <w:tc>
                <w:tcPr>
                  <w:tcW w:w="506" w:type="dxa"/>
                  <w:vMerge w:val="continue"/>
                  <w:tcBorders>
                    <w:top w:val="nil"/>
                    <w:bottom w:val="nil"/>
                  </w:tcBorders>
                  <w:vAlign w:val="top"/>
                </w:tcPr>
                <w:p w14:paraId="6482A6A7">
                  <w:pPr>
                    <w:rPr>
                      <w:rFonts w:ascii="Arial"/>
                      <w:sz w:val="21"/>
                    </w:rPr>
                  </w:pPr>
                </w:p>
              </w:tc>
              <w:tc>
                <w:tcPr>
                  <w:tcW w:w="680" w:type="dxa"/>
                  <w:vAlign w:val="top"/>
                </w:tcPr>
                <w:p w14:paraId="4A759B5C">
                  <w:pPr>
                    <w:spacing w:before="114"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786CC297">
                  <w:pPr>
                    <w:spacing w:before="114"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36.5</w:t>
                  </w:r>
                </w:p>
              </w:tc>
              <w:tc>
                <w:tcPr>
                  <w:tcW w:w="727" w:type="dxa"/>
                  <w:vAlign w:val="top"/>
                </w:tcPr>
                <w:p w14:paraId="49AC8052">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05EF6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11FCAA22">
                  <w:pPr>
                    <w:rPr>
                      <w:rFonts w:ascii="Arial"/>
                      <w:sz w:val="21"/>
                    </w:rPr>
                  </w:pPr>
                </w:p>
              </w:tc>
              <w:tc>
                <w:tcPr>
                  <w:tcW w:w="712" w:type="dxa"/>
                  <w:vAlign w:val="top"/>
                </w:tcPr>
                <w:p w14:paraId="46E1431A">
                  <w:pPr>
                    <w:pStyle w:val="6"/>
                    <w:spacing w:before="73" w:line="230" w:lineRule="auto"/>
                    <w:ind w:left="133"/>
                    <w:rPr>
                      <w:sz w:val="14"/>
                      <w:szCs w:val="14"/>
                    </w:rPr>
                  </w:pPr>
                  <w:r>
                    <w:rPr>
                      <w:spacing w:val="7"/>
                      <w:sz w:val="14"/>
                      <w:szCs w:val="14"/>
                    </w:rPr>
                    <w:t>提升机</w:t>
                  </w:r>
                </w:p>
              </w:tc>
              <w:tc>
                <w:tcPr>
                  <w:tcW w:w="621" w:type="dxa"/>
                  <w:vAlign w:val="top"/>
                </w:tcPr>
                <w:p w14:paraId="6004931A">
                  <w:pPr>
                    <w:spacing w:before="98" w:line="194"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75</w:t>
                  </w:r>
                </w:p>
              </w:tc>
              <w:tc>
                <w:tcPr>
                  <w:tcW w:w="711" w:type="dxa"/>
                  <w:vMerge w:val="continue"/>
                  <w:tcBorders>
                    <w:top w:val="nil"/>
                    <w:bottom w:val="nil"/>
                  </w:tcBorders>
                  <w:vAlign w:val="top"/>
                </w:tcPr>
                <w:p w14:paraId="6C6BA21F">
                  <w:pPr>
                    <w:rPr>
                      <w:rFonts w:ascii="Arial"/>
                      <w:sz w:val="21"/>
                    </w:rPr>
                  </w:pPr>
                </w:p>
              </w:tc>
              <w:tc>
                <w:tcPr>
                  <w:tcW w:w="1267" w:type="dxa"/>
                  <w:vAlign w:val="top"/>
                </w:tcPr>
                <w:p w14:paraId="1EF69E5D">
                  <w:pPr>
                    <w:spacing w:before="112" w:line="200"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75.03,-140.05,0</w:t>
                  </w:r>
                </w:p>
              </w:tc>
              <w:tc>
                <w:tcPr>
                  <w:tcW w:w="607" w:type="dxa"/>
                  <w:vAlign w:val="top"/>
                </w:tcPr>
                <w:p w14:paraId="6D8F9C48">
                  <w:pPr>
                    <w:spacing w:before="112" w:line="198" w:lineRule="auto"/>
                    <w:ind w:left="270"/>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tc>
              <w:tc>
                <w:tcPr>
                  <w:tcW w:w="667" w:type="dxa"/>
                  <w:vAlign w:val="top"/>
                </w:tcPr>
                <w:p w14:paraId="04AFBA3B">
                  <w:pPr>
                    <w:spacing w:before="115"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55.9</w:t>
                  </w:r>
                </w:p>
              </w:tc>
              <w:tc>
                <w:tcPr>
                  <w:tcW w:w="506" w:type="dxa"/>
                  <w:vMerge w:val="continue"/>
                  <w:tcBorders>
                    <w:top w:val="nil"/>
                    <w:bottom w:val="nil"/>
                  </w:tcBorders>
                  <w:vAlign w:val="top"/>
                </w:tcPr>
                <w:p w14:paraId="5A27C200">
                  <w:pPr>
                    <w:rPr>
                      <w:rFonts w:ascii="Arial"/>
                      <w:sz w:val="21"/>
                    </w:rPr>
                  </w:pPr>
                </w:p>
              </w:tc>
              <w:tc>
                <w:tcPr>
                  <w:tcW w:w="680" w:type="dxa"/>
                  <w:vAlign w:val="top"/>
                </w:tcPr>
                <w:p w14:paraId="0A1B69C0">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189F3DB1">
                  <w:pPr>
                    <w:spacing w:before="115"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35.9</w:t>
                  </w:r>
                </w:p>
              </w:tc>
              <w:tc>
                <w:tcPr>
                  <w:tcW w:w="727" w:type="dxa"/>
                  <w:vAlign w:val="top"/>
                </w:tcPr>
                <w:p w14:paraId="0BC2C81C">
                  <w:pPr>
                    <w:spacing w:before="112"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5F3DB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49" w:type="dxa"/>
                  <w:vMerge w:val="continue"/>
                  <w:tcBorders>
                    <w:top w:val="nil"/>
                    <w:bottom w:val="nil"/>
                  </w:tcBorders>
                  <w:vAlign w:val="top"/>
                </w:tcPr>
                <w:p w14:paraId="1A2C7EEE">
                  <w:pPr>
                    <w:rPr>
                      <w:rFonts w:ascii="Arial"/>
                      <w:sz w:val="21"/>
                    </w:rPr>
                  </w:pPr>
                </w:p>
              </w:tc>
              <w:tc>
                <w:tcPr>
                  <w:tcW w:w="712" w:type="dxa"/>
                  <w:vAlign w:val="top"/>
                </w:tcPr>
                <w:p w14:paraId="647B108D">
                  <w:pPr>
                    <w:pStyle w:val="6"/>
                    <w:spacing w:before="69" w:line="230" w:lineRule="auto"/>
                    <w:ind w:left="132"/>
                    <w:rPr>
                      <w:sz w:val="14"/>
                      <w:szCs w:val="14"/>
                    </w:rPr>
                  </w:pPr>
                  <w:r>
                    <w:rPr>
                      <w:spacing w:val="7"/>
                      <w:sz w:val="14"/>
                      <w:szCs w:val="14"/>
                    </w:rPr>
                    <w:t>搅拌机</w:t>
                  </w:r>
                </w:p>
              </w:tc>
              <w:tc>
                <w:tcPr>
                  <w:tcW w:w="621" w:type="dxa"/>
                  <w:vAlign w:val="top"/>
                </w:tcPr>
                <w:p w14:paraId="7B8EF7B2">
                  <w:pPr>
                    <w:spacing w:before="94" w:line="198" w:lineRule="auto"/>
                    <w:ind w:left="24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85</w:t>
                  </w:r>
                </w:p>
              </w:tc>
              <w:tc>
                <w:tcPr>
                  <w:tcW w:w="711" w:type="dxa"/>
                  <w:vMerge w:val="continue"/>
                  <w:tcBorders>
                    <w:top w:val="nil"/>
                    <w:bottom w:val="nil"/>
                  </w:tcBorders>
                  <w:vAlign w:val="top"/>
                </w:tcPr>
                <w:p w14:paraId="747F7A39">
                  <w:pPr>
                    <w:rPr>
                      <w:rFonts w:ascii="Arial"/>
                      <w:sz w:val="21"/>
                    </w:rPr>
                  </w:pPr>
                </w:p>
              </w:tc>
              <w:tc>
                <w:tcPr>
                  <w:tcW w:w="1267" w:type="dxa"/>
                  <w:vAlign w:val="top"/>
                </w:tcPr>
                <w:p w14:paraId="4974F428">
                  <w:pPr>
                    <w:spacing w:before="111" w:line="200" w:lineRule="auto"/>
                    <w:ind w:left="157"/>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78.38,-124-98,0</w:t>
                  </w:r>
                </w:p>
              </w:tc>
              <w:tc>
                <w:tcPr>
                  <w:tcW w:w="607" w:type="dxa"/>
                  <w:vAlign w:val="top"/>
                </w:tcPr>
                <w:p w14:paraId="4EEA51E6">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19</w:t>
                  </w:r>
                </w:p>
              </w:tc>
              <w:tc>
                <w:tcPr>
                  <w:tcW w:w="667" w:type="dxa"/>
                  <w:vAlign w:val="top"/>
                </w:tcPr>
                <w:p w14:paraId="74C1E1CB">
                  <w:pPr>
                    <w:spacing w:before="111" w:line="198" w:lineRule="auto"/>
                    <w:ind w:left="20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59.4</w:t>
                  </w:r>
                </w:p>
              </w:tc>
              <w:tc>
                <w:tcPr>
                  <w:tcW w:w="506" w:type="dxa"/>
                  <w:vMerge w:val="continue"/>
                  <w:tcBorders>
                    <w:top w:val="nil"/>
                    <w:bottom w:val="nil"/>
                  </w:tcBorders>
                  <w:vAlign w:val="top"/>
                </w:tcPr>
                <w:p w14:paraId="333E5389">
                  <w:pPr>
                    <w:rPr>
                      <w:rFonts w:ascii="Arial"/>
                      <w:sz w:val="21"/>
                    </w:rPr>
                  </w:pPr>
                </w:p>
              </w:tc>
              <w:tc>
                <w:tcPr>
                  <w:tcW w:w="680" w:type="dxa"/>
                  <w:vAlign w:val="top"/>
                </w:tcPr>
                <w:p w14:paraId="4B6BACE6">
                  <w:pPr>
                    <w:spacing w:before="111"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2FE33D1F">
                  <w:pPr>
                    <w:spacing w:before="111"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39.4</w:t>
                  </w:r>
                </w:p>
              </w:tc>
              <w:tc>
                <w:tcPr>
                  <w:tcW w:w="727" w:type="dxa"/>
                  <w:vAlign w:val="top"/>
                </w:tcPr>
                <w:p w14:paraId="172CAE27">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17819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bottom w:val="nil"/>
                  </w:tcBorders>
                  <w:vAlign w:val="top"/>
                </w:tcPr>
                <w:p w14:paraId="3881F229">
                  <w:pPr>
                    <w:rPr>
                      <w:rFonts w:ascii="Arial"/>
                      <w:sz w:val="21"/>
                    </w:rPr>
                  </w:pPr>
                </w:p>
              </w:tc>
              <w:tc>
                <w:tcPr>
                  <w:tcW w:w="712" w:type="dxa"/>
                  <w:vAlign w:val="top"/>
                </w:tcPr>
                <w:p w14:paraId="6AA305C1">
                  <w:pPr>
                    <w:pStyle w:val="6"/>
                    <w:spacing w:before="73" w:line="230" w:lineRule="auto"/>
                    <w:ind w:left="132"/>
                    <w:rPr>
                      <w:sz w:val="14"/>
                      <w:szCs w:val="14"/>
                    </w:rPr>
                  </w:pPr>
                  <w:r>
                    <w:rPr>
                      <w:spacing w:val="7"/>
                      <w:sz w:val="14"/>
                      <w:szCs w:val="14"/>
                    </w:rPr>
                    <w:t>包装机</w:t>
                  </w:r>
                </w:p>
              </w:tc>
              <w:tc>
                <w:tcPr>
                  <w:tcW w:w="621" w:type="dxa"/>
                  <w:vAlign w:val="top"/>
                </w:tcPr>
                <w:p w14:paraId="1AF5A4CE">
                  <w:pPr>
                    <w:spacing w:before="98" w:line="194"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75</w:t>
                  </w:r>
                </w:p>
              </w:tc>
              <w:tc>
                <w:tcPr>
                  <w:tcW w:w="711" w:type="dxa"/>
                  <w:vMerge w:val="continue"/>
                  <w:tcBorders>
                    <w:top w:val="nil"/>
                    <w:bottom w:val="nil"/>
                  </w:tcBorders>
                  <w:vAlign w:val="top"/>
                </w:tcPr>
                <w:p w14:paraId="6A3A6983">
                  <w:pPr>
                    <w:rPr>
                      <w:rFonts w:ascii="Arial"/>
                      <w:sz w:val="21"/>
                    </w:rPr>
                  </w:pPr>
                </w:p>
              </w:tc>
              <w:tc>
                <w:tcPr>
                  <w:tcW w:w="1267" w:type="dxa"/>
                  <w:vAlign w:val="top"/>
                </w:tcPr>
                <w:p w14:paraId="15B4012B">
                  <w:pPr>
                    <w:spacing w:before="112" w:line="200"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75.75,-122.35,0</w:t>
                  </w:r>
                </w:p>
              </w:tc>
              <w:tc>
                <w:tcPr>
                  <w:tcW w:w="607" w:type="dxa"/>
                  <w:vAlign w:val="top"/>
                </w:tcPr>
                <w:p w14:paraId="24F8ED3A">
                  <w:pPr>
                    <w:spacing w:before="112" w:line="198" w:lineRule="auto"/>
                    <w:ind w:left="22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22</w:t>
                  </w:r>
                </w:p>
              </w:tc>
              <w:tc>
                <w:tcPr>
                  <w:tcW w:w="667" w:type="dxa"/>
                  <w:vAlign w:val="top"/>
                </w:tcPr>
                <w:p w14:paraId="41BB86D7">
                  <w:pPr>
                    <w:spacing w:before="115" w:line="198" w:lineRule="auto"/>
                    <w:ind w:left="202"/>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48.2</w:t>
                  </w:r>
                </w:p>
              </w:tc>
              <w:tc>
                <w:tcPr>
                  <w:tcW w:w="506" w:type="dxa"/>
                  <w:vMerge w:val="continue"/>
                  <w:tcBorders>
                    <w:top w:val="nil"/>
                    <w:bottom w:val="nil"/>
                  </w:tcBorders>
                  <w:vAlign w:val="top"/>
                </w:tcPr>
                <w:p w14:paraId="792A88D7">
                  <w:pPr>
                    <w:rPr>
                      <w:rFonts w:ascii="Arial"/>
                      <w:sz w:val="21"/>
                    </w:rPr>
                  </w:pPr>
                </w:p>
              </w:tc>
              <w:tc>
                <w:tcPr>
                  <w:tcW w:w="680" w:type="dxa"/>
                  <w:vAlign w:val="top"/>
                </w:tcPr>
                <w:p w14:paraId="273ACDA1">
                  <w:pPr>
                    <w:spacing w:before="115"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78268C66">
                  <w:pPr>
                    <w:spacing w:before="115" w:line="198" w:lineRule="auto"/>
                    <w:ind w:left="239"/>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28.2</w:t>
                  </w:r>
                </w:p>
              </w:tc>
              <w:tc>
                <w:tcPr>
                  <w:tcW w:w="727" w:type="dxa"/>
                  <w:vAlign w:val="top"/>
                </w:tcPr>
                <w:p w14:paraId="07FEF02B">
                  <w:pPr>
                    <w:spacing w:before="112"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07B0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49" w:type="dxa"/>
                  <w:vMerge w:val="continue"/>
                  <w:tcBorders>
                    <w:top w:val="nil"/>
                  </w:tcBorders>
                  <w:vAlign w:val="top"/>
                </w:tcPr>
                <w:p w14:paraId="124BBA24">
                  <w:pPr>
                    <w:rPr>
                      <w:rFonts w:ascii="Arial"/>
                      <w:sz w:val="21"/>
                    </w:rPr>
                  </w:pPr>
                </w:p>
              </w:tc>
              <w:tc>
                <w:tcPr>
                  <w:tcW w:w="712" w:type="dxa"/>
                  <w:vAlign w:val="top"/>
                </w:tcPr>
                <w:p w14:paraId="6601A02A">
                  <w:pPr>
                    <w:pStyle w:val="6"/>
                    <w:spacing w:before="59" w:line="230" w:lineRule="auto"/>
                    <w:ind w:left="137"/>
                    <w:rPr>
                      <w:sz w:val="14"/>
                      <w:szCs w:val="14"/>
                    </w:rPr>
                  </w:pPr>
                  <w:r>
                    <w:rPr>
                      <w:spacing w:val="6"/>
                      <w:sz w:val="14"/>
                      <w:szCs w:val="14"/>
                    </w:rPr>
                    <w:t>空压机</w:t>
                  </w:r>
                </w:p>
              </w:tc>
              <w:tc>
                <w:tcPr>
                  <w:tcW w:w="621" w:type="dxa"/>
                  <w:vAlign w:val="top"/>
                </w:tcPr>
                <w:p w14:paraId="56EDFC99">
                  <w:pPr>
                    <w:spacing w:before="96" w:line="198" w:lineRule="auto"/>
                    <w:ind w:left="23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90</w:t>
                  </w:r>
                </w:p>
              </w:tc>
              <w:tc>
                <w:tcPr>
                  <w:tcW w:w="711" w:type="dxa"/>
                  <w:vMerge w:val="continue"/>
                  <w:tcBorders>
                    <w:top w:val="nil"/>
                  </w:tcBorders>
                  <w:vAlign w:val="top"/>
                </w:tcPr>
                <w:p w14:paraId="6E6F5200">
                  <w:pPr>
                    <w:rPr>
                      <w:rFonts w:ascii="Arial"/>
                      <w:sz w:val="21"/>
                    </w:rPr>
                  </w:pPr>
                </w:p>
              </w:tc>
              <w:tc>
                <w:tcPr>
                  <w:tcW w:w="1267" w:type="dxa"/>
                  <w:vAlign w:val="top"/>
                </w:tcPr>
                <w:p w14:paraId="552E9844">
                  <w:pPr>
                    <w:spacing w:before="111" w:line="200"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93.95,-115.</w:t>
                  </w:r>
                  <w:r>
                    <w:rPr>
                      <w:rFonts w:ascii="Times New Roman" w:hAnsi="Times New Roman" w:eastAsia="Times New Roman" w:cs="Times New Roman"/>
                      <w:spacing w:val="-11"/>
                      <w:sz w:val="14"/>
                      <w:szCs w:val="14"/>
                    </w:rPr>
                    <w:t xml:space="preserve"> </w:t>
                  </w:r>
                  <w:r>
                    <w:rPr>
                      <w:rFonts w:ascii="Times New Roman" w:hAnsi="Times New Roman" w:eastAsia="Times New Roman" w:cs="Times New Roman"/>
                      <w:spacing w:val="2"/>
                      <w:sz w:val="14"/>
                      <w:szCs w:val="14"/>
                    </w:rPr>
                    <w:t>18,0</w:t>
                  </w:r>
                </w:p>
              </w:tc>
              <w:tc>
                <w:tcPr>
                  <w:tcW w:w="607" w:type="dxa"/>
                  <w:vAlign w:val="top"/>
                </w:tcPr>
                <w:p w14:paraId="650AB1A8">
                  <w:pPr>
                    <w:spacing w:before="111" w:line="198" w:lineRule="auto"/>
                    <w:ind w:left="243"/>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12</w:t>
                  </w:r>
                </w:p>
              </w:tc>
              <w:tc>
                <w:tcPr>
                  <w:tcW w:w="667" w:type="dxa"/>
                  <w:vAlign w:val="top"/>
                </w:tcPr>
                <w:p w14:paraId="0668DA1A">
                  <w:pPr>
                    <w:spacing w:before="111" w:line="198" w:lineRule="auto"/>
                    <w:ind w:left="20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68.4</w:t>
                  </w:r>
                </w:p>
              </w:tc>
              <w:tc>
                <w:tcPr>
                  <w:tcW w:w="506" w:type="dxa"/>
                  <w:vMerge w:val="continue"/>
                  <w:tcBorders>
                    <w:top w:val="nil"/>
                  </w:tcBorders>
                  <w:vAlign w:val="top"/>
                </w:tcPr>
                <w:p w14:paraId="6EB4E5FF">
                  <w:pPr>
                    <w:rPr>
                      <w:rFonts w:ascii="Arial"/>
                      <w:sz w:val="21"/>
                    </w:rPr>
                  </w:pPr>
                </w:p>
              </w:tc>
              <w:tc>
                <w:tcPr>
                  <w:tcW w:w="680" w:type="dxa"/>
                  <w:vAlign w:val="top"/>
                </w:tcPr>
                <w:p w14:paraId="4690D4DA">
                  <w:pPr>
                    <w:spacing w:before="116" w:line="198" w:lineRule="auto"/>
                    <w:ind w:left="26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20</w:t>
                  </w:r>
                </w:p>
              </w:tc>
              <w:tc>
                <w:tcPr>
                  <w:tcW w:w="737" w:type="dxa"/>
                  <w:vAlign w:val="top"/>
                </w:tcPr>
                <w:p w14:paraId="27E889A6">
                  <w:pPr>
                    <w:spacing w:before="116" w:line="198" w:lineRule="auto"/>
                    <w:ind w:left="23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48.4</w:t>
                  </w:r>
                </w:p>
              </w:tc>
              <w:tc>
                <w:tcPr>
                  <w:tcW w:w="727" w:type="dxa"/>
                  <w:vAlign w:val="top"/>
                </w:tcPr>
                <w:p w14:paraId="7F19CEE5">
                  <w:pPr>
                    <w:spacing w:before="111" w:line="198" w:lineRule="auto"/>
                    <w:ind w:left="33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r>
            <w:tr w14:paraId="028C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784" w:type="dxa"/>
                  <w:gridSpan w:val="11"/>
                  <w:vAlign w:val="top"/>
                </w:tcPr>
                <w:p w14:paraId="21322F4C">
                  <w:pPr>
                    <w:pStyle w:val="6"/>
                    <w:spacing w:before="89" w:line="290" w:lineRule="auto"/>
                    <w:ind w:left="40" w:firstLine="4"/>
                    <w:rPr>
                      <w:sz w:val="14"/>
                      <w:szCs w:val="14"/>
                    </w:rPr>
                  </w:pPr>
                  <w:r>
                    <w:rPr>
                      <w:spacing w:val="5"/>
                      <w:sz w:val="14"/>
                      <w:szCs w:val="14"/>
                    </w:rPr>
                    <w:t>说明：表中坐标以整个厂区进出大门处中心原点（</w:t>
                  </w:r>
                  <w:r>
                    <w:rPr>
                      <w:rFonts w:ascii="Times New Roman" w:hAnsi="Times New Roman" w:eastAsia="Times New Roman" w:cs="Times New Roman"/>
                      <w:spacing w:val="5"/>
                      <w:sz w:val="14"/>
                      <w:szCs w:val="14"/>
                    </w:rPr>
                    <w:t>E107°29′</w:t>
                  </w:r>
                  <w:r>
                    <w:rPr>
                      <w:rFonts w:ascii="Times New Roman" w:hAnsi="Times New Roman" w:eastAsia="Times New Roman" w:cs="Times New Roman"/>
                      <w:spacing w:val="4"/>
                      <w:sz w:val="14"/>
                      <w:szCs w:val="14"/>
                    </w:rPr>
                    <w:t>9.68</w:t>
                  </w:r>
                  <w:r>
                    <w:rPr>
                      <w:rFonts w:ascii="Times New Roman" w:hAnsi="Times New Roman" w:eastAsia="Times New Roman" w:cs="Times New Roman"/>
                      <w:spacing w:val="-21"/>
                      <w:sz w:val="14"/>
                      <w:szCs w:val="14"/>
                    </w:rPr>
                    <w:t xml:space="preserve"> </w:t>
                  </w:r>
                  <w:r>
                    <w:rPr>
                      <w:rFonts w:ascii="Times New Roman" w:hAnsi="Times New Roman" w:eastAsia="Times New Roman" w:cs="Times New Roman"/>
                      <w:spacing w:val="4"/>
                      <w:sz w:val="14"/>
                      <w:szCs w:val="14"/>
                    </w:rPr>
                    <w:t>″,N31°</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4"/>
                      <w:sz w:val="14"/>
                      <w:szCs w:val="14"/>
                    </w:rPr>
                    <w:t>19′</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4"/>
                      <w:sz w:val="14"/>
                      <w:szCs w:val="14"/>
                    </w:rPr>
                    <w:t>15.92″</w:t>
                  </w:r>
                  <w:r>
                    <w:rPr>
                      <w:spacing w:val="4"/>
                      <w:sz w:val="14"/>
                      <w:szCs w:val="14"/>
                    </w:rPr>
                    <w:t>）为坐标原点，</w:t>
                  </w:r>
                  <w:r>
                    <w:rPr>
                      <w:rFonts w:ascii="Times New Roman" w:hAnsi="Times New Roman" w:eastAsia="Times New Roman" w:cs="Times New Roman"/>
                      <w:spacing w:val="4"/>
                      <w:sz w:val="14"/>
                      <w:szCs w:val="14"/>
                    </w:rPr>
                    <w:t xml:space="preserve">x </w:t>
                  </w:r>
                  <w:r>
                    <w:rPr>
                      <w:spacing w:val="4"/>
                      <w:sz w:val="14"/>
                      <w:szCs w:val="14"/>
                    </w:rPr>
                    <w:t>代表横轴，</w:t>
                  </w:r>
                  <w:r>
                    <w:rPr>
                      <w:rFonts w:ascii="Times New Roman" w:hAnsi="Times New Roman" w:eastAsia="Times New Roman" w:cs="Times New Roman"/>
                      <w:spacing w:val="4"/>
                      <w:sz w:val="14"/>
                      <w:szCs w:val="14"/>
                    </w:rPr>
                    <w:t xml:space="preserve">y </w:t>
                  </w:r>
                  <w:r>
                    <w:rPr>
                      <w:spacing w:val="4"/>
                      <w:sz w:val="14"/>
                      <w:szCs w:val="14"/>
                    </w:rPr>
                    <w:t>代表纵轴，</w:t>
                  </w:r>
                  <w:r>
                    <w:rPr>
                      <w:sz w:val="14"/>
                      <w:szCs w:val="14"/>
                    </w:rPr>
                    <w:t xml:space="preserve"> </w:t>
                  </w:r>
                  <w:r>
                    <w:rPr>
                      <w:rFonts w:ascii="Times New Roman" w:hAnsi="Times New Roman" w:eastAsia="Times New Roman" w:cs="Times New Roman"/>
                      <w:spacing w:val="6"/>
                      <w:sz w:val="14"/>
                      <w:szCs w:val="14"/>
                    </w:rPr>
                    <w:t xml:space="preserve">z </w:t>
                  </w:r>
                  <w:r>
                    <w:rPr>
                      <w:spacing w:val="6"/>
                      <w:sz w:val="14"/>
                      <w:szCs w:val="14"/>
                    </w:rPr>
                    <w:t>代表竖轴</w:t>
                  </w:r>
                </w:p>
              </w:tc>
            </w:tr>
          </w:tbl>
          <w:p w14:paraId="5398DD63">
            <w:pPr>
              <w:spacing w:before="135" w:line="213"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4-9      </w:t>
            </w:r>
            <w:r>
              <w:rPr>
                <w:rFonts w:ascii="黑体" w:hAnsi="黑体" w:eastAsia="黑体" w:cs="黑体"/>
                <w:spacing w:val="-1"/>
                <w:sz w:val="18"/>
                <w:szCs w:val="18"/>
              </w:rPr>
              <w:t>项目室外声源调查一览表</w:t>
            </w:r>
          </w:p>
        </w:tc>
      </w:tr>
      <w:tr w14:paraId="0214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85" w:type="dxa"/>
            <w:vMerge w:val="continue"/>
            <w:tcBorders>
              <w:top w:val="nil"/>
              <w:left w:val="single" w:color="000000" w:sz="6" w:space="0"/>
              <w:bottom w:val="single" w:color="000000" w:sz="6" w:space="0"/>
            </w:tcBorders>
            <w:vAlign w:val="top"/>
          </w:tcPr>
          <w:p w14:paraId="20888196">
            <w:pPr>
              <w:rPr>
                <w:rFonts w:ascii="Arial"/>
                <w:sz w:val="21"/>
              </w:rPr>
            </w:pPr>
          </w:p>
        </w:tc>
        <w:tc>
          <w:tcPr>
            <w:tcW w:w="8127" w:type="dxa"/>
            <w:tcBorders>
              <w:bottom w:val="single" w:color="000000" w:sz="6" w:space="0"/>
              <w:right w:val="single" w:color="000000" w:sz="6" w:space="0"/>
            </w:tcBorders>
            <w:vAlign w:val="top"/>
          </w:tcPr>
          <w:p w14:paraId="3A8E7066">
            <w:pPr>
              <w:spacing w:line="31" w:lineRule="auto"/>
              <w:rPr>
                <w:rFonts w:ascii="Arial"/>
                <w:sz w:val="2"/>
              </w:rPr>
            </w:pPr>
          </w:p>
          <w:tbl>
            <w:tblPr>
              <w:tblStyle w:val="5"/>
              <w:tblW w:w="7901"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083"/>
              <w:gridCol w:w="1711"/>
              <w:gridCol w:w="1446"/>
              <w:gridCol w:w="2092"/>
              <w:gridCol w:w="891"/>
            </w:tblGrid>
            <w:tr w14:paraId="220AB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3" w:hRule="atLeast"/>
              </w:trPr>
              <w:tc>
                <w:tcPr>
                  <w:tcW w:w="678" w:type="dxa"/>
                  <w:vMerge w:val="restart"/>
                  <w:tcBorders>
                    <w:top w:val="nil"/>
                    <w:bottom w:val="nil"/>
                  </w:tcBorders>
                  <w:vAlign w:val="top"/>
                </w:tcPr>
                <w:p w14:paraId="45471528">
                  <w:pPr>
                    <w:pStyle w:val="6"/>
                    <w:spacing w:before="225" w:line="221" w:lineRule="auto"/>
                    <w:ind w:left="161"/>
                    <w:rPr>
                      <w:sz w:val="18"/>
                      <w:szCs w:val="18"/>
                    </w:rPr>
                  </w:pPr>
                  <w:r>
                    <w:rPr>
                      <w:b/>
                      <w:bCs/>
                      <w:spacing w:val="-6"/>
                      <w:sz w:val="18"/>
                      <w:szCs w:val="18"/>
                    </w:rPr>
                    <w:t>序号</w:t>
                  </w:r>
                </w:p>
              </w:tc>
              <w:tc>
                <w:tcPr>
                  <w:tcW w:w="1083" w:type="dxa"/>
                  <w:vMerge w:val="restart"/>
                  <w:tcBorders>
                    <w:top w:val="nil"/>
                    <w:bottom w:val="nil"/>
                  </w:tcBorders>
                  <w:vAlign w:val="top"/>
                </w:tcPr>
                <w:p w14:paraId="0B1BA081">
                  <w:pPr>
                    <w:pStyle w:val="6"/>
                    <w:spacing w:before="225" w:line="220" w:lineRule="auto"/>
                    <w:ind w:left="186"/>
                    <w:rPr>
                      <w:sz w:val="18"/>
                      <w:szCs w:val="18"/>
                    </w:rPr>
                  </w:pPr>
                  <w:r>
                    <w:rPr>
                      <w:b/>
                      <w:bCs/>
                      <w:spacing w:val="-4"/>
                      <w:sz w:val="18"/>
                      <w:szCs w:val="18"/>
                    </w:rPr>
                    <w:t>声源名称</w:t>
                  </w:r>
                </w:p>
              </w:tc>
              <w:tc>
                <w:tcPr>
                  <w:tcW w:w="1711" w:type="dxa"/>
                  <w:tcBorders>
                    <w:top w:val="nil"/>
                  </w:tcBorders>
                  <w:vAlign w:val="top"/>
                </w:tcPr>
                <w:p w14:paraId="3711C5AC">
                  <w:pPr>
                    <w:pStyle w:val="6"/>
                    <w:spacing w:before="62" w:line="221" w:lineRule="auto"/>
                    <w:ind w:left="264"/>
                    <w:rPr>
                      <w:rFonts w:ascii="Times New Roman" w:hAnsi="Times New Roman" w:eastAsia="Times New Roman" w:cs="Times New Roman"/>
                      <w:sz w:val="18"/>
                      <w:szCs w:val="18"/>
                    </w:rPr>
                  </w:pPr>
                  <w:r>
                    <w:rPr>
                      <w:b/>
                      <w:bCs/>
                      <w:spacing w:val="-12"/>
                      <w:sz w:val="18"/>
                      <w:szCs w:val="18"/>
                    </w:rPr>
                    <w:t>空间相对位置</w:t>
                  </w:r>
                  <w:r>
                    <w:rPr>
                      <w:rFonts w:ascii="Times New Roman" w:hAnsi="Times New Roman" w:eastAsia="Times New Roman" w:cs="Times New Roman"/>
                      <w:b/>
                      <w:bCs/>
                      <w:spacing w:val="-12"/>
                      <w:sz w:val="18"/>
                      <w:szCs w:val="18"/>
                    </w:rPr>
                    <w:t>/m</w:t>
                  </w:r>
                </w:p>
              </w:tc>
              <w:tc>
                <w:tcPr>
                  <w:tcW w:w="1446" w:type="dxa"/>
                  <w:vMerge w:val="restart"/>
                  <w:tcBorders>
                    <w:top w:val="nil"/>
                    <w:bottom w:val="nil"/>
                  </w:tcBorders>
                  <w:vAlign w:val="top"/>
                </w:tcPr>
                <w:p w14:paraId="7EE83E05">
                  <w:pPr>
                    <w:pStyle w:val="6"/>
                    <w:spacing w:before="225" w:line="210" w:lineRule="auto"/>
                    <w:ind w:left="109"/>
                    <w:rPr>
                      <w:rFonts w:ascii="Times New Roman" w:hAnsi="Times New Roman" w:eastAsia="Times New Roman" w:cs="Times New Roman"/>
                      <w:sz w:val="18"/>
                      <w:szCs w:val="18"/>
                    </w:rPr>
                  </w:pPr>
                  <w:r>
                    <w:rPr>
                      <w:b/>
                      <w:bCs/>
                      <w:spacing w:val="-2"/>
                      <w:sz w:val="18"/>
                      <w:szCs w:val="18"/>
                    </w:rPr>
                    <w:t>声功率级</w:t>
                  </w:r>
                  <w:r>
                    <w:rPr>
                      <w:rFonts w:ascii="Times New Roman" w:hAnsi="Times New Roman" w:eastAsia="Times New Roman" w:cs="Times New Roman"/>
                      <w:b/>
                      <w:bCs/>
                      <w:spacing w:val="-2"/>
                      <w:sz w:val="18"/>
                      <w:szCs w:val="18"/>
                    </w:rPr>
                    <w:t>/dB(A)</w:t>
                  </w:r>
                </w:p>
              </w:tc>
              <w:tc>
                <w:tcPr>
                  <w:tcW w:w="2092" w:type="dxa"/>
                  <w:vMerge w:val="restart"/>
                  <w:tcBorders>
                    <w:top w:val="nil"/>
                    <w:bottom w:val="nil"/>
                  </w:tcBorders>
                  <w:vAlign w:val="top"/>
                </w:tcPr>
                <w:p w14:paraId="09A3D2E5">
                  <w:pPr>
                    <w:pStyle w:val="6"/>
                    <w:spacing w:before="225" w:line="220" w:lineRule="auto"/>
                    <w:ind w:left="513"/>
                    <w:rPr>
                      <w:sz w:val="18"/>
                      <w:szCs w:val="18"/>
                    </w:rPr>
                  </w:pPr>
                  <w:r>
                    <w:rPr>
                      <w:b/>
                      <w:bCs/>
                      <w:spacing w:val="-4"/>
                      <w:sz w:val="18"/>
                      <w:szCs w:val="18"/>
                    </w:rPr>
                    <w:t>声源控制措施</w:t>
                  </w:r>
                </w:p>
              </w:tc>
              <w:tc>
                <w:tcPr>
                  <w:tcW w:w="891" w:type="dxa"/>
                  <w:vMerge w:val="restart"/>
                  <w:tcBorders>
                    <w:top w:val="nil"/>
                    <w:bottom w:val="nil"/>
                  </w:tcBorders>
                  <w:vAlign w:val="top"/>
                </w:tcPr>
                <w:p w14:paraId="04244832">
                  <w:pPr>
                    <w:pStyle w:val="6"/>
                    <w:spacing w:before="225" w:line="220" w:lineRule="auto"/>
                    <w:ind w:left="88"/>
                    <w:rPr>
                      <w:sz w:val="18"/>
                      <w:szCs w:val="18"/>
                    </w:rPr>
                  </w:pPr>
                  <w:r>
                    <w:rPr>
                      <w:b/>
                      <w:bCs/>
                      <w:spacing w:val="-4"/>
                      <w:sz w:val="18"/>
                      <w:szCs w:val="18"/>
                    </w:rPr>
                    <w:t>运行时段</w:t>
                  </w:r>
                </w:p>
              </w:tc>
            </w:tr>
            <w:tr w14:paraId="03A4D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78" w:type="dxa"/>
                  <w:vMerge w:val="continue"/>
                  <w:tcBorders>
                    <w:top w:val="nil"/>
                  </w:tcBorders>
                  <w:vAlign w:val="top"/>
                </w:tcPr>
                <w:p w14:paraId="5AC6077F">
                  <w:pPr>
                    <w:rPr>
                      <w:rFonts w:ascii="Arial"/>
                      <w:sz w:val="21"/>
                    </w:rPr>
                  </w:pPr>
                </w:p>
              </w:tc>
              <w:tc>
                <w:tcPr>
                  <w:tcW w:w="1083" w:type="dxa"/>
                  <w:vMerge w:val="continue"/>
                  <w:tcBorders>
                    <w:top w:val="nil"/>
                  </w:tcBorders>
                  <w:vAlign w:val="top"/>
                </w:tcPr>
                <w:p w14:paraId="19CDAF91">
                  <w:pPr>
                    <w:rPr>
                      <w:rFonts w:ascii="Arial"/>
                      <w:sz w:val="21"/>
                    </w:rPr>
                  </w:pPr>
                </w:p>
              </w:tc>
              <w:tc>
                <w:tcPr>
                  <w:tcW w:w="1711" w:type="dxa"/>
                  <w:vAlign w:val="top"/>
                </w:tcPr>
                <w:p w14:paraId="439CD6F2">
                  <w:pPr>
                    <w:pStyle w:val="6"/>
                    <w:spacing w:before="85" w:line="178" w:lineRule="auto"/>
                    <w:ind w:left="483"/>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6"/>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1446" w:type="dxa"/>
                  <w:vMerge w:val="continue"/>
                  <w:tcBorders>
                    <w:top w:val="nil"/>
                  </w:tcBorders>
                  <w:vAlign w:val="top"/>
                </w:tcPr>
                <w:p w14:paraId="16EFCD9E">
                  <w:pPr>
                    <w:rPr>
                      <w:rFonts w:ascii="Arial"/>
                      <w:sz w:val="21"/>
                    </w:rPr>
                  </w:pPr>
                </w:p>
              </w:tc>
              <w:tc>
                <w:tcPr>
                  <w:tcW w:w="2092" w:type="dxa"/>
                  <w:vMerge w:val="continue"/>
                  <w:tcBorders>
                    <w:top w:val="nil"/>
                  </w:tcBorders>
                  <w:vAlign w:val="top"/>
                </w:tcPr>
                <w:p w14:paraId="130C1583">
                  <w:pPr>
                    <w:rPr>
                      <w:rFonts w:ascii="Arial"/>
                      <w:sz w:val="21"/>
                    </w:rPr>
                  </w:pPr>
                </w:p>
              </w:tc>
              <w:tc>
                <w:tcPr>
                  <w:tcW w:w="891" w:type="dxa"/>
                  <w:vMerge w:val="continue"/>
                  <w:tcBorders>
                    <w:top w:val="nil"/>
                  </w:tcBorders>
                  <w:vAlign w:val="top"/>
                </w:tcPr>
                <w:p w14:paraId="37108645">
                  <w:pPr>
                    <w:rPr>
                      <w:rFonts w:ascii="Arial"/>
                      <w:sz w:val="21"/>
                    </w:rPr>
                  </w:pPr>
                </w:p>
              </w:tc>
            </w:tr>
            <w:tr w14:paraId="03454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8" w:type="dxa"/>
                  <w:vAlign w:val="top"/>
                </w:tcPr>
                <w:p w14:paraId="06A9A676">
                  <w:pPr>
                    <w:spacing w:before="243"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83" w:type="dxa"/>
                  <w:vAlign w:val="top"/>
                </w:tcPr>
                <w:p w14:paraId="60C65BFB">
                  <w:pPr>
                    <w:pStyle w:val="6"/>
                    <w:spacing w:before="200" w:line="219" w:lineRule="auto"/>
                    <w:ind w:left="185"/>
                    <w:rPr>
                      <w:sz w:val="18"/>
                      <w:szCs w:val="18"/>
                    </w:rPr>
                  </w:pPr>
                  <w:r>
                    <w:rPr>
                      <w:spacing w:val="-2"/>
                      <w:sz w:val="18"/>
                      <w:szCs w:val="18"/>
                    </w:rPr>
                    <w:t>运输车辆</w:t>
                  </w:r>
                </w:p>
              </w:tc>
              <w:tc>
                <w:tcPr>
                  <w:tcW w:w="1711" w:type="dxa"/>
                  <w:vAlign w:val="top"/>
                </w:tcPr>
                <w:p w14:paraId="1AFB9325">
                  <w:pPr>
                    <w:pStyle w:val="6"/>
                    <w:spacing w:before="243" w:line="180" w:lineRule="auto"/>
                    <w:ind w:left="1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20.28</w:t>
                  </w:r>
                  <w:r>
                    <w:rPr>
                      <w:rFonts w:ascii="Times New Roman" w:hAnsi="Times New Roman" w:eastAsia="Times New Roman" w:cs="Times New Roman"/>
                      <w:spacing w:val="-17"/>
                      <w:sz w:val="18"/>
                      <w:szCs w:val="18"/>
                    </w:rPr>
                    <w:t xml:space="preserve"> </w:t>
                  </w:r>
                  <w:r>
                    <w:rPr>
                      <w:spacing w:val="-2"/>
                      <w:sz w:val="18"/>
                      <w:szCs w:val="18"/>
                    </w:rPr>
                    <w:t>、</w:t>
                  </w:r>
                  <w:r>
                    <w:rPr>
                      <w:rFonts w:ascii="Times New Roman" w:hAnsi="Times New Roman" w:eastAsia="Times New Roman" w:cs="Times New Roman"/>
                      <w:spacing w:val="-2"/>
                      <w:sz w:val="18"/>
                      <w:szCs w:val="18"/>
                    </w:rPr>
                    <w:t>-113.8</w:t>
                  </w:r>
                  <w:r>
                    <w:rPr>
                      <w:spacing w:val="-2"/>
                      <w:sz w:val="18"/>
                      <w:szCs w:val="18"/>
                    </w:rPr>
                    <w:t>、</w:t>
                  </w:r>
                  <w:r>
                    <w:rPr>
                      <w:rFonts w:ascii="Times New Roman" w:hAnsi="Times New Roman" w:eastAsia="Times New Roman" w:cs="Times New Roman"/>
                      <w:spacing w:val="-2"/>
                      <w:sz w:val="18"/>
                      <w:szCs w:val="18"/>
                    </w:rPr>
                    <w:t>0</w:t>
                  </w:r>
                </w:p>
              </w:tc>
              <w:tc>
                <w:tcPr>
                  <w:tcW w:w="1446" w:type="dxa"/>
                  <w:vAlign w:val="top"/>
                </w:tcPr>
                <w:p w14:paraId="4E6D8DC6">
                  <w:pPr>
                    <w:spacing w:before="224" w:line="188"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2092" w:type="dxa"/>
                  <w:vAlign w:val="top"/>
                </w:tcPr>
                <w:p w14:paraId="3CA980C0">
                  <w:pPr>
                    <w:pStyle w:val="6"/>
                    <w:spacing w:before="73" w:line="248" w:lineRule="auto"/>
                    <w:ind w:left="515" w:right="52" w:hanging="454"/>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891" w:type="dxa"/>
                  <w:vAlign w:val="top"/>
                </w:tcPr>
                <w:p w14:paraId="65FFD3FC">
                  <w:pPr>
                    <w:pStyle w:val="6"/>
                    <w:spacing w:before="212" w:line="222" w:lineRule="auto"/>
                    <w:ind w:left="267"/>
                    <w:rPr>
                      <w:sz w:val="18"/>
                      <w:szCs w:val="18"/>
                    </w:rPr>
                  </w:pPr>
                  <w:r>
                    <w:rPr>
                      <w:spacing w:val="-4"/>
                      <w:sz w:val="18"/>
                      <w:szCs w:val="18"/>
                    </w:rPr>
                    <w:t>昼间</w:t>
                  </w:r>
                </w:p>
              </w:tc>
            </w:tr>
          </w:tbl>
          <w:p w14:paraId="036D2D79">
            <w:pPr>
              <w:pStyle w:val="6"/>
              <w:spacing w:before="132" w:line="219" w:lineRule="auto"/>
              <w:ind w:left="534"/>
            </w:pPr>
            <w:r>
              <w:t>为减轻生产过程对周围声环境质量的影响，评价</w:t>
            </w:r>
            <w:r>
              <w:rPr>
                <w:spacing w:val="-1"/>
              </w:rPr>
              <w:t>建议采取如下噪声防治措施：</w:t>
            </w:r>
          </w:p>
        </w:tc>
      </w:tr>
    </w:tbl>
    <w:p w14:paraId="12CC0548">
      <w:pPr>
        <w:pStyle w:val="2"/>
      </w:pPr>
    </w:p>
    <w:p w14:paraId="13E6561D">
      <w:pPr>
        <w:sectPr>
          <w:footerReference r:id="rId76" w:type="default"/>
          <w:pgSz w:w="11907" w:h="16840"/>
          <w:pgMar w:top="1431" w:right="1490" w:bottom="1260" w:left="1489" w:header="0" w:footer="1080" w:gutter="0"/>
          <w:cols w:space="720" w:num="1"/>
        </w:sectPr>
      </w:pPr>
    </w:p>
    <w:p w14:paraId="6C27979F">
      <w:pPr>
        <w:spacing w:before="28"/>
      </w:pPr>
    </w:p>
    <w:tbl>
      <w:tblPr>
        <w:tblStyle w:val="5"/>
        <w:tblW w:w="8912"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2"/>
      </w:tblGrid>
      <w:tr w14:paraId="4A46BEDE">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97" w:hRule="atLeast"/>
        </w:trPr>
        <w:tc>
          <w:tcPr>
            <w:tcW w:w="8912" w:type="dxa"/>
            <w:vAlign w:val="top"/>
          </w:tcPr>
          <w:tbl>
            <w:tblPr>
              <w:tblStyle w:val="5"/>
              <w:tblW w:w="8127" w:type="dxa"/>
              <w:tblInd w:w="7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
              <w:gridCol w:w="1700"/>
              <w:gridCol w:w="633"/>
              <w:gridCol w:w="327"/>
              <w:gridCol w:w="402"/>
              <w:gridCol w:w="331"/>
              <w:gridCol w:w="355"/>
              <w:gridCol w:w="481"/>
              <w:gridCol w:w="480"/>
              <w:gridCol w:w="481"/>
              <w:gridCol w:w="347"/>
              <w:gridCol w:w="402"/>
              <w:gridCol w:w="394"/>
              <w:gridCol w:w="426"/>
              <w:gridCol w:w="331"/>
              <w:gridCol w:w="502"/>
              <w:gridCol w:w="417"/>
            </w:tblGrid>
            <w:tr w14:paraId="7AAF8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6" w:hRule="atLeast"/>
              </w:trPr>
              <w:tc>
                <w:tcPr>
                  <w:tcW w:w="8127" w:type="dxa"/>
                  <w:gridSpan w:val="17"/>
                  <w:tcBorders>
                    <w:top w:val="nil"/>
                    <w:right w:val="nil"/>
                  </w:tcBorders>
                  <w:vAlign w:val="top"/>
                </w:tcPr>
                <w:p w14:paraId="1D202518">
                  <w:pPr>
                    <w:pStyle w:val="6"/>
                    <w:spacing w:before="140" w:line="218" w:lineRule="auto"/>
                    <w:ind w:left="539"/>
                  </w:pPr>
                  <w:r>
                    <w:rPr>
                      <w:spacing w:val="-1"/>
                    </w:rPr>
                    <w:t>①优选设备。尽量选择低噪声且符合国家噪声标准的设备。</w:t>
                  </w:r>
                </w:p>
                <w:p w14:paraId="7EC2AB85">
                  <w:pPr>
                    <w:pStyle w:val="6"/>
                    <w:spacing w:before="139" w:line="297" w:lineRule="auto"/>
                    <w:ind w:left="98" w:right="120" w:firstLine="439"/>
                  </w:pPr>
                  <w:r>
                    <w:rPr>
                      <w:spacing w:val="-1"/>
                    </w:rPr>
                    <w:t>②减振消声。产噪设备设安装减振垫，尤其是破碎机、筛分机、球磨机等振动</w:t>
                  </w:r>
                  <w:r>
                    <w:rPr>
                      <w:spacing w:val="18"/>
                    </w:rPr>
                    <w:t xml:space="preserve"> </w:t>
                  </w:r>
                  <w:r>
                    <w:t>较大的设备采用单独基础；机械设备加强维</w:t>
                  </w:r>
                  <w:r>
                    <w:rPr>
                      <w:spacing w:val="-1"/>
                    </w:rPr>
                    <w:t>护保养，定期检查、维修，及时更换老</w:t>
                  </w:r>
                  <w:r>
                    <w:t xml:space="preserve"> </w:t>
                  </w:r>
                  <w:r>
                    <w:rPr>
                      <w:spacing w:val="-1"/>
                    </w:rPr>
                    <w:t>化和性能降低的旧设备。</w:t>
                  </w:r>
                </w:p>
                <w:p w14:paraId="37301F19">
                  <w:pPr>
                    <w:pStyle w:val="6"/>
                    <w:spacing w:before="139" w:line="296" w:lineRule="auto"/>
                    <w:ind w:left="98" w:right="120" w:firstLine="439"/>
                  </w:pPr>
                  <w:r>
                    <w:rPr>
                      <w:spacing w:val="-1"/>
                    </w:rPr>
                    <w:t>③建筑隔声。将专用于建筑垃圾预处理的颚破机、筛分机等噪声设备，布置在</w:t>
                  </w:r>
                  <w:r>
                    <w:rPr>
                      <w:spacing w:val="18"/>
                    </w:rPr>
                    <w:t xml:space="preserve"> </w:t>
                  </w:r>
                  <w:r>
                    <w:t>地下式堆场内，利用建筑隔声降低噪声影响</w:t>
                  </w:r>
                  <w:r>
                    <w:rPr>
                      <w:spacing w:val="-1"/>
                    </w:rPr>
                    <w:t>；砌块生产线和干混砂浆生产线的所有</w:t>
                  </w:r>
                  <w:r>
                    <w:t xml:space="preserve"> </w:t>
                  </w:r>
                  <w:r>
                    <w:rPr>
                      <w:spacing w:val="-1"/>
                    </w:rPr>
                    <w:t>设备，均布置在封闭式生产车间内，利用厂房建筑隔声。</w:t>
                  </w:r>
                </w:p>
                <w:p w14:paraId="1C35E3D8">
                  <w:pPr>
                    <w:pStyle w:val="6"/>
                    <w:spacing w:before="138" w:line="218" w:lineRule="auto"/>
                    <w:ind w:left="538"/>
                  </w:pPr>
                  <w:r>
                    <w:rPr>
                      <w:spacing w:val="-1"/>
                    </w:rPr>
                    <w:t>④优化布局。车间内或设备间内的设备尽量远离厂界。</w:t>
                  </w:r>
                </w:p>
                <w:p w14:paraId="4DE91589">
                  <w:pPr>
                    <w:pStyle w:val="6"/>
                    <w:spacing w:before="141" w:line="218" w:lineRule="auto"/>
                    <w:ind w:left="538"/>
                  </w:pPr>
                  <w:r>
                    <w:rPr>
                      <w:spacing w:val="-1"/>
                    </w:rPr>
                    <w:t>⑤合理安排企业生产时间，运输安排在昼间进行。</w:t>
                  </w:r>
                </w:p>
                <w:p w14:paraId="2DC2F141">
                  <w:pPr>
                    <w:pStyle w:val="6"/>
                    <w:spacing w:before="138" w:line="218" w:lineRule="auto"/>
                    <w:ind w:left="538"/>
                  </w:pPr>
                  <w:r>
                    <w:rPr>
                      <w:spacing w:val="-1"/>
                    </w:rPr>
                    <w:t>⑥加强管理，主意设备的维护保养，及时更换性能较低的零配件及设备。</w:t>
                  </w:r>
                </w:p>
                <w:p w14:paraId="2AF6702B">
                  <w:pPr>
                    <w:pStyle w:val="6"/>
                    <w:spacing w:before="141" w:line="221" w:lineRule="auto"/>
                    <w:ind w:left="93"/>
                  </w:pPr>
                  <w:r>
                    <w:rPr>
                      <w:rFonts w:ascii="Times New Roman" w:hAnsi="Times New Roman" w:eastAsia="Times New Roman" w:cs="Times New Roman"/>
                      <w:b/>
                      <w:bCs/>
                      <w:spacing w:val="-2"/>
                    </w:rPr>
                    <w:t>3.2</w:t>
                  </w:r>
                  <w:r>
                    <w:rPr>
                      <w:b/>
                      <w:bCs/>
                      <w:spacing w:val="-2"/>
                    </w:rPr>
                    <w:t>环境影响及达标分析</w:t>
                  </w:r>
                </w:p>
                <w:p w14:paraId="2F65FA2F">
                  <w:pPr>
                    <w:pStyle w:val="6"/>
                    <w:spacing w:before="139" w:line="328" w:lineRule="auto"/>
                    <w:ind w:left="98" w:right="31" w:firstLine="444"/>
                    <w:jc w:val="both"/>
                  </w:pPr>
                  <w:r>
                    <w:rPr>
                      <w:spacing w:val="-1"/>
                    </w:rPr>
                    <w:t>项目周边</w:t>
                  </w:r>
                  <w:r>
                    <w:rPr>
                      <w:rFonts w:ascii="Times New Roman" w:hAnsi="Times New Roman" w:eastAsia="Times New Roman" w:cs="Times New Roman"/>
                      <w:spacing w:val="-1"/>
                    </w:rPr>
                    <w:t>50m</w:t>
                  </w:r>
                  <w:r>
                    <w:rPr>
                      <w:spacing w:val="-1"/>
                    </w:rPr>
                    <w:t>范围内无声环境保护目标，因此仅预测其厂界噪声达标情况。由</w:t>
                  </w:r>
                  <w:r>
                    <w:rPr>
                      <w:spacing w:val="7"/>
                    </w:rPr>
                    <w:t xml:space="preserve">  </w:t>
                  </w:r>
                  <w:r>
                    <w:rPr>
                      <w:spacing w:val="-5"/>
                    </w:rPr>
                    <w:t>于本项目属于“绿色节能环保建材产业化项目</w:t>
                  </w:r>
                  <w:r>
                    <w:rPr>
                      <w:spacing w:val="-72"/>
                    </w:rPr>
                    <w:t xml:space="preserve"> </w:t>
                  </w:r>
                  <w:r>
                    <w:rPr>
                      <w:spacing w:val="-5"/>
                    </w:rPr>
                    <w:t>”的二期工程，位于一期工程的东面，</w:t>
                  </w:r>
                  <w:r>
                    <w:t xml:space="preserve"> 建成后将与现有一期工程统一管理，整体上作为一</w:t>
                  </w:r>
                  <w:r>
                    <w:rPr>
                      <w:spacing w:val="-1"/>
                    </w:rPr>
                    <w:t>个厂区。因此，本次评价将以整</w:t>
                  </w:r>
                  <w:r>
                    <w:t xml:space="preserve"> 个“绿色节能环保建材产业化项目”的厂界</w:t>
                  </w:r>
                  <w:r>
                    <w:rPr>
                      <w:spacing w:val="-1"/>
                    </w:rPr>
                    <w:t>，作为本项目噪声预测的厂界。</w:t>
                  </w:r>
                </w:p>
                <w:p w14:paraId="0219E981">
                  <w:pPr>
                    <w:pStyle w:val="6"/>
                    <w:spacing w:before="33" w:line="330" w:lineRule="auto"/>
                    <w:ind w:left="97" w:right="118" w:firstLine="468"/>
                    <w:jc w:val="both"/>
                  </w:pPr>
                  <w:r>
                    <w:rPr>
                      <w:spacing w:val="-1"/>
                    </w:rPr>
                    <w:t>由于地下堆场的设备噪声经过建筑阻隔后，对面保护目标的</w:t>
                  </w:r>
                  <w:r>
                    <w:rPr>
                      <w:spacing w:val="-2"/>
                    </w:rPr>
                    <w:t>影响较小。本次预</w:t>
                  </w:r>
                  <w:r>
                    <w:t xml:space="preserve"> 测时以项目砌块车间和干混砂浆车间的声源作为源强</w:t>
                  </w:r>
                  <w:r>
                    <w:rPr>
                      <w:spacing w:val="-1"/>
                    </w:rPr>
                    <w:t>，预测项目噪声源到各厂界的</w:t>
                  </w:r>
                  <w:r>
                    <w:t xml:space="preserve"> 源强贡献值，并与一期工程的厂界噪声现状值叠</w:t>
                  </w:r>
                  <w:r>
                    <w:rPr>
                      <w:spacing w:val="-1"/>
                    </w:rPr>
                    <w:t>加，评价项目建成后厂界噪声达标</w:t>
                  </w:r>
                  <w:r>
                    <w:t xml:space="preserve"> 情况。营运期生产作业安排在昼间，夜间不生</w:t>
                  </w:r>
                  <w:r>
                    <w:rPr>
                      <w:spacing w:val="-1"/>
                    </w:rPr>
                    <w:t>产，因此仅预测昼间厂界噪声的达标</w:t>
                  </w:r>
                  <w:r>
                    <w:t xml:space="preserve"> </w:t>
                  </w:r>
                  <w:r>
                    <w:rPr>
                      <w:spacing w:val="-3"/>
                    </w:rPr>
                    <w:t>情况。</w:t>
                  </w:r>
                </w:p>
                <w:p w14:paraId="7C2A2F47">
                  <w:pPr>
                    <w:pStyle w:val="6"/>
                    <w:spacing w:before="32" w:line="220" w:lineRule="auto"/>
                    <w:ind w:left="543"/>
                  </w:pPr>
                  <w:r>
                    <w:rPr>
                      <w:spacing w:val="-2"/>
                    </w:rPr>
                    <w:t>项目的噪声预测结果见下表。</w:t>
                  </w:r>
                </w:p>
                <w:p w14:paraId="3F3BDF9E">
                  <w:pPr>
                    <w:spacing w:before="171" w:line="212" w:lineRule="auto"/>
                    <w:ind w:left="2282"/>
                    <w:rPr>
                      <w:rFonts w:ascii="Times New Roman" w:hAnsi="Times New Roman" w:eastAsia="Times New Roman" w:cs="Times New Roman"/>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4-10        </w:t>
                  </w:r>
                  <w:r>
                    <w:rPr>
                      <w:rFonts w:ascii="黑体" w:hAnsi="黑体" w:eastAsia="黑体" w:cs="黑体"/>
                      <w:sz w:val="18"/>
                      <w:szCs w:val="18"/>
                    </w:rPr>
                    <w:t>项目厂界噪声预测</w:t>
                  </w:r>
                  <w:r>
                    <w:rPr>
                      <w:rFonts w:ascii="黑体" w:hAnsi="黑体" w:eastAsia="黑体" w:cs="黑体"/>
                      <w:spacing w:val="-1"/>
                      <w:sz w:val="18"/>
                      <w:szCs w:val="18"/>
                    </w:rPr>
                    <w:t>结果   单位：</w:t>
                  </w:r>
                  <w:r>
                    <w:rPr>
                      <w:rFonts w:ascii="Times New Roman" w:hAnsi="Times New Roman" w:eastAsia="Times New Roman" w:cs="Times New Roman"/>
                      <w:spacing w:val="-1"/>
                      <w:sz w:val="18"/>
                      <w:szCs w:val="18"/>
                    </w:rPr>
                    <w:t>dB(A)</w:t>
                  </w:r>
                </w:p>
              </w:tc>
            </w:tr>
            <w:tr w14:paraId="6BA84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8" w:type="dxa"/>
                  <w:tcBorders>
                    <w:top w:val="nil"/>
                    <w:bottom w:val="nil"/>
                  </w:tcBorders>
                  <w:vAlign w:val="top"/>
                </w:tcPr>
                <w:p w14:paraId="5A1148DB">
                  <w:pPr>
                    <w:rPr>
                      <w:rFonts w:ascii="Arial"/>
                      <w:sz w:val="21"/>
                    </w:rPr>
                  </w:pPr>
                </w:p>
              </w:tc>
              <w:tc>
                <w:tcPr>
                  <w:tcW w:w="1700" w:type="dxa"/>
                  <w:vMerge w:val="restart"/>
                  <w:tcBorders>
                    <w:bottom w:val="nil"/>
                  </w:tcBorders>
                  <w:vAlign w:val="top"/>
                </w:tcPr>
                <w:p w14:paraId="12BAFB8C">
                  <w:pPr>
                    <w:spacing w:line="259" w:lineRule="auto"/>
                    <w:rPr>
                      <w:rFonts w:ascii="Arial"/>
                      <w:sz w:val="21"/>
                    </w:rPr>
                  </w:pPr>
                </w:p>
                <w:p w14:paraId="6013C379">
                  <w:pPr>
                    <w:spacing w:line="259" w:lineRule="auto"/>
                    <w:rPr>
                      <w:rFonts w:ascii="Arial"/>
                      <w:sz w:val="21"/>
                    </w:rPr>
                  </w:pPr>
                </w:p>
                <w:p w14:paraId="0DBF34F0">
                  <w:pPr>
                    <w:pStyle w:val="6"/>
                    <w:spacing w:before="46" w:line="232" w:lineRule="auto"/>
                    <w:ind w:left="175"/>
                    <w:rPr>
                      <w:sz w:val="14"/>
                      <w:szCs w:val="14"/>
                    </w:rPr>
                  </w:pPr>
                  <w:r>
                    <w:rPr>
                      <w:b/>
                      <w:bCs/>
                      <w:spacing w:val="7"/>
                      <w:sz w:val="14"/>
                      <w:szCs w:val="14"/>
                    </w:rPr>
                    <w:t>声环境保护目标名称</w:t>
                  </w:r>
                </w:p>
              </w:tc>
              <w:tc>
                <w:tcPr>
                  <w:tcW w:w="633" w:type="dxa"/>
                  <w:vMerge w:val="restart"/>
                  <w:tcBorders>
                    <w:bottom w:val="nil"/>
                  </w:tcBorders>
                  <w:vAlign w:val="top"/>
                </w:tcPr>
                <w:p w14:paraId="11912397">
                  <w:pPr>
                    <w:pStyle w:val="6"/>
                    <w:spacing w:before="117" w:line="358" w:lineRule="auto"/>
                    <w:ind w:left="93" w:right="94" w:firstLine="4"/>
                    <w:jc w:val="both"/>
                    <w:rPr>
                      <w:sz w:val="14"/>
                      <w:szCs w:val="14"/>
                    </w:rPr>
                  </w:pPr>
                  <w:r>
                    <w:rPr>
                      <w:b/>
                      <w:bCs/>
                      <w:spacing w:val="3"/>
                      <w:sz w:val="14"/>
                      <w:szCs w:val="14"/>
                    </w:rPr>
                    <w:t>噪声源</w:t>
                  </w:r>
                  <w:r>
                    <w:rPr>
                      <w:spacing w:val="1"/>
                      <w:sz w:val="14"/>
                      <w:szCs w:val="14"/>
                    </w:rPr>
                    <w:t xml:space="preserve"> </w:t>
                  </w:r>
                  <w:r>
                    <w:rPr>
                      <w:b/>
                      <w:bCs/>
                      <w:spacing w:val="5"/>
                      <w:sz w:val="14"/>
                      <w:szCs w:val="14"/>
                    </w:rPr>
                    <w:t>与敏感</w:t>
                  </w:r>
                  <w:r>
                    <w:rPr>
                      <w:sz w:val="14"/>
                      <w:szCs w:val="14"/>
                    </w:rPr>
                    <w:t xml:space="preserve"> </w:t>
                  </w:r>
                  <w:r>
                    <w:rPr>
                      <w:b/>
                      <w:bCs/>
                      <w:spacing w:val="5"/>
                      <w:sz w:val="14"/>
                      <w:szCs w:val="14"/>
                    </w:rPr>
                    <w:t>目标的</w:t>
                  </w:r>
                  <w:r>
                    <w:rPr>
                      <w:sz w:val="14"/>
                      <w:szCs w:val="14"/>
                    </w:rPr>
                    <w:t xml:space="preserve"> </w:t>
                  </w:r>
                  <w:r>
                    <w:rPr>
                      <w:b/>
                      <w:bCs/>
                      <w:spacing w:val="13"/>
                      <w:w w:val="121"/>
                      <w:sz w:val="14"/>
                      <w:szCs w:val="14"/>
                    </w:rPr>
                    <w:t>距离</w:t>
                  </w:r>
                </w:p>
              </w:tc>
              <w:tc>
                <w:tcPr>
                  <w:tcW w:w="729" w:type="dxa"/>
                  <w:gridSpan w:val="2"/>
                  <w:vAlign w:val="top"/>
                </w:tcPr>
                <w:p w14:paraId="68EF2970">
                  <w:pPr>
                    <w:pStyle w:val="6"/>
                    <w:spacing w:before="111" w:line="315" w:lineRule="auto"/>
                    <w:ind w:left="289" w:right="65" w:hanging="218"/>
                    <w:rPr>
                      <w:sz w:val="14"/>
                      <w:szCs w:val="14"/>
                    </w:rPr>
                  </w:pPr>
                  <w:r>
                    <w:rPr>
                      <w:b/>
                      <w:bCs/>
                      <w:spacing w:val="5"/>
                      <w:sz w:val="14"/>
                      <w:szCs w:val="14"/>
                    </w:rPr>
                    <w:t>噪声背景</w:t>
                  </w:r>
                  <w:r>
                    <w:rPr>
                      <w:sz w:val="14"/>
                      <w:szCs w:val="14"/>
                    </w:rPr>
                    <w:t xml:space="preserve"> </w:t>
                  </w:r>
                  <w:r>
                    <w:rPr>
                      <w:b/>
                      <w:bCs/>
                      <w:spacing w:val="1"/>
                      <w:sz w:val="14"/>
                      <w:szCs w:val="14"/>
                    </w:rPr>
                    <w:t>值</w:t>
                  </w:r>
                </w:p>
              </w:tc>
              <w:tc>
                <w:tcPr>
                  <w:tcW w:w="686" w:type="dxa"/>
                  <w:gridSpan w:val="2"/>
                  <w:vAlign w:val="top"/>
                </w:tcPr>
                <w:p w14:paraId="237630D6">
                  <w:pPr>
                    <w:pStyle w:val="6"/>
                    <w:spacing w:before="111" w:line="315" w:lineRule="auto"/>
                    <w:ind w:left="267" w:right="44" w:hanging="218"/>
                    <w:rPr>
                      <w:sz w:val="14"/>
                      <w:szCs w:val="14"/>
                    </w:rPr>
                  </w:pPr>
                  <w:r>
                    <w:rPr>
                      <w:b/>
                      <w:bCs/>
                      <w:spacing w:val="5"/>
                      <w:sz w:val="14"/>
                      <w:szCs w:val="14"/>
                    </w:rPr>
                    <w:t>噪声现状</w:t>
                  </w:r>
                  <w:r>
                    <w:rPr>
                      <w:sz w:val="14"/>
                      <w:szCs w:val="14"/>
                    </w:rPr>
                    <w:t xml:space="preserve"> </w:t>
                  </w:r>
                  <w:r>
                    <w:rPr>
                      <w:b/>
                      <w:bCs/>
                      <w:spacing w:val="1"/>
                      <w:sz w:val="14"/>
                      <w:szCs w:val="14"/>
                    </w:rPr>
                    <w:t>值</w:t>
                  </w:r>
                </w:p>
              </w:tc>
              <w:tc>
                <w:tcPr>
                  <w:tcW w:w="961" w:type="dxa"/>
                  <w:gridSpan w:val="2"/>
                  <w:vAlign w:val="top"/>
                </w:tcPr>
                <w:p w14:paraId="1DA6B6FB">
                  <w:pPr>
                    <w:pStyle w:val="6"/>
                    <w:spacing w:before="262" w:line="232" w:lineRule="auto"/>
                    <w:ind w:left="186"/>
                    <w:rPr>
                      <w:sz w:val="14"/>
                      <w:szCs w:val="14"/>
                    </w:rPr>
                  </w:pPr>
                  <w:r>
                    <w:rPr>
                      <w:b/>
                      <w:bCs/>
                      <w:spacing w:val="5"/>
                      <w:sz w:val="14"/>
                      <w:szCs w:val="14"/>
                    </w:rPr>
                    <w:t>噪声标准</w:t>
                  </w:r>
                </w:p>
              </w:tc>
              <w:tc>
                <w:tcPr>
                  <w:tcW w:w="828" w:type="dxa"/>
                  <w:gridSpan w:val="2"/>
                  <w:vAlign w:val="top"/>
                </w:tcPr>
                <w:p w14:paraId="755E7E7E">
                  <w:pPr>
                    <w:pStyle w:val="6"/>
                    <w:spacing w:before="262" w:line="231" w:lineRule="auto"/>
                    <w:ind w:left="45"/>
                    <w:rPr>
                      <w:sz w:val="14"/>
                      <w:szCs w:val="14"/>
                    </w:rPr>
                  </w:pPr>
                  <w:r>
                    <w:rPr>
                      <w:b/>
                      <w:bCs/>
                      <w:spacing w:val="6"/>
                      <w:sz w:val="14"/>
                      <w:szCs w:val="14"/>
                    </w:rPr>
                    <w:t>噪声贡献值</w:t>
                  </w:r>
                </w:p>
              </w:tc>
              <w:tc>
                <w:tcPr>
                  <w:tcW w:w="796" w:type="dxa"/>
                  <w:gridSpan w:val="2"/>
                  <w:vAlign w:val="top"/>
                </w:tcPr>
                <w:p w14:paraId="6CDDD506">
                  <w:pPr>
                    <w:pStyle w:val="6"/>
                    <w:spacing w:before="111" w:line="315" w:lineRule="auto"/>
                    <w:ind w:left="324" w:right="99" w:hanging="220"/>
                    <w:rPr>
                      <w:sz w:val="14"/>
                      <w:szCs w:val="14"/>
                    </w:rPr>
                  </w:pPr>
                  <w:r>
                    <w:rPr>
                      <w:b/>
                      <w:bCs/>
                      <w:spacing w:val="5"/>
                      <w:sz w:val="14"/>
                      <w:szCs w:val="14"/>
                    </w:rPr>
                    <w:t>噪声预测</w:t>
                  </w:r>
                  <w:r>
                    <w:rPr>
                      <w:sz w:val="14"/>
                      <w:szCs w:val="14"/>
                    </w:rPr>
                    <w:t xml:space="preserve"> </w:t>
                  </w:r>
                  <w:r>
                    <w:rPr>
                      <w:b/>
                      <w:bCs/>
                      <w:spacing w:val="1"/>
                      <w:sz w:val="14"/>
                      <w:szCs w:val="14"/>
                    </w:rPr>
                    <w:t>值</w:t>
                  </w:r>
                </w:p>
              </w:tc>
              <w:tc>
                <w:tcPr>
                  <w:tcW w:w="757" w:type="dxa"/>
                  <w:gridSpan w:val="2"/>
                  <w:vAlign w:val="top"/>
                </w:tcPr>
                <w:p w14:paraId="0C2A4454">
                  <w:pPr>
                    <w:pStyle w:val="6"/>
                    <w:spacing w:before="111" w:line="315" w:lineRule="auto"/>
                    <w:ind w:left="303" w:right="76" w:hanging="222"/>
                    <w:rPr>
                      <w:sz w:val="14"/>
                      <w:szCs w:val="14"/>
                    </w:rPr>
                  </w:pPr>
                  <w:r>
                    <w:rPr>
                      <w:b/>
                      <w:bCs/>
                      <w:spacing w:val="7"/>
                      <w:sz w:val="14"/>
                      <w:szCs w:val="14"/>
                    </w:rPr>
                    <w:t>较现状增</w:t>
                  </w:r>
                  <w:r>
                    <w:rPr>
                      <w:sz w:val="14"/>
                      <w:szCs w:val="14"/>
                    </w:rPr>
                    <w:t xml:space="preserve"> </w:t>
                  </w:r>
                  <w:r>
                    <w:rPr>
                      <w:b/>
                      <w:bCs/>
                      <w:spacing w:val="1"/>
                      <w:sz w:val="14"/>
                      <w:szCs w:val="14"/>
                    </w:rPr>
                    <w:t>量</w:t>
                  </w:r>
                </w:p>
              </w:tc>
              <w:tc>
                <w:tcPr>
                  <w:tcW w:w="919" w:type="dxa"/>
                  <w:gridSpan w:val="2"/>
                  <w:tcBorders>
                    <w:right w:val="nil"/>
                  </w:tcBorders>
                  <w:vAlign w:val="top"/>
                </w:tcPr>
                <w:p w14:paraId="386A2CB4">
                  <w:pPr>
                    <w:pStyle w:val="6"/>
                    <w:spacing w:before="111" w:line="315" w:lineRule="auto"/>
                    <w:ind w:left="338" w:right="58" w:hanging="226"/>
                    <w:rPr>
                      <w:sz w:val="14"/>
                      <w:szCs w:val="14"/>
                    </w:rPr>
                  </w:pPr>
                  <w:r>
                    <w:rPr>
                      <w:b/>
                      <w:bCs/>
                      <w:spacing w:val="7"/>
                      <w:sz w:val="14"/>
                      <w:szCs w:val="14"/>
                    </w:rPr>
                    <w:t>超标和达标</w:t>
                  </w:r>
                  <w:r>
                    <w:rPr>
                      <w:spacing w:val="2"/>
                      <w:sz w:val="14"/>
                      <w:szCs w:val="14"/>
                    </w:rPr>
                    <w:t xml:space="preserve"> </w:t>
                  </w:r>
                  <w:r>
                    <w:rPr>
                      <w:b/>
                      <w:bCs/>
                      <w:spacing w:val="5"/>
                      <w:sz w:val="14"/>
                      <w:szCs w:val="14"/>
                    </w:rPr>
                    <w:t>情况</w:t>
                  </w:r>
                </w:p>
              </w:tc>
            </w:tr>
            <w:tr w14:paraId="291D8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 w:type="dxa"/>
                  <w:tcBorders>
                    <w:top w:val="nil"/>
                    <w:bottom w:val="nil"/>
                  </w:tcBorders>
                  <w:vAlign w:val="top"/>
                </w:tcPr>
                <w:p w14:paraId="28874278">
                  <w:pPr>
                    <w:rPr>
                      <w:rFonts w:ascii="Arial"/>
                      <w:sz w:val="21"/>
                    </w:rPr>
                  </w:pPr>
                </w:p>
              </w:tc>
              <w:tc>
                <w:tcPr>
                  <w:tcW w:w="1700" w:type="dxa"/>
                  <w:vMerge w:val="continue"/>
                  <w:tcBorders>
                    <w:top w:val="nil"/>
                  </w:tcBorders>
                  <w:vAlign w:val="top"/>
                </w:tcPr>
                <w:p w14:paraId="224AE1EA">
                  <w:pPr>
                    <w:rPr>
                      <w:rFonts w:ascii="Arial"/>
                      <w:sz w:val="21"/>
                    </w:rPr>
                  </w:pPr>
                </w:p>
              </w:tc>
              <w:tc>
                <w:tcPr>
                  <w:tcW w:w="633" w:type="dxa"/>
                  <w:vMerge w:val="continue"/>
                  <w:tcBorders>
                    <w:top w:val="nil"/>
                  </w:tcBorders>
                  <w:vAlign w:val="top"/>
                </w:tcPr>
                <w:p w14:paraId="4ADF4232">
                  <w:pPr>
                    <w:rPr>
                      <w:rFonts w:ascii="Arial"/>
                      <w:sz w:val="21"/>
                    </w:rPr>
                  </w:pPr>
                </w:p>
              </w:tc>
              <w:tc>
                <w:tcPr>
                  <w:tcW w:w="327" w:type="dxa"/>
                  <w:textDirection w:val="tbRlV"/>
                  <w:vAlign w:val="top"/>
                </w:tcPr>
                <w:p w14:paraId="4AA5EDFB">
                  <w:pPr>
                    <w:pStyle w:val="6"/>
                    <w:spacing w:before="90" w:line="222" w:lineRule="auto"/>
                    <w:ind w:left="116"/>
                    <w:rPr>
                      <w:sz w:val="14"/>
                      <w:szCs w:val="14"/>
                    </w:rPr>
                  </w:pPr>
                  <w:r>
                    <w:rPr>
                      <w:b/>
                      <w:bCs/>
                      <w:spacing w:val="6"/>
                      <w:sz w:val="14"/>
                      <w:szCs w:val="14"/>
                    </w:rPr>
                    <w:t>昼</w:t>
                  </w:r>
                  <w:r>
                    <w:rPr>
                      <w:spacing w:val="6"/>
                      <w:sz w:val="14"/>
                      <w:szCs w:val="14"/>
                    </w:rPr>
                    <w:t xml:space="preserve">  </w:t>
                  </w:r>
                  <w:r>
                    <w:rPr>
                      <w:b/>
                      <w:bCs/>
                      <w:spacing w:val="6"/>
                      <w:sz w:val="14"/>
                      <w:szCs w:val="14"/>
                    </w:rPr>
                    <w:t>间</w:t>
                  </w:r>
                </w:p>
              </w:tc>
              <w:tc>
                <w:tcPr>
                  <w:tcW w:w="402" w:type="dxa"/>
                  <w:vAlign w:val="top"/>
                </w:tcPr>
                <w:p w14:paraId="3552741C">
                  <w:pPr>
                    <w:pStyle w:val="6"/>
                    <w:spacing w:before="267" w:line="231" w:lineRule="auto"/>
                    <w:ind w:left="54"/>
                    <w:rPr>
                      <w:sz w:val="14"/>
                      <w:szCs w:val="14"/>
                    </w:rPr>
                  </w:pPr>
                  <w:r>
                    <w:rPr>
                      <w:b/>
                      <w:bCs/>
                      <w:spacing w:val="4"/>
                      <w:sz w:val="14"/>
                      <w:szCs w:val="14"/>
                    </w:rPr>
                    <w:t>夜间</w:t>
                  </w:r>
                </w:p>
              </w:tc>
              <w:tc>
                <w:tcPr>
                  <w:tcW w:w="331" w:type="dxa"/>
                  <w:textDirection w:val="tbRlV"/>
                  <w:vAlign w:val="top"/>
                </w:tcPr>
                <w:p w14:paraId="396894A7">
                  <w:pPr>
                    <w:pStyle w:val="6"/>
                    <w:spacing w:before="92" w:line="222" w:lineRule="auto"/>
                    <w:ind w:left="116"/>
                    <w:rPr>
                      <w:sz w:val="14"/>
                      <w:szCs w:val="14"/>
                    </w:rPr>
                  </w:pPr>
                  <w:r>
                    <w:rPr>
                      <w:b/>
                      <w:bCs/>
                      <w:spacing w:val="6"/>
                      <w:sz w:val="14"/>
                      <w:szCs w:val="14"/>
                    </w:rPr>
                    <w:t>昼</w:t>
                  </w:r>
                  <w:r>
                    <w:rPr>
                      <w:spacing w:val="6"/>
                      <w:sz w:val="14"/>
                      <w:szCs w:val="14"/>
                    </w:rPr>
                    <w:t xml:space="preserve">  </w:t>
                  </w:r>
                  <w:r>
                    <w:rPr>
                      <w:b/>
                      <w:bCs/>
                      <w:spacing w:val="6"/>
                      <w:sz w:val="14"/>
                      <w:szCs w:val="14"/>
                    </w:rPr>
                    <w:t>间</w:t>
                  </w:r>
                </w:p>
              </w:tc>
              <w:tc>
                <w:tcPr>
                  <w:tcW w:w="355" w:type="dxa"/>
                  <w:textDirection w:val="tbRlV"/>
                  <w:vAlign w:val="top"/>
                </w:tcPr>
                <w:p w14:paraId="66C89AD5">
                  <w:pPr>
                    <w:pStyle w:val="6"/>
                    <w:spacing w:before="103" w:line="216" w:lineRule="auto"/>
                    <w:ind w:left="116"/>
                    <w:rPr>
                      <w:sz w:val="14"/>
                      <w:szCs w:val="14"/>
                    </w:rPr>
                  </w:pPr>
                  <w:r>
                    <w:rPr>
                      <w:b/>
                      <w:bCs/>
                      <w:spacing w:val="6"/>
                      <w:sz w:val="14"/>
                      <w:szCs w:val="14"/>
                    </w:rPr>
                    <w:t>夜</w:t>
                  </w:r>
                  <w:r>
                    <w:rPr>
                      <w:spacing w:val="6"/>
                      <w:sz w:val="14"/>
                      <w:szCs w:val="14"/>
                    </w:rPr>
                    <w:t xml:space="preserve">  </w:t>
                  </w:r>
                  <w:r>
                    <w:rPr>
                      <w:b/>
                      <w:bCs/>
                      <w:spacing w:val="6"/>
                      <w:sz w:val="14"/>
                      <w:szCs w:val="14"/>
                    </w:rPr>
                    <w:t>间</w:t>
                  </w:r>
                </w:p>
              </w:tc>
              <w:tc>
                <w:tcPr>
                  <w:tcW w:w="481" w:type="dxa"/>
                  <w:vAlign w:val="top"/>
                </w:tcPr>
                <w:p w14:paraId="61300498">
                  <w:pPr>
                    <w:pStyle w:val="6"/>
                    <w:spacing w:before="267" w:line="234" w:lineRule="auto"/>
                    <w:ind w:left="90"/>
                    <w:rPr>
                      <w:sz w:val="14"/>
                      <w:szCs w:val="14"/>
                    </w:rPr>
                  </w:pPr>
                  <w:r>
                    <w:rPr>
                      <w:b/>
                      <w:bCs/>
                      <w:spacing w:val="5"/>
                      <w:sz w:val="14"/>
                      <w:szCs w:val="14"/>
                    </w:rPr>
                    <w:t>昼间</w:t>
                  </w:r>
                </w:p>
              </w:tc>
              <w:tc>
                <w:tcPr>
                  <w:tcW w:w="480" w:type="dxa"/>
                  <w:vAlign w:val="top"/>
                </w:tcPr>
                <w:p w14:paraId="7F8F2284">
                  <w:pPr>
                    <w:pStyle w:val="6"/>
                    <w:spacing w:before="267" w:line="231" w:lineRule="auto"/>
                    <w:ind w:left="94"/>
                    <w:rPr>
                      <w:sz w:val="14"/>
                      <w:szCs w:val="14"/>
                    </w:rPr>
                  </w:pPr>
                  <w:r>
                    <w:rPr>
                      <w:b/>
                      <w:bCs/>
                      <w:spacing w:val="4"/>
                      <w:sz w:val="14"/>
                      <w:szCs w:val="14"/>
                    </w:rPr>
                    <w:t>夜间</w:t>
                  </w:r>
                </w:p>
              </w:tc>
              <w:tc>
                <w:tcPr>
                  <w:tcW w:w="481" w:type="dxa"/>
                  <w:vAlign w:val="top"/>
                </w:tcPr>
                <w:p w14:paraId="08C91B20">
                  <w:pPr>
                    <w:pStyle w:val="6"/>
                    <w:spacing w:before="267" w:line="234" w:lineRule="auto"/>
                    <w:ind w:left="90"/>
                    <w:rPr>
                      <w:sz w:val="14"/>
                      <w:szCs w:val="14"/>
                    </w:rPr>
                  </w:pPr>
                  <w:r>
                    <w:rPr>
                      <w:b/>
                      <w:bCs/>
                      <w:spacing w:val="5"/>
                      <w:sz w:val="14"/>
                      <w:szCs w:val="14"/>
                    </w:rPr>
                    <w:t>昼间</w:t>
                  </w:r>
                </w:p>
              </w:tc>
              <w:tc>
                <w:tcPr>
                  <w:tcW w:w="347" w:type="dxa"/>
                  <w:textDirection w:val="tbRlV"/>
                  <w:vAlign w:val="top"/>
                </w:tcPr>
                <w:p w14:paraId="2AD3F728">
                  <w:pPr>
                    <w:pStyle w:val="6"/>
                    <w:spacing w:before="99" w:line="216" w:lineRule="auto"/>
                    <w:ind w:left="116"/>
                    <w:rPr>
                      <w:sz w:val="14"/>
                      <w:szCs w:val="14"/>
                    </w:rPr>
                  </w:pPr>
                  <w:r>
                    <w:rPr>
                      <w:b/>
                      <w:bCs/>
                      <w:spacing w:val="6"/>
                      <w:sz w:val="14"/>
                      <w:szCs w:val="14"/>
                    </w:rPr>
                    <w:t>夜</w:t>
                  </w:r>
                  <w:r>
                    <w:rPr>
                      <w:spacing w:val="6"/>
                      <w:sz w:val="14"/>
                      <w:szCs w:val="14"/>
                    </w:rPr>
                    <w:t xml:space="preserve">  </w:t>
                  </w:r>
                  <w:r>
                    <w:rPr>
                      <w:b/>
                      <w:bCs/>
                      <w:spacing w:val="6"/>
                      <w:sz w:val="14"/>
                      <w:szCs w:val="14"/>
                    </w:rPr>
                    <w:t>间</w:t>
                  </w:r>
                </w:p>
              </w:tc>
              <w:tc>
                <w:tcPr>
                  <w:tcW w:w="402" w:type="dxa"/>
                  <w:vAlign w:val="top"/>
                </w:tcPr>
                <w:p w14:paraId="4CFD1933">
                  <w:pPr>
                    <w:pStyle w:val="6"/>
                    <w:spacing w:before="267" w:line="234" w:lineRule="auto"/>
                    <w:ind w:left="51"/>
                    <w:rPr>
                      <w:sz w:val="14"/>
                      <w:szCs w:val="14"/>
                    </w:rPr>
                  </w:pPr>
                  <w:r>
                    <w:rPr>
                      <w:b/>
                      <w:bCs/>
                      <w:spacing w:val="5"/>
                      <w:sz w:val="14"/>
                      <w:szCs w:val="14"/>
                    </w:rPr>
                    <w:t>昼间</w:t>
                  </w:r>
                </w:p>
              </w:tc>
              <w:tc>
                <w:tcPr>
                  <w:tcW w:w="394" w:type="dxa"/>
                  <w:vAlign w:val="top"/>
                </w:tcPr>
                <w:p w14:paraId="42B25F8A">
                  <w:pPr>
                    <w:pStyle w:val="6"/>
                    <w:spacing w:before="267" w:line="231" w:lineRule="auto"/>
                    <w:ind w:left="50"/>
                    <w:rPr>
                      <w:sz w:val="14"/>
                      <w:szCs w:val="14"/>
                    </w:rPr>
                  </w:pPr>
                  <w:r>
                    <w:rPr>
                      <w:b/>
                      <w:bCs/>
                      <w:spacing w:val="4"/>
                      <w:sz w:val="14"/>
                      <w:szCs w:val="14"/>
                    </w:rPr>
                    <w:t>夜间</w:t>
                  </w:r>
                </w:p>
              </w:tc>
              <w:tc>
                <w:tcPr>
                  <w:tcW w:w="426" w:type="dxa"/>
                  <w:vAlign w:val="top"/>
                </w:tcPr>
                <w:p w14:paraId="6FEB4DA8">
                  <w:pPr>
                    <w:pStyle w:val="6"/>
                    <w:spacing w:before="267" w:line="234" w:lineRule="auto"/>
                    <w:ind w:left="63"/>
                    <w:rPr>
                      <w:sz w:val="14"/>
                      <w:szCs w:val="14"/>
                    </w:rPr>
                  </w:pPr>
                  <w:r>
                    <w:rPr>
                      <w:b/>
                      <w:bCs/>
                      <w:spacing w:val="5"/>
                      <w:sz w:val="14"/>
                      <w:szCs w:val="14"/>
                    </w:rPr>
                    <w:t>昼间</w:t>
                  </w:r>
                </w:p>
              </w:tc>
              <w:tc>
                <w:tcPr>
                  <w:tcW w:w="331" w:type="dxa"/>
                  <w:textDirection w:val="tbRlV"/>
                  <w:vAlign w:val="top"/>
                </w:tcPr>
                <w:p w14:paraId="1A324531">
                  <w:pPr>
                    <w:pStyle w:val="6"/>
                    <w:spacing w:before="90" w:line="216" w:lineRule="auto"/>
                    <w:ind w:left="116"/>
                    <w:rPr>
                      <w:sz w:val="14"/>
                      <w:szCs w:val="14"/>
                    </w:rPr>
                  </w:pPr>
                  <w:r>
                    <w:rPr>
                      <w:b/>
                      <w:bCs/>
                      <w:spacing w:val="6"/>
                      <w:sz w:val="14"/>
                      <w:szCs w:val="14"/>
                    </w:rPr>
                    <w:t>夜</w:t>
                  </w:r>
                  <w:r>
                    <w:rPr>
                      <w:spacing w:val="6"/>
                      <w:sz w:val="14"/>
                      <w:szCs w:val="14"/>
                    </w:rPr>
                    <w:t xml:space="preserve">  </w:t>
                  </w:r>
                  <w:r>
                    <w:rPr>
                      <w:b/>
                      <w:bCs/>
                      <w:spacing w:val="6"/>
                      <w:sz w:val="14"/>
                      <w:szCs w:val="14"/>
                    </w:rPr>
                    <w:t>间</w:t>
                  </w:r>
                </w:p>
              </w:tc>
              <w:tc>
                <w:tcPr>
                  <w:tcW w:w="502" w:type="dxa"/>
                  <w:vAlign w:val="top"/>
                </w:tcPr>
                <w:p w14:paraId="5701523B">
                  <w:pPr>
                    <w:pStyle w:val="6"/>
                    <w:spacing w:before="267" w:line="234" w:lineRule="auto"/>
                    <w:ind w:left="103"/>
                    <w:rPr>
                      <w:sz w:val="14"/>
                      <w:szCs w:val="14"/>
                    </w:rPr>
                  </w:pPr>
                  <w:r>
                    <w:rPr>
                      <w:b/>
                      <w:bCs/>
                      <w:spacing w:val="5"/>
                      <w:sz w:val="14"/>
                      <w:szCs w:val="14"/>
                    </w:rPr>
                    <w:t>昼间</w:t>
                  </w:r>
                </w:p>
              </w:tc>
              <w:tc>
                <w:tcPr>
                  <w:tcW w:w="417" w:type="dxa"/>
                  <w:tcBorders>
                    <w:right w:val="nil"/>
                  </w:tcBorders>
                  <w:vAlign w:val="top"/>
                </w:tcPr>
                <w:p w14:paraId="2BD571B0">
                  <w:pPr>
                    <w:pStyle w:val="6"/>
                    <w:spacing w:before="267" w:line="231" w:lineRule="auto"/>
                    <w:ind w:left="90"/>
                    <w:rPr>
                      <w:sz w:val="14"/>
                      <w:szCs w:val="14"/>
                    </w:rPr>
                  </w:pPr>
                  <w:r>
                    <w:rPr>
                      <w:b/>
                      <w:bCs/>
                      <w:spacing w:val="4"/>
                      <w:sz w:val="14"/>
                      <w:szCs w:val="14"/>
                    </w:rPr>
                    <w:t>夜间</w:t>
                  </w:r>
                </w:p>
              </w:tc>
            </w:tr>
            <w:tr w14:paraId="2DB21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18" w:type="dxa"/>
                  <w:tcBorders>
                    <w:top w:val="nil"/>
                    <w:bottom w:val="nil"/>
                  </w:tcBorders>
                  <w:vAlign w:val="top"/>
                </w:tcPr>
                <w:p w14:paraId="60005985">
                  <w:pPr>
                    <w:rPr>
                      <w:rFonts w:ascii="Arial"/>
                      <w:sz w:val="21"/>
                    </w:rPr>
                  </w:pPr>
                </w:p>
              </w:tc>
              <w:tc>
                <w:tcPr>
                  <w:tcW w:w="1700" w:type="dxa"/>
                  <w:vAlign w:val="top"/>
                </w:tcPr>
                <w:p w14:paraId="4A33D1C4">
                  <w:pPr>
                    <w:pStyle w:val="6"/>
                    <w:spacing w:before="114" w:line="224" w:lineRule="auto"/>
                    <w:ind w:left="43"/>
                    <w:rPr>
                      <w:sz w:val="14"/>
                      <w:szCs w:val="14"/>
                    </w:rPr>
                  </w:pPr>
                  <w:r>
                    <w:rPr>
                      <w:spacing w:val="4"/>
                      <w:sz w:val="14"/>
                      <w:szCs w:val="14"/>
                    </w:rPr>
                    <w:t>东界（</w:t>
                  </w:r>
                  <w:r>
                    <w:rPr>
                      <w:rFonts w:ascii="Times New Roman" w:hAnsi="Times New Roman" w:eastAsia="Times New Roman" w:cs="Times New Roman"/>
                      <w:spacing w:val="4"/>
                      <w:sz w:val="14"/>
                      <w:szCs w:val="14"/>
                    </w:rPr>
                    <w:t>135.93,-216.56,0</w:t>
                  </w:r>
                  <w:r>
                    <w:rPr>
                      <w:spacing w:val="4"/>
                      <w:sz w:val="14"/>
                      <w:szCs w:val="14"/>
                    </w:rPr>
                    <w:t>）</w:t>
                  </w:r>
                </w:p>
              </w:tc>
              <w:tc>
                <w:tcPr>
                  <w:tcW w:w="633" w:type="dxa"/>
                  <w:vAlign w:val="top"/>
                </w:tcPr>
                <w:p w14:paraId="334D4374">
                  <w:pPr>
                    <w:spacing w:before="140" w:line="197" w:lineRule="auto"/>
                    <w:ind w:left="1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35m</w:t>
                  </w:r>
                </w:p>
              </w:tc>
              <w:tc>
                <w:tcPr>
                  <w:tcW w:w="327" w:type="dxa"/>
                  <w:vAlign w:val="top"/>
                </w:tcPr>
                <w:p w14:paraId="01B8597B">
                  <w:pPr>
                    <w:spacing w:before="137"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7074AF0B">
                  <w:pPr>
                    <w:spacing w:before="137" w:line="201" w:lineRule="auto"/>
                    <w:ind w:left="17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31" w:type="dxa"/>
                  <w:vAlign w:val="top"/>
                </w:tcPr>
                <w:p w14:paraId="5CE18307">
                  <w:pPr>
                    <w:spacing w:before="137"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55" w:type="dxa"/>
                  <w:vAlign w:val="top"/>
                </w:tcPr>
                <w:p w14:paraId="0560DB19">
                  <w:pPr>
                    <w:spacing w:before="140" w:line="197" w:lineRule="auto"/>
                    <w:ind w:left="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50.7</w:t>
                  </w:r>
                </w:p>
              </w:tc>
              <w:tc>
                <w:tcPr>
                  <w:tcW w:w="481" w:type="dxa"/>
                  <w:vAlign w:val="top"/>
                </w:tcPr>
                <w:p w14:paraId="0A4E9F29">
                  <w:pPr>
                    <w:spacing w:before="140" w:line="197"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65</w:t>
                  </w:r>
                </w:p>
              </w:tc>
              <w:tc>
                <w:tcPr>
                  <w:tcW w:w="480" w:type="dxa"/>
                  <w:vAlign w:val="top"/>
                </w:tcPr>
                <w:p w14:paraId="0A623F36">
                  <w:pPr>
                    <w:spacing w:before="142" w:line="194" w:lineRule="auto"/>
                    <w:ind w:left="167"/>
                    <w:rPr>
                      <w:rFonts w:ascii="Times New Roman" w:hAnsi="Times New Roman" w:eastAsia="Times New Roman" w:cs="Times New Roman"/>
                      <w:sz w:val="14"/>
                      <w:szCs w:val="14"/>
                    </w:rPr>
                  </w:pPr>
                  <w:r>
                    <w:rPr>
                      <w:rFonts w:ascii="Times New Roman" w:hAnsi="Times New Roman" w:eastAsia="Times New Roman" w:cs="Times New Roman"/>
                      <w:sz w:val="14"/>
                      <w:szCs w:val="14"/>
                    </w:rPr>
                    <w:t>55</w:t>
                  </w:r>
                </w:p>
              </w:tc>
              <w:tc>
                <w:tcPr>
                  <w:tcW w:w="481" w:type="dxa"/>
                  <w:vAlign w:val="top"/>
                </w:tcPr>
                <w:p w14:paraId="44B4285A">
                  <w:pPr>
                    <w:spacing w:before="140" w:line="197" w:lineRule="auto"/>
                    <w:ind w:left="107"/>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25.7</w:t>
                  </w:r>
                </w:p>
              </w:tc>
              <w:tc>
                <w:tcPr>
                  <w:tcW w:w="347" w:type="dxa"/>
                  <w:vAlign w:val="top"/>
                </w:tcPr>
                <w:p w14:paraId="13D68C1C">
                  <w:pPr>
                    <w:spacing w:before="137" w:line="201" w:lineRule="auto"/>
                    <w:ind w:left="1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2D270B3C">
                  <w:pPr>
                    <w:spacing w:before="140" w:line="197" w:lineRule="auto"/>
                    <w:ind w:left="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50.7</w:t>
                  </w:r>
                </w:p>
              </w:tc>
              <w:tc>
                <w:tcPr>
                  <w:tcW w:w="394" w:type="dxa"/>
                  <w:vAlign w:val="top"/>
                </w:tcPr>
                <w:p w14:paraId="64F45E3D">
                  <w:pPr>
                    <w:spacing w:before="137" w:line="201"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6FA9455D">
                  <w:pPr>
                    <w:spacing w:before="140" w:line="197" w:lineRule="auto"/>
                    <w:ind w:left="176"/>
                    <w:rPr>
                      <w:rFonts w:ascii="Times New Roman" w:hAnsi="Times New Roman" w:eastAsia="Times New Roman" w:cs="Times New Roman"/>
                      <w:sz w:val="14"/>
                      <w:szCs w:val="14"/>
                    </w:rPr>
                  </w:pPr>
                  <w:r>
                    <w:rPr>
                      <w:rFonts w:ascii="Times New Roman" w:hAnsi="Times New Roman" w:eastAsia="Times New Roman" w:cs="Times New Roman"/>
                      <w:sz w:val="14"/>
                      <w:szCs w:val="14"/>
                    </w:rPr>
                    <w:t>0</w:t>
                  </w:r>
                </w:p>
              </w:tc>
              <w:tc>
                <w:tcPr>
                  <w:tcW w:w="331" w:type="dxa"/>
                  <w:vAlign w:val="top"/>
                </w:tcPr>
                <w:p w14:paraId="2D81E07A">
                  <w:pPr>
                    <w:spacing w:before="137" w:line="201" w:lineRule="auto"/>
                    <w:ind w:left="14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02" w:type="dxa"/>
                  <w:vAlign w:val="top"/>
                </w:tcPr>
                <w:p w14:paraId="50C8773B">
                  <w:pPr>
                    <w:pStyle w:val="6"/>
                    <w:spacing w:before="114" w:line="232" w:lineRule="auto"/>
                    <w:ind w:left="103"/>
                    <w:rPr>
                      <w:sz w:val="14"/>
                      <w:szCs w:val="14"/>
                    </w:rPr>
                  </w:pPr>
                  <w:r>
                    <w:rPr>
                      <w:spacing w:val="6"/>
                      <w:sz w:val="14"/>
                      <w:szCs w:val="14"/>
                    </w:rPr>
                    <w:t>达标</w:t>
                  </w:r>
                </w:p>
              </w:tc>
              <w:tc>
                <w:tcPr>
                  <w:tcW w:w="417" w:type="dxa"/>
                  <w:tcBorders>
                    <w:right w:val="nil"/>
                  </w:tcBorders>
                  <w:vAlign w:val="top"/>
                </w:tcPr>
                <w:p w14:paraId="33B670CD">
                  <w:pPr>
                    <w:spacing w:before="137" w:line="201" w:lineRule="auto"/>
                    <w:ind w:left="2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5DB7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18" w:type="dxa"/>
                  <w:tcBorders>
                    <w:top w:val="nil"/>
                    <w:bottom w:val="nil"/>
                  </w:tcBorders>
                  <w:vAlign w:val="top"/>
                </w:tcPr>
                <w:p w14:paraId="083BFC2D">
                  <w:pPr>
                    <w:rPr>
                      <w:rFonts w:ascii="Arial"/>
                      <w:sz w:val="21"/>
                    </w:rPr>
                  </w:pPr>
                </w:p>
              </w:tc>
              <w:tc>
                <w:tcPr>
                  <w:tcW w:w="1700" w:type="dxa"/>
                  <w:vAlign w:val="top"/>
                </w:tcPr>
                <w:p w14:paraId="19F6EA35">
                  <w:pPr>
                    <w:pStyle w:val="6"/>
                    <w:spacing w:before="113" w:line="224" w:lineRule="auto"/>
                    <w:jc w:val="right"/>
                    <w:rPr>
                      <w:sz w:val="14"/>
                      <w:szCs w:val="14"/>
                    </w:rPr>
                  </w:pPr>
                  <w:r>
                    <w:rPr>
                      <w:spacing w:val="1"/>
                      <w:sz w:val="14"/>
                      <w:szCs w:val="14"/>
                    </w:rPr>
                    <w:t>南界（</w:t>
                  </w:r>
                  <w:r>
                    <w:rPr>
                      <w:rFonts w:ascii="Times New Roman" w:hAnsi="Times New Roman" w:eastAsia="Times New Roman" w:cs="Times New Roman"/>
                      <w:spacing w:val="1"/>
                      <w:sz w:val="14"/>
                      <w:szCs w:val="14"/>
                    </w:rPr>
                    <w:t xml:space="preserve">-33.40 </w:t>
                  </w:r>
                  <w:r>
                    <w:rPr>
                      <w:spacing w:val="1"/>
                      <w:sz w:val="14"/>
                      <w:szCs w:val="14"/>
                    </w:rPr>
                    <w:t>，</w:t>
                  </w:r>
                  <w:r>
                    <w:rPr>
                      <w:rFonts w:ascii="Times New Roman" w:hAnsi="Times New Roman" w:eastAsia="Times New Roman" w:cs="Times New Roman"/>
                      <w:spacing w:val="1"/>
                      <w:sz w:val="14"/>
                      <w:szCs w:val="14"/>
                    </w:rPr>
                    <w:t>-213.24,0</w:t>
                  </w:r>
                  <w:r>
                    <w:rPr>
                      <w:spacing w:val="1"/>
                      <w:sz w:val="14"/>
                      <w:szCs w:val="14"/>
                    </w:rPr>
                    <w:t>）</w:t>
                  </w:r>
                </w:p>
              </w:tc>
              <w:tc>
                <w:tcPr>
                  <w:tcW w:w="633" w:type="dxa"/>
                  <w:vAlign w:val="top"/>
                </w:tcPr>
                <w:p w14:paraId="2FB1B336">
                  <w:pPr>
                    <w:spacing w:before="139" w:line="197"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20m</w:t>
                  </w:r>
                </w:p>
              </w:tc>
              <w:tc>
                <w:tcPr>
                  <w:tcW w:w="327" w:type="dxa"/>
                  <w:vAlign w:val="top"/>
                </w:tcPr>
                <w:p w14:paraId="419B7DEA">
                  <w:pPr>
                    <w:spacing w:before="136"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761BEE23">
                  <w:pPr>
                    <w:spacing w:before="136" w:line="201" w:lineRule="auto"/>
                    <w:ind w:left="17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31" w:type="dxa"/>
                  <w:vAlign w:val="top"/>
                </w:tcPr>
                <w:p w14:paraId="1972C962">
                  <w:pPr>
                    <w:spacing w:before="136"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55" w:type="dxa"/>
                  <w:vAlign w:val="top"/>
                </w:tcPr>
                <w:p w14:paraId="3394AD9E">
                  <w:pPr>
                    <w:spacing w:before="136" w:line="201" w:lineRule="auto"/>
                    <w:ind w:left="1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1" w:type="dxa"/>
                  <w:vAlign w:val="top"/>
                </w:tcPr>
                <w:p w14:paraId="4C8AE451">
                  <w:pPr>
                    <w:spacing w:before="139" w:line="197"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65</w:t>
                  </w:r>
                </w:p>
              </w:tc>
              <w:tc>
                <w:tcPr>
                  <w:tcW w:w="480" w:type="dxa"/>
                  <w:vAlign w:val="top"/>
                </w:tcPr>
                <w:p w14:paraId="4F886888">
                  <w:pPr>
                    <w:spacing w:before="141" w:line="194" w:lineRule="auto"/>
                    <w:ind w:left="167"/>
                    <w:rPr>
                      <w:rFonts w:ascii="Times New Roman" w:hAnsi="Times New Roman" w:eastAsia="Times New Roman" w:cs="Times New Roman"/>
                      <w:sz w:val="14"/>
                      <w:szCs w:val="14"/>
                    </w:rPr>
                  </w:pPr>
                  <w:r>
                    <w:rPr>
                      <w:rFonts w:ascii="Times New Roman" w:hAnsi="Times New Roman" w:eastAsia="Times New Roman" w:cs="Times New Roman"/>
                      <w:sz w:val="14"/>
                      <w:szCs w:val="14"/>
                    </w:rPr>
                    <w:t>55</w:t>
                  </w:r>
                </w:p>
              </w:tc>
              <w:tc>
                <w:tcPr>
                  <w:tcW w:w="481" w:type="dxa"/>
                  <w:vAlign w:val="top"/>
                </w:tcPr>
                <w:p w14:paraId="226BA419">
                  <w:pPr>
                    <w:spacing w:before="139" w:line="197" w:lineRule="auto"/>
                    <w:ind w:left="110"/>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30.6</w:t>
                  </w:r>
                </w:p>
              </w:tc>
              <w:tc>
                <w:tcPr>
                  <w:tcW w:w="347" w:type="dxa"/>
                  <w:vAlign w:val="top"/>
                </w:tcPr>
                <w:p w14:paraId="198DA7BE">
                  <w:pPr>
                    <w:spacing w:before="136" w:line="201" w:lineRule="auto"/>
                    <w:ind w:left="1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2086EA76">
                  <w:pPr>
                    <w:spacing w:before="136" w:line="201" w:lineRule="auto"/>
                    <w:ind w:left="176"/>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94" w:type="dxa"/>
                  <w:vAlign w:val="top"/>
                </w:tcPr>
                <w:p w14:paraId="57AFDF61">
                  <w:pPr>
                    <w:spacing w:before="136" w:line="201"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28A58BB4">
                  <w:pPr>
                    <w:spacing w:before="136" w:line="201"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31" w:type="dxa"/>
                  <w:vAlign w:val="top"/>
                </w:tcPr>
                <w:p w14:paraId="63A85370">
                  <w:pPr>
                    <w:spacing w:before="136" w:line="201" w:lineRule="auto"/>
                    <w:ind w:left="14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02" w:type="dxa"/>
                  <w:vAlign w:val="top"/>
                </w:tcPr>
                <w:p w14:paraId="196218C9">
                  <w:pPr>
                    <w:pStyle w:val="6"/>
                    <w:spacing w:before="113" w:line="232" w:lineRule="auto"/>
                    <w:ind w:left="103"/>
                    <w:rPr>
                      <w:sz w:val="14"/>
                      <w:szCs w:val="14"/>
                    </w:rPr>
                  </w:pPr>
                  <w:r>
                    <w:rPr>
                      <w:spacing w:val="6"/>
                      <w:sz w:val="14"/>
                      <w:szCs w:val="14"/>
                    </w:rPr>
                    <w:t>达标</w:t>
                  </w:r>
                </w:p>
              </w:tc>
              <w:tc>
                <w:tcPr>
                  <w:tcW w:w="417" w:type="dxa"/>
                  <w:tcBorders>
                    <w:right w:val="nil"/>
                  </w:tcBorders>
                  <w:vAlign w:val="top"/>
                </w:tcPr>
                <w:p w14:paraId="78B86993">
                  <w:pPr>
                    <w:spacing w:before="136" w:line="201" w:lineRule="auto"/>
                    <w:ind w:left="2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9C7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18" w:type="dxa"/>
                  <w:tcBorders>
                    <w:top w:val="nil"/>
                    <w:bottom w:val="nil"/>
                  </w:tcBorders>
                  <w:vAlign w:val="top"/>
                </w:tcPr>
                <w:p w14:paraId="2D579E38">
                  <w:pPr>
                    <w:rPr>
                      <w:rFonts w:ascii="Arial"/>
                      <w:sz w:val="21"/>
                    </w:rPr>
                  </w:pPr>
                </w:p>
              </w:tc>
              <w:tc>
                <w:tcPr>
                  <w:tcW w:w="1700" w:type="dxa"/>
                  <w:vAlign w:val="top"/>
                </w:tcPr>
                <w:p w14:paraId="3C457508">
                  <w:pPr>
                    <w:pStyle w:val="6"/>
                    <w:spacing w:before="113" w:line="224" w:lineRule="auto"/>
                    <w:ind w:left="79"/>
                    <w:rPr>
                      <w:sz w:val="14"/>
                      <w:szCs w:val="14"/>
                    </w:rPr>
                  </w:pPr>
                  <w:r>
                    <w:rPr>
                      <w:spacing w:val="4"/>
                      <w:sz w:val="14"/>
                      <w:szCs w:val="14"/>
                    </w:rPr>
                    <w:t>西界（</w:t>
                  </w:r>
                  <w:r>
                    <w:rPr>
                      <w:rFonts w:ascii="Times New Roman" w:hAnsi="Times New Roman" w:eastAsia="Times New Roman" w:cs="Times New Roman"/>
                      <w:spacing w:val="4"/>
                      <w:sz w:val="14"/>
                      <w:szCs w:val="14"/>
                    </w:rPr>
                    <w:t>-106.99,62.73,0</w:t>
                  </w:r>
                  <w:r>
                    <w:rPr>
                      <w:spacing w:val="4"/>
                      <w:sz w:val="14"/>
                      <w:szCs w:val="14"/>
                    </w:rPr>
                    <w:t>）</w:t>
                  </w:r>
                </w:p>
              </w:tc>
              <w:tc>
                <w:tcPr>
                  <w:tcW w:w="633" w:type="dxa"/>
                  <w:vAlign w:val="top"/>
                </w:tcPr>
                <w:p w14:paraId="56E6F2CF">
                  <w:pPr>
                    <w:spacing w:before="138" w:line="197" w:lineRule="auto"/>
                    <w:ind w:left="157"/>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150m</w:t>
                  </w:r>
                </w:p>
              </w:tc>
              <w:tc>
                <w:tcPr>
                  <w:tcW w:w="327" w:type="dxa"/>
                  <w:vAlign w:val="top"/>
                </w:tcPr>
                <w:p w14:paraId="177E8056">
                  <w:pPr>
                    <w:spacing w:before="136"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12CF21F6">
                  <w:pPr>
                    <w:spacing w:before="136" w:line="201" w:lineRule="auto"/>
                    <w:ind w:left="17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31" w:type="dxa"/>
                  <w:vAlign w:val="top"/>
                </w:tcPr>
                <w:p w14:paraId="624753A2">
                  <w:pPr>
                    <w:spacing w:before="136"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55" w:type="dxa"/>
                  <w:vAlign w:val="top"/>
                </w:tcPr>
                <w:p w14:paraId="52F9F4C0">
                  <w:pPr>
                    <w:spacing w:before="139" w:line="197" w:lineRule="auto"/>
                    <w:ind w:left="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59.6</w:t>
                  </w:r>
                </w:p>
              </w:tc>
              <w:tc>
                <w:tcPr>
                  <w:tcW w:w="481" w:type="dxa"/>
                  <w:vAlign w:val="top"/>
                </w:tcPr>
                <w:p w14:paraId="1E2FAB9C">
                  <w:pPr>
                    <w:spacing w:before="138" w:line="197"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65</w:t>
                  </w:r>
                </w:p>
              </w:tc>
              <w:tc>
                <w:tcPr>
                  <w:tcW w:w="480" w:type="dxa"/>
                  <w:vAlign w:val="top"/>
                </w:tcPr>
                <w:p w14:paraId="045A58E3">
                  <w:pPr>
                    <w:spacing w:before="141" w:line="194" w:lineRule="auto"/>
                    <w:ind w:left="167"/>
                    <w:rPr>
                      <w:rFonts w:ascii="Times New Roman" w:hAnsi="Times New Roman" w:eastAsia="Times New Roman" w:cs="Times New Roman"/>
                      <w:sz w:val="14"/>
                      <w:szCs w:val="14"/>
                    </w:rPr>
                  </w:pPr>
                  <w:r>
                    <w:rPr>
                      <w:rFonts w:ascii="Times New Roman" w:hAnsi="Times New Roman" w:eastAsia="Times New Roman" w:cs="Times New Roman"/>
                      <w:sz w:val="14"/>
                      <w:szCs w:val="14"/>
                    </w:rPr>
                    <w:t>55</w:t>
                  </w:r>
                </w:p>
              </w:tc>
              <w:tc>
                <w:tcPr>
                  <w:tcW w:w="481" w:type="dxa"/>
                  <w:vAlign w:val="top"/>
                </w:tcPr>
                <w:p w14:paraId="18B664EA">
                  <w:pPr>
                    <w:spacing w:before="139" w:line="197" w:lineRule="auto"/>
                    <w:ind w:left="12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13.</w:t>
                  </w:r>
                  <w:r>
                    <w:rPr>
                      <w:rFonts w:ascii="Times New Roman" w:hAnsi="Times New Roman" w:eastAsia="Times New Roman" w:cs="Times New Roman"/>
                      <w:spacing w:val="-16"/>
                      <w:sz w:val="14"/>
                      <w:szCs w:val="14"/>
                    </w:rPr>
                    <w:t xml:space="preserve"> </w:t>
                  </w:r>
                  <w:r>
                    <w:rPr>
                      <w:rFonts w:ascii="Times New Roman" w:hAnsi="Times New Roman" w:eastAsia="Times New Roman" w:cs="Times New Roman"/>
                      <w:spacing w:val="-2"/>
                      <w:sz w:val="14"/>
                      <w:szCs w:val="14"/>
                    </w:rPr>
                    <w:t>1</w:t>
                  </w:r>
                </w:p>
              </w:tc>
              <w:tc>
                <w:tcPr>
                  <w:tcW w:w="347" w:type="dxa"/>
                  <w:vAlign w:val="top"/>
                </w:tcPr>
                <w:p w14:paraId="3C52823C">
                  <w:pPr>
                    <w:spacing w:before="136" w:line="201" w:lineRule="auto"/>
                    <w:ind w:left="1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7D45C65A">
                  <w:pPr>
                    <w:spacing w:before="139" w:line="197" w:lineRule="auto"/>
                    <w:ind w:left="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59.6</w:t>
                  </w:r>
                </w:p>
              </w:tc>
              <w:tc>
                <w:tcPr>
                  <w:tcW w:w="394" w:type="dxa"/>
                  <w:vAlign w:val="top"/>
                </w:tcPr>
                <w:p w14:paraId="5B1837A1">
                  <w:pPr>
                    <w:spacing w:before="136" w:line="201"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010AB6C3">
                  <w:pPr>
                    <w:spacing w:before="138" w:line="197" w:lineRule="auto"/>
                    <w:ind w:left="176"/>
                    <w:rPr>
                      <w:rFonts w:ascii="Times New Roman" w:hAnsi="Times New Roman" w:eastAsia="Times New Roman" w:cs="Times New Roman"/>
                      <w:sz w:val="14"/>
                      <w:szCs w:val="14"/>
                    </w:rPr>
                  </w:pPr>
                  <w:r>
                    <w:rPr>
                      <w:rFonts w:ascii="Times New Roman" w:hAnsi="Times New Roman" w:eastAsia="Times New Roman" w:cs="Times New Roman"/>
                      <w:sz w:val="14"/>
                      <w:szCs w:val="14"/>
                    </w:rPr>
                    <w:t>0</w:t>
                  </w:r>
                </w:p>
              </w:tc>
              <w:tc>
                <w:tcPr>
                  <w:tcW w:w="331" w:type="dxa"/>
                  <w:vAlign w:val="top"/>
                </w:tcPr>
                <w:p w14:paraId="44DB24AE">
                  <w:pPr>
                    <w:spacing w:before="136" w:line="201" w:lineRule="auto"/>
                    <w:ind w:left="14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02" w:type="dxa"/>
                  <w:vAlign w:val="top"/>
                </w:tcPr>
                <w:p w14:paraId="04457508">
                  <w:pPr>
                    <w:pStyle w:val="6"/>
                    <w:spacing w:before="112" w:line="232" w:lineRule="auto"/>
                    <w:ind w:left="103"/>
                    <w:rPr>
                      <w:sz w:val="14"/>
                      <w:szCs w:val="14"/>
                    </w:rPr>
                  </w:pPr>
                  <w:r>
                    <w:rPr>
                      <w:spacing w:val="6"/>
                      <w:sz w:val="14"/>
                      <w:szCs w:val="14"/>
                    </w:rPr>
                    <w:t>达标</w:t>
                  </w:r>
                </w:p>
              </w:tc>
              <w:tc>
                <w:tcPr>
                  <w:tcW w:w="417" w:type="dxa"/>
                  <w:tcBorders>
                    <w:right w:val="nil"/>
                  </w:tcBorders>
                  <w:vAlign w:val="top"/>
                </w:tcPr>
                <w:p w14:paraId="2543F437">
                  <w:pPr>
                    <w:spacing w:before="136" w:line="201" w:lineRule="auto"/>
                    <w:ind w:left="2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4594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18" w:type="dxa"/>
                  <w:tcBorders>
                    <w:top w:val="nil"/>
                    <w:bottom w:val="nil"/>
                  </w:tcBorders>
                  <w:vAlign w:val="top"/>
                </w:tcPr>
                <w:p w14:paraId="0E97E44D">
                  <w:pPr>
                    <w:rPr>
                      <w:rFonts w:ascii="Arial"/>
                      <w:sz w:val="21"/>
                    </w:rPr>
                  </w:pPr>
                </w:p>
              </w:tc>
              <w:tc>
                <w:tcPr>
                  <w:tcW w:w="1700" w:type="dxa"/>
                  <w:vAlign w:val="top"/>
                </w:tcPr>
                <w:p w14:paraId="2829B1FF">
                  <w:pPr>
                    <w:pStyle w:val="6"/>
                    <w:spacing w:before="112" w:line="224" w:lineRule="auto"/>
                    <w:ind w:left="66"/>
                    <w:rPr>
                      <w:sz w:val="14"/>
                      <w:szCs w:val="14"/>
                    </w:rPr>
                  </w:pPr>
                  <w:r>
                    <w:rPr>
                      <w:spacing w:val="4"/>
                      <w:sz w:val="14"/>
                      <w:szCs w:val="14"/>
                    </w:rPr>
                    <w:t>北界（</w:t>
                  </w:r>
                  <w:r>
                    <w:rPr>
                      <w:rFonts w:ascii="Times New Roman" w:hAnsi="Times New Roman" w:eastAsia="Times New Roman" w:cs="Times New Roman"/>
                      <w:spacing w:val="4"/>
                      <w:sz w:val="14"/>
                      <w:szCs w:val="14"/>
                    </w:rPr>
                    <w:t>-72.29,-18.46,-1</w:t>
                  </w:r>
                  <w:r>
                    <w:rPr>
                      <w:spacing w:val="4"/>
                      <w:sz w:val="14"/>
                      <w:szCs w:val="14"/>
                    </w:rPr>
                    <w:t>）</w:t>
                  </w:r>
                </w:p>
              </w:tc>
              <w:tc>
                <w:tcPr>
                  <w:tcW w:w="633" w:type="dxa"/>
                  <w:vAlign w:val="top"/>
                </w:tcPr>
                <w:p w14:paraId="58AAD2D0">
                  <w:pPr>
                    <w:spacing w:before="138" w:line="197" w:lineRule="auto"/>
                    <w:ind w:left="19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12m</w:t>
                  </w:r>
                </w:p>
              </w:tc>
              <w:tc>
                <w:tcPr>
                  <w:tcW w:w="327" w:type="dxa"/>
                  <w:vAlign w:val="top"/>
                </w:tcPr>
                <w:p w14:paraId="4C5FBCCE">
                  <w:pPr>
                    <w:spacing w:before="135"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2038FDC6">
                  <w:pPr>
                    <w:spacing w:before="135" w:line="201" w:lineRule="auto"/>
                    <w:ind w:left="17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31" w:type="dxa"/>
                  <w:vAlign w:val="top"/>
                </w:tcPr>
                <w:p w14:paraId="2613754B">
                  <w:pPr>
                    <w:spacing w:before="135" w:line="201" w:lineRule="auto"/>
                    <w:ind w:left="13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55" w:type="dxa"/>
                  <w:vAlign w:val="top"/>
                </w:tcPr>
                <w:p w14:paraId="488B9AE2">
                  <w:pPr>
                    <w:spacing w:before="138" w:line="197" w:lineRule="auto"/>
                    <w:ind w:left="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57.3</w:t>
                  </w:r>
                </w:p>
              </w:tc>
              <w:tc>
                <w:tcPr>
                  <w:tcW w:w="481" w:type="dxa"/>
                  <w:vAlign w:val="top"/>
                </w:tcPr>
                <w:p w14:paraId="1BAEC5D0">
                  <w:pPr>
                    <w:spacing w:before="138" w:line="197"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65</w:t>
                  </w:r>
                </w:p>
              </w:tc>
              <w:tc>
                <w:tcPr>
                  <w:tcW w:w="480" w:type="dxa"/>
                  <w:vAlign w:val="top"/>
                </w:tcPr>
                <w:p w14:paraId="1BA44318">
                  <w:pPr>
                    <w:spacing w:before="140" w:line="194" w:lineRule="auto"/>
                    <w:ind w:left="167"/>
                    <w:rPr>
                      <w:rFonts w:ascii="Times New Roman" w:hAnsi="Times New Roman" w:eastAsia="Times New Roman" w:cs="Times New Roman"/>
                      <w:sz w:val="14"/>
                      <w:szCs w:val="14"/>
                    </w:rPr>
                  </w:pPr>
                  <w:r>
                    <w:rPr>
                      <w:rFonts w:ascii="Times New Roman" w:hAnsi="Times New Roman" w:eastAsia="Times New Roman" w:cs="Times New Roman"/>
                      <w:sz w:val="14"/>
                      <w:szCs w:val="14"/>
                    </w:rPr>
                    <w:t>55</w:t>
                  </w:r>
                </w:p>
              </w:tc>
              <w:tc>
                <w:tcPr>
                  <w:tcW w:w="481" w:type="dxa"/>
                  <w:vAlign w:val="top"/>
                </w:tcPr>
                <w:p w14:paraId="1CAF1862">
                  <w:pPr>
                    <w:spacing w:before="138" w:line="197" w:lineRule="auto"/>
                    <w:ind w:left="110"/>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35.0</w:t>
                  </w:r>
                </w:p>
              </w:tc>
              <w:tc>
                <w:tcPr>
                  <w:tcW w:w="347" w:type="dxa"/>
                  <w:vAlign w:val="top"/>
                </w:tcPr>
                <w:p w14:paraId="61E2AEBB">
                  <w:pPr>
                    <w:spacing w:before="135" w:line="201" w:lineRule="auto"/>
                    <w:ind w:left="14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02" w:type="dxa"/>
                  <w:vAlign w:val="top"/>
                </w:tcPr>
                <w:p w14:paraId="6F0E67A0">
                  <w:pPr>
                    <w:spacing w:before="138" w:line="197" w:lineRule="auto"/>
                    <w:ind w:left="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57.3</w:t>
                  </w:r>
                </w:p>
              </w:tc>
              <w:tc>
                <w:tcPr>
                  <w:tcW w:w="394" w:type="dxa"/>
                  <w:vAlign w:val="top"/>
                </w:tcPr>
                <w:p w14:paraId="5164DF4C">
                  <w:pPr>
                    <w:spacing w:before="135" w:line="201"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6" w:type="dxa"/>
                  <w:vAlign w:val="top"/>
                </w:tcPr>
                <w:p w14:paraId="72E1293B">
                  <w:pPr>
                    <w:spacing w:before="138" w:line="197" w:lineRule="auto"/>
                    <w:ind w:left="176"/>
                    <w:rPr>
                      <w:rFonts w:ascii="Times New Roman" w:hAnsi="Times New Roman" w:eastAsia="Times New Roman" w:cs="Times New Roman"/>
                      <w:sz w:val="14"/>
                      <w:szCs w:val="14"/>
                    </w:rPr>
                  </w:pPr>
                  <w:r>
                    <w:rPr>
                      <w:rFonts w:ascii="Times New Roman" w:hAnsi="Times New Roman" w:eastAsia="Times New Roman" w:cs="Times New Roman"/>
                      <w:sz w:val="14"/>
                      <w:szCs w:val="14"/>
                    </w:rPr>
                    <w:t>0</w:t>
                  </w:r>
                </w:p>
              </w:tc>
              <w:tc>
                <w:tcPr>
                  <w:tcW w:w="331" w:type="dxa"/>
                  <w:vAlign w:val="top"/>
                </w:tcPr>
                <w:p w14:paraId="71B9C517">
                  <w:pPr>
                    <w:spacing w:before="135" w:line="201" w:lineRule="auto"/>
                    <w:ind w:left="14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02" w:type="dxa"/>
                  <w:vAlign w:val="top"/>
                </w:tcPr>
                <w:p w14:paraId="34CBFE2C">
                  <w:pPr>
                    <w:pStyle w:val="6"/>
                    <w:spacing w:before="112" w:line="232" w:lineRule="auto"/>
                    <w:ind w:left="103"/>
                    <w:rPr>
                      <w:sz w:val="14"/>
                      <w:szCs w:val="14"/>
                    </w:rPr>
                  </w:pPr>
                  <w:r>
                    <w:rPr>
                      <w:spacing w:val="6"/>
                      <w:sz w:val="14"/>
                      <w:szCs w:val="14"/>
                    </w:rPr>
                    <w:t>达标</w:t>
                  </w:r>
                </w:p>
              </w:tc>
              <w:tc>
                <w:tcPr>
                  <w:tcW w:w="417" w:type="dxa"/>
                  <w:tcBorders>
                    <w:right w:val="nil"/>
                  </w:tcBorders>
                  <w:vAlign w:val="top"/>
                </w:tcPr>
                <w:p w14:paraId="6ABAC47D">
                  <w:pPr>
                    <w:spacing w:before="135" w:line="201" w:lineRule="auto"/>
                    <w:ind w:left="21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0DE73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8127" w:type="dxa"/>
                  <w:gridSpan w:val="17"/>
                  <w:tcBorders>
                    <w:bottom w:val="nil"/>
                    <w:right w:val="nil"/>
                  </w:tcBorders>
                  <w:vAlign w:val="top"/>
                </w:tcPr>
                <w:p w14:paraId="21A46AA8">
                  <w:pPr>
                    <w:pStyle w:val="6"/>
                    <w:spacing w:before="130" w:line="323" w:lineRule="auto"/>
                    <w:ind w:left="99" w:right="120" w:firstLine="467"/>
                  </w:pPr>
                  <w:r>
                    <w:rPr>
                      <w:spacing w:val="-1"/>
                    </w:rPr>
                    <w:t>由上表预测结果可知，本项目在采取建筑隔声、基础减</w:t>
                  </w:r>
                  <w:r>
                    <w:rPr>
                      <w:spacing w:val="-2"/>
                    </w:rPr>
                    <w:t>振、距离衰减等措施的</w:t>
                  </w:r>
                  <w:r>
                    <w:t xml:space="preserve"> </w:t>
                  </w:r>
                  <w:r>
                    <w:rPr>
                      <w:spacing w:val="-1"/>
                    </w:rPr>
                    <w:t>情况下，项目厂界四周噪声值能够满足《工业企业厂界环境噪声排放标准》</w:t>
                  </w:r>
                </w:p>
                <w:p w14:paraId="5BB264CE">
                  <w:pPr>
                    <w:pStyle w:val="6"/>
                    <w:spacing w:before="29" w:line="220" w:lineRule="auto"/>
                    <w:ind w:left="105"/>
                  </w:pP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w:t>
                  </w:r>
                  <w:r>
                    <w:rPr>
                      <w:spacing w:val="-1"/>
                    </w:rPr>
                    <w:t>类声环境功能区的排放限值要求。</w:t>
                  </w:r>
                </w:p>
                <w:p w14:paraId="0C7A34E3">
                  <w:pPr>
                    <w:pStyle w:val="6"/>
                    <w:spacing w:before="138" w:line="221" w:lineRule="auto"/>
                    <w:ind w:left="93"/>
                  </w:pPr>
                  <w:r>
                    <w:rPr>
                      <w:rFonts w:ascii="Times New Roman" w:hAnsi="Times New Roman" w:eastAsia="Times New Roman" w:cs="Times New Roman"/>
                      <w:b/>
                      <w:bCs/>
                      <w:spacing w:val="-2"/>
                    </w:rPr>
                    <w:t>3.3</w:t>
                  </w:r>
                  <w:r>
                    <w:rPr>
                      <w:b/>
                      <w:bCs/>
                      <w:spacing w:val="-2"/>
                    </w:rPr>
                    <w:t>监测计划</w:t>
                  </w:r>
                </w:p>
                <w:p w14:paraId="5284927A">
                  <w:pPr>
                    <w:pStyle w:val="6"/>
                    <w:spacing w:before="136" w:line="219" w:lineRule="auto"/>
                    <w:ind w:left="539"/>
                  </w:pPr>
                  <w:r>
                    <w:rPr>
                      <w:spacing w:val="-2"/>
                    </w:rPr>
                    <w:t>根据《排污单位自行监测技术指南 总则》（</w:t>
                  </w:r>
                  <w:r>
                    <w:rPr>
                      <w:rFonts w:ascii="Times New Roman" w:hAnsi="Times New Roman" w:eastAsia="Times New Roman" w:cs="Times New Roman"/>
                      <w:spacing w:val="-2"/>
                    </w:rPr>
                    <w:t>HJ819-2017</w:t>
                  </w:r>
                  <w:r>
                    <w:rPr>
                      <w:spacing w:val="-2"/>
                    </w:rPr>
                    <w:t>）文件，并</w:t>
                  </w:r>
                  <w:r>
                    <w:rPr>
                      <w:spacing w:val="-3"/>
                    </w:rPr>
                    <w:t>结合本项目</w:t>
                  </w:r>
                </w:p>
              </w:tc>
            </w:tr>
          </w:tbl>
          <w:p w14:paraId="7DCE728A">
            <w:pPr>
              <w:spacing w:line="14" w:lineRule="auto"/>
              <w:rPr>
                <w:rFonts w:ascii="Arial"/>
                <w:sz w:val="2"/>
              </w:rPr>
            </w:pPr>
          </w:p>
        </w:tc>
      </w:tr>
    </w:tbl>
    <w:p w14:paraId="35B8B921">
      <w:pPr>
        <w:pStyle w:val="2"/>
      </w:pPr>
    </w:p>
    <w:p w14:paraId="09A28D9D">
      <w:pPr>
        <w:sectPr>
          <w:footerReference r:id="rId77" w:type="default"/>
          <w:pgSz w:w="11907" w:h="16840"/>
          <w:pgMar w:top="1431" w:right="1490" w:bottom="1260" w:left="1489" w:header="0" w:footer="1080" w:gutter="0"/>
          <w:cols w:space="720" w:num="1"/>
        </w:sectPr>
      </w:pPr>
    </w:p>
    <w:p w14:paraId="7A7E9F6F">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6CC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7" w:hRule="atLeast"/>
        </w:trPr>
        <w:tc>
          <w:tcPr>
            <w:tcW w:w="785" w:type="dxa"/>
            <w:tcBorders>
              <w:top w:val="single" w:color="000000" w:sz="2" w:space="0"/>
              <w:right w:val="single" w:color="000000" w:sz="2" w:space="0"/>
            </w:tcBorders>
            <w:vAlign w:val="top"/>
          </w:tcPr>
          <w:p w14:paraId="7E2D3199">
            <w:pPr>
              <w:rPr>
                <w:rFonts w:ascii="Arial"/>
                <w:sz w:val="21"/>
              </w:rPr>
            </w:pPr>
          </w:p>
        </w:tc>
        <w:tc>
          <w:tcPr>
            <w:tcW w:w="8127" w:type="dxa"/>
            <w:tcBorders>
              <w:top w:val="single" w:color="000000" w:sz="2" w:space="0"/>
              <w:left w:val="single" w:color="000000" w:sz="2" w:space="0"/>
            </w:tcBorders>
            <w:vAlign w:val="top"/>
          </w:tcPr>
          <w:p w14:paraId="67FDDB68">
            <w:pPr>
              <w:pStyle w:val="6"/>
              <w:spacing w:before="135" w:line="220" w:lineRule="auto"/>
              <w:ind w:left="92"/>
            </w:pPr>
            <w:r>
              <w:rPr>
                <w:spacing w:val="-1"/>
              </w:rPr>
              <w:t>污染物的特点，制定营运期监测计划见下表。</w:t>
            </w:r>
          </w:p>
          <w:p w14:paraId="7D27F8BA">
            <w:pPr>
              <w:spacing w:before="173" w:line="222" w:lineRule="auto"/>
              <w:ind w:left="310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4-11      </w:t>
            </w:r>
            <w:r>
              <w:rPr>
                <w:rFonts w:ascii="黑体" w:hAnsi="黑体" w:eastAsia="黑体" w:cs="黑体"/>
                <w:spacing w:val="-1"/>
                <w:sz w:val="18"/>
                <w:szCs w:val="18"/>
              </w:rPr>
              <w:t>营运期噪声监测计划</w:t>
            </w:r>
          </w:p>
          <w:p w14:paraId="618B12DB">
            <w:pPr>
              <w:spacing w:line="16" w:lineRule="exact"/>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06"/>
              <w:gridCol w:w="1306"/>
              <w:gridCol w:w="2192"/>
              <w:gridCol w:w="1437"/>
            </w:tblGrid>
            <w:tr w14:paraId="2FA6B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981" w:type="dxa"/>
                  <w:vAlign w:val="top"/>
                </w:tcPr>
                <w:p w14:paraId="600CCF19">
                  <w:pPr>
                    <w:pStyle w:val="6"/>
                    <w:spacing w:before="90" w:line="213" w:lineRule="auto"/>
                    <w:ind w:left="133"/>
                    <w:rPr>
                      <w:sz w:val="18"/>
                      <w:szCs w:val="18"/>
                    </w:rPr>
                  </w:pPr>
                  <w:r>
                    <w:rPr>
                      <w:b/>
                      <w:bCs/>
                      <w:spacing w:val="-4"/>
                      <w:sz w:val="18"/>
                      <w:szCs w:val="18"/>
                    </w:rPr>
                    <w:t>监测项目</w:t>
                  </w:r>
                </w:p>
              </w:tc>
              <w:tc>
                <w:tcPr>
                  <w:tcW w:w="1906" w:type="dxa"/>
                  <w:vAlign w:val="top"/>
                </w:tcPr>
                <w:p w14:paraId="79536A62">
                  <w:pPr>
                    <w:pStyle w:val="6"/>
                    <w:spacing w:before="90" w:line="213" w:lineRule="auto"/>
                    <w:ind w:left="595"/>
                    <w:rPr>
                      <w:sz w:val="18"/>
                      <w:szCs w:val="18"/>
                    </w:rPr>
                  </w:pPr>
                  <w:r>
                    <w:rPr>
                      <w:b/>
                      <w:bCs/>
                      <w:spacing w:val="-4"/>
                      <w:sz w:val="18"/>
                      <w:szCs w:val="18"/>
                    </w:rPr>
                    <w:t>监测点位</w:t>
                  </w:r>
                </w:p>
              </w:tc>
              <w:tc>
                <w:tcPr>
                  <w:tcW w:w="1306" w:type="dxa"/>
                  <w:vAlign w:val="top"/>
                </w:tcPr>
                <w:p w14:paraId="42CECC53">
                  <w:pPr>
                    <w:pStyle w:val="6"/>
                    <w:spacing w:before="90" w:line="213" w:lineRule="auto"/>
                    <w:ind w:left="297"/>
                    <w:rPr>
                      <w:sz w:val="18"/>
                      <w:szCs w:val="18"/>
                    </w:rPr>
                  </w:pPr>
                  <w:r>
                    <w:rPr>
                      <w:b/>
                      <w:bCs/>
                      <w:spacing w:val="-4"/>
                      <w:sz w:val="18"/>
                      <w:szCs w:val="18"/>
                    </w:rPr>
                    <w:t>监测因子</w:t>
                  </w:r>
                </w:p>
              </w:tc>
              <w:tc>
                <w:tcPr>
                  <w:tcW w:w="2192" w:type="dxa"/>
                  <w:vAlign w:val="top"/>
                </w:tcPr>
                <w:p w14:paraId="7E3FD532">
                  <w:pPr>
                    <w:pStyle w:val="6"/>
                    <w:spacing w:before="90" w:line="213" w:lineRule="auto"/>
                    <w:ind w:left="740"/>
                    <w:rPr>
                      <w:sz w:val="18"/>
                      <w:szCs w:val="18"/>
                    </w:rPr>
                  </w:pPr>
                  <w:r>
                    <w:rPr>
                      <w:b/>
                      <w:bCs/>
                      <w:spacing w:val="-4"/>
                      <w:sz w:val="18"/>
                      <w:szCs w:val="18"/>
                    </w:rPr>
                    <w:t>监测频次</w:t>
                  </w:r>
                </w:p>
              </w:tc>
              <w:tc>
                <w:tcPr>
                  <w:tcW w:w="1437" w:type="dxa"/>
                  <w:vAlign w:val="top"/>
                </w:tcPr>
                <w:p w14:paraId="0CE896BC">
                  <w:pPr>
                    <w:pStyle w:val="6"/>
                    <w:spacing w:before="90" w:line="213" w:lineRule="auto"/>
                    <w:ind w:left="363"/>
                    <w:rPr>
                      <w:sz w:val="18"/>
                      <w:szCs w:val="18"/>
                    </w:rPr>
                  </w:pPr>
                  <w:r>
                    <w:rPr>
                      <w:b/>
                      <w:bCs/>
                      <w:spacing w:val="-4"/>
                      <w:sz w:val="18"/>
                      <w:szCs w:val="18"/>
                    </w:rPr>
                    <w:t>监测周期</w:t>
                  </w:r>
                </w:p>
              </w:tc>
            </w:tr>
            <w:tr w14:paraId="6F7B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981" w:type="dxa"/>
                  <w:vAlign w:val="top"/>
                </w:tcPr>
                <w:p w14:paraId="5B11FD2D">
                  <w:pPr>
                    <w:spacing w:line="328" w:lineRule="auto"/>
                    <w:rPr>
                      <w:rFonts w:ascii="Arial"/>
                      <w:sz w:val="21"/>
                    </w:rPr>
                  </w:pPr>
                </w:p>
                <w:p w14:paraId="48B69418">
                  <w:pPr>
                    <w:pStyle w:val="6"/>
                    <w:spacing w:before="59" w:line="220" w:lineRule="auto"/>
                    <w:ind w:left="324"/>
                    <w:rPr>
                      <w:sz w:val="18"/>
                      <w:szCs w:val="18"/>
                    </w:rPr>
                  </w:pPr>
                  <w:r>
                    <w:rPr>
                      <w:spacing w:val="-8"/>
                      <w:sz w:val="18"/>
                      <w:szCs w:val="18"/>
                    </w:rPr>
                    <w:t>噪声</w:t>
                  </w:r>
                </w:p>
              </w:tc>
              <w:tc>
                <w:tcPr>
                  <w:tcW w:w="1906" w:type="dxa"/>
                  <w:vAlign w:val="top"/>
                </w:tcPr>
                <w:p w14:paraId="7B22FD17">
                  <w:pPr>
                    <w:pStyle w:val="6"/>
                    <w:spacing w:before="89" w:line="219" w:lineRule="auto"/>
                    <w:ind w:left="93"/>
                    <w:rPr>
                      <w:sz w:val="18"/>
                      <w:szCs w:val="18"/>
                    </w:rPr>
                  </w:pPr>
                  <w:r>
                    <w:rPr>
                      <w:spacing w:val="-9"/>
                      <w:sz w:val="18"/>
                      <w:szCs w:val="18"/>
                    </w:rPr>
                    <w:t>整个“绿色节能环保建</w:t>
                  </w:r>
                </w:p>
                <w:p w14:paraId="2C844687">
                  <w:pPr>
                    <w:pStyle w:val="6"/>
                    <w:spacing w:before="85" w:line="219" w:lineRule="auto"/>
                    <w:ind w:right="15"/>
                    <w:jc w:val="right"/>
                    <w:rPr>
                      <w:sz w:val="18"/>
                      <w:szCs w:val="18"/>
                    </w:rPr>
                  </w:pPr>
                  <w:r>
                    <w:rPr>
                      <w:spacing w:val="-4"/>
                      <w:sz w:val="18"/>
                      <w:szCs w:val="18"/>
                    </w:rPr>
                    <w:t>材产业化项目</w:t>
                  </w:r>
                  <w:r>
                    <w:rPr>
                      <w:spacing w:val="-59"/>
                      <w:sz w:val="18"/>
                      <w:szCs w:val="18"/>
                    </w:rPr>
                    <w:t xml:space="preserve"> </w:t>
                  </w:r>
                  <w:r>
                    <w:rPr>
                      <w:spacing w:val="-4"/>
                      <w:sz w:val="18"/>
                      <w:szCs w:val="18"/>
                    </w:rPr>
                    <w:t>”东面、</w:t>
                  </w:r>
                </w:p>
                <w:p w14:paraId="6FCD4B25">
                  <w:pPr>
                    <w:pStyle w:val="6"/>
                    <w:spacing w:before="86" w:line="212" w:lineRule="auto"/>
                    <w:ind w:left="510"/>
                    <w:rPr>
                      <w:sz w:val="18"/>
                      <w:szCs w:val="18"/>
                    </w:rPr>
                  </w:pPr>
                  <w:r>
                    <w:rPr>
                      <w:spacing w:val="-3"/>
                      <w:sz w:val="18"/>
                      <w:szCs w:val="18"/>
                    </w:rPr>
                    <w:t>西面和北面</w:t>
                  </w:r>
                </w:p>
              </w:tc>
              <w:tc>
                <w:tcPr>
                  <w:tcW w:w="1306" w:type="dxa"/>
                  <w:vAlign w:val="top"/>
                </w:tcPr>
                <w:p w14:paraId="5FAD5B81">
                  <w:pPr>
                    <w:spacing w:line="328" w:lineRule="auto"/>
                    <w:rPr>
                      <w:rFonts w:ascii="Arial"/>
                      <w:sz w:val="21"/>
                    </w:rPr>
                  </w:pPr>
                </w:p>
                <w:p w14:paraId="76E69C21">
                  <w:pPr>
                    <w:pStyle w:val="6"/>
                    <w:spacing w:before="59" w:line="220" w:lineRule="auto"/>
                    <w:ind w:left="485"/>
                    <w:rPr>
                      <w:sz w:val="18"/>
                      <w:szCs w:val="18"/>
                    </w:rPr>
                  </w:pPr>
                  <w:r>
                    <w:rPr>
                      <w:spacing w:val="-8"/>
                      <w:sz w:val="18"/>
                      <w:szCs w:val="18"/>
                    </w:rPr>
                    <w:t>噪声</w:t>
                  </w:r>
                </w:p>
              </w:tc>
              <w:tc>
                <w:tcPr>
                  <w:tcW w:w="2192" w:type="dxa"/>
                  <w:vAlign w:val="top"/>
                </w:tcPr>
                <w:p w14:paraId="18842166">
                  <w:pPr>
                    <w:spacing w:line="329" w:lineRule="auto"/>
                    <w:rPr>
                      <w:rFonts w:ascii="Arial"/>
                      <w:sz w:val="21"/>
                    </w:rPr>
                  </w:pPr>
                </w:p>
                <w:p w14:paraId="12D14C3F">
                  <w:pPr>
                    <w:pStyle w:val="6"/>
                    <w:spacing w:before="58" w:line="219" w:lineRule="auto"/>
                    <w:ind w:left="485"/>
                    <w:rPr>
                      <w:sz w:val="18"/>
                      <w:szCs w:val="18"/>
                    </w:rPr>
                  </w:pPr>
                  <w:r>
                    <w:rPr>
                      <w:rFonts w:ascii="Times New Roman" w:hAnsi="Times New Roman" w:eastAsia="Times New Roman" w:cs="Times New Roman"/>
                      <w:spacing w:val="-3"/>
                      <w:sz w:val="18"/>
                      <w:szCs w:val="18"/>
                    </w:rPr>
                    <w:t>1</w:t>
                  </w:r>
                  <w:r>
                    <w:rPr>
                      <w:spacing w:val="-3"/>
                      <w:sz w:val="18"/>
                      <w:szCs w:val="18"/>
                    </w:rPr>
                    <w:t>天（昼间1次）</w:t>
                  </w:r>
                </w:p>
              </w:tc>
              <w:tc>
                <w:tcPr>
                  <w:tcW w:w="1437" w:type="dxa"/>
                  <w:vAlign w:val="top"/>
                </w:tcPr>
                <w:p w14:paraId="0891C4AE">
                  <w:pPr>
                    <w:spacing w:line="329" w:lineRule="auto"/>
                    <w:rPr>
                      <w:rFonts w:ascii="Arial"/>
                      <w:sz w:val="21"/>
                    </w:rPr>
                  </w:pPr>
                </w:p>
                <w:p w14:paraId="1540267A">
                  <w:pPr>
                    <w:pStyle w:val="6"/>
                    <w:spacing w:before="58" w:line="219" w:lineRule="auto"/>
                    <w:ind w:left="316"/>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14:paraId="2DEAE0A9">
            <w:pPr>
              <w:spacing w:before="132" w:line="222" w:lineRule="auto"/>
              <w:ind w:left="85"/>
              <w:rPr>
                <w:rFonts w:ascii="黑体" w:hAnsi="黑体" w:eastAsia="黑体" w:cs="黑体"/>
                <w:sz w:val="22"/>
                <w:szCs w:val="22"/>
              </w:rPr>
            </w:pPr>
            <w:r>
              <w:rPr>
                <w:rFonts w:ascii="Times New Roman" w:hAnsi="Times New Roman" w:eastAsia="Times New Roman" w:cs="Times New Roman"/>
                <w:spacing w:val="-6"/>
                <w:sz w:val="22"/>
                <w:szCs w:val="22"/>
              </w:rPr>
              <w:t>4</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、固体废物</w:t>
            </w:r>
          </w:p>
          <w:p w14:paraId="0A10E7CD">
            <w:pPr>
              <w:pStyle w:val="6"/>
              <w:spacing w:before="136" w:line="220" w:lineRule="auto"/>
              <w:ind w:left="87"/>
            </w:pPr>
            <w:r>
              <w:rPr>
                <w:rFonts w:ascii="Times New Roman" w:hAnsi="Times New Roman" w:eastAsia="Times New Roman" w:cs="Times New Roman"/>
                <w:b/>
                <w:bCs/>
                <w:spacing w:val="-2"/>
              </w:rPr>
              <w:t>4.1</w:t>
            </w:r>
            <w:r>
              <w:rPr>
                <w:b/>
                <w:bCs/>
                <w:spacing w:val="-2"/>
              </w:rPr>
              <w:t>固废类别</w:t>
            </w:r>
          </w:p>
          <w:p w14:paraId="4A8D4CEC">
            <w:pPr>
              <w:pStyle w:val="6"/>
              <w:spacing w:before="136" w:line="327" w:lineRule="auto"/>
              <w:ind w:left="89" w:right="83" w:firstLine="449"/>
            </w:pPr>
            <w:r>
              <w:t>营运期固体废物主要包括切割废料、废脱模剂桶、不合格产品、运板车废料、</w:t>
            </w:r>
            <w:r>
              <w:rPr>
                <w:spacing w:val="7"/>
              </w:rPr>
              <w:t xml:space="preserve"> </w:t>
            </w:r>
            <w:r>
              <w:rPr>
                <w:spacing w:val="-2"/>
              </w:rPr>
              <w:t>废包装袋、废钢筋节、废水性漆桶、废</w:t>
            </w:r>
            <w:r>
              <w:rPr>
                <w:rFonts w:ascii="Times New Roman" w:hAnsi="Times New Roman" w:eastAsia="Times New Roman" w:cs="Times New Roman"/>
                <w:spacing w:val="-2"/>
              </w:rPr>
              <w:t>UV</w:t>
            </w:r>
            <w:r>
              <w:rPr>
                <w:spacing w:val="-2"/>
              </w:rPr>
              <w:t>灯管、废活性炭、废离子树脂、漆渣</w:t>
            </w:r>
            <w:r>
              <w:rPr>
                <w:spacing w:val="-3"/>
              </w:rPr>
              <w:t>、废</w:t>
            </w:r>
            <w:r>
              <w:t xml:space="preserve"> </w:t>
            </w:r>
            <w:r>
              <w:rPr>
                <w:spacing w:val="-1"/>
              </w:rPr>
              <w:t>机油、除尘器收尘、生活垃圾。</w:t>
            </w:r>
          </w:p>
          <w:p w14:paraId="12F6CE77">
            <w:pPr>
              <w:pStyle w:val="6"/>
              <w:spacing w:before="31" w:line="327" w:lineRule="auto"/>
              <w:ind w:left="83" w:right="112" w:firstLine="449"/>
              <w:jc w:val="both"/>
            </w:pPr>
            <w:r>
              <w:t>其中切割废料、废脱模剂桶、不合格产品、运板清扫机</w:t>
            </w:r>
            <w:r>
              <w:rPr>
                <w:spacing w:val="-1"/>
              </w:rPr>
              <w:t>固废、废包装袋、废钢</w:t>
            </w:r>
            <w:r>
              <w:t xml:space="preserve"> 筋节、废水性漆桶、废离子树脂、漆渣、除尘器收尘、生活垃圾属于一般固废。废 </w:t>
            </w:r>
            <w:r>
              <w:rPr>
                <w:rFonts w:ascii="Times New Roman" w:hAnsi="Times New Roman" w:eastAsia="Times New Roman" w:cs="Times New Roman"/>
                <w:spacing w:val="-1"/>
              </w:rPr>
              <w:t>UV</w:t>
            </w:r>
            <w:r>
              <w:rPr>
                <w:spacing w:val="-1"/>
              </w:rPr>
              <w:t>灯管、废活性炭、废机油属于危险废物。</w:t>
            </w:r>
          </w:p>
          <w:p w14:paraId="51EE74D4">
            <w:pPr>
              <w:pStyle w:val="6"/>
              <w:spacing w:before="31" w:line="220" w:lineRule="auto"/>
              <w:ind w:left="104"/>
            </w:pPr>
            <w:r>
              <w:rPr>
                <w:rFonts w:ascii="Times New Roman" w:hAnsi="Times New Roman" w:eastAsia="Times New Roman" w:cs="Times New Roman"/>
                <w:b/>
                <w:bCs/>
                <w:spacing w:val="-2"/>
              </w:rPr>
              <w:t>4.2</w:t>
            </w:r>
            <w:r>
              <w:rPr>
                <w:b/>
                <w:bCs/>
                <w:spacing w:val="-2"/>
              </w:rPr>
              <w:t>一般固废的产生及处置措施</w:t>
            </w:r>
          </w:p>
          <w:p w14:paraId="342467FB">
            <w:pPr>
              <w:pStyle w:val="6"/>
              <w:spacing w:before="139" w:line="330" w:lineRule="auto"/>
              <w:ind w:left="89" w:right="86" w:firstLine="441"/>
            </w:pPr>
            <w:r>
              <w:t>切割废料：主要产生在砌块或者板材在完成初养脱模后，进行横切纵切过程。</w:t>
            </w:r>
            <w:r>
              <w:rPr>
                <w:spacing w:val="18"/>
              </w:rPr>
              <w:t xml:space="preserve"> </w:t>
            </w:r>
            <w:r>
              <w:rPr>
                <w:spacing w:val="-2"/>
              </w:rPr>
              <w:t>根据建设单位介绍，切割废料的产生量约占产品</w:t>
            </w:r>
            <w:r>
              <w:rPr>
                <w:spacing w:val="-3"/>
              </w:rPr>
              <w:t>总质量的</w:t>
            </w:r>
            <w:r>
              <w:rPr>
                <w:rFonts w:ascii="Times New Roman" w:hAnsi="Times New Roman" w:eastAsia="Times New Roman" w:cs="Times New Roman"/>
                <w:spacing w:val="-3"/>
              </w:rPr>
              <w:t>2</w:t>
            </w:r>
            <w:r>
              <w:rPr>
                <w:spacing w:val="-3"/>
              </w:rPr>
              <w:t>‰。项目混凝土砌块或板</w:t>
            </w:r>
            <w:r>
              <w:t xml:space="preserve"> </w:t>
            </w:r>
            <w:r>
              <w:rPr>
                <w:spacing w:val="-2"/>
              </w:rPr>
              <w:t>材约</w:t>
            </w:r>
            <w:r>
              <w:rPr>
                <w:rFonts w:ascii="Times New Roman" w:hAnsi="Times New Roman" w:eastAsia="Times New Roman" w:cs="Times New Roman"/>
                <w:spacing w:val="-2"/>
              </w:rPr>
              <w:t>600kg/m</w:t>
            </w:r>
            <w:r>
              <w:rPr>
                <w:rFonts w:ascii="Times New Roman" w:hAnsi="Times New Roman" w:eastAsia="Times New Roman" w:cs="Times New Roman"/>
                <w:spacing w:val="-2"/>
                <w:position w:val="7"/>
                <w:sz w:val="14"/>
                <w:szCs w:val="14"/>
              </w:rPr>
              <w:t xml:space="preserve">3 </w:t>
            </w:r>
            <w:r>
              <w:rPr>
                <w:spacing w:val="-2"/>
              </w:rPr>
              <w:t>，年产能为</w:t>
            </w:r>
            <w:r>
              <w:rPr>
                <w:rFonts w:ascii="Times New Roman" w:hAnsi="Times New Roman" w:eastAsia="Times New Roman" w:cs="Times New Roman"/>
                <w:spacing w:val="-2"/>
              </w:rPr>
              <w:t>60</w:t>
            </w:r>
            <w:r>
              <w:rPr>
                <w:spacing w:val="-2"/>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10"/>
                <w:position w:val="7"/>
                <w:sz w:val="14"/>
                <w:szCs w:val="14"/>
              </w:rPr>
              <w:t xml:space="preserve"> </w:t>
            </w:r>
            <w:r>
              <w:rPr>
                <w:spacing w:val="-2"/>
              </w:rPr>
              <w:t>，则总质量</w:t>
            </w:r>
            <w:r>
              <w:rPr>
                <w:rFonts w:ascii="Times New Roman" w:hAnsi="Times New Roman" w:eastAsia="Times New Roman" w:cs="Times New Roman"/>
                <w:spacing w:val="-2"/>
              </w:rPr>
              <w:t>360000t/a</w:t>
            </w:r>
            <w:r>
              <w:rPr>
                <w:rFonts w:ascii="Times New Roman" w:hAnsi="Times New Roman" w:eastAsia="Times New Roman" w:cs="Times New Roman"/>
                <w:spacing w:val="-26"/>
              </w:rPr>
              <w:t xml:space="preserve"> </w:t>
            </w:r>
            <w:r>
              <w:rPr>
                <w:spacing w:val="-2"/>
              </w:rPr>
              <w:t>。经计算，切割废料产生量约</w:t>
            </w:r>
            <w:r>
              <w:t xml:space="preserve"> </w:t>
            </w:r>
            <w:r>
              <w:rPr>
                <w:rFonts w:ascii="Times New Roman" w:hAnsi="Times New Roman" w:eastAsia="Times New Roman" w:cs="Times New Roman"/>
                <w:spacing w:val="-2"/>
              </w:rPr>
              <w:t>720t/a</w:t>
            </w:r>
            <w:r>
              <w:rPr>
                <w:spacing w:val="-2"/>
              </w:rPr>
              <w:t>。切割废料属于还未完全硬化成型的混凝土，切割过程</w:t>
            </w:r>
            <w:r>
              <w:rPr>
                <w:spacing w:val="-3"/>
              </w:rPr>
              <w:t>会成为小块状，然后每</w:t>
            </w:r>
            <w:r>
              <w:t xml:space="preserve"> 天适用冲水的方式，收集至废浆池，经池内搅拌器打散后，与</w:t>
            </w:r>
            <w:r>
              <w:rPr>
                <w:spacing w:val="-1"/>
              </w:rPr>
              <w:t>废水一同回用至球磨</w:t>
            </w:r>
            <w:r>
              <w:t xml:space="preserve"> </w:t>
            </w:r>
            <w:r>
              <w:rPr>
                <w:spacing w:val="-1"/>
              </w:rPr>
              <w:t>机，不外排。</w:t>
            </w:r>
          </w:p>
          <w:p w14:paraId="0D3D4CFD">
            <w:pPr>
              <w:pStyle w:val="6"/>
              <w:spacing w:before="40" w:line="327" w:lineRule="auto"/>
              <w:ind w:left="92" w:right="100" w:firstLine="438"/>
              <w:jc w:val="both"/>
            </w:pPr>
            <w:r>
              <w:t>废脱模剂桶：根据建设单位介绍，项目使用的脱模剂为</w:t>
            </w:r>
            <w:r>
              <w:rPr>
                <w:rFonts w:ascii="Times New Roman" w:hAnsi="Times New Roman" w:eastAsia="Times New Roman" w:cs="Times New Roman"/>
              </w:rPr>
              <w:t>1</w:t>
            </w:r>
            <w:r>
              <w:rPr>
                <w:rFonts w:ascii="Times New Roman" w:hAnsi="Times New Roman" w:eastAsia="Times New Roman" w:cs="Times New Roman"/>
                <w:spacing w:val="-1"/>
              </w:rPr>
              <w:t>t/</w:t>
            </w:r>
            <w:r>
              <w:rPr>
                <w:spacing w:val="-1"/>
              </w:rPr>
              <w:t>桶产品，使用后会产</w:t>
            </w:r>
            <w:r>
              <w:t xml:space="preserve"> </w:t>
            </w:r>
            <w:r>
              <w:rPr>
                <w:spacing w:val="-1"/>
              </w:rPr>
              <w:t>生废脱模剂桶。项目年用脱模剂</w:t>
            </w:r>
            <w:r>
              <w:rPr>
                <w:rFonts w:ascii="Times New Roman" w:hAnsi="Times New Roman" w:eastAsia="Times New Roman" w:cs="Times New Roman"/>
                <w:spacing w:val="-1"/>
              </w:rPr>
              <w:t>48t/a</w:t>
            </w:r>
            <w:r>
              <w:rPr>
                <w:rFonts w:ascii="Times New Roman" w:hAnsi="Times New Roman" w:eastAsia="Times New Roman" w:cs="Times New Roman"/>
                <w:spacing w:val="-22"/>
              </w:rPr>
              <w:t xml:space="preserve"> </w:t>
            </w:r>
            <w:r>
              <w:rPr>
                <w:spacing w:val="-1"/>
              </w:rPr>
              <w:t>，</w:t>
            </w:r>
            <w:r>
              <w:rPr>
                <w:rFonts w:ascii="Times New Roman" w:hAnsi="Times New Roman" w:eastAsia="Times New Roman" w:cs="Times New Roman"/>
                <w:spacing w:val="-1"/>
              </w:rPr>
              <w:t>1t/</w:t>
            </w:r>
            <w:r>
              <w:rPr>
                <w:spacing w:val="-1"/>
              </w:rPr>
              <w:t>桶，则会产生</w:t>
            </w:r>
            <w:r>
              <w:rPr>
                <w:rFonts w:ascii="Times New Roman" w:hAnsi="Times New Roman" w:eastAsia="Times New Roman" w:cs="Times New Roman"/>
                <w:spacing w:val="-1"/>
              </w:rPr>
              <w:t>48</w:t>
            </w:r>
            <w:r>
              <w:rPr>
                <w:spacing w:val="-1"/>
              </w:rPr>
              <w:t>个废桶。单个废桶重量约</w:t>
            </w:r>
            <w:r>
              <w:t xml:space="preserve"> </w:t>
            </w:r>
            <w:r>
              <w:rPr>
                <w:rFonts w:ascii="Times New Roman" w:hAnsi="Times New Roman" w:eastAsia="Times New Roman" w:cs="Times New Roman"/>
                <w:spacing w:val="-2"/>
              </w:rPr>
              <w:t>8~</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10kg</w:t>
            </w:r>
            <w:r>
              <w:rPr>
                <w:rFonts w:ascii="Times New Roman" w:hAnsi="Times New Roman" w:eastAsia="Times New Roman" w:cs="Times New Roman"/>
                <w:spacing w:val="-28"/>
              </w:rPr>
              <w:t xml:space="preserve"> </w:t>
            </w:r>
            <w:r>
              <w:rPr>
                <w:spacing w:val="-2"/>
              </w:rPr>
              <w:t>，本次评价按</w:t>
            </w:r>
            <w:r>
              <w:rPr>
                <w:rFonts w:ascii="Times New Roman" w:hAnsi="Times New Roman" w:eastAsia="Times New Roman" w:cs="Times New Roman"/>
                <w:spacing w:val="-2"/>
              </w:rPr>
              <w:t>9kg</w:t>
            </w:r>
            <w:r>
              <w:rPr>
                <w:spacing w:val="-2"/>
              </w:rPr>
              <w:t>计。经计算，项目废脱模剂桶总重量为</w:t>
            </w:r>
            <w:r>
              <w:rPr>
                <w:rFonts w:ascii="Times New Roman" w:hAnsi="Times New Roman" w:eastAsia="Times New Roman" w:cs="Times New Roman"/>
                <w:spacing w:val="-2"/>
              </w:rPr>
              <w:t>0.432t/a</w:t>
            </w:r>
            <w:r>
              <w:rPr>
                <w:rFonts w:ascii="Times New Roman" w:hAnsi="Times New Roman" w:eastAsia="Times New Roman" w:cs="Times New Roman"/>
                <w:spacing w:val="-29"/>
              </w:rPr>
              <w:t xml:space="preserve"> </w:t>
            </w:r>
            <w:r>
              <w:rPr>
                <w:spacing w:val="-2"/>
              </w:rPr>
              <w:t>。废脱模剂</w:t>
            </w:r>
            <w:r>
              <w:t xml:space="preserve"> </w:t>
            </w:r>
            <w:r>
              <w:rPr>
                <w:spacing w:val="-1"/>
              </w:rPr>
              <w:t>桶临时堆放在物资库，由厂家定期回收再利用。</w:t>
            </w:r>
          </w:p>
          <w:p w14:paraId="4E591560">
            <w:pPr>
              <w:pStyle w:val="6"/>
              <w:spacing w:before="42" w:line="329" w:lineRule="auto"/>
              <w:ind w:left="89" w:right="8" w:firstLine="446"/>
              <w:jc w:val="both"/>
            </w:pPr>
            <w:r>
              <w:t>不合格产品：根据建设单位介绍，项目采用的生</w:t>
            </w:r>
            <w:r>
              <w:rPr>
                <w:spacing w:val="-1"/>
              </w:rPr>
              <w:t>产工艺较成熟，生产过程产生</w:t>
            </w:r>
            <w:r>
              <w:t xml:space="preserve">  </w:t>
            </w:r>
            <w:r>
              <w:rPr>
                <w:spacing w:val="-5"/>
              </w:rPr>
              <w:t>的不合格品占比不高，约为产品量的</w:t>
            </w:r>
            <w:r>
              <w:rPr>
                <w:rFonts w:ascii="Times New Roman" w:hAnsi="Times New Roman" w:eastAsia="Times New Roman" w:cs="Times New Roman"/>
                <w:spacing w:val="-5"/>
              </w:rPr>
              <w:t>0.</w:t>
            </w:r>
            <w:r>
              <w:rPr>
                <w:rFonts w:ascii="Times New Roman" w:hAnsi="Times New Roman" w:eastAsia="Times New Roman" w:cs="Times New Roman"/>
                <w:spacing w:val="-22"/>
              </w:rPr>
              <w:t xml:space="preserve"> </w:t>
            </w:r>
            <w:r>
              <w:rPr>
                <w:rFonts w:ascii="Times New Roman" w:hAnsi="Times New Roman" w:eastAsia="Times New Roman" w:cs="Times New Roman"/>
                <w:spacing w:val="-5"/>
              </w:rPr>
              <w:t>1</w:t>
            </w:r>
            <w:r>
              <w:rPr>
                <w:spacing w:val="-5"/>
              </w:rPr>
              <w:t>‰。经计算，项目不合格产品产生量约</w:t>
            </w:r>
            <w:r>
              <w:rPr>
                <w:rFonts w:ascii="Times New Roman" w:hAnsi="Times New Roman" w:eastAsia="Times New Roman" w:cs="Times New Roman"/>
                <w:spacing w:val="-5"/>
              </w:rPr>
              <w:t>36t/a</w:t>
            </w:r>
            <w:r>
              <w:rPr>
                <w:spacing w:val="-5"/>
              </w:rPr>
              <w:t>。</w:t>
            </w:r>
            <w:r>
              <w:t xml:space="preserve"> 在厂区内收集后，直接返回地下堆场，与建筑垃圾一同进入颚</w:t>
            </w:r>
            <w:r>
              <w:rPr>
                <w:spacing w:val="-1"/>
              </w:rPr>
              <w:t>破、筛分生产线，做</w:t>
            </w:r>
            <w:r>
              <w:t xml:space="preserve">  </w:t>
            </w:r>
            <w:r>
              <w:rPr>
                <w:spacing w:val="-1"/>
              </w:rPr>
              <w:t>原料使用不外排。</w:t>
            </w:r>
          </w:p>
          <w:p w14:paraId="1B558132">
            <w:pPr>
              <w:pStyle w:val="6"/>
              <w:spacing w:before="29" w:line="329" w:lineRule="auto"/>
              <w:ind w:left="89" w:right="8" w:firstLine="442"/>
              <w:jc w:val="both"/>
            </w:pPr>
            <w:r>
              <w:rPr>
                <w:spacing w:val="-4"/>
              </w:rPr>
              <w:t>运板车废料：运板车主要放置砌块或板材，进入蒸养釜进行混凝土砌块的养护。</w:t>
            </w:r>
            <w:r>
              <w:rPr>
                <w:spacing w:val="15"/>
              </w:rPr>
              <w:t xml:space="preserve"> </w:t>
            </w:r>
            <w:r>
              <w:t>在进行产品掰板分离时，会有少量的残留混凝土料在运板车上</w:t>
            </w:r>
            <w:r>
              <w:rPr>
                <w:spacing w:val="-1"/>
              </w:rPr>
              <w:t>，需将运板车推送至</w:t>
            </w:r>
            <w:r>
              <w:t xml:space="preserve">  清扫机进行清理，会产生少量的废料。根据建设单位介绍，运</w:t>
            </w:r>
            <w:r>
              <w:rPr>
                <w:spacing w:val="-1"/>
              </w:rPr>
              <w:t>板车废料产生量约为</w:t>
            </w:r>
            <w:r>
              <w:t xml:space="preserve">  </w:t>
            </w:r>
            <w:r>
              <w:rPr>
                <w:spacing w:val="-1"/>
              </w:rPr>
              <w:t>产品量的</w:t>
            </w:r>
            <w:r>
              <w:rPr>
                <w:rFonts w:ascii="Times New Roman" w:hAnsi="Times New Roman" w:eastAsia="Times New Roman" w:cs="Times New Roman"/>
                <w:spacing w:val="-1"/>
              </w:rPr>
              <w:t>0.01</w:t>
            </w:r>
            <w:r>
              <w:rPr>
                <w:spacing w:val="-1"/>
              </w:rPr>
              <w:t>‰</w:t>
            </w:r>
            <w:r>
              <w:rPr>
                <w:spacing w:val="-80"/>
              </w:rPr>
              <w:t xml:space="preserve"> </w:t>
            </w:r>
            <w:r>
              <w:rPr>
                <w:spacing w:val="-1"/>
              </w:rPr>
              <w:t>。经计算，运板车废料产生量</w:t>
            </w:r>
            <w:r>
              <w:rPr>
                <w:spacing w:val="-2"/>
              </w:rPr>
              <w:t>约</w:t>
            </w:r>
            <w:r>
              <w:rPr>
                <w:rFonts w:ascii="Times New Roman" w:hAnsi="Times New Roman" w:eastAsia="Times New Roman" w:cs="Times New Roman"/>
                <w:spacing w:val="-2"/>
              </w:rPr>
              <w:t>3.6t/a</w:t>
            </w:r>
            <w:r>
              <w:rPr>
                <w:spacing w:val="-2"/>
              </w:rPr>
              <w:t>。</w:t>
            </w:r>
          </w:p>
          <w:p w14:paraId="1DB3C088">
            <w:pPr>
              <w:pStyle w:val="6"/>
              <w:spacing w:before="34" w:line="219" w:lineRule="auto"/>
              <w:ind w:left="531"/>
            </w:pPr>
            <w:r>
              <w:t>废包装袋：主要为可再分散乳胶粉、玻璃纤维等小料使用后</w:t>
            </w:r>
            <w:r>
              <w:rPr>
                <w:spacing w:val="-1"/>
              </w:rPr>
              <w:t>，产生的废包装材</w:t>
            </w:r>
          </w:p>
        </w:tc>
      </w:tr>
    </w:tbl>
    <w:p w14:paraId="4A5F0874">
      <w:pPr>
        <w:pStyle w:val="2"/>
      </w:pPr>
    </w:p>
    <w:p w14:paraId="31D50AB1">
      <w:pPr>
        <w:sectPr>
          <w:footerReference r:id="rId78" w:type="default"/>
          <w:pgSz w:w="11907" w:h="16840"/>
          <w:pgMar w:top="1431" w:right="1490" w:bottom="1259" w:left="1489" w:header="0" w:footer="1080" w:gutter="0"/>
          <w:cols w:space="720" w:num="1"/>
        </w:sectPr>
      </w:pPr>
    </w:p>
    <w:p w14:paraId="0EE59CC6">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0F54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653661B4">
            <w:pPr>
              <w:rPr>
                <w:rFonts w:ascii="Arial"/>
                <w:sz w:val="21"/>
              </w:rPr>
            </w:pPr>
          </w:p>
        </w:tc>
        <w:tc>
          <w:tcPr>
            <w:tcW w:w="8127" w:type="dxa"/>
            <w:tcBorders>
              <w:top w:val="single" w:color="000000" w:sz="2" w:space="0"/>
              <w:left w:val="single" w:color="000000" w:sz="2" w:space="0"/>
            </w:tcBorders>
            <w:vAlign w:val="top"/>
          </w:tcPr>
          <w:p w14:paraId="16131E3E">
            <w:pPr>
              <w:pStyle w:val="6"/>
              <w:spacing w:before="135" w:line="323" w:lineRule="auto"/>
              <w:ind w:left="95" w:right="92" w:hanging="5"/>
            </w:pPr>
            <w:r>
              <w:rPr>
                <w:spacing w:val="-1"/>
              </w:rPr>
              <w:t>料。根据建设单位介绍，结合本项目的产量估算，项目的废包装袋产生量约</w:t>
            </w:r>
            <w:r>
              <w:rPr>
                <w:rFonts w:ascii="Times New Roman" w:hAnsi="Times New Roman" w:eastAsia="Times New Roman" w:cs="Times New Roman"/>
                <w:spacing w:val="-1"/>
              </w:rPr>
              <w:t>1.2t/</w:t>
            </w:r>
            <w:r>
              <w:rPr>
                <w:rFonts w:ascii="Times New Roman" w:hAnsi="Times New Roman" w:eastAsia="Times New Roman" w:cs="Times New Roman"/>
                <w:spacing w:val="-2"/>
              </w:rPr>
              <w:t>a</w:t>
            </w:r>
            <w:r>
              <w:rPr>
                <w:spacing w:val="-2"/>
              </w:rPr>
              <w:t>。</w:t>
            </w:r>
            <w:r>
              <w:t xml:space="preserve"> </w:t>
            </w:r>
            <w:r>
              <w:rPr>
                <w:spacing w:val="-1"/>
              </w:rPr>
              <w:t>统一收集后及时外售废品回收站。</w:t>
            </w:r>
          </w:p>
          <w:p w14:paraId="65CBD610">
            <w:pPr>
              <w:pStyle w:val="6"/>
              <w:spacing w:before="31" w:line="330" w:lineRule="auto"/>
              <w:ind w:left="89" w:right="25" w:firstLine="441"/>
            </w:pPr>
            <w:r>
              <w:t>废钢筋节：项目板材生产需要先进行带肋钢筋网的加工，切</w:t>
            </w:r>
            <w:r>
              <w:rPr>
                <w:spacing w:val="-1"/>
              </w:rPr>
              <w:t>割加工过程会产生</w:t>
            </w:r>
            <w:r>
              <w:t xml:space="preserve"> 少量的废钢筋节。根据建设单位介绍，项目混凝土板材为定制产品，有多种规格，</w:t>
            </w:r>
            <w:r>
              <w:rPr>
                <w:spacing w:val="17"/>
              </w:rPr>
              <w:t xml:space="preserve"> </w:t>
            </w:r>
            <w:r>
              <w:rPr>
                <w:spacing w:val="-6"/>
              </w:rPr>
              <w:t>采购的带肋钢筋有固定长度，产生的废钢筋节约占总钢筋用量的</w:t>
            </w:r>
            <w:r>
              <w:rPr>
                <w:rFonts w:ascii="Times New Roman" w:hAnsi="Times New Roman" w:eastAsia="Times New Roman" w:cs="Times New Roman"/>
                <w:spacing w:val="-6"/>
              </w:rPr>
              <w:t>1%</w:t>
            </w:r>
            <w:r>
              <w:rPr>
                <w:spacing w:val="-6"/>
              </w:rPr>
              <w:t>。根据工程分析，</w:t>
            </w:r>
            <w:r>
              <w:rPr>
                <w:spacing w:val="15"/>
              </w:rPr>
              <w:t xml:space="preserve"> </w:t>
            </w:r>
            <w:r>
              <w:rPr>
                <w:spacing w:val="-2"/>
              </w:rPr>
              <w:t>项目带肋钢筋总使用量约</w:t>
            </w:r>
            <w:r>
              <w:rPr>
                <w:rFonts w:ascii="Times New Roman" w:hAnsi="Times New Roman" w:eastAsia="Times New Roman" w:cs="Times New Roman"/>
                <w:spacing w:val="-2"/>
              </w:rPr>
              <w:t>10536.53t/a</w:t>
            </w:r>
            <w:r>
              <w:rPr>
                <w:spacing w:val="-2"/>
              </w:rPr>
              <w:t>，则废钢筋节产生量约</w:t>
            </w:r>
            <w:r>
              <w:rPr>
                <w:rFonts w:ascii="Times New Roman" w:hAnsi="Times New Roman" w:eastAsia="Times New Roman" w:cs="Times New Roman"/>
                <w:spacing w:val="-2"/>
              </w:rPr>
              <w:t>105.37t/a</w:t>
            </w:r>
            <w:r>
              <w:rPr>
                <w:spacing w:val="-2"/>
              </w:rPr>
              <w:t>。废钢筋节统一</w:t>
            </w:r>
            <w:r>
              <w:rPr>
                <w:spacing w:val="6"/>
              </w:rPr>
              <w:t xml:space="preserve"> </w:t>
            </w:r>
            <w:r>
              <w:rPr>
                <w:spacing w:val="-1"/>
              </w:rPr>
              <w:t>收集后及时外售废品回收站。</w:t>
            </w:r>
          </w:p>
          <w:p w14:paraId="5B32731B">
            <w:pPr>
              <w:pStyle w:val="6"/>
              <w:spacing w:before="33" w:line="320" w:lineRule="auto"/>
              <w:ind w:left="108" w:right="167" w:firstLine="422"/>
            </w:pPr>
            <w:r>
              <w:rPr>
                <w:spacing w:val="-1"/>
              </w:rPr>
              <w:t>废水性漆桶：根据工程分析，项目带肋钢筋网浸漆防腐用漆量约</w:t>
            </w:r>
            <w:r>
              <w:rPr>
                <w:rFonts w:ascii="Times New Roman" w:hAnsi="Times New Roman" w:eastAsia="Times New Roman" w:cs="Times New Roman"/>
                <w:spacing w:val="-1"/>
              </w:rPr>
              <w:t>37.048t/a</w:t>
            </w:r>
            <w:r>
              <w:rPr>
                <w:rFonts w:ascii="Times New Roman" w:hAnsi="Times New Roman" w:eastAsia="Times New Roman" w:cs="Times New Roman"/>
                <w:spacing w:val="-24"/>
              </w:rPr>
              <w:t xml:space="preserve"> </w:t>
            </w:r>
            <w:r>
              <w:rPr>
                <w:spacing w:val="-1"/>
              </w:rPr>
              <w:t>，产</w:t>
            </w:r>
            <w:r>
              <w:t xml:space="preserve"> </w:t>
            </w:r>
            <w:r>
              <w:rPr>
                <w:spacing w:val="-1"/>
              </w:rPr>
              <w:t>品规格为</w:t>
            </w:r>
            <w:r>
              <w:rPr>
                <w:rFonts w:ascii="Times New Roman" w:hAnsi="Times New Roman" w:eastAsia="Times New Roman" w:cs="Times New Roman"/>
                <w:spacing w:val="-1"/>
              </w:rPr>
              <w:t>25kg/</w:t>
            </w:r>
            <w:r>
              <w:rPr>
                <w:spacing w:val="-1"/>
              </w:rPr>
              <w:t>桶，单个空桶重约</w:t>
            </w:r>
            <w:r>
              <w:rPr>
                <w:rFonts w:ascii="Times New Roman" w:hAnsi="Times New Roman" w:eastAsia="Times New Roman" w:cs="Times New Roman"/>
                <w:spacing w:val="-1"/>
              </w:rPr>
              <w:t>1.5kg</w:t>
            </w:r>
            <w:r>
              <w:rPr>
                <w:rFonts w:ascii="Times New Roman" w:hAnsi="Times New Roman" w:eastAsia="Times New Roman" w:cs="Times New Roman"/>
                <w:spacing w:val="-25"/>
              </w:rPr>
              <w:t xml:space="preserve"> </w:t>
            </w:r>
            <w:r>
              <w:rPr>
                <w:spacing w:val="-1"/>
              </w:rPr>
              <w:t>。</w:t>
            </w:r>
            <w:r>
              <w:rPr>
                <w:spacing w:val="-2"/>
              </w:rPr>
              <w:t>经计算，项目产生的废水性漆桶重量约</w:t>
            </w:r>
          </w:p>
          <w:p w14:paraId="605CCD7F">
            <w:pPr>
              <w:pStyle w:val="6"/>
              <w:spacing w:before="34" w:line="331" w:lineRule="auto"/>
              <w:ind w:left="93" w:right="83" w:firstLine="14"/>
            </w:pPr>
            <w:r>
              <w:rPr>
                <w:rFonts w:ascii="Times New Roman" w:hAnsi="Times New Roman" w:eastAsia="Times New Roman" w:cs="Times New Roman"/>
                <w:spacing w:val="-2"/>
              </w:rPr>
              <w:t>1.</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11t/a</w:t>
            </w:r>
            <w:r>
              <w:rPr>
                <w:rFonts w:ascii="Times New Roman" w:hAnsi="Times New Roman" w:eastAsia="Times New Roman" w:cs="Times New Roman"/>
                <w:spacing w:val="-26"/>
              </w:rPr>
              <w:t xml:space="preserve"> </w:t>
            </w:r>
            <w:r>
              <w:rPr>
                <w:spacing w:val="-2"/>
              </w:rPr>
              <w:t>。废水性漆桶属于一般固废，收集后临时存放在物资库内，由水性漆厂</w:t>
            </w:r>
            <w:r>
              <w:rPr>
                <w:spacing w:val="-3"/>
              </w:rPr>
              <w:t>家定</w:t>
            </w:r>
            <w:r>
              <w:t xml:space="preserve"> </w:t>
            </w:r>
            <w:r>
              <w:rPr>
                <w:spacing w:val="-4"/>
              </w:rPr>
              <w:t>期回收处置。本项目已在一期工程生产车间的东侧设置有一个建筑面积约</w:t>
            </w:r>
            <w:r>
              <w:rPr>
                <w:rFonts w:ascii="Times New Roman" w:hAnsi="Times New Roman" w:eastAsia="Times New Roman" w:cs="Times New Roman"/>
                <w:spacing w:val="-4"/>
              </w:rPr>
              <w:t>200m</w:t>
            </w:r>
            <w:r>
              <w:rPr>
                <w:rFonts w:ascii="Times New Roman" w:hAnsi="Times New Roman" w:eastAsia="Times New Roman" w:cs="Times New Roman"/>
                <w:spacing w:val="-4"/>
                <w:position w:val="7"/>
                <w:sz w:val="14"/>
                <w:szCs w:val="14"/>
              </w:rPr>
              <w:t>2</w:t>
            </w:r>
            <w:r>
              <w:rPr>
                <w:rFonts w:ascii="Times New Roman" w:hAnsi="Times New Roman" w:eastAsia="Times New Roman" w:cs="Times New Roman"/>
                <w:spacing w:val="9"/>
                <w:position w:val="7"/>
                <w:sz w:val="14"/>
                <w:szCs w:val="14"/>
              </w:rPr>
              <w:t xml:space="preserve"> </w:t>
            </w:r>
            <w:r>
              <w:rPr>
                <w:spacing w:val="-4"/>
              </w:rPr>
              <w:t>的物</w:t>
            </w:r>
            <w:r>
              <w:t xml:space="preserve"> 资库。物资库内分为材料区和废品区，材料区主要存</w:t>
            </w:r>
            <w:r>
              <w:rPr>
                <w:spacing w:val="-1"/>
              </w:rPr>
              <w:t>放未使用的物品如脱模剂，废</w:t>
            </w:r>
            <w:r>
              <w:t xml:space="preserve"> </w:t>
            </w:r>
            <w:r>
              <w:rPr>
                <w:spacing w:val="-2"/>
              </w:rPr>
              <w:t>品区主要存放废脱模剂桶等。</w:t>
            </w:r>
            <w:r>
              <w:rPr>
                <w:spacing w:val="-58"/>
              </w:rPr>
              <w:t xml:space="preserve"> </w:t>
            </w:r>
            <w:r>
              <w:rPr>
                <w:spacing w:val="-2"/>
              </w:rPr>
              <w:t>目前一期工程仅使用约</w:t>
            </w:r>
            <w:r>
              <w:rPr>
                <w:rFonts w:ascii="Times New Roman" w:hAnsi="Times New Roman" w:eastAsia="Times New Roman" w:cs="Times New Roman"/>
                <w:spacing w:val="-2"/>
              </w:rPr>
              <w:t>80</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8"/>
                <w:position w:val="7"/>
                <w:sz w:val="14"/>
                <w:szCs w:val="14"/>
              </w:rPr>
              <w:t xml:space="preserve"> </w:t>
            </w:r>
            <w:r>
              <w:rPr>
                <w:spacing w:val="-3"/>
              </w:rPr>
              <w:t>，仍有较大面积可供本项</w:t>
            </w:r>
            <w:r>
              <w:t xml:space="preserve"> </w:t>
            </w:r>
            <w:r>
              <w:rPr>
                <w:spacing w:val="-3"/>
              </w:rPr>
              <w:t>目利用。</w:t>
            </w:r>
          </w:p>
          <w:p w14:paraId="4E8109FC">
            <w:pPr>
              <w:pStyle w:val="6"/>
              <w:spacing w:before="31" w:line="220" w:lineRule="auto"/>
              <w:ind w:left="531"/>
              <w:rPr>
                <w:sz w:val="20"/>
                <w:szCs w:val="20"/>
              </w:rPr>
            </w:pPr>
            <w:r>
              <w:rPr>
                <w:spacing w:val="8"/>
              </w:rPr>
              <w:t>废离子树脂：</w:t>
            </w:r>
            <w:r>
              <w:rPr>
                <w:spacing w:val="8"/>
                <w:sz w:val="20"/>
                <w:szCs w:val="20"/>
              </w:rPr>
              <w:t>软化水树脂的更换周期取决于多个因素</w:t>
            </w:r>
            <w:r>
              <w:rPr>
                <w:spacing w:val="7"/>
                <w:sz w:val="20"/>
                <w:szCs w:val="20"/>
              </w:rPr>
              <w:t>，包括树脂的类型、强度、</w:t>
            </w:r>
          </w:p>
          <w:p w14:paraId="2FA35AE0">
            <w:pPr>
              <w:pStyle w:val="6"/>
              <w:spacing w:before="145" w:line="360" w:lineRule="auto"/>
              <w:ind w:left="89" w:right="31" w:firstLine="5"/>
              <w:rPr>
                <w:sz w:val="20"/>
                <w:szCs w:val="20"/>
              </w:rPr>
            </w:pPr>
            <w:r>
              <w:rPr>
                <w:spacing w:val="9"/>
                <w:sz w:val="20"/>
                <w:szCs w:val="20"/>
              </w:rPr>
              <w:t>交换容量、水质硬度、使用量、软化水设备的设计、维护和保养情</w:t>
            </w:r>
            <w:r>
              <w:rPr>
                <w:spacing w:val="8"/>
                <w:sz w:val="20"/>
                <w:szCs w:val="20"/>
              </w:rPr>
              <w:t>况等。根据建设单位</w:t>
            </w:r>
            <w:r>
              <w:rPr>
                <w:sz w:val="20"/>
                <w:szCs w:val="20"/>
              </w:rPr>
              <w:t xml:space="preserve"> </w:t>
            </w:r>
            <w:r>
              <w:rPr>
                <w:spacing w:val="9"/>
                <w:sz w:val="20"/>
                <w:szCs w:val="20"/>
              </w:rPr>
              <w:t>介绍，因本项目锅炉为备用锅炉仅在东岳电厂停供蒸汽期间使用，使用频率不</w:t>
            </w:r>
            <w:r>
              <w:rPr>
                <w:spacing w:val="8"/>
                <w:sz w:val="20"/>
                <w:szCs w:val="20"/>
              </w:rPr>
              <w:t>高。设备</w:t>
            </w:r>
            <w:r>
              <w:rPr>
                <w:sz w:val="20"/>
                <w:szCs w:val="20"/>
              </w:rPr>
              <w:t xml:space="preserve"> </w:t>
            </w:r>
            <w:r>
              <w:rPr>
                <w:spacing w:val="7"/>
                <w:sz w:val="20"/>
                <w:szCs w:val="20"/>
              </w:rPr>
              <w:t>厂商建议可大约</w:t>
            </w:r>
            <w:r>
              <w:rPr>
                <w:rFonts w:ascii="Times New Roman" w:hAnsi="Times New Roman" w:eastAsia="Times New Roman" w:cs="Times New Roman"/>
                <w:spacing w:val="7"/>
                <w:sz w:val="20"/>
                <w:szCs w:val="20"/>
              </w:rPr>
              <w:t>3</w:t>
            </w:r>
            <w:r>
              <w:rPr>
                <w:spacing w:val="7"/>
                <w:sz w:val="20"/>
                <w:szCs w:val="20"/>
              </w:rPr>
              <w:t>年更换一次。本项目软水装置更换一次产生的废树脂</w:t>
            </w:r>
            <w:r>
              <w:rPr>
                <w:spacing w:val="6"/>
                <w:sz w:val="20"/>
                <w:szCs w:val="20"/>
              </w:rPr>
              <w:t>量约</w:t>
            </w:r>
            <w:r>
              <w:rPr>
                <w:rFonts w:ascii="Times New Roman" w:hAnsi="Times New Roman" w:eastAsia="Times New Roman" w:cs="Times New Roman"/>
                <w:spacing w:val="6"/>
                <w:sz w:val="20"/>
                <w:szCs w:val="20"/>
              </w:rPr>
              <w:t>60</w:t>
            </w:r>
            <w:r>
              <w:rPr>
                <w:rFonts w:ascii="Times New Roman" w:hAnsi="Times New Roman" w:eastAsia="Times New Roman" w:cs="Times New Roman"/>
                <w:sz w:val="20"/>
                <w:szCs w:val="20"/>
              </w:rPr>
              <w:t>kg</w:t>
            </w:r>
            <w:r>
              <w:rPr>
                <w:rFonts w:ascii="Times New Roman" w:hAnsi="Times New Roman" w:eastAsia="Times New Roman" w:cs="Times New Roman"/>
                <w:spacing w:val="-20"/>
                <w:sz w:val="20"/>
                <w:szCs w:val="20"/>
              </w:rPr>
              <w:t xml:space="preserve"> </w:t>
            </w:r>
            <w:r>
              <w:rPr>
                <w:spacing w:val="6"/>
                <w:sz w:val="20"/>
                <w:szCs w:val="20"/>
              </w:rPr>
              <w:t>。因此，</w:t>
            </w:r>
            <w:r>
              <w:rPr>
                <w:sz w:val="20"/>
                <w:szCs w:val="20"/>
              </w:rPr>
              <w:t xml:space="preserve"> </w:t>
            </w:r>
            <w:r>
              <w:rPr>
                <w:spacing w:val="7"/>
                <w:sz w:val="20"/>
                <w:szCs w:val="20"/>
              </w:rPr>
              <w:t>平均到每年的废树脂产生量为</w:t>
            </w:r>
            <w:r>
              <w:rPr>
                <w:rFonts w:ascii="Times New Roman" w:hAnsi="Times New Roman" w:eastAsia="Times New Roman" w:cs="Times New Roman"/>
                <w:spacing w:val="7"/>
                <w:sz w:val="20"/>
                <w:szCs w:val="20"/>
              </w:rPr>
              <w:t>0.02t/a</w:t>
            </w:r>
            <w:r>
              <w:rPr>
                <w:spacing w:val="7"/>
                <w:sz w:val="20"/>
                <w:szCs w:val="20"/>
              </w:rPr>
              <w:t>。</w:t>
            </w:r>
          </w:p>
          <w:p w14:paraId="35682428">
            <w:pPr>
              <w:pStyle w:val="6"/>
              <w:spacing w:before="29" w:line="332" w:lineRule="auto"/>
              <w:ind w:left="89" w:right="17" w:firstLine="442"/>
              <w:jc w:val="both"/>
            </w:pPr>
            <w:r>
              <w:t>漆渣：本项目带肋钢筋网采用浸漆工艺，实现钢筋防腐，</w:t>
            </w:r>
            <w:r>
              <w:rPr>
                <w:spacing w:val="-1"/>
              </w:rPr>
              <w:t>作业过程难免会有极</w:t>
            </w:r>
            <w:r>
              <w:t xml:space="preserve">  少量的漆液滴落在车间地面，干后会形成漆渣。根据建设单位</w:t>
            </w:r>
            <w:r>
              <w:rPr>
                <w:spacing w:val="-1"/>
              </w:rPr>
              <w:t>介绍，漆渣产生量约</w:t>
            </w:r>
            <w:r>
              <w:t xml:space="preserve">  </w:t>
            </w:r>
            <w:r>
              <w:rPr>
                <w:spacing w:val="-2"/>
              </w:rPr>
              <w:t>占总油漆用量的</w:t>
            </w:r>
            <w:r>
              <w:rPr>
                <w:rFonts w:ascii="Times New Roman" w:hAnsi="Times New Roman" w:eastAsia="Times New Roman" w:cs="Times New Roman"/>
                <w:spacing w:val="-2"/>
              </w:rPr>
              <w:t>2%</w:t>
            </w:r>
            <w:r>
              <w:rPr>
                <w:rFonts w:ascii="Times New Roman" w:hAnsi="Times New Roman" w:eastAsia="Times New Roman" w:cs="Times New Roman"/>
                <w:spacing w:val="-30"/>
              </w:rPr>
              <w:t xml:space="preserve"> </w:t>
            </w:r>
            <w:r>
              <w:rPr>
                <w:spacing w:val="-2"/>
              </w:rPr>
              <w:t>，约</w:t>
            </w:r>
            <w:r>
              <w:rPr>
                <w:rFonts w:ascii="Times New Roman" w:hAnsi="Times New Roman" w:eastAsia="Times New Roman" w:cs="Times New Roman"/>
                <w:spacing w:val="-2"/>
              </w:rPr>
              <w:t>0.741t/a</w:t>
            </w:r>
            <w:r>
              <w:rPr>
                <w:rFonts w:ascii="Times New Roman" w:hAnsi="Times New Roman" w:eastAsia="Times New Roman" w:cs="Times New Roman"/>
                <w:spacing w:val="-26"/>
              </w:rPr>
              <w:t xml:space="preserve"> </w:t>
            </w:r>
            <w:r>
              <w:rPr>
                <w:spacing w:val="-2"/>
              </w:rPr>
              <w:t>。根据《国家危险废物名录（</w:t>
            </w:r>
            <w:r>
              <w:rPr>
                <w:rFonts w:ascii="Times New Roman" w:hAnsi="Times New Roman" w:eastAsia="Times New Roman" w:cs="Times New Roman"/>
                <w:spacing w:val="-2"/>
              </w:rPr>
              <w:t>2021</w:t>
            </w:r>
            <w:r>
              <w:rPr>
                <w:spacing w:val="-2"/>
              </w:rPr>
              <w:t>年版</w:t>
            </w:r>
            <w:r>
              <w:rPr>
                <w:spacing w:val="-3"/>
              </w:rPr>
              <w:t>）》“生产、</w:t>
            </w:r>
            <w:r>
              <w:t xml:space="preserve"> </w:t>
            </w:r>
            <w:r>
              <w:rPr>
                <w:spacing w:val="-6"/>
              </w:rPr>
              <w:t>销售及使用过程中产生的失效、变质、不合格、淘汰、伪劣的油漆（不包括水性漆</w:t>
            </w:r>
            <w:r>
              <w:rPr>
                <w:spacing w:val="-54"/>
                <w:w w:val="93"/>
              </w:rPr>
              <w:t>），</w:t>
            </w:r>
            <w:r>
              <w:rPr>
                <w:spacing w:val="3"/>
              </w:rPr>
              <w:t xml:space="preserve"> </w:t>
            </w:r>
            <w:r>
              <w:rPr>
                <w:spacing w:val="-1"/>
              </w:rPr>
              <w:t>属于危险废物，代码</w:t>
            </w:r>
            <w:r>
              <w:rPr>
                <w:rFonts w:ascii="Times New Roman" w:hAnsi="Times New Roman" w:eastAsia="Times New Roman" w:cs="Times New Roman"/>
                <w:spacing w:val="-1"/>
              </w:rPr>
              <w:t>900-299-12</w:t>
            </w:r>
            <w:r>
              <w:rPr>
                <w:rFonts w:ascii="Times New Roman" w:hAnsi="Times New Roman" w:eastAsia="Times New Roman" w:cs="Times New Roman"/>
                <w:spacing w:val="-24"/>
              </w:rPr>
              <w:t xml:space="preserve"> </w:t>
            </w:r>
            <w:r>
              <w:rPr>
                <w:spacing w:val="-1"/>
              </w:rPr>
              <w:t>”。因此，水性漆漆渣不属于危废，应纳入一般固</w:t>
            </w:r>
            <w:r>
              <w:t xml:space="preserve">  废管理。水性漆漆渣应妥善收集临时存放在物资库内，交由专</w:t>
            </w:r>
            <w:r>
              <w:rPr>
                <w:spacing w:val="-1"/>
              </w:rPr>
              <w:t>业处理机构处置，禁</w:t>
            </w:r>
            <w:r>
              <w:t xml:space="preserve">  </w:t>
            </w:r>
            <w:r>
              <w:rPr>
                <w:spacing w:val="-1"/>
              </w:rPr>
              <w:t>止混入生活垃圾或者焚烧处理。</w:t>
            </w:r>
          </w:p>
          <w:p w14:paraId="2203B264">
            <w:pPr>
              <w:pStyle w:val="6"/>
              <w:spacing w:before="34" w:line="329" w:lineRule="auto"/>
              <w:ind w:left="92" w:right="83" w:firstLine="452"/>
            </w:pPr>
            <w:r>
              <w:t>除尘器收尘：本项目生产线多个环节涉及安装除尘器，进行粉尘的收集处理。</w:t>
            </w:r>
            <w:r>
              <w:rPr>
                <w:spacing w:val="7"/>
              </w:rPr>
              <w:t xml:space="preserve"> </w:t>
            </w:r>
            <w:r>
              <w:rPr>
                <w:spacing w:val="-1"/>
              </w:rPr>
              <w:t>除尘器会产生一定量的除尘灰。根据工程分析</w:t>
            </w:r>
            <w:r>
              <w:rPr>
                <w:spacing w:val="-2"/>
              </w:rPr>
              <w:t>，项目除尘灰产生量约</w:t>
            </w:r>
            <w:r>
              <w:rPr>
                <w:rFonts w:ascii="Times New Roman" w:hAnsi="Times New Roman" w:eastAsia="Times New Roman" w:cs="Times New Roman"/>
                <w:spacing w:val="-2"/>
              </w:rPr>
              <w:t>866.947t/a</w:t>
            </w:r>
            <w:r>
              <w:rPr>
                <w:rFonts w:ascii="Times New Roman" w:hAnsi="Times New Roman" w:eastAsia="Times New Roman" w:cs="Times New Roman"/>
                <w:spacing w:val="-26"/>
              </w:rPr>
              <w:t xml:space="preserve"> </w:t>
            </w:r>
            <w:r>
              <w:rPr>
                <w:spacing w:val="-2"/>
              </w:rPr>
              <w:t>。除</w:t>
            </w:r>
            <w:r>
              <w:t xml:space="preserve"> 尘器带有脉冲喷吹阀，运行过程可将收尘灰自动吹落返</w:t>
            </w:r>
            <w:r>
              <w:rPr>
                <w:spacing w:val="-1"/>
              </w:rPr>
              <w:t>回仓内，或者清理布袋将收</w:t>
            </w:r>
            <w:r>
              <w:t xml:space="preserve"> </w:t>
            </w:r>
            <w:r>
              <w:rPr>
                <w:spacing w:val="-1"/>
              </w:rPr>
              <w:t>尘灰用于生产，不外排。</w:t>
            </w:r>
          </w:p>
          <w:p w14:paraId="7A13A04A">
            <w:pPr>
              <w:pStyle w:val="6"/>
              <w:spacing w:before="31" w:line="312" w:lineRule="auto"/>
              <w:ind w:left="132" w:right="107" w:firstLine="401"/>
            </w:pPr>
            <w:r>
              <w:rPr>
                <w:spacing w:val="-2"/>
              </w:rPr>
              <w:t>生活垃圾：项目建成后生产员工</w:t>
            </w:r>
            <w:r>
              <w:rPr>
                <w:rFonts w:ascii="Times New Roman" w:hAnsi="Times New Roman" w:eastAsia="Times New Roman" w:cs="Times New Roman"/>
                <w:spacing w:val="-2"/>
              </w:rPr>
              <w:t>20</w:t>
            </w:r>
            <w:r>
              <w:rPr>
                <w:spacing w:val="-2"/>
              </w:rPr>
              <w:t>人，生产垃</w:t>
            </w:r>
            <w:r>
              <w:rPr>
                <w:spacing w:val="-3"/>
              </w:rPr>
              <w:t>圾产生量按</w:t>
            </w:r>
            <w:r>
              <w:rPr>
                <w:rFonts w:ascii="Times New Roman" w:hAnsi="Times New Roman" w:eastAsia="Times New Roman" w:cs="Times New Roman"/>
                <w:spacing w:val="-3"/>
              </w:rPr>
              <w:t>0.5kg/d</w:t>
            </w:r>
            <w:r>
              <w:rPr>
                <w:rFonts w:ascii="Times New Roman" w:hAnsi="Times New Roman" w:eastAsia="Times New Roman" w:cs="Times New Roman"/>
                <w:spacing w:val="29"/>
              </w:rPr>
              <w:t xml:space="preserve"> </w:t>
            </w:r>
            <w:r>
              <w:rPr>
                <w:spacing w:val="-3"/>
              </w:rPr>
              <w:t>·人计，则项</w:t>
            </w:r>
            <w:r>
              <w:t xml:space="preserve"> </w:t>
            </w:r>
            <w:r>
              <w:rPr>
                <w:spacing w:val="-4"/>
              </w:rPr>
              <w:t>目生活垃圾产生量约</w:t>
            </w:r>
            <w:r>
              <w:rPr>
                <w:rFonts w:ascii="Times New Roman" w:hAnsi="Times New Roman" w:eastAsia="Times New Roman" w:cs="Times New Roman"/>
                <w:spacing w:val="-4"/>
              </w:rPr>
              <w:t>3t/a</w:t>
            </w:r>
            <w:r>
              <w:rPr>
                <w:spacing w:val="-4"/>
              </w:rPr>
              <w:t>。</w:t>
            </w:r>
          </w:p>
          <w:p w14:paraId="73927CC1">
            <w:pPr>
              <w:pStyle w:val="6"/>
              <w:spacing w:before="58" w:line="219" w:lineRule="auto"/>
              <w:ind w:left="531"/>
            </w:pPr>
            <w:r>
              <w:t>在采取上述固废处置措施后，本项目固体废物能够做到去向</w:t>
            </w:r>
            <w:r>
              <w:rPr>
                <w:spacing w:val="-1"/>
              </w:rPr>
              <w:t>明确，能够得到妥</w:t>
            </w:r>
          </w:p>
        </w:tc>
      </w:tr>
    </w:tbl>
    <w:p w14:paraId="4918BDEB">
      <w:pPr>
        <w:pStyle w:val="2"/>
      </w:pPr>
    </w:p>
    <w:p w14:paraId="61BCDD6E">
      <w:pPr>
        <w:sectPr>
          <w:footerReference r:id="rId79" w:type="default"/>
          <w:pgSz w:w="11907" w:h="16840"/>
          <w:pgMar w:top="1431" w:right="1490" w:bottom="1258" w:left="1489" w:header="0" w:footer="1080" w:gutter="0"/>
          <w:cols w:space="720" w:num="1"/>
        </w:sectPr>
      </w:pPr>
    </w:p>
    <w:p w14:paraId="7FAA8739">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749F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7" w:hRule="atLeast"/>
        </w:trPr>
        <w:tc>
          <w:tcPr>
            <w:tcW w:w="785" w:type="dxa"/>
            <w:tcBorders>
              <w:top w:val="single" w:color="000000" w:sz="2" w:space="0"/>
              <w:right w:val="single" w:color="000000" w:sz="2" w:space="0"/>
            </w:tcBorders>
            <w:vAlign w:val="top"/>
          </w:tcPr>
          <w:p w14:paraId="69251FCD">
            <w:pPr>
              <w:rPr>
                <w:rFonts w:ascii="Arial"/>
                <w:sz w:val="21"/>
              </w:rPr>
            </w:pPr>
          </w:p>
        </w:tc>
        <w:tc>
          <w:tcPr>
            <w:tcW w:w="8127" w:type="dxa"/>
            <w:tcBorders>
              <w:top w:val="single" w:color="000000" w:sz="2" w:space="0"/>
              <w:left w:val="single" w:color="000000" w:sz="2" w:space="0"/>
            </w:tcBorders>
            <w:vAlign w:val="top"/>
          </w:tcPr>
          <w:p w14:paraId="3E7FD7E5">
            <w:pPr>
              <w:pStyle w:val="6"/>
              <w:spacing w:before="136" w:line="219" w:lineRule="auto"/>
              <w:ind w:left="92"/>
            </w:pPr>
            <w:r>
              <w:rPr>
                <w:spacing w:val="-1"/>
              </w:rPr>
              <w:t>善处置，不会产生二次污染。</w:t>
            </w:r>
          </w:p>
          <w:p w14:paraId="12D83A51">
            <w:pPr>
              <w:spacing w:before="109" w:line="221"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4-12    </w:t>
            </w:r>
            <w:r>
              <w:rPr>
                <w:rFonts w:ascii="黑体" w:hAnsi="黑体" w:eastAsia="黑体" w:cs="黑体"/>
                <w:spacing w:val="-1"/>
                <w:sz w:val="18"/>
                <w:szCs w:val="18"/>
              </w:rPr>
              <w:t>一般固体废物产生情况表</w:t>
            </w:r>
          </w:p>
          <w:p w14:paraId="1608256C">
            <w:pPr>
              <w:spacing w:line="30" w:lineRule="auto"/>
              <w:rPr>
                <w:rFonts w:ascii="Arial"/>
                <w:sz w:val="2"/>
              </w:rPr>
            </w:pPr>
          </w:p>
          <w:tbl>
            <w:tblPr>
              <w:tblStyle w:val="5"/>
              <w:tblW w:w="79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1480"/>
              <w:gridCol w:w="820"/>
              <w:gridCol w:w="923"/>
              <w:gridCol w:w="883"/>
              <w:gridCol w:w="1651"/>
              <w:gridCol w:w="1681"/>
            </w:tblGrid>
            <w:tr w14:paraId="08207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4" w:type="dxa"/>
                  <w:vAlign w:val="top"/>
                </w:tcPr>
                <w:p w14:paraId="6C756A8B">
                  <w:pPr>
                    <w:pStyle w:val="6"/>
                    <w:spacing w:before="215" w:line="221" w:lineRule="auto"/>
                    <w:ind w:left="54"/>
                    <w:rPr>
                      <w:sz w:val="18"/>
                      <w:szCs w:val="18"/>
                    </w:rPr>
                  </w:pPr>
                  <w:r>
                    <w:rPr>
                      <w:b/>
                      <w:bCs/>
                      <w:spacing w:val="-6"/>
                      <w:sz w:val="18"/>
                      <w:szCs w:val="18"/>
                    </w:rPr>
                    <w:t>序号</w:t>
                  </w:r>
                </w:p>
              </w:tc>
              <w:tc>
                <w:tcPr>
                  <w:tcW w:w="1480" w:type="dxa"/>
                  <w:vAlign w:val="top"/>
                </w:tcPr>
                <w:p w14:paraId="365C4C32">
                  <w:pPr>
                    <w:pStyle w:val="6"/>
                    <w:spacing w:before="216" w:line="221" w:lineRule="auto"/>
                    <w:ind w:left="563"/>
                    <w:rPr>
                      <w:sz w:val="18"/>
                      <w:szCs w:val="18"/>
                    </w:rPr>
                  </w:pPr>
                  <w:r>
                    <w:rPr>
                      <w:b/>
                      <w:bCs/>
                      <w:spacing w:val="-7"/>
                      <w:sz w:val="18"/>
                      <w:szCs w:val="18"/>
                    </w:rPr>
                    <w:t>名称</w:t>
                  </w:r>
                </w:p>
              </w:tc>
              <w:tc>
                <w:tcPr>
                  <w:tcW w:w="820" w:type="dxa"/>
                  <w:vAlign w:val="top"/>
                </w:tcPr>
                <w:p w14:paraId="610BE00C">
                  <w:pPr>
                    <w:pStyle w:val="6"/>
                    <w:spacing w:before="73" w:line="249" w:lineRule="auto"/>
                    <w:ind w:left="142" w:right="140"/>
                    <w:rPr>
                      <w:sz w:val="18"/>
                      <w:szCs w:val="18"/>
                    </w:rPr>
                  </w:pPr>
                  <w:r>
                    <w:rPr>
                      <w:b/>
                      <w:bCs/>
                      <w:spacing w:val="-5"/>
                      <w:sz w:val="18"/>
                      <w:szCs w:val="18"/>
                    </w:rPr>
                    <w:t>产生量</w:t>
                  </w:r>
                  <w:r>
                    <w:rPr>
                      <w:spacing w:val="1"/>
                      <w:sz w:val="18"/>
                      <w:szCs w:val="18"/>
                    </w:rPr>
                    <w:t xml:space="preserve"> </w:t>
                  </w:r>
                  <w:r>
                    <w:rPr>
                      <w:b/>
                      <w:bCs/>
                      <w:spacing w:val="-7"/>
                      <w:sz w:val="18"/>
                      <w:szCs w:val="18"/>
                    </w:rPr>
                    <w:t>（</w:t>
                  </w:r>
                  <w:r>
                    <w:rPr>
                      <w:rFonts w:ascii="Times New Roman" w:hAnsi="Times New Roman" w:eastAsia="Times New Roman" w:cs="Times New Roman"/>
                      <w:b/>
                      <w:bCs/>
                      <w:spacing w:val="-7"/>
                      <w:sz w:val="18"/>
                      <w:szCs w:val="18"/>
                    </w:rPr>
                    <w:t>t/a</w:t>
                  </w:r>
                  <w:r>
                    <w:rPr>
                      <w:b/>
                      <w:bCs/>
                      <w:spacing w:val="-7"/>
                      <w:sz w:val="18"/>
                      <w:szCs w:val="18"/>
                    </w:rPr>
                    <w:t>）</w:t>
                  </w:r>
                </w:p>
              </w:tc>
              <w:tc>
                <w:tcPr>
                  <w:tcW w:w="923" w:type="dxa"/>
                  <w:vAlign w:val="top"/>
                </w:tcPr>
                <w:p w14:paraId="1C8A365F">
                  <w:pPr>
                    <w:pStyle w:val="6"/>
                    <w:spacing w:before="216" w:line="219" w:lineRule="auto"/>
                    <w:ind w:left="104"/>
                    <w:rPr>
                      <w:sz w:val="18"/>
                      <w:szCs w:val="18"/>
                    </w:rPr>
                  </w:pPr>
                  <w:r>
                    <w:rPr>
                      <w:b/>
                      <w:bCs/>
                      <w:spacing w:val="-4"/>
                      <w:sz w:val="18"/>
                      <w:szCs w:val="18"/>
                    </w:rPr>
                    <w:t>产生环节</w:t>
                  </w:r>
                </w:p>
              </w:tc>
              <w:tc>
                <w:tcPr>
                  <w:tcW w:w="883" w:type="dxa"/>
                  <w:vAlign w:val="top"/>
                </w:tcPr>
                <w:p w14:paraId="54DEF5BD">
                  <w:pPr>
                    <w:pStyle w:val="6"/>
                    <w:spacing w:before="73" w:line="249" w:lineRule="auto"/>
                    <w:ind w:left="83" w:right="78" w:firstLine="2"/>
                    <w:rPr>
                      <w:sz w:val="18"/>
                      <w:szCs w:val="18"/>
                    </w:rPr>
                  </w:pPr>
                  <w:r>
                    <w:rPr>
                      <w:b/>
                      <w:bCs/>
                      <w:spacing w:val="-4"/>
                      <w:sz w:val="18"/>
                      <w:szCs w:val="18"/>
                    </w:rPr>
                    <w:t>一般固废</w:t>
                  </w:r>
                  <w:r>
                    <w:rPr>
                      <w:sz w:val="18"/>
                      <w:szCs w:val="18"/>
                    </w:rPr>
                    <w:t xml:space="preserve"> </w:t>
                  </w:r>
                  <w:r>
                    <w:rPr>
                      <w:b/>
                      <w:bCs/>
                      <w:spacing w:val="-4"/>
                      <w:sz w:val="18"/>
                      <w:szCs w:val="18"/>
                    </w:rPr>
                    <w:t>类别代码</w:t>
                  </w:r>
                </w:p>
              </w:tc>
              <w:tc>
                <w:tcPr>
                  <w:tcW w:w="1651" w:type="dxa"/>
                  <w:vAlign w:val="top"/>
                </w:tcPr>
                <w:p w14:paraId="0DEC40A9">
                  <w:pPr>
                    <w:pStyle w:val="6"/>
                    <w:spacing w:before="216" w:line="219" w:lineRule="auto"/>
                    <w:ind w:left="471"/>
                    <w:rPr>
                      <w:sz w:val="18"/>
                      <w:szCs w:val="18"/>
                    </w:rPr>
                  </w:pPr>
                  <w:r>
                    <w:rPr>
                      <w:b/>
                      <w:bCs/>
                      <w:spacing w:val="-4"/>
                      <w:sz w:val="18"/>
                      <w:szCs w:val="18"/>
                    </w:rPr>
                    <w:t>贮存方式</w:t>
                  </w:r>
                </w:p>
              </w:tc>
              <w:tc>
                <w:tcPr>
                  <w:tcW w:w="1681" w:type="dxa"/>
                  <w:vAlign w:val="top"/>
                </w:tcPr>
                <w:p w14:paraId="3A6484F9">
                  <w:pPr>
                    <w:pStyle w:val="6"/>
                    <w:spacing w:before="215" w:line="221" w:lineRule="auto"/>
                    <w:ind w:left="486"/>
                    <w:rPr>
                      <w:sz w:val="18"/>
                      <w:szCs w:val="18"/>
                    </w:rPr>
                  </w:pPr>
                  <w:r>
                    <w:rPr>
                      <w:b/>
                      <w:bCs/>
                      <w:spacing w:val="-4"/>
                      <w:sz w:val="18"/>
                      <w:szCs w:val="18"/>
                    </w:rPr>
                    <w:t>处置去向</w:t>
                  </w:r>
                </w:p>
              </w:tc>
            </w:tr>
            <w:tr w14:paraId="515E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14:paraId="578C533F">
                  <w:pPr>
                    <w:spacing w:before="100" w:line="188"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80" w:type="dxa"/>
                  <w:vAlign w:val="top"/>
                </w:tcPr>
                <w:p w14:paraId="0A988E05">
                  <w:pPr>
                    <w:pStyle w:val="6"/>
                    <w:spacing w:before="52" w:line="220" w:lineRule="auto"/>
                    <w:ind w:left="380"/>
                    <w:rPr>
                      <w:sz w:val="18"/>
                      <w:szCs w:val="18"/>
                    </w:rPr>
                  </w:pPr>
                  <w:r>
                    <w:rPr>
                      <w:spacing w:val="-2"/>
                      <w:sz w:val="18"/>
                      <w:szCs w:val="18"/>
                    </w:rPr>
                    <w:t>切割废料</w:t>
                  </w:r>
                </w:p>
              </w:tc>
              <w:tc>
                <w:tcPr>
                  <w:tcW w:w="820" w:type="dxa"/>
                  <w:vAlign w:val="top"/>
                </w:tcPr>
                <w:p w14:paraId="7B0AF9C8">
                  <w:pPr>
                    <w:spacing w:before="81"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720</w:t>
                  </w:r>
                </w:p>
              </w:tc>
              <w:tc>
                <w:tcPr>
                  <w:tcW w:w="923" w:type="dxa"/>
                  <w:vMerge w:val="restart"/>
                  <w:tcBorders>
                    <w:bottom w:val="nil"/>
                  </w:tcBorders>
                  <w:vAlign w:val="top"/>
                </w:tcPr>
                <w:p w14:paraId="7AEF5557">
                  <w:pPr>
                    <w:spacing w:line="306" w:lineRule="auto"/>
                    <w:rPr>
                      <w:rFonts w:ascii="Arial"/>
                      <w:sz w:val="21"/>
                    </w:rPr>
                  </w:pPr>
                </w:p>
                <w:p w14:paraId="5E493BD8">
                  <w:pPr>
                    <w:pStyle w:val="6"/>
                    <w:spacing w:before="59" w:line="272" w:lineRule="auto"/>
                    <w:ind w:left="287" w:right="9" w:hanging="272"/>
                    <w:rPr>
                      <w:sz w:val="18"/>
                      <w:szCs w:val="18"/>
                    </w:rPr>
                  </w:pPr>
                  <w:r>
                    <w:rPr>
                      <w:spacing w:val="-2"/>
                      <w:sz w:val="18"/>
                      <w:szCs w:val="18"/>
                    </w:rPr>
                    <w:t>砌块及板材</w:t>
                  </w:r>
                  <w:r>
                    <w:rPr>
                      <w:spacing w:val="1"/>
                      <w:sz w:val="18"/>
                      <w:szCs w:val="18"/>
                    </w:rPr>
                    <w:t xml:space="preserve"> </w:t>
                  </w:r>
                  <w:r>
                    <w:rPr>
                      <w:spacing w:val="-5"/>
                      <w:sz w:val="18"/>
                      <w:szCs w:val="18"/>
                    </w:rPr>
                    <w:t>生产</w:t>
                  </w:r>
                </w:p>
              </w:tc>
              <w:tc>
                <w:tcPr>
                  <w:tcW w:w="883" w:type="dxa"/>
                  <w:vAlign w:val="top"/>
                </w:tcPr>
                <w:p w14:paraId="0F0437E0">
                  <w:pPr>
                    <w:spacing w:before="100"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651" w:type="dxa"/>
                  <w:vAlign w:val="top"/>
                </w:tcPr>
                <w:p w14:paraId="2BBF8A70">
                  <w:pPr>
                    <w:pStyle w:val="6"/>
                    <w:spacing w:before="71" w:line="208" w:lineRule="auto"/>
                    <w:ind w:left="23"/>
                    <w:rPr>
                      <w:sz w:val="18"/>
                      <w:szCs w:val="18"/>
                    </w:rPr>
                  </w:pPr>
                  <w:r>
                    <w:rPr>
                      <w:spacing w:val="-2"/>
                      <w:sz w:val="18"/>
                      <w:szCs w:val="18"/>
                    </w:rPr>
                    <w:t>水冲方式进入废浆池</w:t>
                  </w:r>
                </w:p>
              </w:tc>
              <w:tc>
                <w:tcPr>
                  <w:tcW w:w="1681" w:type="dxa"/>
                  <w:vAlign w:val="top"/>
                </w:tcPr>
                <w:p w14:paraId="1317AB95">
                  <w:pPr>
                    <w:pStyle w:val="6"/>
                    <w:spacing w:before="71" w:line="208" w:lineRule="auto"/>
                    <w:ind w:left="125"/>
                    <w:rPr>
                      <w:sz w:val="18"/>
                      <w:szCs w:val="18"/>
                    </w:rPr>
                  </w:pPr>
                  <w:r>
                    <w:rPr>
                      <w:spacing w:val="-1"/>
                      <w:sz w:val="18"/>
                      <w:szCs w:val="18"/>
                    </w:rPr>
                    <w:t>返回生产线做原料</w:t>
                  </w:r>
                </w:p>
              </w:tc>
            </w:tr>
            <w:tr w14:paraId="56FC2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14:paraId="792F5B06">
                  <w:pPr>
                    <w:spacing w:before="101"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80" w:type="dxa"/>
                  <w:vAlign w:val="top"/>
                </w:tcPr>
                <w:p w14:paraId="7B7AC00E">
                  <w:pPr>
                    <w:pStyle w:val="6"/>
                    <w:spacing w:before="51" w:line="219" w:lineRule="auto"/>
                    <w:ind w:left="291"/>
                    <w:rPr>
                      <w:sz w:val="18"/>
                      <w:szCs w:val="18"/>
                    </w:rPr>
                  </w:pPr>
                  <w:r>
                    <w:rPr>
                      <w:spacing w:val="-2"/>
                      <w:sz w:val="18"/>
                      <w:szCs w:val="18"/>
                    </w:rPr>
                    <w:t>废脱模剂桶</w:t>
                  </w:r>
                </w:p>
              </w:tc>
              <w:tc>
                <w:tcPr>
                  <w:tcW w:w="820" w:type="dxa"/>
                  <w:vAlign w:val="top"/>
                </w:tcPr>
                <w:p w14:paraId="7353FD6D">
                  <w:pPr>
                    <w:spacing w:before="8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0.432</w:t>
                  </w:r>
                </w:p>
              </w:tc>
              <w:tc>
                <w:tcPr>
                  <w:tcW w:w="923" w:type="dxa"/>
                  <w:vMerge w:val="continue"/>
                  <w:tcBorders>
                    <w:top w:val="nil"/>
                    <w:bottom w:val="nil"/>
                  </w:tcBorders>
                  <w:vAlign w:val="top"/>
                </w:tcPr>
                <w:p w14:paraId="438942DC">
                  <w:pPr>
                    <w:rPr>
                      <w:rFonts w:ascii="Arial"/>
                      <w:sz w:val="21"/>
                    </w:rPr>
                  </w:pPr>
                </w:p>
              </w:tc>
              <w:tc>
                <w:tcPr>
                  <w:tcW w:w="883" w:type="dxa"/>
                  <w:vAlign w:val="top"/>
                </w:tcPr>
                <w:p w14:paraId="1754BADC">
                  <w:pPr>
                    <w:spacing w:before="101"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06</w:t>
                  </w:r>
                </w:p>
              </w:tc>
              <w:tc>
                <w:tcPr>
                  <w:tcW w:w="1651" w:type="dxa"/>
                  <w:vAlign w:val="top"/>
                </w:tcPr>
                <w:p w14:paraId="26C76CBA">
                  <w:pPr>
                    <w:pStyle w:val="6"/>
                    <w:spacing w:before="73" w:line="206" w:lineRule="auto"/>
                    <w:ind w:left="122"/>
                    <w:rPr>
                      <w:sz w:val="18"/>
                      <w:szCs w:val="18"/>
                    </w:rPr>
                  </w:pPr>
                  <w:r>
                    <w:rPr>
                      <w:spacing w:val="-3"/>
                      <w:sz w:val="18"/>
                      <w:szCs w:val="18"/>
                    </w:rPr>
                    <w:t>临时存放在物资库</w:t>
                  </w:r>
                </w:p>
              </w:tc>
              <w:tc>
                <w:tcPr>
                  <w:tcW w:w="1681" w:type="dxa"/>
                  <w:vAlign w:val="top"/>
                </w:tcPr>
                <w:p w14:paraId="247A06B6">
                  <w:pPr>
                    <w:pStyle w:val="6"/>
                    <w:spacing w:before="73" w:line="206" w:lineRule="auto"/>
                    <w:ind w:left="127"/>
                    <w:rPr>
                      <w:sz w:val="18"/>
                      <w:szCs w:val="18"/>
                    </w:rPr>
                  </w:pPr>
                  <w:r>
                    <w:rPr>
                      <w:spacing w:val="-2"/>
                      <w:sz w:val="18"/>
                      <w:szCs w:val="18"/>
                    </w:rPr>
                    <w:t>厂家定期带走处置</w:t>
                  </w:r>
                </w:p>
              </w:tc>
            </w:tr>
            <w:tr w14:paraId="00BCB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14:paraId="27839CDF">
                  <w:pPr>
                    <w:spacing w:before="103"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80" w:type="dxa"/>
                  <w:vAlign w:val="top"/>
                </w:tcPr>
                <w:p w14:paraId="37CDF458">
                  <w:pPr>
                    <w:pStyle w:val="6"/>
                    <w:spacing w:before="53" w:line="219" w:lineRule="auto"/>
                    <w:ind w:left="295"/>
                    <w:rPr>
                      <w:sz w:val="18"/>
                      <w:szCs w:val="18"/>
                    </w:rPr>
                  </w:pPr>
                  <w:r>
                    <w:rPr>
                      <w:spacing w:val="-2"/>
                      <w:sz w:val="18"/>
                      <w:szCs w:val="18"/>
                    </w:rPr>
                    <w:t>不合格产品</w:t>
                  </w:r>
                </w:p>
              </w:tc>
              <w:tc>
                <w:tcPr>
                  <w:tcW w:w="820" w:type="dxa"/>
                  <w:vAlign w:val="top"/>
                </w:tcPr>
                <w:p w14:paraId="3CE963D9">
                  <w:pPr>
                    <w:spacing w:before="84"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923" w:type="dxa"/>
                  <w:vMerge w:val="continue"/>
                  <w:tcBorders>
                    <w:top w:val="nil"/>
                    <w:bottom w:val="nil"/>
                  </w:tcBorders>
                  <w:vAlign w:val="top"/>
                </w:tcPr>
                <w:p w14:paraId="26AE739C">
                  <w:pPr>
                    <w:rPr>
                      <w:rFonts w:ascii="Arial"/>
                      <w:sz w:val="21"/>
                    </w:rPr>
                  </w:pPr>
                </w:p>
              </w:tc>
              <w:tc>
                <w:tcPr>
                  <w:tcW w:w="883" w:type="dxa"/>
                  <w:vAlign w:val="top"/>
                </w:tcPr>
                <w:p w14:paraId="57CAB7F9">
                  <w:pPr>
                    <w:spacing w:before="103"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651" w:type="dxa"/>
                  <w:vAlign w:val="top"/>
                </w:tcPr>
                <w:p w14:paraId="53D4F525">
                  <w:pPr>
                    <w:pStyle w:val="6"/>
                    <w:spacing w:before="74" w:line="205" w:lineRule="auto"/>
                    <w:ind w:left="203"/>
                    <w:rPr>
                      <w:sz w:val="18"/>
                      <w:szCs w:val="18"/>
                    </w:rPr>
                  </w:pPr>
                  <w:r>
                    <w:rPr>
                      <w:spacing w:val="-2"/>
                      <w:sz w:val="18"/>
                      <w:szCs w:val="18"/>
                    </w:rPr>
                    <w:t>车间内及时收集</w:t>
                  </w:r>
                </w:p>
              </w:tc>
              <w:tc>
                <w:tcPr>
                  <w:tcW w:w="1681" w:type="dxa"/>
                  <w:vAlign w:val="top"/>
                </w:tcPr>
                <w:p w14:paraId="3BF47513">
                  <w:pPr>
                    <w:pStyle w:val="6"/>
                    <w:spacing w:before="74" w:line="205" w:lineRule="auto"/>
                    <w:ind w:left="125"/>
                    <w:rPr>
                      <w:sz w:val="18"/>
                      <w:szCs w:val="18"/>
                    </w:rPr>
                  </w:pPr>
                  <w:r>
                    <w:rPr>
                      <w:spacing w:val="-1"/>
                      <w:sz w:val="18"/>
                      <w:szCs w:val="18"/>
                    </w:rPr>
                    <w:t>返回生产线做原料</w:t>
                  </w:r>
                </w:p>
              </w:tc>
            </w:tr>
            <w:tr w14:paraId="47192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20DA9CC4">
                  <w:pPr>
                    <w:spacing w:before="104"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480" w:type="dxa"/>
                  <w:vAlign w:val="top"/>
                </w:tcPr>
                <w:p w14:paraId="6EAA9B06">
                  <w:pPr>
                    <w:pStyle w:val="6"/>
                    <w:spacing w:before="53" w:line="219" w:lineRule="auto"/>
                    <w:ind w:left="112"/>
                    <w:rPr>
                      <w:sz w:val="18"/>
                      <w:szCs w:val="18"/>
                    </w:rPr>
                  </w:pPr>
                  <w:r>
                    <w:rPr>
                      <w:spacing w:val="-2"/>
                      <w:sz w:val="18"/>
                      <w:szCs w:val="18"/>
                    </w:rPr>
                    <w:t>运板清扫机固废</w:t>
                  </w:r>
                </w:p>
              </w:tc>
              <w:tc>
                <w:tcPr>
                  <w:tcW w:w="820" w:type="dxa"/>
                  <w:vAlign w:val="top"/>
                </w:tcPr>
                <w:p w14:paraId="409A5BA8">
                  <w:pPr>
                    <w:spacing w:before="85"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923" w:type="dxa"/>
                  <w:vMerge w:val="continue"/>
                  <w:tcBorders>
                    <w:top w:val="nil"/>
                  </w:tcBorders>
                  <w:vAlign w:val="top"/>
                </w:tcPr>
                <w:p w14:paraId="4563D373">
                  <w:pPr>
                    <w:rPr>
                      <w:rFonts w:ascii="Arial"/>
                      <w:sz w:val="21"/>
                    </w:rPr>
                  </w:pPr>
                </w:p>
              </w:tc>
              <w:tc>
                <w:tcPr>
                  <w:tcW w:w="883" w:type="dxa"/>
                  <w:vAlign w:val="top"/>
                </w:tcPr>
                <w:p w14:paraId="68369D51">
                  <w:pPr>
                    <w:spacing w:before="104"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651" w:type="dxa"/>
                  <w:vAlign w:val="top"/>
                </w:tcPr>
                <w:p w14:paraId="57696093">
                  <w:pPr>
                    <w:pStyle w:val="6"/>
                    <w:spacing w:before="73" w:line="207" w:lineRule="auto"/>
                    <w:ind w:left="203"/>
                    <w:rPr>
                      <w:sz w:val="18"/>
                      <w:szCs w:val="18"/>
                    </w:rPr>
                  </w:pPr>
                  <w:r>
                    <w:rPr>
                      <w:spacing w:val="-2"/>
                      <w:sz w:val="18"/>
                      <w:szCs w:val="18"/>
                    </w:rPr>
                    <w:t>车间内及时收集</w:t>
                  </w:r>
                </w:p>
              </w:tc>
              <w:tc>
                <w:tcPr>
                  <w:tcW w:w="1681" w:type="dxa"/>
                  <w:vAlign w:val="top"/>
                </w:tcPr>
                <w:p w14:paraId="57E0CD32">
                  <w:pPr>
                    <w:pStyle w:val="6"/>
                    <w:spacing w:before="73" w:line="207" w:lineRule="auto"/>
                    <w:ind w:left="125"/>
                    <w:rPr>
                      <w:sz w:val="18"/>
                      <w:szCs w:val="18"/>
                    </w:rPr>
                  </w:pPr>
                  <w:r>
                    <w:rPr>
                      <w:spacing w:val="-1"/>
                      <w:sz w:val="18"/>
                      <w:szCs w:val="18"/>
                    </w:rPr>
                    <w:t>返回生产线做原料</w:t>
                  </w:r>
                </w:p>
              </w:tc>
            </w:tr>
            <w:tr w14:paraId="7B08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3AF8011C">
                  <w:pPr>
                    <w:spacing w:before="107" w:line="185" w:lineRule="auto"/>
                    <w:ind w:left="19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480" w:type="dxa"/>
                  <w:vAlign w:val="top"/>
                </w:tcPr>
                <w:p w14:paraId="42B1D195">
                  <w:pPr>
                    <w:pStyle w:val="6"/>
                    <w:spacing w:before="54" w:line="220" w:lineRule="auto"/>
                    <w:ind w:left="380"/>
                    <w:rPr>
                      <w:sz w:val="18"/>
                      <w:szCs w:val="18"/>
                    </w:rPr>
                  </w:pPr>
                  <w:r>
                    <w:rPr>
                      <w:spacing w:val="-2"/>
                      <w:sz w:val="18"/>
                      <w:szCs w:val="18"/>
                    </w:rPr>
                    <w:t>废包装袋</w:t>
                  </w:r>
                </w:p>
              </w:tc>
              <w:tc>
                <w:tcPr>
                  <w:tcW w:w="820" w:type="dxa"/>
                  <w:vAlign w:val="top"/>
                </w:tcPr>
                <w:p w14:paraId="710A3617">
                  <w:pPr>
                    <w:spacing w:before="83"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923" w:type="dxa"/>
                  <w:vAlign w:val="top"/>
                </w:tcPr>
                <w:p w14:paraId="5C6E0C6F">
                  <w:pPr>
                    <w:pStyle w:val="6"/>
                    <w:spacing w:before="74" w:line="206" w:lineRule="auto"/>
                    <w:ind w:left="111"/>
                    <w:rPr>
                      <w:sz w:val="18"/>
                      <w:szCs w:val="18"/>
                    </w:rPr>
                  </w:pPr>
                  <w:r>
                    <w:rPr>
                      <w:spacing w:val="-3"/>
                      <w:sz w:val="18"/>
                      <w:szCs w:val="18"/>
                    </w:rPr>
                    <w:t>原料使用</w:t>
                  </w:r>
                </w:p>
              </w:tc>
              <w:tc>
                <w:tcPr>
                  <w:tcW w:w="883" w:type="dxa"/>
                  <w:vAlign w:val="top"/>
                </w:tcPr>
                <w:p w14:paraId="4EF49A00">
                  <w:pPr>
                    <w:spacing w:before="105"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07</w:t>
                  </w:r>
                </w:p>
              </w:tc>
              <w:tc>
                <w:tcPr>
                  <w:tcW w:w="1651" w:type="dxa"/>
                  <w:vAlign w:val="top"/>
                </w:tcPr>
                <w:p w14:paraId="435D5AC7">
                  <w:pPr>
                    <w:pStyle w:val="6"/>
                    <w:spacing w:before="74" w:line="206" w:lineRule="auto"/>
                    <w:ind w:left="203"/>
                    <w:rPr>
                      <w:sz w:val="18"/>
                      <w:szCs w:val="18"/>
                    </w:rPr>
                  </w:pPr>
                  <w:r>
                    <w:rPr>
                      <w:spacing w:val="-2"/>
                      <w:sz w:val="18"/>
                      <w:szCs w:val="18"/>
                    </w:rPr>
                    <w:t>厂区固废收集点</w:t>
                  </w:r>
                </w:p>
              </w:tc>
              <w:tc>
                <w:tcPr>
                  <w:tcW w:w="1681" w:type="dxa"/>
                  <w:vAlign w:val="top"/>
                </w:tcPr>
                <w:p w14:paraId="2D07D417">
                  <w:pPr>
                    <w:pStyle w:val="6"/>
                    <w:spacing w:before="74" w:line="206" w:lineRule="auto"/>
                    <w:ind w:left="217"/>
                    <w:rPr>
                      <w:sz w:val="18"/>
                      <w:szCs w:val="18"/>
                    </w:rPr>
                  </w:pPr>
                  <w:r>
                    <w:rPr>
                      <w:spacing w:val="-2"/>
                      <w:sz w:val="18"/>
                      <w:szCs w:val="18"/>
                    </w:rPr>
                    <w:t>外售废品回收站</w:t>
                  </w:r>
                </w:p>
              </w:tc>
            </w:tr>
            <w:tr w14:paraId="2E753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280DF380">
                  <w:pPr>
                    <w:spacing w:before="105"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80" w:type="dxa"/>
                  <w:vAlign w:val="top"/>
                </w:tcPr>
                <w:p w14:paraId="3565A167">
                  <w:pPr>
                    <w:pStyle w:val="6"/>
                    <w:spacing w:before="55" w:line="219" w:lineRule="auto"/>
                    <w:ind w:left="380"/>
                    <w:rPr>
                      <w:sz w:val="18"/>
                      <w:szCs w:val="18"/>
                    </w:rPr>
                  </w:pPr>
                  <w:r>
                    <w:rPr>
                      <w:spacing w:val="-2"/>
                      <w:sz w:val="18"/>
                      <w:szCs w:val="18"/>
                    </w:rPr>
                    <w:t>废钢筋节</w:t>
                  </w:r>
                </w:p>
              </w:tc>
              <w:tc>
                <w:tcPr>
                  <w:tcW w:w="820" w:type="dxa"/>
                  <w:vAlign w:val="top"/>
                </w:tcPr>
                <w:p w14:paraId="4F404275">
                  <w:pPr>
                    <w:spacing w:before="83"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105.37</w:t>
                  </w:r>
                </w:p>
              </w:tc>
              <w:tc>
                <w:tcPr>
                  <w:tcW w:w="923" w:type="dxa"/>
                  <w:vMerge w:val="restart"/>
                  <w:tcBorders>
                    <w:bottom w:val="nil"/>
                  </w:tcBorders>
                  <w:vAlign w:val="top"/>
                </w:tcPr>
                <w:p w14:paraId="0B0D1B54">
                  <w:pPr>
                    <w:spacing w:line="304" w:lineRule="auto"/>
                    <w:rPr>
                      <w:rFonts w:ascii="Arial"/>
                      <w:sz w:val="21"/>
                    </w:rPr>
                  </w:pPr>
                </w:p>
                <w:p w14:paraId="3978D25C">
                  <w:pPr>
                    <w:pStyle w:val="6"/>
                    <w:spacing w:before="59" w:line="219" w:lineRule="auto"/>
                    <w:ind w:left="14"/>
                    <w:rPr>
                      <w:sz w:val="18"/>
                      <w:szCs w:val="18"/>
                    </w:rPr>
                  </w:pPr>
                  <w:r>
                    <w:rPr>
                      <w:spacing w:val="-2"/>
                      <w:sz w:val="18"/>
                      <w:szCs w:val="18"/>
                    </w:rPr>
                    <w:t>钢筋网加工</w:t>
                  </w:r>
                </w:p>
              </w:tc>
              <w:tc>
                <w:tcPr>
                  <w:tcW w:w="883" w:type="dxa"/>
                  <w:vAlign w:val="top"/>
                </w:tcPr>
                <w:p w14:paraId="186FB384">
                  <w:pPr>
                    <w:spacing w:before="105"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09</w:t>
                  </w:r>
                </w:p>
              </w:tc>
              <w:tc>
                <w:tcPr>
                  <w:tcW w:w="1651" w:type="dxa"/>
                  <w:vAlign w:val="top"/>
                </w:tcPr>
                <w:p w14:paraId="2392F267">
                  <w:pPr>
                    <w:pStyle w:val="6"/>
                    <w:spacing w:before="74" w:line="206" w:lineRule="auto"/>
                    <w:ind w:left="203"/>
                    <w:rPr>
                      <w:sz w:val="18"/>
                      <w:szCs w:val="18"/>
                    </w:rPr>
                  </w:pPr>
                  <w:r>
                    <w:rPr>
                      <w:spacing w:val="-2"/>
                      <w:sz w:val="18"/>
                      <w:szCs w:val="18"/>
                    </w:rPr>
                    <w:t>厂区固废收集点</w:t>
                  </w:r>
                </w:p>
              </w:tc>
              <w:tc>
                <w:tcPr>
                  <w:tcW w:w="1681" w:type="dxa"/>
                  <w:vAlign w:val="top"/>
                </w:tcPr>
                <w:p w14:paraId="22195973">
                  <w:pPr>
                    <w:pStyle w:val="6"/>
                    <w:spacing w:before="74" w:line="206" w:lineRule="auto"/>
                    <w:ind w:left="217"/>
                    <w:rPr>
                      <w:sz w:val="18"/>
                      <w:szCs w:val="18"/>
                    </w:rPr>
                  </w:pPr>
                  <w:r>
                    <w:rPr>
                      <w:spacing w:val="-2"/>
                      <w:sz w:val="18"/>
                      <w:szCs w:val="18"/>
                    </w:rPr>
                    <w:t>外售废品回收站</w:t>
                  </w:r>
                </w:p>
              </w:tc>
            </w:tr>
            <w:tr w14:paraId="7E7A8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17B4BC59">
                  <w:pPr>
                    <w:spacing w:before="106" w:line="185"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480" w:type="dxa"/>
                  <w:vAlign w:val="top"/>
                </w:tcPr>
                <w:p w14:paraId="009B455E">
                  <w:pPr>
                    <w:pStyle w:val="6"/>
                    <w:spacing w:before="55" w:line="219" w:lineRule="auto"/>
                    <w:ind w:left="291"/>
                    <w:rPr>
                      <w:sz w:val="18"/>
                      <w:szCs w:val="18"/>
                    </w:rPr>
                  </w:pPr>
                  <w:r>
                    <w:rPr>
                      <w:spacing w:val="-2"/>
                      <w:sz w:val="18"/>
                      <w:szCs w:val="18"/>
                    </w:rPr>
                    <w:t>废水性漆桶</w:t>
                  </w:r>
                </w:p>
              </w:tc>
              <w:tc>
                <w:tcPr>
                  <w:tcW w:w="820" w:type="dxa"/>
                  <w:vAlign w:val="top"/>
                </w:tcPr>
                <w:p w14:paraId="60FDC7C8">
                  <w:pPr>
                    <w:spacing w:before="84"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11"/>
                      <w:sz w:val="18"/>
                      <w:szCs w:val="18"/>
                    </w:rPr>
                    <w:t>11</w:t>
                  </w:r>
                </w:p>
              </w:tc>
              <w:tc>
                <w:tcPr>
                  <w:tcW w:w="923" w:type="dxa"/>
                  <w:vMerge w:val="continue"/>
                  <w:tcBorders>
                    <w:top w:val="nil"/>
                    <w:bottom w:val="nil"/>
                  </w:tcBorders>
                  <w:vAlign w:val="top"/>
                </w:tcPr>
                <w:p w14:paraId="050A2C5A">
                  <w:pPr>
                    <w:rPr>
                      <w:rFonts w:ascii="Arial"/>
                      <w:sz w:val="21"/>
                    </w:rPr>
                  </w:pPr>
                </w:p>
              </w:tc>
              <w:tc>
                <w:tcPr>
                  <w:tcW w:w="883" w:type="dxa"/>
                  <w:vAlign w:val="top"/>
                </w:tcPr>
                <w:p w14:paraId="60D94B3B">
                  <w:pPr>
                    <w:spacing w:before="103"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06</w:t>
                  </w:r>
                </w:p>
              </w:tc>
              <w:tc>
                <w:tcPr>
                  <w:tcW w:w="1651" w:type="dxa"/>
                  <w:vAlign w:val="top"/>
                </w:tcPr>
                <w:p w14:paraId="7203CD7A">
                  <w:pPr>
                    <w:pStyle w:val="6"/>
                    <w:spacing w:before="74" w:line="206" w:lineRule="auto"/>
                    <w:ind w:left="122"/>
                    <w:rPr>
                      <w:sz w:val="18"/>
                      <w:szCs w:val="18"/>
                    </w:rPr>
                  </w:pPr>
                  <w:r>
                    <w:rPr>
                      <w:spacing w:val="-3"/>
                      <w:sz w:val="18"/>
                      <w:szCs w:val="18"/>
                    </w:rPr>
                    <w:t>临时存放在物资库</w:t>
                  </w:r>
                </w:p>
              </w:tc>
              <w:tc>
                <w:tcPr>
                  <w:tcW w:w="1681" w:type="dxa"/>
                  <w:vAlign w:val="top"/>
                </w:tcPr>
                <w:p w14:paraId="527910A6">
                  <w:pPr>
                    <w:pStyle w:val="6"/>
                    <w:spacing w:before="74" w:line="206" w:lineRule="auto"/>
                    <w:ind w:left="215"/>
                    <w:rPr>
                      <w:sz w:val="18"/>
                      <w:szCs w:val="18"/>
                    </w:rPr>
                  </w:pPr>
                  <w:r>
                    <w:rPr>
                      <w:spacing w:val="-2"/>
                      <w:sz w:val="18"/>
                      <w:szCs w:val="18"/>
                    </w:rPr>
                    <w:t>水性漆厂家回收</w:t>
                  </w:r>
                </w:p>
              </w:tc>
            </w:tr>
            <w:tr w14:paraId="7416C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6ED6081D">
                  <w:pPr>
                    <w:spacing w:before="103"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480" w:type="dxa"/>
                  <w:vAlign w:val="top"/>
                </w:tcPr>
                <w:p w14:paraId="1D0333D4">
                  <w:pPr>
                    <w:pStyle w:val="6"/>
                    <w:spacing w:before="53" w:line="221" w:lineRule="auto"/>
                    <w:ind w:left="561"/>
                    <w:rPr>
                      <w:sz w:val="18"/>
                      <w:szCs w:val="18"/>
                    </w:rPr>
                  </w:pPr>
                  <w:r>
                    <w:rPr>
                      <w:spacing w:val="-4"/>
                      <w:sz w:val="18"/>
                      <w:szCs w:val="18"/>
                    </w:rPr>
                    <w:t>漆渣</w:t>
                  </w:r>
                </w:p>
              </w:tc>
              <w:tc>
                <w:tcPr>
                  <w:tcW w:w="820" w:type="dxa"/>
                  <w:vAlign w:val="top"/>
                </w:tcPr>
                <w:p w14:paraId="2A548FF3">
                  <w:pPr>
                    <w:spacing w:before="84"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0.741</w:t>
                  </w:r>
                </w:p>
              </w:tc>
              <w:tc>
                <w:tcPr>
                  <w:tcW w:w="923" w:type="dxa"/>
                  <w:vMerge w:val="continue"/>
                  <w:tcBorders>
                    <w:top w:val="nil"/>
                  </w:tcBorders>
                  <w:vAlign w:val="top"/>
                </w:tcPr>
                <w:p w14:paraId="5EACBB84">
                  <w:pPr>
                    <w:rPr>
                      <w:rFonts w:ascii="Arial"/>
                      <w:sz w:val="21"/>
                    </w:rPr>
                  </w:pPr>
                </w:p>
              </w:tc>
              <w:tc>
                <w:tcPr>
                  <w:tcW w:w="883" w:type="dxa"/>
                  <w:vAlign w:val="top"/>
                </w:tcPr>
                <w:p w14:paraId="7694BA27">
                  <w:pPr>
                    <w:spacing w:before="103"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651" w:type="dxa"/>
                  <w:vAlign w:val="top"/>
                </w:tcPr>
                <w:p w14:paraId="090F79C4">
                  <w:pPr>
                    <w:pStyle w:val="6"/>
                    <w:spacing w:before="75" w:line="205" w:lineRule="auto"/>
                    <w:ind w:left="122"/>
                    <w:rPr>
                      <w:sz w:val="18"/>
                      <w:szCs w:val="18"/>
                    </w:rPr>
                  </w:pPr>
                  <w:r>
                    <w:rPr>
                      <w:spacing w:val="-3"/>
                      <w:sz w:val="18"/>
                      <w:szCs w:val="18"/>
                    </w:rPr>
                    <w:t>临时存放在物资库</w:t>
                  </w:r>
                </w:p>
              </w:tc>
              <w:tc>
                <w:tcPr>
                  <w:tcW w:w="1681" w:type="dxa"/>
                  <w:vAlign w:val="top"/>
                </w:tcPr>
                <w:p w14:paraId="55A840DC">
                  <w:pPr>
                    <w:pStyle w:val="6"/>
                    <w:spacing w:before="75" w:line="205" w:lineRule="auto"/>
                    <w:ind w:left="125"/>
                    <w:rPr>
                      <w:sz w:val="18"/>
                      <w:szCs w:val="18"/>
                    </w:rPr>
                  </w:pPr>
                  <w:r>
                    <w:rPr>
                      <w:spacing w:val="-1"/>
                      <w:sz w:val="18"/>
                      <w:szCs w:val="18"/>
                    </w:rPr>
                    <w:t>专业机构收集处置</w:t>
                  </w:r>
                </w:p>
              </w:tc>
            </w:tr>
            <w:tr w14:paraId="365B9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14:paraId="7BB0698D">
                  <w:pPr>
                    <w:spacing w:before="104"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480" w:type="dxa"/>
                  <w:vAlign w:val="top"/>
                </w:tcPr>
                <w:p w14:paraId="05277EF2">
                  <w:pPr>
                    <w:pStyle w:val="6"/>
                    <w:spacing w:before="54" w:line="219" w:lineRule="auto"/>
                    <w:ind w:left="291"/>
                    <w:rPr>
                      <w:sz w:val="18"/>
                      <w:szCs w:val="18"/>
                    </w:rPr>
                  </w:pPr>
                  <w:r>
                    <w:rPr>
                      <w:spacing w:val="-2"/>
                      <w:sz w:val="18"/>
                      <w:szCs w:val="18"/>
                    </w:rPr>
                    <w:t>废离子树脂</w:t>
                  </w:r>
                </w:p>
              </w:tc>
              <w:tc>
                <w:tcPr>
                  <w:tcW w:w="820" w:type="dxa"/>
                  <w:vAlign w:val="top"/>
                </w:tcPr>
                <w:p w14:paraId="5AC100E6">
                  <w:pPr>
                    <w:spacing w:before="85"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923" w:type="dxa"/>
                  <w:vAlign w:val="top"/>
                </w:tcPr>
                <w:p w14:paraId="35D0BCB0">
                  <w:pPr>
                    <w:pStyle w:val="6"/>
                    <w:spacing w:before="75" w:line="205" w:lineRule="auto"/>
                    <w:ind w:left="107"/>
                    <w:rPr>
                      <w:sz w:val="18"/>
                      <w:szCs w:val="18"/>
                    </w:rPr>
                  </w:pPr>
                  <w:r>
                    <w:rPr>
                      <w:spacing w:val="-2"/>
                      <w:sz w:val="18"/>
                      <w:szCs w:val="18"/>
                    </w:rPr>
                    <w:t>燃气锅炉</w:t>
                  </w:r>
                </w:p>
              </w:tc>
              <w:tc>
                <w:tcPr>
                  <w:tcW w:w="883" w:type="dxa"/>
                  <w:vAlign w:val="top"/>
                </w:tcPr>
                <w:p w14:paraId="4BEDE5D1">
                  <w:pPr>
                    <w:spacing w:before="104" w:line="188" w:lineRule="auto"/>
                    <w:ind w:left="3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tc>
              <w:tc>
                <w:tcPr>
                  <w:tcW w:w="1651" w:type="dxa"/>
                  <w:vAlign w:val="top"/>
                </w:tcPr>
                <w:p w14:paraId="467D70E7">
                  <w:pPr>
                    <w:pStyle w:val="6"/>
                    <w:spacing w:before="75" w:line="205" w:lineRule="auto"/>
                    <w:ind w:left="564"/>
                    <w:rPr>
                      <w:sz w:val="18"/>
                      <w:szCs w:val="18"/>
                    </w:rPr>
                  </w:pPr>
                  <w:r>
                    <w:rPr>
                      <w:spacing w:val="-4"/>
                      <w:sz w:val="18"/>
                      <w:szCs w:val="18"/>
                    </w:rPr>
                    <w:t>不贮存</w:t>
                  </w:r>
                </w:p>
              </w:tc>
              <w:tc>
                <w:tcPr>
                  <w:tcW w:w="1681" w:type="dxa"/>
                  <w:vAlign w:val="top"/>
                </w:tcPr>
                <w:p w14:paraId="4F362932">
                  <w:pPr>
                    <w:pStyle w:val="6"/>
                    <w:spacing w:before="75" w:line="205" w:lineRule="auto"/>
                    <w:ind w:left="35"/>
                    <w:rPr>
                      <w:sz w:val="18"/>
                      <w:szCs w:val="18"/>
                    </w:rPr>
                  </w:pPr>
                  <w:r>
                    <w:rPr>
                      <w:spacing w:val="-2"/>
                      <w:sz w:val="18"/>
                      <w:szCs w:val="18"/>
                    </w:rPr>
                    <w:t>厂家更换时直接带走</w:t>
                  </w:r>
                </w:p>
              </w:tc>
            </w:tr>
            <w:tr w14:paraId="498E5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4" w:type="dxa"/>
                  <w:vAlign w:val="top"/>
                </w:tcPr>
                <w:p w14:paraId="4BF3D643">
                  <w:pPr>
                    <w:spacing w:before="243"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480" w:type="dxa"/>
                  <w:vAlign w:val="top"/>
                </w:tcPr>
                <w:p w14:paraId="5570787C">
                  <w:pPr>
                    <w:pStyle w:val="6"/>
                    <w:spacing w:before="193" w:line="219" w:lineRule="auto"/>
                    <w:ind w:left="303"/>
                    <w:rPr>
                      <w:sz w:val="18"/>
                      <w:szCs w:val="18"/>
                    </w:rPr>
                  </w:pPr>
                  <w:r>
                    <w:rPr>
                      <w:spacing w:val="-4"/>
                      <w:sz w:val="18"/>
                      <w:szCs w:val="18"/>
                    </w:rPr>
                    <w:t>除尘器收尘</w:t>
                  </w:r>
                </w:p>
              </w:tc>
              <w:tc>
                <w:tcPr>
                  <w:tcW w:w="820" w:type="dxa"/>
                  <w:vAlign w:val="top"/>
                </w:tcPr>
                <w:p w14:paraId="2882A53C">
                  <w:pPr>
                    <w:spacing w:before="224"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866.947</w:t>
                  </w:r>
                </w:p>
              </w:tc>
              <w:tc>
                <w:tcPr>
                  <w:tcW w:w="923" w:type="dxa"/>
                  <w:vAlign w:val="top"/>
                </w:tcPr>
                <w:p w14:paraId="03C207C7">
                  <w:pPr>
                    <w:pStyle w:val="6"/>
                    <w:spacing w:before="215" w:line="220" w:lineRule="auto"/>
                    <w:ind w:left="106"/>
                    <w:rPr>
                      <w:sz w:val="18"/>
                      <w:szCs w:val="18"/>
                    </w:rPr>
                  </w:pPr>
                  <w:r>
                    <w:rPr>
                      <w:spacing w:val="-2"/>
                      <w:sz w:val="18"/>
                      <w:szCs w:val="18"/>
                    </w:rPr>
                    <w:t>废气处理</w:t>
                  </w:r>
                </w:p>
              </w:tc>
              <w:tc>
                <w:tcPr>
                  <w:tcW w:w="883" w:type="dxa"/>
                  <w:vAlign w:val="top"/>
                </w:tcPr>
                <w:p w14:paraId="1C4B93F6">
                  <w:pPr>
                    <w:spacing w:before="243" w:line="188" w:lineRule="auto"/>
                    <w:ind w:left="3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1651" w:type="dxa"/>
                  <w:vAlign w:val="top"/>
                </w:tcPr>
                <w:p w14:paraId="7A9D0600">
                  <w:pPr>
                    <w:pStyle w:val="6"/>
                    <w:spacing w:before="215" w:line="219" w:lineRule="auto"/>
                    <w:ind w:left="564"/>
                    <w:rPr>
                      <w:sz w:val="18"/>
                      <w:szCs w:val="18"/>
                    </w:rPr>
                  </w:pPr>
                  <w:r>
                    <w:rPr>
                      <w:spacing w:val="-4"/>
                      <w:sz w:val="18"/>
                      <w:szCs w:val="18"/>
                    </w:rPr>
                    <w:t>不贮存</w:t>
                  </w:r>
                </w:p>
              </w:tc>
              <w:tc>
                <w:tcPr>
                  <w:tcW w:w="1681" w:type="dxa"/>
                  <w:vAlign w:val="top"/>
                </w:tcPr>
                <w:p w14:paraId="209945B4">
                  <w:pPr>
                    <w:pStyle w:val="6"/>
                    <w:spacing w:before="74" w:line="246" w:lineRule="auto"/>
                    <w:ind w:left="664" w:right="29" w:hanging="629"/>
                    <w:rPr>
                      <w:sz w:val="18"/>
                      <w:szCs w:val="18"/>
                    </w:rPr>
                  </w:pPr>
                  <w:r>
                    <w:rPr>
                      <w:spacing w:val="-1"/>
                      <w:sz w:val="18"/>
                      <w:szCs w:val="18"/>
                    </w:rPr>
                    <w:t>直接返回生产线或者</w:t>
                  </w:r>
                  <w:r>
                    <w:rPr>
                      <w:sz w:val="18"/>
                      <w:szCs w:val="18"/>
                    </w:rPr>
                    <w:t xml:space="preserve"> </w:t>
                  </w:r>
                  <w:r>
                    <w:rPr>
                      <w:spacing w:val="-4"/>
                      <w:sz w:val="18"/>
                      <w:szCs w:val="18"/>
                    </w:rPr>
                    <w:t>料仓</w:t>
                  </w:r>
                </w:p>
              </w:tc>
            </w:tr>
            <w:tr w14:paraId="0B9FA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64" w:type="dxa"/>
                  <w:vAlign w:val="top"/>
                </w:tcPr>
                <w:p w14:paraId="1CD1D686">
                  <w:pPr>
                    <w:spacing w:before="104"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480" w:type="dxa"/>
                  <w:vAlign w:val="top"/>
                </w:tcPr>
                <w:p w14:paraId="7F95A4E6">
                  <w:pPr>
                    <w:pStyle w:val="6"/>
                    <w:spacing w:before="56" w:line="220" w:lineRule="auto"/>
                    <w:ind w:left="382"/>
                    <w:rPr>
                      <w:sz w:val="18"/>
                      <w:szCs w:val="18"/>
                    </w:rPr>
                  </w:pPr>
                  <w:r>
                    <w:rPr>
                      <w:spacing w:val="-3"/>
                      <w:sz w:val="18"/>
                      <w:szCs w:val="18"/>
                    </w:rPr>
                    <w:t>生活垃圾</w:t>
                  </w:r>
                </w:p>
              </w:tc>
              <w:tc>
                <w:tcPr>
                  <w:tcW w:w="820" w:type="dxa"/>
                  <w:vAlign w:val="top"/>
                </w:tcPr>
                <w:p w14:paraId="19031D6C">
                  <w:pPr>
                    <w:spacing w:before="85"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23" w:type="dxa"/>
                  <w:vAlign w:val="top"/>
                </w:tcPr>
                <w:p w14:paraId="114BE43E">
                  <w:pPr>
                    <w:rPr>
                      <w:rFonts w:ascii="Arial"/>
                      <w:sz w:val="21"/>
                    </w:rPr>
                  </w:pPr>
                </w:p>
              </w:tc>
              <w:tc>
                <w:tcPr>
                  <w:tcW w:w="883" w:type="dxa"/>
                  <w:vAlign w:val="top"/>
                </w:tcPr>
                <w:p w14:paraId="4742AD8C">
                  <w:pPr>
                    <w:spacing w:before="101" w:line="192" w:lineRule="auto"/>
                    <w:ind w:left="4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51" w:type="dxa"/>
                  <w:vAlign w:val="top"/>
                </w:tcPr>
                <w:p w14:paraId="6DFB1393">
                  <w:pPr>
                    <w:pStyle w:val="6"/>
                    <w:spacing w:before="75" w:line="209" w:lineRule="auto"/>
                    <w:ind w:left="472"/>
                    <w:rPr>
                      <w:sz w:val="18"/>
                      <w:szCs w:val="18"/>
                    </w:rPr>
                  </w:pPr>
                  <w:r>
                    <w:rPr>
                      <w:spacing w:val="-2"/>
                      <w:sz w:val="18"/>
                      <w:szCs w:val="18"/>
                    </w:rPr>
                    <w:t>袋装收集</w:t>
                  </w:r>
                </w:p>
              </w:tc>
              <w:tc>
                <w:tcPr>
                  <w:tcW w:w="1681" w:type="dxa"/>
                  <w:vAlign w:val="top"/>
                </w:tcPr>
                <w:p w14:paraId="05CB1711">
                  <w:pPr>
                    <w:pStyle w:val="6"/>
                    <w:spacing w:before="75" w:line="209" w:lineRule="auto"/>
                    <w:ind w:left="415"/>
                    <w:rPr>
                      <w:sz w:val="18"/>
                      <w:szCs w:val="18"/>
                    </w:rPr>
                  </w:pPr>
                  <w:r>
                    <w:rPr>
                      <w:spacing w:val="-6"/>
                      <w:sz w:val="18"/>
                      <w:szCs w:val="18"/>
                    </w:rPr>
                    <w:t>由环卫清运</w:t>
                  </w:r>
                </w:p>
              </w:tc>
            </w:tr>
          </w:tbl>
          <w:p w14:paraId="5891F800">
            <w:pPr>
              <w:pStyle w:val="6"/>
              <w:spacing w:before="132" w:line="220" w:lineRule="auto"/>
              <w:ind w:left="104"/>
            </w:pPr>
            <w:r>
              <w:rPr>
                <w:rFonts w:ascii="Times New Roman" w:hAnsi="Times New Roman" w:eastAsia="Times New Roman" w:cs="Times New Roman"/>
                <w:b/>
                <w:bCs/>
                <w:spacing w:val="-2"/>
              </w:rPr>
              <w:t>4.3</w:t>
            </w:r>
            <w:r>
              <w:rPr>
                <w:b/>
                <w:bCs/>
                <w:spacing w:val="-2"/>
              </w:rPr>
              <w:t>危废产生、处置及管理措施</w:t>
            </w:r>
          </w:p>
          <w:p w14:paraId="74BEAB28">
            <w:pPr>
              <w:pStyle w:val="6"/>
              <w:spacing w:before="146" w:line="227" w:lineRule="auto"/>
              <w:ind w:left="537"/>
              <w:rPr>
                <w:sz w:val="20"/>
                <w:szCs w:val="20"/>
              </w:rPr>
            </w:pPr>
            <w:r>
              <w:rPr>
                <w:spacing w:val="6"/>
                <w:sz w:val="20"/>
                <w:szCs w:val="20"/>
              </w:rPr>
              <w:t>（1）废机油</w:t>
            </w:r>
          </w:p>
          <w:p w14:paraId="6A268EC9">
            <w:pPr>
              <w:pStyle w:val="6"/>
              <w:spacing w:before="154" w:line="363" w:lineRule="auto"/>
              <w:ind w:left="106" w:right="52" w:firstLine="421"/>
              <w:rPr>
                <w:sz w:val="20"/>
                <w:szCs w:val="20"/>
              </w:rPr>
            </w:pPr>
            <w:r>
              <w:rPr>
                <w:spacing w:val="20"/>
                <w:sz w:val="20"/>
                <w:szCs w:val="20"/>
              </w:rPr>
              <w:t>本项目在设备运行生产、维修过程中会产生废机油，预计项目废机油产生量为</w:t>
            </w:r>
            <w:r>
              <w:rPr>
                <w:spacing w:val="5"/>
                <w:sz w:val="20"/>
                <w:szCs w:val="20"/>
              </w:rPr>
              <w:t xml:space="preserve"> </w:t>
            </w:r>
            <w:r>
              <w:rPr>
                <w:rFonts w:ascii="Times New Roman" w:hAnsi="Times New Roman" w:eastAsia="Times New Roman" w:cs="Times New Roman"/>
                <w:spacing w:val="-2"/>
                <w:sz w:val="20"/>
                <w:szCs w:val="20"/>
              </w:rPr>
              <w:t>0.05t/a</w:t>
            </w:r>
            <w:r>
              <w:rPr>
                <w:spacing w:val="-2"/>
                <w:sz w:val="20"/>
                <w:szCs w:val="20"/>
              </w:rPr>
              <w:t>。根据《国家危险废物名录（</w:t>
            </w:r>
            <w:r>
              <w:rPr>
                <w:rFonts w:ascii="Times New Roman" w:hAnsi="Times New Roman" w:eastAsia="Times New Roman" w:cs="Times New Roman"/>
                <w:spacing w:val="-2"/>
                <w:sz w:val="20"/>
                <w:szCs w:val="20"/>
              </w:rPr>
              <w:t xml:space="preserve">2021 </w:t>
            </w:r>
            <w:r>
              <w:rPr>
                <w:spacing w:val="-2"/>
                <w:sz w:val="20"/>
                <w:szCs w:val="20"/>
              </w:rPr>
              <w:t>年版）》，废机油属于其中</w:t>
            </w:r>
            <w:r>
              <w:rPr>
                <w:spacing w:val="-42"/>
                <w:sz w:val="20"/>
                <w:szCs w:val="20"/>
              </w:rPr>
              <w:t xml:space="preserve"> </w:t>
            </w:r>
            <w:r>
              <w:rPr>
                <w:rFonts w:ascii="Times New Roman" w:hAnsi="Times New Roman" w:eastAsia="Times New Roman" w:cs="Times New Roman"/>
                <w:spacing w:val="-2"/>
                <w:sz w:val="20"/>
                <w:szCs w:val="20"/>
              </w:rPr>
              <w:t>HW08</w:t>
            </w:r>
            <w:r>
              <w:rPr>
                <w:rFonts w:ascii="Times New Roman" w:hAnsi="Times New Roman" w:eastAsia="Times New Roman" w:cs="Times New Roman"/>
                <w:spacing w:val="12"/>
                <w:sz w:val="20"/>
                <w:szCs w:val="20"/>
              </w:rPr>
              <w:t xml:space="preserve"> </w:t>
            </w:r>
            <w:r>
              <w:rPr>
                <w:spacing w:val="-2"/>
                <w:sz w:val="20"/>
                <w:szCs w:val="20"/>
              </w:rPr>
              <w:t>类，危废代码：</w:t>
            </w:r>
            <w:r>
              <w:rPr>
                <w:sz w:val="20"/>
                <w:szCs w:val="20"/>
              </w:rPr>
              <w:t xml:space="preserve"> </w:t>
            </w:r>
            <w:r>
              <w:rPr>
                <w:rFonts w:ascii="Times New Roman" w:hAnsi="Times New Roman" w:eastAsia="Times New Roman" w:cs="Times New Roman"/>
                <w:spacing w:val="8"/>
                <w:sz w:val="20"/>
                <w:szCs w:val="20"/>
              </w:rPr>
              <w:t>900-214-08</w:t>
            </w:r>
            <w:r>
              <w:rPr>
                <w:rFonts w:ascii="Times New Roman" w:hAnsi="Times New Roman" w:eastAsia="Times New Roman" w:cs="Times New Roman"/>
                <w:spacing w:val="-17"/>
                <w:sz w:val="20"/>
                <w:szCs w:val="20"/>
              </w:rPr>
              <w:t xml:space="preserve"> </w:t>
            </w:r>
            <w:r>
              <w:rPr>
                <w:spacing w:val="8"/>
                <w:sz w:val="20"/>
                <w:szCs w:val="20"/>
              </w:rPr>
              <w:t>。应纳入危废管理，专用容器收集暂存在危废间内，委托有资</w:t>
            </w:r>
            <w:r>
              <w:rPr>
                <w:spacing w:val="7"/>
                <w:sz w:val="20"/>
                <w:szCs w:val="20"/>
              </w:rPr>
              <w:t>质的单位回收</w:t>
            </w:r>
            <w:r>
              <w:rPr>
                <w:sz w:val="20"/>
                <w:szCs w:val="20"/>
              </w:rPr>
              <w:t xml:space="preserve"> </w:t>
            </w:r>
            <w:r>
              <w:rPr>
                <w:spacing w:val="3"/>
                <w:sz w:val="20"/>
                <w:szCs w:val="20"/>
              </w:rPr>
              <w:t>处置。</w:t>
            </w:r>
          </w:p>
          <w:p w14:paraId="7661291A">
            <w:pPr>
              <w:pStyle w:val="6"/>
              <w:spacing w:before="25" w:line="227" w:lineRule="auto"/>
              <w:ind w:left="537"/>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）废机油桶</w:t>
            </w:r>
          </w:p>
          <w:p w14:paraId="145FF4E0">
            <w:pPr>
              <w:pStyle w:val="6"/>
              <w:spacing w:before="155" w:line="359" w:lineRule="auto"/>
              <w:ind w:left="106" w:right="105" w:firstLine="424"/>
              <w:rPr>
                <w:sz w:val="20"/>
                <w:szCs w:val="20"/>
              </w:rPr>
            </w:pPr>
            <w:r>
              <w:rPr>
                <w:spacing w:val="9"/>
                <w:sz w:val="20"/>
                <w:szCs w:val="20"/>
              </w:rPr>
              <w:t>项目使用的各类机油、润滑油后会产生一些废机油桶</w:t>
            </w:r>
            <w:r>
              <w:rPr>
                <w:spacing w:val="8"/>
                <w:sz w:val="20"/>
                <w:szCs w:val="20"/>
              </w:rPr>
              <w:t>，产生量约</w:t>
            </w:r>
            <w:r>
              <w:rPr>
                <w:spacing w:val="-37"/>
                <w:sz w:val="20"/>
                <w:szCs w:val="20"/>
              </w:rPr>
              <w:t xml:space="preserve"> </w:t>
            </w:r>
            <w:r>
              <w:rPr>
                <w:rFonts w:ascii="Times New Roman" w:hAnsi="Times New Roman" w:eastAsia="Times New Roman" w:cs="Times New Roman"/>
                <w:spacing w:val="8"/>
                <w:sz w:val="20"/>
                <w:szCs w:val="20"/>
              </w:rPr>
              <w:t>0.2t/a</w:t>
            </w:r>
            <w:r>
              <w:rPr>
                <w:rFonts w:ascii="Times New Roman" w:hAnsi="Times New Roman" w:eastAsia="Times New Roman" w:cs="Times New Roman"/>
                <w:spacing w:val="-18"/>
                <w:sz w:val="20"/>
                <w:szCs w:val="20"/>
              </w:rPr>
              <w:t xml:space="preserve"> </w:t>
            </w:r>
            <w:r>
              <w:rPr>
                <w:spacing w:val="8"/>
                <w:sz w:val="20"/>
                <w:szCs w:val="20"/>
              </w:rPr>
              <w:t>。根据《国</w:t>
            </w:r>
            <w:r>
              <w:rPr>
                <w:sz w:val="20"/>
                <w:szCs w:val="20"/>
              </w:rPr>
              <w:t xml:space="preserve"> </w:t>
            </w:r>
            <w:r>
              <w:rPr>
                <w:spacing w:val="1"/>
                <w:sz w:val="20"/>
                <w:szCs w:val="20"/>
              </w:rPr>
              <w:t>家危险废物名录（</w:t>
            </w:r>
            <w:r>
              <w:rPr>
                <w:rFonts w:ascii="Times New Roman" w:hAnsi="Times New Roman" w:eastAsia="Times New Roman" w:cs="Times New Roman"/>
                <w:spacing w:val="1"/>
                <w:sz w:val="20"/>
                <w:szCs w:val="20"/>
              </w:rPr>
              <w:t xml:space="preserve">2021 </w:t>
            </w:r>
            <w:r>
              <w:rPr>
                <w:spacing w:val="1"/>
                <w:sz w:val="20"/>
                <w:szCs w:val="20"/>
              </w:rPr>
              <w:t>年版）》，废机油桶其中</w:t>
            </w:r>
            <w:r>
              <w:rPr>
                <w:spacing w:val="-39"/>
                <w:sz w:val="20"/>
                <w:szCs w:val="20"/>
              </w:rPr>
              <w:t xml:space="preserve"> </w:t>
            </w:r>
            <w:r>
              <w:rPr>
                <w:rFonts w:ascii="Times New Roman" w:hAnsi="Times New Roman" w:eastAsia="Times New Roman" w:cs="Times New Roman"/>
                <w:sz w:val="20"/>
                <w:szCs w:val="20"/>
              </w:rPr>
              <w:t>HW</w:t>
            </w:r>
            <w:r>
              <w:rPr>
                <w:rFonts w:ascii="Times New Roman" w:hAnsi="Times New Roman" w:eastAsia="Times New Roman" w:cs="Times New Roman"/>
                <w:spacing w:val="1"/>
                <w:sz w:val="20"/>
                <w:szCs w:val="20"/>
              </w:rPr>
              <w:t xml:space="preserve">08 </w:t>
            </w:r>
            <w:r>
              <w:rPr>
                <w:spacing w:val="1"/>
                <w:sz w:val="20"/>
                <w:szCs w:val="20"/>
              </w:rPr>
              <w:t>类，危废代码：</w:t>
            </w:r>
            <w:r>
              <w:rPr>
                <w:rFonts w:ascii="Times New Roman" w:hAnsi="Times New Roman" w:eastAsia="Times New Roman" w:cs="Times New Roman"/>
                <w:spacing w:val="1"/>
                <w:sz w:val="20"/>
                <w:szCs w:val="20"/>
              </w:rPr>
              <w:t>900-249-08</w:t>
            </w:r>
            <w:r>
              <w:rPr>
                <w:rFonts w:ascii="Times New Roman" w:hAnsi="Times New Roman" w:eastAsia="Times New Roman" w:cs="Times New Roman"/>
                <w:spacing w:val="-20"/>
                <w:sz w:val="20"/>
                <w:szCs w:val="20"/>
              </w:rPr>
              <w:t xml:space="preserve"> </w:t>
            </w:r>
            <w:r>
              <w:rPr>
                <w:spacing w:val="1"/>
                <w:sz w:val="20"/>
                <w:szCs w:val="20"/>
              </w:rPr>
              <w:t>。应纳</w:t>
            </w:r>
            <w:r>
              <w:rPr>
                <w:sz w:val="20"/>
                <w:szCs w:val="20"/>
              </w:rPr>
              <w:t xml:space="preserve"> </w:t>
            </w:r>
            <w:r>
              <w:rPr>
                <w:spacing w:val="9"/>
                <w:sz w:val="20"/>
                <w:szCs w:val="20"/>
              </w:rPr>
              <w:t>入危废管理，专用容器收集暂存在危废间内，委托有资质的单位回收处置。</w:t>
            </w:r>
          </w:p>
          <w:p w14:paraId="699DD540">
            <w:pPr>
              <w:pStyle w:val="6"/>
              <w:spacing w:before="33" w:line="228" w:lineRule="auto"/>
              <w:ind w:left="537"/>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）废</w:t>
            </w:r>
            <w:r>
              <w:rPr>
                <w:spacing w:val="-47"/>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15"/>
                <w:sz w:val="20"/>
                <w:szCs w:val="20"/>
              </w:rPr>
              <w:t xml:space="preserve"> </w:t>
            </w:r>
            <w:r>
              <w:rPr>
                <w:spacing w:val="6"/>
                <w:sz w:val="20"/>
                <w:szCs w:val="20"/>
              </w:rPr>
              <w:t>灯管</w:t>
            </w:r>
          </w:p>
          <w:p w14:paraId="4FA57421">
            <w:pPr>
              <w:pStyle w:val="6"/>
              <w:spacing w:before="152" w:line="362" w:lineRule="auto"/>
              <w:ind w:left="106" w:right="34" w:firstLine="419"/>
              <w:rPr>
                <w:sz w:val="20"/>
                <w:szCs w:val="20"/>
              </w:rPr>
            </w:pPr>
            <w:r>
              <w:rPr>
                <w:spacing w:val="4"/>
                <w:sz w:val="20"/>
                <w:szCs w:val="20"/>
              </w:rPr>
              <w:t>废</w:t>
            </w:r>
            <w:r>
              <w:rPr>
                <w:spacing w:val="-46"/>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14"/>
                <w:w w:val="101"/>
                <w:sz w:val="20"/>
                <w:szCs w:val="20"/>
              </w:rPr>
              <w:t xml:space="preserve"> </w:t>
            </w:r>
            <w:r>
              <w:rPr>
                <w:spacing w:val="4"/>
                <w:sz w:val="20"/>
                <w:szCs w:val="20"/>
              </w:rPr>
              <w:t>灯管主要产生于废气处理环节。根据经验数据，</w:t>
            </w:r>
            <w:r>
              <w:rPr>
                <w:rFonts w:ascii="Times New Roman" w:hAnsi="Times New Roman" w:eastAsia="Times New Roman" w:cs="Times New Roman"/>
                <w:sz w:val="20"/>
                <w:szCs w:val="20"/>
              </w:rPr>
              <w:t>UV</w:t>
            </w:r>
            <w:r>
              <w:rPr>
                <w:rFonts w:ascii="Times New Roman" w:hAnsi="Times New Roman" w:eastAsia="Times New Roman" w:cs="Times New Roman"/>
                <w:spacing w:val="4"/>
                <w:sz w:val="20"/>
                <w:szCs w:val="20"/>
              </w:rPr>
              <w:t xml:space="preserve"> </w:t>
            </w:r>
            <w:r>
              <w:rPr>
                <w:spacing w:val="4"/>
                <w:sz w:val="20"/>
                <w:szCs w:val="20"/>
              </w:rPr>
              <w:t>灯管的使用寿命为</w:t>
            </w:r>
            <w:r>
              <w:rPr>
                <w:spacing w:val="-32"/>
                <w:sz w:val="20"/>
                <w:szCs w:val="20"/>
              </w:rPr>
              <w:t xml:space="preserve"> </w:t>
            </w:r>
            <w:r>
              <w:rPr>
                <w:rFonts w:ascii="Times New Roman" w:hAnsi="Times New Roman" w:eastAsia="Times New Roman" w:cs="Times New Roman"/>
                <w:spacing w:val="4"/>
                <w:sz w:val="20"/>
                <w:szCs w:val="20"/>
              </w:rPr>
              <w:t>80</w:t>
            </w:r>
            <w:r>
              <w:rPr>
                <w:rFonts w:ascii="Times New Roman" w:hAnsi="Times New Roman" w:eastAsia="Times New Roman" w:cs="Times New Roman"/>
                <w:spacing w:val="3"/>
                <w:sz w:val="20"/>
                <w:szCs w:val="20"/>
              </w:rPr>
              <w:t>0h</w:t>
            </w:r>
            <w:r>
              <w:rPr>
                <w:spacing w:val="3"/>
                <w:sz w:val="20"/>
                <w:szCs w:val="20"/>
              </w:rPr>
              <w:t>。</w:t>
            </w:r>
            <w:r>
              <w:rPr>
                <w:sz w:val="20"/>
                <w:szCs w:val="20"/>
              </w:rPr>
              <w:t xml:space="preserve"> </w:t>
            </w:r>
            <w:r>
              <w:rPr>
                <w:spacing w:val="8"/>
                <w:sz w:val="20"/>
                <w:szCs w:val="20"/>
              </w:rPr>
              <w:t>本项目废气处理设备年运行时间为</w:t>
            </w:r>
            <w:r>
              <w:rPr>
                <w:spacing w:val="-38"/>
                <w:sz w:val="20"/>
                <w:szCs w:val="20"/>
              </w:rPr>
              <w:t xml:space="preserve"> </w:t>
            </w:r>
            <w:r>
              <w:rPr>
                <w:rFonts w:ascii="Times New Roman" w:hAnsi="Times New Roman" w:eastAsia="Times New Roman" w:cs="Times New Roman"/>
                <w:spacing w:val="8"/>
                <w:sz w:val="20"/>
                <w:szCs w:val="20"/>
              </w:rPr>
              <w:t>3000h</w:t>
            </w:r>
            <w:r>
              <w:rPr>
                <w:rFonts w:ascii="Times New Roman" w:hAnsi="Times New Roman" w:eastAsia="Times New Roman" w:cs="Times New Roman"/>
                <w:spacing w:val="-26"/>
                <w:sz w:val="20"/>
                <w:szCs w:val="20"/>
              </w:rPr>
              <w:t xml:space="preserve"> </w:t>
            </w:r>
            <w:r>
              <w:rPr>
                <w:spacing w:val="8"/>
                <w:sz w:val="20"/>
                <w:szCs w:val="20"/>
              </w:rPr>
              <w:t>，则每年需更换</w:t>
            </w:r>
            <w:r>
              <w:rPr>
                <w:spacing w:val="-44"/>
                <w:sz w:val="20"/>
                <w:szCs w:val="20"/>
              </w:rPr>
              <w:t xml:space="preserve"> </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17"/>
                <w:w w:val="101"/>
                <w:sz w:val="20"/>
                <w:szCs w:val="20"/>
              </w:rPr>
              <w:t xml:space="preserve"> </w:t>
            </w:r>
            <w:r>
              <w:rPr>
                <w:spacing w:val="8"/>
                <w:sz w:val="20"/>
                <w:szCs w:val="20"/>
              </w:rPr>
              <w:t>次</w:t>
            </w:r>
            <w:r>
              <w:rPr>
                <w:spacing w:val="-47"/>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8"/>
                <w:sz w:val="20"/>
                <w:szCs w:val="20"/>
              </w:rPr>
              <w:t xml:space="preserve"> </w:t>
            </w:r>
            <w:r>
              <w:rPr>
                <w:spacing w:val="8"/>
                <w:sz w:val="20"/>
                <w:szCs w:val="20"/>
              </w:rPr>
              <w:t>灯</w:t>
            </w:r>
            <w:r>
              <w:rPr>
                <w:spacing w:val="7"/>
                <w:sz w:val="20"/>
                <w:szCs w:val="20"/>
              </w:rPr>
              <w:t>管。单次更换量约</w:t>
            </w:r>
            <w:r>
              <w:rPr>
                <w:sz w:val="20"/>
                <w:szCs w:val="20"/>
              </w:rPr>
              <w:t xml:space="preserve"> </w:t>
            </w:r>
            <w:r>
              <w:rPr>
                <w:rFonts w:ascii="Times New Roman" w:hAnsi="Times New Roman" w:eastAsia="Times New Roman" w:cs="Times New Roman"/>
                <w:spacing w:val="5"/>
                <w:sz w:val="20"/>
                <w:szCs w:val="20"/>
              </w:rPr>
              <w:t xml:space="preserve">10 </w:t>
            </w:r>
            <w:r>
              <w:rPr>
                <w:spacing w:val="5"/>
                <w:sz w:val="20"/>
                <w:szCs w:val="20"/>
              </w:rPr>
              <w:t>支，每支灯管</w:t>
            </w:r>
            <w:r>
              <w:rPr>
                <w:spacing w:val="-37"/>
                <w:sz w:val="20"/>
                <w:szCs w:val="20"/>
              </w:rPr>
              <w:t xml:space="preserve"> </w:t>
            </w:r>
            <w:r>
              <w:rPr>
                <w:rFonts w:ascii="Times New Roman" w:hAnsi="Times New Roman" w:eastAsia="Times New Roman" w:cs="Times New Roman"/>
                <w:spacing w:val="5"/>
                <w:sz w:val="20"/>
                <w:szCs w:val="20"/>
              </w:rPr>
              <w:t>300g</w:t>
            </w:r>
            <w:r>
              <w:rPr>
                <w:rFonts w:ascii="Times New Roman" w:hAnsi="Times New Roman" w:eastAsia="Times New Roman" w:cs="Times New Roman"/>
                <w:spacing w:val="-23"/>
                <w:sz w:val="20"/>
                <w:szCs w:val="20"/>
              </w:rPr>
              <w:t xml:space="preserve"> </w:t>
            </w:r>
            <w:r>
              <w:rPr>
                <w:spacing w:val="5"/>
                <w:sz w:val="20"/>
                <w:szCs w:val="20"/>
              </w:rPr>
              <w:t>，即废</w:t>
            </w:r>
            <w:r>
              <w:rPr>
                <w:spacing w:val="-47"/>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15"/>
                <w:sz w:val="20"/>
                <w:szCs w:val="20"/>
              </w:rPr>
              <w:t xml:space="preserve"> </w:t>
            </w:r>
            <w:r>
              <w:rPr>
                <w:spacing w:val="5"/>
                <w:sz w:val="20"/>
                <w:szCs w:val="20"/>
              </w:rPr>
              <w:t>灯管产生量为</w:t>
            </w:r>
            <w:r>
              <w:rPr>
                <w:spacing w:val="-40"/>
                <w:sz w:val="20"/>
                <w:szCs w:val="20"/>
              </w:rPr>
              <w:t xml:space="preserve"> </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4"/>
                <w:sz w:val="20"/>
                <w:szCs w:val="20"/>
              </w:rPr>
              <w:t>012t/a</w:t>
            </w:r>
            <w:r>
              <w:rPr>
                <w:spacing w:val="4"/>
                <w:sz w:val="20"/>
                <w:szCs w:val="20"/>
              </w:rPr>
              <w:t>。废</w:t>
            </w:r>
            <w:r>
              <w:rPr>
                <w:spacing w:val="-46"/>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14"/>
                <w:w w:val="101"/>
                <w:sz w:val="20"/>
                <w:szCs w:val="20"/>
              </w:rPr>
              <w:t xml:space="preserve"> </w:t>
            </w:r>
            <w:r>
              <w:rPr>
                <w:spacing w:val="4"/>
                <w:sz w:val="20"/>
                <w:szCs w:val="20"/>
              </w:rPr>
              <w:t>灯管属于</w:t>
            </w:r>
            <w:r>
              <w:rPr>
                <w:spacing w:val="-44"/>
                <w:sz w:val="20"/>
                <w:szCs w:val="20"/>
              </w:rPr>
              <w:t xml:space="preserve"> </w:t>
            </w:r>
            <w:r>
              <w:rPr>
                <w:rFonts w:ascii="Times New Roman" w:hAnsi="Times New Roman" w:eastAsia="Times New Roman" w:cs="Times New Roman"/>
                <w:sz w:val="20"/>
                <w:szCs w:val="20"/>
              </w:rPr>
              <w:t>HW</w:t>
            </w:r>
            <w:r>
              <w:rPr>
                <w:rFonts w:ascii="Times New Roman" w:hAnsi="Times New Roman" w:eastAsia="Times New Roman" w:cs="Times New Roman"/>
                <w:spacing w:val="4"/>
                <w:sz w:val="20"/>
                <w:szCs w:val="20"/>
              </w:rPr>
              <w:t>29</w:t>
            </w:r>
            <w:r>
              <w:rPr>
                <w:rFonts w:ascii="Times New Roman" w:hAnsi="Times New Roman" w:eastAsia="Times New Roman" w:cs="Times New Roman"/>
                <w:spacing w:val="14"/>
                <w:w w:val="101"/>
                <w:sz w:val="20"/>
                <w:szCs w:val="20"/>
              </w:rPr>
              <w:t xml:space="preserve"> </w:t>
            </w:r>
            <w:r>
              <w:rPr>
                <w:spacing w:val="4"/>
                <w:sz w:val="20"/>
                <w:szCs w:val="20"/>
              </w:rPr>
              <w:t>含汞废</w:t>
            </w:r>
            <w:r>
              <w:rPr>
                <w:sz w:val="20"/>
                <w:szCs w:val="20"/>
              </w:rPr>
              <w:t xml:space="preserve"> </w:t>
            </w:r>
            <w:r>
              <w:rPr>
                <w:spacing w:val="9"/>
                <w:sz w:val="20"/>
                <w:szCs w:val="20"/>
              </w:rPr>
              <w:t>物（废物代码</w:t>
            </w:r>
            <w:r>
              <w:rPr>
                <w:rFonts w:ascii="Times New Roman" w:hAnsi="Times New Roman" w:eastAsia="Times New Roman" w:cs="Times New Roman"/>
                <w:spacing w:val="9"/>
                <w:sz w:val="20"/>
                <w:szCs w:val="20"/>
              </w:rPr>
              <w:t>900-023-29</w:t>
            </w:r>
            <w:r>
              <w:rPr>
                <w:spacing w:val="9"/>
                <w:sz w:val="20"/>
                <w:szCs w:val="20"/>
              </w:rPr>
              <w:t>）。废</w:t>
            </w:r>
            <w:r>
              <w:rPr>
                <w:spacing w:val="-44"/>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9"/>
                <w:sz w:val="20"/>
                <w:szCs w:val="20"/>
              </w:rPr>
              <w:t xml:space="preserve"> </w:t>
            </w:r>
            <w:r>
              <w:rPr>
                <w:spacing w:val="9"/>
                <w:sz w:val="20"/>
                <w:szCs w:val="20"/>
              </w:rPr>
              <w:t>灯管应纳入危废管理，专用容器收集暂存在</w:t>
            </w:r>
            <w:r>
              <w:rPr>
                <w:spacing w:val="8"/>
                <w:sz w:val="20"/>
                <w:szCs w:val="20"/>
              </w:rPr>
              <w:t>危废间</w:t>
            </w:r>
            <w:r>
              <w:rPr>
                <w:sz w:val="20"/>
                <w:szCs w:val="20"/>
              </w:rPr>
              <w:t xml:space="preserve"> </w:t>
            </w:r>
            <w:r>
              <w:rPr>
                <w:spacing w:val="8"/>
                <w:sz w:val="20"/>
                <w:szCs w:val="20"/>
              </w:rPr>
              <w:t>内，委托有资质的单位回收处置。</w:t>
            </w:r>
          </w:p>
          <w:p w14:paraId="38F26EA9">
            <w:pPr>
              <w:pStyle w:val="6"/>
              <w:spacing w:before="41" w:line="228" w:lineRule="auto"/>
              <w:ind w:left="537"/>
              <w:rPr>
                <w:sz w:val="20"/>
                <w:szCs w:val="20"/>
              </w:rPr>
            </w:pPr>
            <w:r>
              <w:rPr>
                <w:spacing w:val="6"/>
                <w:sz w:val="20"/>
                <w:szCs w:val="20"/>
              </w:rPr>
              <w:t>（</w:t>
            </w:r>
            <w:r>
              <w:rPr>
                <w:rFonts w:ascii="Times New Roman" w:hAnsi="Times New Roman" w:eastAsia="Times New Roman" w:cs="Times New Roman"/>
                <w:spacing w:val="6"/>
                <w:sz w:val="20"/>
                <w:szCs w:val="20"/>
              </w:rPr>
              <w:t>4</w:t>
            </w:r>
            <w:r>
              <w:rPr>
                <w:spacing w:val="6"/>
                <w:sz w:val="20"/>
                <w:szCs w:val="20"/>
              </w:rPr>
              <w:t>）废活性炭</w:t>
            </w:r>
          </w:p>
          <w:p w14:paraId="66D84F05">
            <w:pPr>
              <w:pStyle w:val="6"/>
              <w:spacing w:before="155" w:line="339" w:lineRule="auto"/>
              <w:ind w:left="105" w:right="102" w:firstLine="425"/>
              <w:rPr>
                <w:sz w:val="20"/>
                <w:szCs w:val="20"/>
              </w:rPr>
            </w:pPr>
            <w:r>
              <w:rPr>
                <w:spacing w:val="8"/>
                <w:sz w:val="20"/>
                <w:szCs w:val="20"/>
              </w:rPr>
              <w:t>项目废活性炭产生于有机废气处理设备。根据前文分析，本项目拟对</w:t>
            </w:r>
            <w:r>
              <w:rPr>
                <w:spacing w:val="7"/>
                <w:sz w:val="20"/>
                <w:szCs w:val="20"/>
              </w:rPr>
              <w:t>活性炭吸附装</w:t>
            </w:r>
            <w:r>
              <w:rPr>
                <w:sz w:val="20"/>
                <w:szCs w:val="20"/>
              </w:rPr>
              <w:t xml:space="preserve"> </w:t>
            </w:r>
            <w:r>
              <w:rPr>
                <w:spacing w:val="6"/>
                <w:sz w:val="20"/>
                <w:szCs w:val="20"/>
              </w:rPr>
              <w:t>置的更换频率控制在</w:t>
            </w:r>
            <w:r>
              <w:rPr>
                <w:spacing w:val="-39"/>
                <w:sz w:val="20"/>
                <w:szCs w:val="20"/>
              </w:rPr>
              <w:t xml:space="preserve"> </w:t>
            </w:r>
            <w:r>
              <w:rPr>
                <w:rFonts w:ascii="Times New Roman" w:hAnsi="Times New Roman" w:eastAsia="Times New Roman" w:cs="Times New Roman"/>
                <w:spacing w:val="6"/>
                <w:sz w:val="20"/>
                <w:szCs w:val="20"/>
              </w:rPr>
              <w:t xml:space="preserve">3 </w:t>
            </w:r>
            <w:r>
              <w:rPr>
                <w:spacing w:val="6"/>
                <w:sz w:val="20"/>
                <w:szCs w:val="20"/>
              </w:rPr>
              <w:t>个月一次。根据</w:t>
            </w:r>
            <w:r>
              <w:rPr>
                <w:spacing w:val="-21"/>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kg</w:t>
            </w:r>
            <w:r>
              <w:rPr>
                <w:rFonts w:ascii="Times New Roman" w:hAnsi="Times New Roman" w:eastAsia="Times New Roman" w:cs="Times New Roman"/>
                <w:spacing w:val="16"/>
                <w:sz w:val="20"/>
                <w:szCs w:val="20"/>
              </w:rPr>
              <w:t xml:space="preserve"> </w:t>
            </w:r>
            <w:r>
              <w:rPr>
                <w:spacing w:val="6"/>
                <w:sz w:val="20"/>
                <w:szCs w:val="20"/>
              </w:rPr>
              <w:t>活性炭约吸附</w:t>
            </w:r>
            <w:r>
              <w:rPr>
                <w:spacing w:val="-43"/>
                <w:sz w:val="20"/>
                <w:szCs w:val="20"/>
              </w:rPr>
              <w:t xml:space="preserve"> </w:t>
            </w:r>
            <w:r>
              <w:rPr>
                <w:rFonts w:ascii="Times New Roman" w:hAnsi="Times New Roman" w:eastAsia="Times New Roman" w:cs="Times New Roman"/>
                <w:sz w:val="20"/>
                <w:szCs w:val="20"/>
              </w:rPr>
              <w:t>VOC</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10"/>
                <w:w w:val="101"/>
                <w:position w:val="-1"/>
                <w:sz w:val="13"/>
                <w:szCs w:val="13"/>
              </w:rPr>
              <w:t xml:space="preserve"> </w:t>
            </w:r>
            <w:r>
              <w:rPr>
                <w:spacing w:val="6"/>
                <w:sz w:val="20"/>
                <w:szCs w:val="20"/>
              </w:rPr>
              <w:t>废气</w:t>
            </w:r>
            <w:r>
              <w:rPr>
                <w:spacing w:val="-38"/>
                <w:sz w:val="20"/>
                <w:szCs w:val="20"/>
              </w:rPr>
              <w:t xml:space="preserve"> </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5"/>
                <w:sz w:val="20"/>
                <w:szCs w:val="20"/>
              </w:rPr>
              <w:t>25</w:t>
            </w:r>
            <w:r>
              <w:rPr>
                <w:rFonts w:ascii="Times New Roman" w:hAnsi="Times New Roman" w:eastAsia="Times New Roman" w:cs="Times New Roman"/>
                <w:sz w:val="20"/>
                <w:szCs w:val="20"/>
              </w:rPr>
              <w:t>kg</w:t>
            </w:r>
            <w:r>
              <w:rPr>
                <w:rFonts w:ascii="Times New Roman" w:hAnsi="Times New Roman" w:eastAsia="Times New Roman" w:cs="Times New Roman"/>
                <w:spacing w:val="5"/>
                <w:sz w:val="20"/>
                <w:szCs w:val="20"/>
              </w:rPr>
              <w:t xml:space="preserve"> </w:t>
            </w:r>
            <w:r>
              <w:rPr>
                <w:spacing w:val="5"/>
                <w:sz w:val="20"/>
                <w:szCs w:val="20"/>
              </w:rPr>
              <w:t>计算，本项</w:t>
            </w:r>
            <w:r>
              <w:rPr>
                <w:sz w:val="20"/>
                <w:szCs w:val="20"/>
              </w:rPr>
              <w:t xml:space="preserve"> </w:t>
            </w:r>
            <w:r>
              <w:rPr>
                <w:spacing w:val="7"/>
                <w:sz w:val="20"/>
                <w:szCs w:val="20"/>
              </w:rPr>
              <w:t>目共产生</w:t>
            </w:r>
            <w:r>
              <w:rPr>
                <w:spacing w:val="-29"/>
                <w:sz w:val="20"/>
                <w:szCs w:val="20"/>
              </w:rPr>
              <w:t xml:space="preserve"> </w:t>
            </w:r>
            <w:r>
              <w:rPr>
                <w:rFonts w:ascii="Times New Roman" w:hAnsi="Times New Roman" w:eastAsia="Times New Roman" w:cs="Times New Roman"/>
                <w:spacing w:val="7"/>
                <w:sz w:val="20"/>
                <w:szCs w:val="20"/>
              </w:rPr>
              <w:t xml:space="preserve">6.5t </w:t>
            </w:r>
            <w:r>
              <w:rPr>
                <w:spacing w:val="7"/>
                <w:sz w:val="20"/>
                <w:szCs w:val="20"/>
              </w:rPr>
              <w:t>有机废气。根据行业经验数据，废气处理设施前端的</w:t>
            </w:r>
            <w:r>
              <w:rPr>
                <w:spacing w:val="-46"/>
                <w:sz w:val="20"/>
                <w:szCs w:val="20"/>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pacing w:val="15"/>
                <w:sz w:val="20"/>
                <w:szCs w:val="20"/>
              </w:rPr>
              <w:t xml:space="preserve"> </w:t>
            </w:r>
            <w:r>
              <w:rPr>
                <w:spacing w:val="7"/>
                <w:sz w:val="20"/>
                <w:szCs w:val="20"/>
              </w:rPr>
              <w:t>光解能够处理掉</w:t>
            </w:r>
            <w:r>
              <w:rPr>
                <w:sz w:val="20"/>
                <w:szCs w:val="20"/>
              </w:rPr>
              <w:t xml:space="preserve"> </w:t>
            </w:r>
            <w:r>
              <w:rPr>
                <w:spacing w:val="6"/>
                <w:sz w:val="20"/>
                <w:szCs w:val="20"/>
              </w:rPr>
              <w:t>约</w:t>
            </w:r>
            <w:r>
              <w:rPr>
                <w:spacing w:val="-26"/>
                <w:sz w:val="20"/>
                <w:szCs w:val="20"/>
              </w:rPr>
              <w:t xml:space="preserve"> </w:t>
            </w:r>
            <w:r>
              <w:rPr>
                <w:rFonts w:ascii="Times New Roman" w:hAnsi="Times New Roman" w:eastAsia="Times New Roman" w:cs="Times New Roman"/>
                <w:spacing w:val="6"/>
                <w:sz w:val="20"/>
                <w:szCs w:val="20"/>
              </w:rPr>
              <w:t>30%</w:t>
            </w:r>
            <w:r>
              <w:rPr>
                <w:spacing w:val="6"/>
                <w:sz w:val="20"/>
                <w:szCs w:val="20"/>
              </w:rPr>
              <w:t>的有机废气，则需要活性炭吸附处理的有机废气量约</w:t>
            </w:r>
            <w:r>
              <w:rPr>
                <w:spacing w:val="-44"/>
                <w:sz w:val="20"/>
                <w:szCs w:val="20"/>
              </w:rPr>
              <w:t xml:space="preserve"> </w:t>
            </w:r>
            <w:r>
              <w:rPr>
                <w:rFonts w:ascii="Times New Roman" w:hAnsi="Times New Roman" w:eastAsia="Times New Roman" w:cs="Times New Roman"/>
                <w:spacing w:val="6"/>
                <w:sz w:val="20"/>
                <w:szCs w:val="20"/>
              </w:rPr>
              <w:t>4.55t/a</w:t>
            </w:r>
            <w:r>
              <w:rPr>
                <w:spacing w:val="6"/>
                <w:sz w:val="20"/>
                <w:szCs w:val="20"/>
              </w:rPr>
              <w:t>，经计算需要使用活</w:t>
            </w:r>
          </w:p>
        </w:tc>
      </w:tr>
    </w:tbl>
    <w:p w14:paraId="1B70DCDB">
      <w:pPr>
        <w:pStyle w:val="2"/>
      </w:pPr>
    </w:p>
    <w:p w14:paraId="27579407">
      <w:pPr>
        <w:sectPr>
          <w:footerReference r:id="rId80" w:type="default"/>
          <w:pgSz w:w="11907" w:h="16840"/>
          <w:pgMar w:top="1431" w:right="1490" w:bottom="1260" w:left="1489" w:header="0" w:footer="1080" w:gutter="0"/>
          <w:cols w:space="720" w:num="1"/>
        </w:sectPr>
      </w:pPr>
    </w:p>
    <w:p w14:paraId="621711DB">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1328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8" w:hRule="atLeast"/>
        </w:trPr>
        <w:tc>
          <w:tcPr>
            <w:tcW w:w="785" w:type="dxa"/>
            <w:tcBorders>
              <w:top w:val="single" w:color="000000" w:sz="2" w:space="0"/>
              <w:right w:val="single" w:color="000000" w:sz="2" w:space="0"/>
            </w:tcBorders>
            <w:vAlign w:val="top"/>
          </w:tcPr>
          <w:p w14:paraId="45C4CB64">
            <w:pPr>
              <w:rPr>
                <w:rFonts w:ascii="Arial"/>
                <w:sz w:val="21"/>
              </w:rPr>
            </w:pPr>
          </w:p>
        </w:tc>
        <w:tc>
          <w:tcPr>
            <w:tcW w:w="8127" w:type="dxa"/>
            <w:tcBorders>
              <w:top w:val="single" w:color="000000" w:sz="2" w:space="0"/>
              <w:left w:val="single" w:color="000000" w:sz="2" w:space="0"/>
            </w:tcBorders>
            <w:vAlign w:val="top"/>
          </w:tcPr>
          <w:p w14:paraId="5F6B8616">
            <w:pPr>
              <w:pStyle w:val="6"/>
              <w:spacing w:before="145" w:line="229" w:lineRule="auto"/>
              <w:ind w:left="109"/>
              <w:rPr>
                <w:sz w:val="20"/>
                <w:szCs w:val="20"/>
              </w:rPr>
            </w:pPr>
            <w:r>
              <w:rPr>
                <w:spacing w:val="1"/>
                <w:sz w:val="20"/>
                <w:szCs w:val="20"/>
              </w:rPr>
              <w:t>性炭的量约</w:t>
            </w:r>
            <w:r>
              <w:rPr>
                <w:spacing w:val="-13"/>
                <w:sz w:val="20"/>
                <w:szCs w:val="20"/>
              </w:rPr>
              <w:t xml:space="preserve"> </w:t>
            </w:r>
            <w:r>
              <w:rPr>
                <w:rFonts w:ascii="Times New Roman" w:hAnsi="Times New Roman" w:eastAsia="Times New Roman" w:cs="Times New Roman"/>
                <w:spacing w:val="1"/>
                <w:sz w:val="20"/>
                <w:szCs w:val="20"/>
              </w:rPr>
              <w:t>18.2t/a</w:t>
            </w:r>
            <w:r>
              <w:rPr>
                <w:rFonts w:ascii="Times New Roman" w:hAnsi="Times New Roman" w:eastAsia="Times New Roman" w:cs="Times New Roman"/>
                <w:spacing w:val="29"/>
                <w:sz w:val="20"/>
                <w:szCs w:val="20"/>
              </w:rPr>
              <w:t xml:space="preserve"> </w:t>
            </w:r>
            <w:r>
              <w:rPr>
                <w:spacing w:val="1"/>
                <w:sz w:val="20"/>
                <w:szCs w:val="20"/>
              </w:rPr>
              <w:t>的。</w:t>
            </w:r>
          </w:p>
          <w:p w14:paraId="07B1210C">
            <w:pPr>
              <w:pStyle w:val="6"/>
              <w:spacing w:before="150" w:line="360" w:lineRule="auto"/>
              <w:ind w:left="107" w:right="50" w:firstLine="418"/>
              <w:jc w:val="both"/>
              <w:rPr>
                <w:sz w:val="20"/>
                <w:szCs w:val="20"/>
              </w:rPr>
            </w:pPr>
            <w:r>
              <w:rPr>
                <w:spacing w:val="2"/>
                <w:sz w:val="20"/>
                <w:szCs w:val="20"/>
              </w:rPr>
              <w:t>废活性炭属于</w:t>
            </w:r>
            <w:r>
              <w:rPr>
                <w:spacing w:val="-25"/>
                <w:sz w:val="20"/>
                <w:szCs w:val="20"/>
              </w:rPr>
              <w:t xml:space="preserve"> </w:t>
            </w:r>
            <w:r>
              <w:rPr>
                <w:rFonts w:ascii="Times New Roman" w:hAnsi="Times New Roman" w:eastAsia="Times New Roman" w:cs="Times New Roman"/>
                <w:sz w:val="20"/>
                <w:szCs w:val="20"/>
              </w:rPr>
              <w:t>HW</w:t>
            </w:r>
            <w:r>
              <w:rPr>
                <w:rFonts w:ascii="Times New Roman" w:hAnsi="Times New Roman" w:eastAsia="Times New Roman" w:cs="Times New Roman"/>
                <w:spacing w:val="2"/>
                <w:sz w:val="20"/>
                <w:szCs w:val="20"/>
              </w:rPr>
              <w:t xml:space="preserve">49 </w:t>
            </w:r>
            <w:r>
              <w:rPr>
                <w:spacing w:val="2"/>
                <w:sz w:val="20"/>
                <w:szCs w:val="20"/>
              </w:rPr>
              <w:t>其他废物类危险废物，废物代码</w:t>
            </w:r>
            <w:r>
              <w:rPr>
                <w:spacing w:val="-37"/>
                <w:sz w:val="20"/>
                <w:szCs w:val="20"/>
              </w:rPr>
              <w:t xml:space="preserve"> </w:t>
            </w:r>
            <w:r>
              <w:rPr>
                <w:rFonts w:ascii="Times New Roman" w:hAnsi="Times New Roman" w:eastAsia="Times New Roman" w:cs="Times New Roman"/>
                <w:spacing w:val="2"/>
                <w:sz w:val="20"/>
                <w:szCs w:val="20"/>
              </w:rPr>
              <w:t>900-039-49</w:t>
            </w:r>
            <w:r>
              <w:rPr>
                <w:spacing w:val="2"/>
                <w:sz w:val="20"/>
                <w:szCs w:val="20"/>
              </w:rPr>
              <w:t>。应纳入危废管理，</w:t>
            </w:r>
            <w:r>
              <w:rPr>
                <w:sz w:val="20"/>
                <w:szCs w:val="20"/>
              </w:rPr>
              <w:t xml:space="preserve"> </w:t>
            </w:r>
            <w:r>
              <w:rPr>
                <w:spacing w:val="8"/>
                <w:sz w:val="20"/>
                <w:szCs w:val="20"/>
              </w:rPr>
              <w:t>专用容器收集暂存在危废间内，委托有资质的单位回收处置。本项目不进行活性炭的再</w:t>
            </w:r>
            <w:r>
              <w:rPr>
                <w:spacing w:val="1"/>
                <w:sz w:val="20"/>
                <w:szCs w:val="20"/>
              </w:rPr>
              <w:t xml:space="preserve"> </w:t>
            </w:r>
            <w:r>
              <w:rPr>
                <w:spacing w:val="9"/>
                <w:sz w:val="20"/>
                <w:szCs w:val="20"/>
              </w:rPr>
              <w:t>生，更换后暂存在危废间，委托有资质的单位回收处置。</w:t>
            </w:r>
          </w:p>
          <w:p w14:paraId="6F4A6F62">
            <w:pPr>
              <w:pStyle w:val="6"/>
              <w:spacing w:before="28" w:line="228" w:lineRule="auto"/>
              <w:ind w:left="530"/>
              <w:rPr>
                <w:sz w:val="20"/>
                <w:szCs w:val="20"/>
              </w:rPr>
            </w:pPr>
            <w:r>
              <w:rPr>
                <w:spacing w:val="7"/>
                <w:sz w:val="20"/>
                <w:szCs w:val="20"/>
              </w:rPr>
              <w:t>项目危险废物产生及处置情况见表</w:t>
            </w:r>
            <w:r>
              <w:rPr>
                <w:spacing w:val="-35"/>
                <w:sz w:val="20"/>
                <w:szCs w:val="20"/>
              </w:rPr>
              <w:t xml:space="preserve"> </w:t>
            </w:r>
            <w:r>
              <w:rPr>
                <w:rFonts w:ascii="Times New Roman" w:hAnsi="Times New Roman" w:eastAsia="Times New Roman" w:cs="Times New Roman"/>
                <w:spacing w:val="7"/>
                <w:sz w:val="20"/>
                <w:szCs w:val="20"/>
              </w:rPr>
              <w:t>4-13</w:t>
            </w:r>
            <w:r>
              <w:rPr>
                <w:spacing w:val="7"/>
                <w:sz w:val="20"/>
                <w:szCs w:val="20"/>
              </w:rPr>
              <w:t>。</w:t>
            </w:r>
          </w:p>
          <w:p w14:paraId="324C93EE">
            <w:pPr>
              <w:pStyle w:val="6"/>
              <w:spacing w:before="43" w:line="210" w:lineRule="auto"/>
              <w:ind w:left="2641"/>
              <w:rPr>
                <w:sz w:val="18"/>
                <w:szCs w:val="18"/>
              </w:rPr>
            </w:pPr>
            <w:r>
              <w:rPr>
                <w:b/>
                <w:bCs/>
                <w:spacing w:val="-1"/>
                <w:sz w:val="18"/>
                <w:szCs w:val="18"/>
              </w:rPr>
              <w:t>表</w:t>
            </w:r>
            <w:r>
              <w:rPr>
                <w:spacing w:val="-40"/>
                <w:sz w:val="18"/>
                <w:szCs w:val="18"/>
              </w:rPr>
              <w:t xml:space="preserve"> </w:t>
            </w:r>
            <w:r>
              <w:rPr>
                <w:rFonts w:ascii="Times New Roman" w:hAnsi="Times New Roman" w:eastAsia="Times New Roman" w:cs="Times New Roman"/>
                <w:b/>
                <w:bCs/>
                <w:spacing w:val="-1"/>
                <w:sz w:val="18"/>
                <w:szCs w:val="18"/>
              </w:rPr>
              <w:t xml:space="preserve">4-13        </w:t>
            </w:r>
            <w:r>
              <w:rPr>
                <w:b/>
                <w:bCs/>
                <w:spacing w:val="-1"/>
                <w:sz w:val="18"/>
                <w:szCs w:val="18"/>
              </w:rPr>
              <w:t>项目危险废物产生及</w:t>
            </w:r>
            <w:r>
              <w:rPr>
                <w:b/>
                <w:bCs/>
                <w:spacing w:val="-2"/>
                <w:sz w:val="18"/>
                <w:szCs w:val="18"/>
              </w:rPr>
              <w:t>处置情况</w:t>
            </w:r>
          </w:p>
          <w:tbl>
            <w:tblPr>
              <w:tblStyle w:val="5"/>
              <w:tblW w:w="7798"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
              <w:gridCol w:w="886"/>
              <w:gridCol w:w="721"/>
              <w:gridCol w:w="833"/>
              <w:gridCol w:w="774"/>
              <w:gridCol w:w="841"/>
              <w:gridCol w:w="505"/>
              <w:gridCol w:w="645"/>
              <w:gridCol w:w="425"/>
              <w:gridCol w:w="427"/>
              <w:gridCol w:w="619"/>
              <w:gridCol w:w="707"/>
            </w:tblGrid>
            <w:tr w14:paraId="50289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15" w:type="dxa"/>
                  <w:textDirection w:val="tbRlV"/>
                  <w:vAlign w:val="top"/>
                </w:tcPr>
                <w:p w14:paraId="6321CA53">
                  <w:pPr>
                    <w:pStyle w:val="6"/>
                    <w:spacing w:before="115" w:line="210" w:lineRule="auto"/>
                    <w:ind w:left="265"/>
                    <w:rPr>
                      <w:sz w:val="18"/>
                      <w:szCs w:val="18"/>
                    </w:rPr>
                  </w:pPr>
                  <w:r>
                    <w:rPr>
                      <w:b/>
                      <w:bCs/>
                      <w:spacing w:val="24"/>
                      <w:sz w:val="18"/>
                      <w:szCs w:val="18"/>
                    </w:rPr>
                    <w:t>序号</w:t>
                  </w:r>
                </w:p>
              </w:tc>
              <w:tc>
                <w:tcPr>
                  <w:tcW w:w="886" w:type="dxa"/>
                  <w:vAlign w:val="top"/>
                </w:tcPr>
                <w:p w14:paraId="475AFF48">
                  <w:pPr>
                    <w:pStyle w:val="6"/>
                    <w:spacing w:before="264" w:line="230" w:lineRule="auto"/>
                    <w:ind w:left="174" w:right="171" w:firstLine="2"/>
                    <w:rPr>
                      <w:sz w:val="18"/>
                      <w:szCs w:val="18"/>
                    </w:rPr>
                  </w:pPr>
                  <w:r>
                    <w:rPr>
                      <w:b/>
                      <w:bCs/>
                      <w:spacing w:val="-5"/>
                      <w:sz w:val="18"/>
                      <w:szCs w:val="18"/>
                    </w:rPr>
                    <w:t>危险废</w:t>
                  </w:r>
                  <w:r>
                    <w:rPr>
                      <w:spacing w:val="1"/>
                      <w:sz w:val="18"/>
                      <w:szCs w:val="18"/>
                    </w:rPr>
                    <w:t xml:space="preserve"> </w:t>
                  </w:r>
                  <w:r>
                    <w:rPr>
                      <w:b/>
                      <w:bCs/>
                      <w:spacing w:val="-4"/>
                      <w:sz w:val="18"/>
                      <w:szCs w:val="18"/>
                    </w:rPr>
                    <w:t>物名称</w:t>
                  </w:r>
                </w:p>
              </w:tc>
              <w:tc>
                <w:tcPr>
                  <w:tcW w:w="721" w:type="dxa"/>
                  <w:vAlign w:val="top"/>
                </w:tcPr>
                <w:p w14:paraId="6A435E48">
                  <w:pPr>
                    <w:pStyle w:val="6"/>
                    <w:spacing w:before="148" w:line="232" w:lineRule="auto"/>
                    <w:ind w:left="182" w:right="179" w:firstLine="2"/>
                    <w:jc w:val="both"/>
                    <w:rPr>
                      <w:sz w:val="18"/>
                      <w:szCs w:val="18"/>
                    </w:rPr>
                  </w:pPr>
                  <w:r>
                    <w:rPr>
                      <w:b/>
                      <w:bCs/>
                      <w:spacing w:val="-7"/>
                      <w:sz w:val="18"/>
                      <w:szCs w:val="18"/>
                    </w:rPr>
                    <w:t>危险</w:t>
                  </w:r>
                  <w:r>
                    <w:rPr>
                      <w:sz w:val="18"/>
                      <w:szCs w:val="18"/>
                    </w:rPr>
                    <w:t xml:space="preserve"> </w:t>
                  </w:r>
                  <w:r>
                    <w:rPr>
                      <w:b/>
                      <w:bCs/>
                      <w:spacing w:val="-6"/>
                      <w:sz w:val="18"/>
                      <w:szCs w:val="18"/>
                    </w:rPr>
                    <w:t>废物</w:t>
                  </w:r>
                  <w:r>
                    <w:rPr>
                      <w:sz w:val="18"/>
                      <w:szCs w:val="18"/>
                    </w:rPr>
                    <w:t xml:space="preserve"> </w:t>
                  </w:r>
                  <w:r>
                    <w:rPr>
                      <w:b/>
                      <w:bCs/>
                      <w:spacing w:val="-6"/>
                      <w:sz w:val="18"/>
                      <w:szCs w:val="18"/>
                    </w:rPr>
                    <w:t>类别</w:t>
                  </w:r>
                </w:p>
              </w:tc>
              <w:tc>
                <w:tcPr>
                  <w:tcW w:w="833" w:type="dxa"/>
                  <w:vAlign w:val="top"/>
                </w:tcPr>
                <w:p w14:paraId="348E8B60">
                  <w:pPr>
                    <w:pStyle w:val="6"/>
                    <w:spacing w:before="265" w:line="229" w:lineRule="auto"/>
                    <w:ind w:left="148" w:right="143" w:firstLine="2"/>
                    <w:rPr>
                      <w:sz w:val="18"/>
                      <w:szCs w:val="18"/>
                    </w:rPr>
                  </w:pPr>
                  <w:r>
                    <w:rPr>
                      <w:b/>
                      <w:bCs/>
                      <w:spacing w:val="-5"/>
                      <w:sz w:val="18"/>
                      <w:szCs w:val="18"/>
                    </w:rPr>
                    <w:t>危险废</w:t>
                  </w:r>
                  <w:r>
                    <w:rPr>
                      <w:spacing w:val="1"/>
                      <w:sz w:val="18"/>
                      <w:szCs w:val="18"/>
                    </w:rPr>
                    <w:t xml:space="preserve"> </w:t>
                  </w:r>
                  <w:r>
                    <w:rPr>
                      <w:b/>
                      <w:bCs/>
                      <w:spacing w:val="-4"/>
                      <w:sz w:val="18"/>
                      <w:szCs w:val="18"/>
                    </w:rPr>
                    <w:t>物代码</w:t>
                  </w:r>
                </w:p>
              </w:tc>
              <w:tc>
                <w:tcPr>
                  <w:tcW w:w="774" w:type="dxa"/>
                  <w:vAlign w:val="top"/>
                </w:tcPr>
                <w:p w14:paraId="2C6F559C">
                  <w:pPr>
                    <w:pStyle w:val="6"/>
                    <w:spacing w:before="148" w:line="219" w:lineRule="auto"/>
                    <w:ind w:left="119"/>
                    <w:rPr>
                      <w:sz w:val="18"/>
                      <w:szCs w:val="18"/>
                    </w:rPr>
                  </w:pPr>
                  <w:r>
                    <w:rPr>
                      <w:b/>
                      <w:bCs/>
                      <w:spacing w:val="-4"/>
                      <w:sz w:val="18"/>
                      <w:szCs w:val="18"/>
                    </w:rPr>
                    <w:t>产生量</w:t>
                  </w:r>
                </w:p>
                <w:p w14:paraId="4AEBC44D">
                  <w:pPr>
                    <w:pStyle w:val="6"/>
                    <w:spacing w:before="19" w:line="229" w:lineRule="auto"/>
                    <w:ind w:left="211" w:right="221" w:hanging="60"/>
                    <w:rPr>
                      <w:sz w:val="18"/>
                      <w:szCs w:val="18"/>
                    </w:rPr>
                  </w:pPr>
                  <w:r>
                    <w:rPr>
                      <w:b/>
                      <w:bCs/>
                      <w:spacing w:val="-6"/>
                      <w:sz w:val="18"/>
                      <w:szCs w:val="18"/>
                    </w:rPr>
                    <w:t>（吨</w:t>
                  </w:r>
                  <w:r>
                    <w:rPr>
                      <w:rFonts w:ascii="Times New Roman" w:hAnsi="Times New Roman" w:eastAsia="Times New Roman" w:cs="Times New Roman"/>
                      <w:b/>
                      <w:bCs/>
                      <w:spacing w:val="-6"/>
                      <w:sz w:val="18"/>
                      <w:szCs w:val="18"/>
                    </w:rPr>
                    <w:t>/</w:t>
                  </w:r>
                  <w:r>
                    <w:rPr>
                      <w:rFonts w:ascii="Times New Roman" w:hAnsi="Times New Roman" w:eastAsia="Times New Roman" w:cs="Times New Roman"/>
                      <w:b/>
                      <w:bCs/>
                      <w:sz w:val="18"/>
                      <w:szCs w:val="18"/>
                    </w:rPr>
                    <w:t xml:space="preserve"> </w:t>
                  </w:r>
                  <w:r>
                    <w:rPr>
                      <w:b/>
                      <w:bCs/>
                      <w:spacing w:val="-15"/>
                      <w:sz w:val="18"/>
                      <w:szCs w:val="18"/>
                    </w:rPr>
                    <w:t>年）</w:t>
                  </w:r>
                </w:p>
              </w:tc>
              <w:tc>
                <w:tcPr>
                  <w:tcW w:w="841" w:type="dxa"/>
                  <w:vAlign w:val="top"/>
                </w:tcPr>
                <w:p w14:paraId="754954E2">
                  <w:pPr>
                    <w:pStyle w:val="6"/>
                    <w:spacing w:before="148" w:line="219" w:lineRule="auto"/>
                    <w:ind w:left="154"/>
                    <w:rPr>
                      <w:sz w:val="18"/>
                      <w:szCs w:val="18"/>
                    </w:rPr>
                  </w:pPr>
                  <w:r>
                    <w:rPr>
                      <w:b/>
                      <w:bCs/>
                      <w:spacing w:val="-4"/>
                      <w:sz w:val="18"/>
                      <w:szCs w:val="18"/>
                    </w:rPr>
                    <w:t>产生工</w:t>
                  </w:r>
                </w:p>
                <w:p w14:paraId="3E86DAC2">
                  <w:pPr>
                    <w:pStyle w:val="6"/>
                    <w:spacing w:before="18" w:line="220" w:lineRule="auto"/>
                    <w:ind w:left="153"/>
                    <w:rPr>
                      <w:sz w:val="18"/>
                      <w:szCs w:val="18"/>
                    </w:rPr>
                  </w:pPr>
                  <w:r>
                    <w:rPr>
                      <w:b/>
                      <w:bCs/>
                      <w:spacing w:val="-4"/>
                      <w:sz w:val="18"/>
                      <w:szCs w:val="18"/>
                    </w:rPr>
                    <w:t>序及装</w:t>
                  </w:r>
                </w:p>
                <w:p w14:paraId="6709D4C5">
                  <w:pPr>
                    <w:pStyle w:val="6"/>
                    <w:spacing w:before="18" w:line="225" w:lineRule="auto"/>
                    <w:ind w:left="333"/>
                    <w:rPr>
                      <w:sz w:val="18"/>
                      <w:szCs w:val="18"/>
                    </w:rPr>
                  </w:pPr>
                  <w:r>
                    <w:rPr>
                      <w:b/>
                      <w:bCs/>
                      <w:spacing w:val="-2"/>
                      <w:sz w:val="18"/>
                      <w:szCs w:val="18"/>
                    </w:rPr>
                    <w:t>置</w:t>
                  </w:r>
                </w:p>
              </w:tc>
              <w:tc>
                <w:tcPr>
                  <w:tcW w:w="505" w:type="dxa"/>
                  <w:textDirection w:val="tbRlV"/>
                  <w:vAlign w:val="top"/>
                </w:tcPr>
                <w:p w14:paraId="20E2496A">
                  <w:pPr>
                    <w:pStyle w:val="6"/>
                    <w:spacing w:before="158" w:line="210" w:lineRule="auto"/>
                    <w:ind w:left="265"/>
                    <w:rPr>
                      <w:sz w:val="18"/>
                      <w:szCs w:val="18"/>
                    </w:rPr>
                  </w:pPr>
                  <w:r>
                    <w:rPr>
                      <w:b/>
                      <w:bCs/>
                      <w:spacing w:val="24"/>
                      <w:sz w:val="18"/>
                      <w:szCs w:val="18"/>
                    </w:rPr>
                    <w:t>形态</w:t>
                  </w:r>
                </w:p>
              </w:tc>
              <w:tc>
                <w:tcPr>
                  <w:tcW w:w="645" w:type="dxa"/>
                  <w:vAlign w:val="top"/>
                </w:tcPr>
                <w:p w14:paraId="200B68EE">
                  <w:pPr>
                    <w:pStyle w:val="6"/>
                    <w:spacing w:before="266" w:line="229" w:lineRule="auto"/>
                    <w:ind w:left="149" w:right="139"/>
                    <w:rPr>
                      <w:sz w:val="18"/>
                      <w:szCs w:val="18"/>
                    </w:rPr>
                  </w:pPr>
                  <w:r>
                    <w:rPr>
                      <w:b/>
                      <w:bCs/>
                      <w:spacing w:val="-7"/>
                      <w:sz w:val="18"/>
                      <w:szCs w:val="18"/>
                    </w:rPr>
                    <w:t>主要</w:t>
                  </w:r>
                  <w:r>
                    <w:rPr>
                      <w:sz w:val="18"/>
                      <w:szCs w:val="18"/>
                    </w:rPr>
                    <w:t xml:space="preserve"> </w:t>
                  </w:r>
                  <w:r>
                    <w:rPr>
                      <w:b/>
                      <w:bCs/>
                      <w:spacing w:val="-7"/>
                      <w:sz w:val="18"/>
                      <w:szCs w:val="18"/>
                    </w:rPr>
                    <w:t>成分</w:t>
                  </w:r>
                </w:p>
              </w:tc>
              <w:tc>
                <w:tcPr>
                  <w:tcW w:w="425" w:type="dxa"/>
                  <w:textDirection w:val="tbRlV"/>
                  <w:vAlign w:val="top"/>
                </w:tcPr>
                <w:p w14:paraId="40895769">
                  <w:pPr>
                    <w:pStyle w:val="6"/>
                    <w:spacing w:before="117" w:line="208" w:lineRule="auto"/>
                    <w:ind w:left="32"/>
                    <w:rPr>
                      <w:sz w:val="18"/>
                      <w:szCs w:val="18"/>
                    </w:rPr>
                  </w:pPr>
                  <w:r>
                    <w:rPr>
                      <w:b/>
                      <w:bCs/>
                      <w:spacing w:val="38"/>
                      <w:sz w:val="18"/>
                      <w:szCs w:val="18"/>
                    </w:rPr>
                    <w:t>有害成分</w:t>
                  </w:r>
                </w:p>
              </w:tc>
              <w:tc>
                <w:tcPr>
                  <w:tcW w:w="427" w:type="dxa"/>
                  <w:textDirection w:val="tbRlV"/>
                  <w:vAlign w:val="top"/>
                </w:tcPr>
                <w:p w14:paraId="4437AC79">
                  <w:pPr>
                    <w:pStyle w:val="6"/>
                    <w:spacing w:before="119" w:line="209" w:lineRule="auto"/>
                    <w:ind w:left="32"/>
                    <w:rPr>
                      <w:sz w:val="18"/>
                      <w:szCs w:val="18"/>
                    </w:rPr>
                  </w:pPr>
                  <w:r>
                    <w:rPr>
                      <w:b/>
                      <w:bCs/>
                      <w:spacing w:val="38"/>
                      <w:sz w:val="18"/>
                      <w:szCs w:val="18"/>
                    </w:rPr>
                    <w:t>产废周期</w:t>
                  </w:r>
                </w:p>
              </w:tc>
              <w:tc>
                <w:tcPr>
                  <w:tcW w:w="619" w:type="dxa"/>
                  <w:vAlign w:val="top"/>
                </w:tcPr>
                <w:p w14:paraId="22B7D9FD">
                  <w:pPr>
                    <w:pStyle w:val="6"/>
                    <w:spacing w:before="265" w:line="229" w:lineRule="auto"/>
                    <w:ind w:left="136" w:right="124" w:firstLine="2"/>
                    <w:rPr>
                      <w:sz w:val="18"/>
                      <w:szCs w:val="18"/>
                    </w:rPr>
                  </w:pPr>
                  <w:r>
                    <w:rPr>
                      <w:b/>
                      <w:bCs/>
                      <w:spacing w:val="-7"/>
                      <w:sz w:val="18"/>
                      <w:szCs w:val="18"/>
                    </w:rPr>
                    <w:t>危险</w:t>
                  </w:r>
                  <w:r>
                    <w:rPr>
                      <w:sz w:val="18"/>
                      <w:szCs w:val="18"/>
                    </w:rPr>
                    <w:t xml:space="preserve"> </w:t>
                  </w:r>
                  <w:r>
                    <w:rPr>
                      <w:b/>
                      <w:bCs/>
                      <w:spacing w:val="-6"/>
                      <w:sz w:val="18"/>
                      <w:szCs w:val="18"/>
                    </w:rPr>
                    <w:t>特性</w:t>
                  </w:r>
                </w:p>
              </w:tc>
              <w:tc>
                <w:tcPr>
                  <w:tcW w:w="707" w:type="dxa"/>
                  <w:vAlign w:val="top"/>
                </w:tcPr>
                <w:p w14:paraId="1D466976">
                  <w:pPr>
                    <w:pStyle w:val="6"/>
                    <w:spacing w:before="146" w:line="233" w:lineRule="auto"/>
                    <w:ind w:left="177" w:right="171" w:firstLine="1"/>
                    <w:jc w:val="both"/>
                    <w:rPr>
                      <w:sz w:val="18"/>
                      <w:szCs w:val="18"/>
                    </w:rPr>
                  </w:pPr>
                  <w:r>
                    <w:rPr>
                      <w:b/>
                      <w:bCs/>
                      <w:spacing w:val="-7"/>
                      <w:sz w:val="18"/>
                      <w:szCs w:val="18"/>
                    </w:rPr>
                    <w:t>污染</w:t>
                  </w:r>
                  <w:r>
                    <w:rPr>
                      <w:sz w:val="18"/>
                      <w:szCs w:val="18"/>
                    </w:rPr>
                    <w:t xml:space="preserve"> </w:t>
                  </w:r>
                  <w:r>
                    <w:rPr>
                      <w:b/>
                      <w:bCs/>
                      <w:spacing w:val="-6"/>
                      <w:sz w:val="18"/>
                      <w:szCs w:val="18"/>
                    </w:rPr>
                    <w:t>防治</w:t>
                  </w:r>
                  <w:r>
                    <w:rPr>
                      <w:sz w:val="18"/>
                      <w:szCs w:val="18"/>
                    </w:rPr>
                    <w:t xml:space="preserve"> </w:t>
                  </w:r>
                  <w:r>
                    <w:rPr>
                      <w:b/>
                      <w:bCs/>
                      <w:spacing w:val="-6"/>
                      <w:sz w:val="18"/>
                      <w:szCs w:val="18"/>
                    </w:rPr>
                    <w:t>措施</w:t>
                  </w:r>
                </w:p>
              </w:tc>
            </w:tr>
            <w:tr w14:paraId="01A4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5" w:type="dxa"/>
                  <w:vAlign w:val="top"/>
                </w:tcPr>
                <w:p w14:paraId="3F08F620">
                  <w:pPr>
                    <w:spacing w:before="29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6" w:type="dxa"/>
                  <w:vAlign w:val="top"/>
                </w:tcPr>
                <w:p w14:paraId="6B204628">
                  <w:pPr>
                    <w:pStyle w:val="6"/>
                    <w:spacing w:before="146" w:line="229" w:lineRule="auto"/>
                    <w:ind w:left="357" w:right="171" w:hanging="182"/>
                    <w:rPr>
                      <w:sz w:val="18"/>
                      <w:szCs w:val="18"/>
                    </w:rPr>
                  </w:pPr>
                  <w:r>
                    <w:rPr>
                      <w:spacing w:val="-3"/>
                      <w:sz w:val="18"/>
                      <w:szCs w:val="18"/>
                    </w:rPr>
                    <w:t>废机油</w:t>
                  </w:r>
                  <w:r>
                    <w:rPr>
                      <w:spacing w:val="1"/>
                      <w:sz w:val="18"/>
                      <w:szCs w:val="18"/>
                    </w:rPr>
                    <w:t xml:space="preserve"> </w:t>
                  </w:r>
                  <w:r>
                    <w:rPr>
                      <w:sz w:val="18"/>
                      <w:szCs w:val="18"/>
                    </w:rPr>
                    <w:t>桶</w:t>
                  </w:r>
                </w:p>
              </w:tc>
              <w:tc>
                <w:tcPr>
                  <w:tcW w:w="721" w:type="dxa"/>
                  <w:vAlign w:val="top"/>
                </w:tcPr>
                <w:p w14:paraId="44F951BF">
                  <w:pPr>
                    <w:spacing w:before="292"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833" w:type="dxa"/>
                  <w:vAlign w:val="top"/>
                </w:tcPr>
                <w:p w14:paraId="2159F41B">
                  <w:pPr>
                    <w:spacing w:before="189"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w:t>
                  </w:r>
                </w:p>
                <w:p w14:paraId="43B258D7">
                  <w:pPr>
                    <w:spacing w:before="4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-08</w:t>
                  </w:r>
                </w:p>
              </w:tc>
              <w:tc>
                <w:tcPr>
                  <w:tcW w:w="774" w:type="dxa"/>
                  <w:vAlign w:val="top"/>
                </w:tcPr>
                <w:p w14:paraId="09DCF00A">
                  <w:pPr>
                    <w:spacing w:before="292"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841" w:type="dxa"/>
                  <w:vMerge w:val="restart"/>
                  <w:tcBorders>
                    <w:bottom w:val="nil"/>
                  </w:tcBorders>
                  <w:vAlign w:val="top"/>
                </w:tcPr>
                <w:p w14:paraId="4FD7210C">
                  <w:pPr>
                    <w:pStyle w:val="6"/>
                    <w:spacing w:before="266" w:line="219" w:lineRule="auto"/>
                    <w:ind w:left="156"/>
                    <w:rPr>
                      <w:sz w:val="18"/>
                      <w:szCs w:val="18"/>
                    </w:rPr>
                  </w:pPr>
                  <w:r>
                    <w:rPr>
                      <w:spacing w:val="-3"/>
                      <w:sz w:val="18"/>
                      <w:szCs w:val="18"/>
                    </w:rPr>
                    <w:t>机械设</w:t>
                  </w:r>
                </w:p>
                <w:p w14:paraId="5D07FC6E">
                  <w:pPr>
                    <w:pStyle w:val="6"/>
                    <w:spacing w:before="19" w:line="220" w:lineRule="auto"/>
                    <w:ind w:left="247"/>
                    <w:rPr>
                      <w:sz w:val="18"/>
                      <w:szCs w:val="18"/>
                    </w:rPr>
                  </w:pPr>
                  <w:r>
                    <w:rPr>
                      <w:spacing w:val="-5"/>
                      <w:sz w:val="18"/>
                      <w:szCs w:val="18"/>
                    </w:rPr>
                    <w:t>备维</w:t>
                  </w:r>
                </w:p>
                <w:p w14:paraId="3F89E065">
                  <w:pPr>
                    <w:pStyle w:val="6"/>
                    <w:spacing w:before="20" w:line="220" w:lineRule="auto"/>
                    <w:ind w:left="157"/>
                    <w:rPr>
                      <w:sz w:val="18"/>
                      <w:szCs w:val="18"/>
                    </w:rPr>
                  </w:pPr>
                  <w:r>
                    <w:rPr>
                      <w:sz w:val="18"/>
                      <w:szCs w:val="18"/>
                    </w:rPr>
                    <w:t>护、保</w:t>
                  </w:r>
                </w:p>
                <w:p w14:paraId="2FBBEE8B">
                  <w:pPr>
                    <w:pStyle w:val="6"/>
                    <w:spacing w:before="18" w:line="219" w:lineRule="auto"/>
                    <w:ind w:left="337"/>
                    <w:rPr>
                      <w:sz w:val="18"/>
                      <w:szCs w:val="18"/>
                    </w:rPr>
                  </w:pPr>
                  <w:r>
                    <w:rPr>
                      <w:sz w:val="18"/>
                      <w:szCs w:val="18"/>
                    </w:rPr>
                    <w:t>养</w:t>
                  </w:r>
                </w:p>
              </w:tc>
              <w:tc>
                <w:tcPr>
                  <w:tcW w:w="505" w:type="dxa"/>
                  <w:textDirection w:val="tbRlV"/>
                  <w:vAlign w:val="top"/>
                </w:tcPr>
                <w:p w14:paraId="68906913">
                  <w:pPr>
                    <w:pStyle w:val="6"/>
                    <w:spacing w:before="158" w:line="209" w:lineRule="auto"/>
                    <w:ind w:left="146"/>
                    <w:rPr>
                      <w:sz w:val="18"/>
                      <w:szCs w:val="18"/>
                    </w:rPr>
                  </w:pPr>
                  <w:r>
                    <w:rPr>
                      <w:spacing w:val="26"/>
                      <w:sz w:val="18"/>
                      <w:szCs w:val="18"/>
                    </w:rPr>
                    <w:t>固态</w:t>
                  </w:r>
                </w:p>
              </w:tc>
              <w:tc>
                <w:tcPr>
                  <w:tcW w:w="645" w:type="dxa"/>
                  <w:vAlign w:val="top"/>
                </w:tcPr>
                <w:p w14:paraId="4C4F467A">
                  <w:pPr>
                    <w:pStyle w:val="6"/>
                    <w:spacing w:before="146" w:line="231" w:lineRule="auto"/>
                    <w:ind w:left="241" w:right="139" w:hanging="94"/>
                    <w:rPr>
                      <w:sz w:val="18"/>
                      <w:szCs w:val="18"/>
                    </w:rPr>
                  </w:pPr>
                  <w:r>
                    <w:rPr>
                      <w:spacing w:val="-4"/>
                      <w:sz w:val="18"/>
                      <w:szCs w:val="18"/>
                    </w:rPr>
                    <w:t>矿物</w:t>
                  </w:r>
                  <w:r>
                    <w:rPr>
                      <w:sz w:val="18"/>
                      <w:szCs w:val="18"/>
                    </w:rPr>
                    <w:t xml:space="preserve"> 油</w:t>
                  </w:r>
                </w:p>
              </w:tc>
              <w:tc>
                <w:tcPr>
                  <w:tcW w:w="425" w:type="dxa"/>
                  <w:textDirection w:val="tbRlV"/>
                  <w:vAlign w:val="top"/>
                </w:tcPr>
                <w:p w14:paraId="58702BF8">
                  <w:pPr>
                    <w:pStyle w:val="6"/>
                    <w:spacing w:before="117" w:line="209" w:lineRule="auto"/>
                    <w:ind w:left="28"/>
                    <w:rPr>
                      <w:sz w:val="18"/>
                      <w:szCs w:val="18"/>
                    </w:rPr>
                  </w:pPr>
                  <w:r>
                    <w:rPr>
                      <w:spacing w:val="35"/>
                      <w:sz w:val="18"/>
                      <w:szCs w:val="18"/>
                    </w:rPr>
                    <w:t>矿物油</w:t>
                  </w:r>
                </w:p>
              </w:tc>
              <w:tc>
                <w:tcPr>
                  <w:tcW w:w="427" w:type="dxa"/>
                  <w:textDirection w:val="tbRlV"/>
                  <w:vAlign w:val="top"/>
                </w:tcPr>
                <w:p w14:paraId="0669CB7B">
                  <w:pPr>
                    <w:pStyle w:val="6"/>
                    <w:spacing w:before="119" w:line="208" w:lineRule="auto"/>
                    <w:ind w:left="146"/>
                    <w:rPr>
                      <w:sz w:val="18"/>
                      <w:szCs w:val="18"/>
                    </w:rPr>
                  </w:pPr>
                  <w:r>
                    <w:rPr>
                      <w:spacing w:val="26"/>
                      <w:sz w:val="18"/>
                      <w:szCs w:val="18"/>
                    </w:rPr>
                    <w:t>每月</w:t>
                  </w:r>
                </w:p>
              </w:tc>
              <w:tc>
                <w:tcPr>
                  <w:tcW w:w="619" w:type="dxa"/>
                  <w:vAlign w:val="top"/>
                </w:tcPr>
                <w:p w14:paraId="5B32FB54">
                  <w:pPr>
                    <w:spacing w:before="289" w:line="192"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707" w:type="dxa"/>
                  <w:vMerge w:val="restart"/>
                  <w:tcBorders>
                    <w:bottom w:val="nil"/>
                  </w:tcBorders>
                  <w:vAlign w:val="top"/>
                </w:tcPr>
                <w:p w14:paraId="7F382D5C">
                  <w:pPr>
                    <w:spacing w:line="451" w:lineRule="auto"/>
                    <w:rPr>
                      <w:rFonts w:ascii="Arial"/>
                      <w:sz w:val="21"/>
                    </w:rPr>
                  </w:pPr>
                </w:p>
                <w:p w14:paraId="271AC780">
                  <w:pPr>
                    <w:pStyle w:val="6"/>
                    <w:spacing w:before="58" w:line="237" w:lineRule="auto"/>
                    <w:ind w:left="114" w:right="99" w:firstLine="68"/>
                    <w:jc w:val="both"/>
                    <w:rPr>
                      <w:sz w:val="18"/>
                      <w:szCs w:val="18"/>
                    </w:rPr>
                  </w:pPr>
                  <w:r>
                    <w:rPr>
                      <w:spacing w:val="-7"/>
                      <w:sz w:val="18"/>
                      <w:szCs w:val="18"/>
                    </w:rPr>
                    <w:t>暂存</w:t>
                  </w:r>
                  <w:r>
                    <w:rPr>
                      <w:sz w:val="18"/>
                      <w:szCs w:val="18"/>
                    </w:rPr>
                    <w:t xml:space="preserve">  </w:t>
                  </w:r>
                  <w:r>
                    <w:rPr>
                      <w:spacing w:val="28"/>
                      <w:sz w:val="18"/>
                      <w:szCs w:val="18"/>
                    </w:rPr>
                    <w:t>于危</w:t>
                  </w:r>
                  <w:r>
                    <w:rPr>
                      <w:sz w:val="18"/>
                      <w:szCs w:val="18"/>
                    </w:rPr>
                    <w:t xml:space="preserve">  </w:t>
                  </w:r>
                  <w:r>
                    <w:rPr>
                      <w:spacing w:val="28"/>
                      <w:sz w:val="18"/>
                      <w:szCs w:val="18"/>
                    </w:rPr>
                    <w:t>废暂</w:t>
                  </w:r>
                  <w:r>
                    <w:rPr>
                      <w:sz w:val="18"/>
                      <w:szCs w:val="18"/>
                    </w:rPr>
                    <w:t xml:space="preserve">  </w:t>
                  </w:r>
                  <w:r>
                    <w:rPr>
                      <w:spacing w:val="-18"/>
                      <w:sz w:val="18"/>
                      <w:szCs w:val="18"/>
                    </w:rPr>
                    <w:t>存间，</w:t>
                  </w:r>
                  <w:r>
                    <w:rPr>
                      <w:spacing w:val="1"/>
                      <w:sz w:val="18"/>
                      <w:szCs w:val="18"/>
                    </w:rPr>
                    <w:t xml:space="preserve"> </w:t>
                  </w:r>
                  <w:r>
                    <w:rPr>
                      <w:spacing w:val="28"/>
                      <w:sz w:val="18"/>
                      <w:szCs w:val="18"/>
                    </w:rPr>
                    <w:t>交由</w:t>
                  </w:r>
                  <w:r>
                    <w:rPr>
                      <w:sz w:val="18"/>
                      <w:szCs w:val="18"/>
                    </w:rPr>
                    <w:t xml:space="preserve">  </w:t>
                  </w:r>
                  <w:r>
                    <w:rPr>
                      <w:spacing w:val="28"/>
                      <w:sz w:val="18"/>
                      <w:szCs w:val="18"/>
                    </w:rPr>
                    <w:t>资质</w:t>
                  </w:r>
                  <w:r>
                    <w:rPr>
                      <w:sz w:val="18"/>
                      <w:szCs w:val="18"/>
                    </w:rPr>
                    <w:t xml:space="preserve">  </w:t>
                  </w:r>
                  <w:r>
                    <w:rPr>
                      <w:spacing w:val="28"/>
                      <w:sz w:val="18"/>
                      <w:szCs w:val="18"/>
                    </w:rPr>
                    <w:t>单位</w:t>
                  </w:r>
                  <w:r>
                    <w:rPr>
                      <w:sz w:val="18"/>
                      <w:szCs w:val="18"/>
                    </w:rPr>
                    <w:t xml:space="preserve">  </w:t>
                  </w:r>
                  <w:r>
                    <w:rPr>
                      <w:spacing w:val="28"/>
                      <w:sz w:val="18"/>
                      <w:szCs w:val="18"/>
                    </w:rPr>
                    <w:t>处理</w:t>
                  </w:r>
                </w:p>
              </w:tc>
            </w:tr>
            <w:tr w14:paraId="529CD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15" w:type="dxa"/>
                  <w:vAlign w:val="top"/>
                </w:tcPr>
                <w:p w14:paraId="64804654">
                  <w:pPr>
                    <w:rPr>
                      <w:rFonts w:ascii="Arial"/>
                      <w:sz w:val="21"/>
                    </w:rPr>
                  </w:pPr>
                </w:p>
                <w:p w14:paraId="095C6D24">
                  <w:pPr>
                    <w:spacing w:before="51" w:line="188" w:lineRule="auto"/>
                    <w:ind w:left="16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86" w:type="dxa"/>
                  <w:vAlign w:val="top"/>
                </w:tcPr>
                <w:p w14:paraId="1CADA3C7">
                  <w:pPr>
                    <w:pStyle w:val="6"/>
                    <w:spacing w:before="261" w:line="219" w:lineRule="auto"/>
                    <w:ind w:left="175"/>
                    <w:rPr>
                      <w:sz w:val="18"/>
                      <w:szCs w:val="18"/>
                    </w:rPr>
                  </w:pPr>
                  <w:r>
                    <w:rPr>
                      <w:spacing w:val="-3"/>
                      <w:sz w:val="18"/>
                      <w:szCs w:val="18"/>
                    </w:rPr>
                    <w:t>废机油</w:t>
                  </w:r>
                </w:p>
              </w:tc>
              <w:tc>
                <w:tcPr>
                  <w:tcW w:w="721" w:type="dxa"/>
                  <w:vAlign w:val="top"/>
                </w:tcPr>
                <w:p w14:paraId="059A2C51">
                  <w:pPr>
                    <w:spacing w:before="293"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833" w:type="dxa"/>
                  <w:vAlign w:val="top"/>
                </w:tcPr>
                <w:p w14:paraId="3A0D6E9E">
                  <w:pPr>
                    <w:spacing w:before="190"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w:t>
                  </w:r>
                </w:p>
                <w:p w14:paraId="770558E8">
                  <w:pPr>
                    <w:spacing w:before="4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-08</w:t>
                  </w:r>
                </w:p>
              </w:tc>
              <w:tc>
                <w:tcPr>
                  <w:tcW w:w="774" w:type="dxa"/>
                  <w:vAlign w:val="top"/>
                </w:tcPr>
                <w:p w14:paraId="49918E6C">
                  <w:pPr>
                    <w:rPr>
                      <w:rFonts w:ascii="Arial"/>
                      <w:sz w:val="21"/>
                    </w:rPr>
                  </w:pPr>
                </w:p>
                <w:p w14:paraId="14C2CB82">
                  <w:pPr>
                    <w:spacing w:before="51"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841" w:type="dxa"/>
                  <w:vMerge w:val="continue"/>
                  <w:tcBorders>
                    <w:top w:val="nil"/>
                  </w:tcBorders>
                  <w:vAlign w:val="top"/>
                </w:tcPr>
                <w:p w14:paraId="56901EDE">
                  <w:pPr>
                    <w:rPr>
                      <w:rFonts w:ascii="Arial"/>
                      <w:sz w:val="21"/>
                    </w:rPr>
                  </w:pPr>
                </w:p>
              </w:tc>
              <w:tc>
                <w:tcPr>
                  <w:tcW w:w="505" w:type="dxa"/>
                  <w:textDirection w:val="tbRlV"/>
                  <w:vAlign w:val="top"/>
                </w:tcPr>
                <w:p w14:paraId="4057DA3C">
                  <w:pPr>
                    <w:pStyle w:val="6"/>
                    <w:spacing w:before="158" w:line="209" w:lineRule="auto"/>
                    <w:ind w:left="144"/>
                    <w:rPr>
                      <w:sz w:val="18"/>
                      <w:szCs w:val="18"/>
                    </w:rPr>
                  </w:pPr>
                  <w:r>
                    <w:rPr>
                      <w:spacing w:val="26"/>
                      <w:sz w:val="18"/>
                      <w:szCs w:val="18"/>
                    </w:rPr>
                    <w:t>液态</w:t>
                  </w:r>
                </w:p>
              </w:tc>
              <w:tc>
                <w:tcPr>
                  <w:tcW w:w="645" w:type="dxa"/>
                  <w:vAlign w:val="top"/>
                </w:tcPr>
                <w:p w14:paraId="04A08E5A">
                  <w:pPr>
                    <w:pStyle w:val="6"/>
                    <w:spacing w:before="144" w:line="231" w:lineRule="auto"/>
                    <w:ind w:left="241" w:right="139" w:hanging="94"/>
                    <w:rPr>
                      <w:sz w:val="18"/>
                      <w:szCs w:val="18"/>
                    </w:rPr>
                  </w:pPr>
                  <w:r>
                    <w:rPr>
                      <w:spacing w:val="-4"/>
                      <w:sz w:val="18"/>
                      <w:szCs w:val="18"/>
                    </w:rPr>
                    <w:t>矿物</w:t>
                  </w:r>
                  <w:r>
                    <w:rPr>
                      <w:sz w:val="18"/>
                      <w:szCs w:val="18"/>
                    </w:rPr>
                    <w:t xml:space="preserve"> 油</w:t>
                  </w:r>
                </w:p>
              </w:tc>
              <w:tc>
                <w:tcPr>
                  <w:tcW w:w="425" w:type="dxa"/>
                  <w:textDirection w:val="tbRlV"/>
                  <w:vAlign w:val="top"/>
                </w:tcPr>
                <w:p w14:paraId="19269E16">
                  <w:pPr>
                    <w:pStyle w:val="6"/>
                    <w:spacing w:before="117" w:line="209" w:lineRule="auto"/>
                    <w:ind w:left="29"/>
                    <w:rPr>
                      <w:sz w:val="18"/>
                      <w:szCs w:val="18"/>
                    </w:rPr>
                  </w:pPr>
                  <w:r>
                    <w:rPr>
                      <w:spacing w:val="35"/>
                      <w:sz w:val="18"/>
                      <w:szCs w:val="18"/>
                    </w:rPr>
                    <w:t>矿物油</w:t>
                  </w:r>
                </w:p>
              </w:tc>
              <w:tc>
                <w:tcPr>
                  <w:tcW w:w="427" w:type="dxa"/>
                  <w:textDirection w:val="tbRlV"/>
                  <w:vAlign w:val="top"/>
                </w:tcPr>
                <w:p w14:paraId="5B5A3556">
                  <w:pPr>
                    <w:pStyle w:val="6"/>
                    <w:spacing w:before="119" w:line="208" w:lineRule="auto"/>
                    <w:ind w:left="144"/>
                    <w:rPr>
                      <w:sz w:val="18"/>
                      <w:szCs w:val="18"/>
                    </w:rPr>
                  </w:pPr>
                  <w:r>
                    <w:rPr>
                      <w:spacing w:val="26"/>
                      <w:sz w:val="18"/>
                      <w:szCs w:val="18"/>
                    </w:rPr>
                    <w:t>每月</w:t>
                  </w:r>
                </w:p>
              </w:tc>
              <w:tc>
                <w:tcPr>
                  <w:tcW w:w="619" w:type="dxa"/>
                  <w:vAlign w:val="top"/>
                </w:tcPr>
                <w:p w14:paraId="697730FD">
                  <w:pPr>
                    <w:spacing w:before="289" w:line="192"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707" w:type="dxa"/>
                  <w:vMerge w:val="continue"/>
                  <w:tcBorders>
                    <w:top w:val="nil"/>
                    <w:bottom w:val="nil"/>
                  </w:tcBorders>
                  <w:vAlign w:val="top"/>
                </w:tcPr>
                <w:p w14:paraId="100028DD">
                  <w:pPr>
                    <w:rPr>
                      <w:rFonts w:ascii="Arial"/>
                      <w:sz w:val="21"/>
                    </w:rPr>
                  </w:pPr>
                </w:p>
              </w:tc>
            </w:tr>
            <w:tr w14:paraId="58573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15" w:type="dxa"/>
                  <w:vAlign w:val="top"/>
                </w:tcPr>
                <w:p w14:paraId="7B63A500">
                  <w:pPr>
                    <w:spacing w:line="241" w:lineRule="auto"/>
                    <w:rPr>
                      <w:rFonts w:ascii="Arial"/>
                      <w:sz w:val="21"/>
                    </w:rPr>
                  </w:pPr>
                </w:p>
                <w:p w14:paraId="1BE8F45A">
                  <w:pPr>
                    <w:spacing w:before="5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86" w:type="dxa"/>
                  <w:vAlign w:val="top"/>
                </w:tcPr>
                <w:p w14:paraId="530AD450">
                  <w:pPr>
                    <w:pStyle w:val="6"/>
                    <w:spacing w:before="145" w:line="229" w:lineRule="auto"/>
                    <w:ind w:left="360" w:right="106" w:hanging="249"/>
                    <w:rPr>
                      <w:sz w:val="18"/>
                      <w:szCs w:val="18"/>
                    </w:rPr>
                  </w:pPr>
                  <w:r>
                    <w:rPr>
                      <w:spacing w:val="4"/>
                      <w:sz w:val="18"/>
                      <w:szCs w:val="18"/>
                    </w:rPr>
                    <w:t>废</w:t>
                  </w:r>
                  <w:r>
                    <w:rPr>
                      <w:rFonts w:ascii="Times New Roman" w:hAnsi="Times New Roman" w:eastAsia="Times New Roman" w:cs="Times New Roman"/>
                      <w:sz w:val="18"/>
                      <w:szCs w:val="18"/>
                    </w:rPr>
                    <w:t>UV</w:t>
                  </w:r>
                  <w:r>
                    <w:rPr>
                      <w:rFonts w:ascii="Times New Roman" w:hAnsi="Times New Roman" w:eastAsia="Times New Roman" w:cs="Times New Roman"/>
                      <w:spacing w:val="-11"/>
                      <w:sz w:val="18"/>
                      <w:szCs w:val="18"/>
                    </w:rPr>
                    <w:t xml:space="preserve"> </w:t>
                  </w:r>
                  <w:r>
                    <w:rPr>
                      <w:spacing w:val="4"/>
                      <w:sz w:val="18"/>
                      <w:szCs w:val="18"/>
                    </w:rPr>
                    <w:t>灯</w:t>
                  </w:r>
                  <w:r>
                    <w:rPr>
                      <w:sz w:val="18"/>
                      <w:szCs w:val="18"/>
                    </w:rPr>
                    <w:t xml:space="preserve"> 管</w:t>
                  </w:r>
                </w:p>
              </w:tc>
              <w:tc>
                <w:tcPr>
                  <w:tcW w:w="721" w:type="dxa"/>
                  <w:vAlign w:val="top"/>
                </w:tcPr>
                <w:p w14:paraId="6AEB9EA5">
                  <w:pPr>
                    <w:spacing w:line="241" w:lineRule="auto"/>
                    <w:rPr>
                      <w:rFonts w:ascii="Arial"/>
                      <w:sz w:val="21"/>
                    </w:rPr>
                  </w:pPr>
                </w:p>
                <w:p w14:paraId="01D2B5AB">
                  <w:pPr>
                    <w:spacing w:before="52"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HW29</w:t>
                  </w:r>
                </w:p>
              </w:tc>
              <w:tc>
                <w:tcPr>
                  <w:tcW w:w="833" w:type="dxa"/>
                  <w:vAlign w:val="top"/>
                </w:tcPr>
                <w:p w14:paraId="19463991">
                  <w:pPr>
                    <w:spacing w:before="191"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900-023</w:t>
                  </w:r>
                </w:p>
                <w:p w14:paraId="592694AB">
                  <w:pPr>
                    <w:spacing w:before="41"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-29</w:t>
                  </w:r>
                </w:p>
              </w:tc>
              <w:tc>
                <w:tcPr>
                  <w:tcW w:w="774" w:type="dxa"/>
                  <w:vAlign w:val="top"/>
                </w:tcPr>
                <w:p w14:paraId="40C54498">
                  <w:pPr>
                    <w:spacing w:line="241" w:lineRule="auto"/>
                    <w:rPr>
                      <w:rFonts w:ascii="Arial"/>
                      <w:sz w:val="21"/>
                    </w:rPr>
                  </w:pPr>
                </w:p>
                <w:p w14:paraId="59FC643A">
                  <w:pPr>
                    <w:spacing w:before="52" w:line="188"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0.012</w:t>
                  </w:r>
                </w:p>
              </w:tc>
              <w:tc>
                <w:tcPr>
                  <w:tcW w:w="841" w:type="dxa"/>
                  <w:vMerge w:val="restart"/>
                  <w:tcBorders>
                    <w:bottom w:val="nil"/>
                  </w:tcBorders>
                  <w:vAlign w:val="top"/>
                </w:tcPr>
                <w:p w14:paraId="6AB6DAE1">
                  <w:pPr>
                    <w:spacing w:line="439" w:lineRule="auto"/>
                    <w:rPr>
                      <w:rFonts w:ascii="Arial"/>
                      <w:sz w:val="21"/>
                    </w:rPr>
                  </w:pPr>
                </w:p>
                <w:p w14:paraId="71364F78">
                  <w:pPr>
                    <w:pStyle w:val="6"/>
                    <w:spacing w:before="59" w:line="234" w:lineRule="auto"/>
                    <w:ind w:left="338" w:right="146" w:hanging="182"/>
                    <w:rPr>
                      <w:sz w:val="18"/>
                      <w:szCs w:val="18"/>
                    </w:rPr>
                  </w:pPr>
                  <w:r>
                    <w:rPr>
                      <w:spacing w:val="-3"/>
                      <w:sz w:val="18"/>
                      <w:szCs w:val="18"/>
                    </w:rPr>
                    <w:t>废气处</w:t>
                  </w:r>
                  <w:r>
                    <w:rPr>
                      <w:spacing w:val="1"/>
                      <w:sz w:val="18"/>
                      <w:szCs w:val="18"/>
                    </w:rPr>
                    <w:t xml:space="preserve"> </w:t>
                  </w:r>
                  <w:r>
                    <w:rPr>
                      <w:sz w:val="18"/>
                      <w:szCs w:val="18"/>
                    </w:rPr>
                    <w:t>理</w:t>
                  </w:r>
                </w:p>
              </w:tc>
              <w:tc>
                <w:tcPr>
                  <w:tcW w:w="505" w:type="dxa"/>
                  <w:textDirection w:val="tbRlV"/>
                  <w:vAlign w:val="top"/>
                </w:tcPr>
                <w:p w14:paraId="418577C0">
                  <w:pPr>
                    <w:pStyle w:val="6"/>
                    <w:spacing w:before="158" w:line="209" w:lineRule="auto"/>
                    <w:ind w:left="145"/>
                    <w:rPr>
                      <w:sz w:val="18"/>
                      <w:szCs w:val="18"/>
                    </w:rPr>
                  </w:pPr>
                  <w:r>
                    <w:rPr>
                      <w:spacing w:val="26"/>
                      <w:sz w:val="18"/>
                      <w:szCs w:val="18"/>
                    </w:rPr>
                    <w:t>固态</w:t>
                  </w:r>
                </w:p>
              </w:tc>
              <w:tc>
                <w:tcPr>
                  <w:tcW w:w="645" w:type="dxa"/>
                  <w:vAlign w:val="top"/>
                </w:tcPr>
                <w:p w14:paraId="6A84F4C6">
                  <w:pPr>
                    <w:pStyle w:val="6"/>
                    <w:spacing w:before="263" w:line="220" w:lineRule="auto"/>
                    <w:ind w:left="239"/>
                    <w:rPr>
                      <w:sz w:val="18"/>
                      <w:szCs w:val="18"/>
                    </w:rPr>
                  </w:pPr>
                  <w:r>
                    <w:rPr>
                      <w:sz w:val="18"/>
                      <w:szCs w:val="18"/>
                    </w:rPr>
                    <w:t>汞</w:t>
                  </w:r>
                </w:p>
              </w:tc>
              <w:tc>
                <w:tcPr>
                  <w:tcW w:w="425" w:type="dxa"/>
                  <w:textDirection w:val="tbRlV"/>
                  <w:vAlign w:val="top"/>
                </w:tcPr>
                <w:p w14:paraId="1B697129">
                  <w:pPr>
                    <w:pStyle w:val="6"/>
                    <w:spacing w:before="118" w:line="208" w:lineRule="auto"/>
                    <w:ind w:left="30"/>
                    <w:rPr>
                      <w:sz w:val="18"/>
                      <w:szCs w:val="18"/>
                    </w:rPr>
                  </w:pPr>
                  <w:r>
                    <w:rPr>
                      <w:spacing w:val="35"/>
                      <w:sz w:val="18"/>
                      <w:szCs w:val="18"/>
                    </w:rPr>
                    <w:t>重金属</w:t>
                  </w:r>
                </w:p>
              </w:tc>
              <w:tc>
                <w:tcPr>
                  <w:tcW w:w="427" w:type="dxa"/>
                  <w:textDirection w:val="tbRlV"/>
                  <w:vAlign w:val="top"/>
                </w:tcPr>
                <w:p w14:paraId="3EDB0E9E">
                  <w:pPr>
                    <w:pStyle w:val="6"/>
                    <w:spacing w:before="119" w:line="208" w:lineRule="auto"/>
                    <w:ind w:left="145"/>
                    <w:rPr>
                      <w:sz w:val="18"/>
                      <w:szCs w:val="18"/>
                    </w:rPr>
                  </w:pPr>
                  <w:r>
                    <w:rPr>
                      <w:spacing w:val="26"/>
                      <w:sz w:val="18"/>
                      <w:szCs w:val="18"/>
                    </w:rPr>
                    <w:t>每月</w:t>
                  </w:r>
                </w:p>
              </w:tc>
              <w:tc>
                <w:tcPr>
                  <w:tcW w:w="619" w:type="dxa"/>
                  <w:vAlign w:val="top"/>
                </w:tcPr>
                <w:p w14:paraId="7CACA4C2">
                  <w:pPr>
                    <w:spacing w:line="244" w:lineRule="auto"/>
                    <w:rPr>
                      <w:rFonts w:ascii="Arial"/>
                      <w:sz w:val="21"/>
                    </w:rPr>
                  </w:pPr>
                </w:p>
                <w:p w14:paraId="094346CB">
                  <w:pPr>
                    <w:spacing w:before="51" w:line="185"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T</w:t>
                  </w:r>
                </w:p>
              </w:tc>
              <w:tc>
                <w:tcPr>
                  <w:tcW w:w="707" w:type="dxa"/>
                  <w:vMerge w:val="continue"/>
                  <w:tcBorders>
                    <w:top w:val="nil"/>
                    <w:bottom w:val="nil"/>
                  </w:tcBorders>
                  <w:vAlign w:val="top"/>
                </w:tcPr>
                <w:p w14:paraId="1058C62F">
                  <w:pPr>
                    <w:rPr>
                      <w:rFonts w:ascii="Arial"/>
                      <w:sz w:val="21"/>
                    </w:rPr>
                  </w:pPr>
                </w:p>
              </w:tc>
            </w:tr>
            <w:tr w14:paraId="7CECE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15" w:type="dxa"/>
                  <w:vAlign w:val="top"/>
                </w:tcPr>
                <w:p w14:paraId="1F1C9758">
                  <w:pPr>
                    <w:spacing w:line="242" w:lineRule="auto"/>
                    <w:rPr>
                      <w:rFonts w:ascii="Arial"/>
                      <w:sz w:val="21"/>
                    </w:rPr>
                  </w:pPr>
                </w:p>
                <w:p w14:paraId="1A8CAAEF">
                  <w:pPr>
                    <w:spacing w:before="5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86" w:type="dxa"/>
                  <w:vAlign w:val="top"/>
                </w:tcPr>
                <w:p w14:paraId="036BCFD0">
                  <w:pPr>
                    <w:pStyle w:val="6"/>
                    <w:spacing w:before="147" w:line="231" w:lineRule="auto"/>
                    <w:ind w:left="358" w:right="171" w:hanging="183"/>
                    <w:rPr>
                      <w:sz w:val="18"/>
                      <w:szCs w:val="18"/>
                    </w:rPr>
                  </w:pPr>
                  <w:r>
                    <w:rPr>
                      <w:spacing w:val="-3"/>
                      <w:sz w:val="18"/>
                      <w:szCs w:val="18"/>
                    </w:rPr>
                    <w:t>废活性</w:t>
                  </w:r>
                  <w:r>
                    <w:rPr>
                      <w:spacing w:val="1"/>
                      <w:sz w:val="18"/>
                      <w:szCs w:val="18"/>
                    </w:rPr>
                    <w:t xml:space="preserve"> </w:t>
                  </w:r>
                  <w:r>
                    <w:rPr>
                      <w:sz w:val="18"/>
                      <w:szCs w:val="18"/>
                    </w:rPr>
                    <w:t>炭</w:t>
                  </w:r>
                </w:p>
              </w:tc>
              <w:tc>
                <w:tcPr>
                  <w:tcW w:w="721" w:type="dxa"/>
                  <w:vAlign w:val="top"/>
                </w:tcPr>
                <w:p w14:paraId="2FFCE66B">
                  <w:pPr>
                    <w:spacing w:line="242" w:lineRule="auto"/>
                    <w:rPr>
                      <w:rFonts w:ascii="Arial"/>
                      <w:sz w:val="21"/>
                    </w:rPr>
                  </w:pPr>
                </w:p>
                <w:p w14:paraId="4E0858BB">
                  <w:pPr>
                    <w:spacing w:before="52"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HW49</w:t>
                  </w:r>
                </w:p>
              </w:tc>
              <w:tc>
                <w:tcPr>
                  <w:tcW w:w="833" w:type="dxa"/>
                  <w:vAlign w:val="top"/>
                </w:tcPr>
                <w:p w14:paraId="16418F7C">
                  <w:pPr>
                    <w:spacing w:before="192"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900-039</w:t>
                  </w:r>
                </w:p>
                <w:p w14:paraId="656621C9">
                  <w:pPr>
                    <w:spacing w:before="4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-49</w:t>
                  </w:r>
                </w:p>
              </w:tc>
              <w:tc>
                <w:tcPr>
                  <w:tcW w:w="774" w:type="dxa"/>
                  <w:vAlign w:val="top"/>
                </w:tcPr>
                <w:p w14:paraId="37397938">
                  <w:pPr>
                    <w:spacing w:line="242" w:lineRule="auto"/>
                    <w:rPr>
                      <w:rFonts w:ascii="Arial"/>
                      <w:sz w:val="21"/>
                    </w:rPr>
                  </w:pPr>
                </w:p>
                <w:p w14:paraId="5AF7C56A">
                  <w:pPr>
                    <w:spacing w:before="5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18.2</w:t>
                  </w:r>
                </w:p>
              </w:tc>
              <w:tc>
                <w:tcPr>
                  <w:tcW w:w="841" w:type="dxa"/>
                  <w:vMerge w:val="continue"/>
                  <w:tcBorders>
                    <w:top w:val="nil"/>
                  </w:tcBorders>
                  <w:vAlign w:val="top"/>
                </w:tcPr>
                <w:p w14:paraId="0E861B47">
                  <w:pPr>
                    <w:rPr>
                      <w:rFonts w:ascii="Arial"/>
                      <w:sz w:val="21"/>
                    </w:rPr>
                  </w:pPr>
                </w:p>
              </w:tc>
              <w:tc>
                <w:tcPr>
                  <w:tcW w:w="505" w:type="dxa"/>
                  <w:textDirection w:val="tbRlV"/>
                  <w:vAlign w:val="top"/>
                </w:tcPr>
                <w:p w14:paraId="27CF923F">
                  <w:pPr>
                    <w:pStyle w:val="6"/>
                    <w:spacing w:before="158" w:line="209" w:lineRule="auto"/>
                    <w:ind w:left="147"/>
                    <w:rPr>
                      <w:sz w:val="18"/>
                      <w:szCs w:val="18"/>
                    </w:rPr>
                  </w:pPr>
                  <w:r>
                    <w:rPr>
                      <w:spacing w:val="-1"/>
                      <w:sz w:val="18"/>
                      <w:szCs w:val="18"/>
                    </w:rPr>
                    <w:t>固</w:t>
                  </w:r>
                  <w:r>
                    <w:rPr>
                      <w:spacing w:val="-34"/>
                      <w:sz w:val="18"/>
                      <w:szCs w:val="18"/>
                    </w:rPr>
                    <w:t xml:space="preserve"> </w:t>
                  </w:r>
                  <w:r>
                    <w:rPr>
                      <w:spacing w:val="-1"/>
                      <w:sz w:val="18"/>
                      <w:szCs w:val="18"/>
                    </w:rPr>
                    <w:t>态</w:t>
                  </w:r>
                </w:p>
              </w:tc>
              <w:tc>
                <w:tcPr>
                  <w:tcW w:w="645" w:type="dxa"/>
                  <w:vAlign w:val="top"/>
                </w:tcPr>
                <w:p w14:paraId="7F194664">
                  <w:pPr>
                    <w:spacing w:before="292" w:line="192"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5" w:type="dxa"/>
                  <w:textDirection w:val="tbRlV"/>
                  <w:vAlign w:val="top"/>
                </w:tcPr>
                <w:p w14:paraId="300A7970">
                  <w:pPr>
                    <w:pStyle w:val="6"/>
                    <w:spacing w:before="117" w:line="208" w:lineRule="auto"/>
                    <w:ind w:left="31"/>
                    <w:rPr>
                      <w:sz w:val="18"/>
                      <w:szCs w:val="18"/>
                    </w:rPr>
                  </w:pPr>
                  <w:r>
                    <w:rPr>
                      <w:spacing w:val="35"/>
                      <w:sz w:val="18"/>
                      <w:szCs w:val="18"/>
                    </w:rPr>
                    <w:t>有机物</w:t>
                  </w:r>
                </w:p>
              </w:tc>
              <w:tc>
                <w:tcPr>
                  <w:tcW w:w="427" w:type="dxa"/>
                  <w:textDirection w:val="tbRlV"/>
                  <w:vAlign w:val="top"/>
                </w:tcPr>
                <w:p w14:paraId="05E2975B">
                  <w:pPr>
                    <w:pStyle w:val="6"/>
                    <w:spacing w:before="119" w:line="208" w:lineRule="auto"/>
                    <w:ind w:left="147"/>
                    <w:rPr>
                      <w:sz w:val="18"/>
                      <w:szCs w:val="18"/>
                    </w:rPr>
                  </w:pPr>
                  <w:r>
                    <w:rPr>
                      <w:spacing w:val="-1"/>
                      <w:sz w:val="18"/>
                      <w:szCs w:val="18"/>
                    </w:rPr>
                    <w:t>每</w:t>
                  </w:r>
                  <w:r>
                    <w:rPr>
                      <w:spacing w:val="-34"/>
                      <w:sz w:val="18"/>
                      <w:szCs w:val="18"/>
                    </w:rPr>
                    <w:t xml:space="preserve"> </w:t>
                  </w:r>
                  <w:r>
                    <w:rPr>
                      <w:spacing w:val="-1"/>
                      <w:sz w:val="18"/>
                      <w:szCs w:val="18"/>
                    </w:rPr>
                    <w:t>月</w:t>
                  </w:r>
                </w:p>
              </w:tc>
              <w:tc>
                <w:tcPr>
                  <w:tcW w:w="619" w:type="dxa"/>
                  <w:vAlign w:val="top"/>
                </w:tcPr>
                <w:p w14:paraId="25711563">
                  <w:pPr>
                    <w:spacing w:line="245" w:lineRule="auto"/>
                    <w:rPr>
                      <w:rFonts w:ascii="Arial"/>
                      <w:sz w:val="21"/>
                    </w:rPr>
                  </w:pPr>
                </w:p>
                <w:p w14:paraId="5D24C0C4">
                  <w:pPr>
                    <w:spacing w:before="52" w:line="185"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T</w:t>
                  </w:r>
                </w:p>
              </w:tc>
              <w:tc>
                <w:tcPr>
                  <w:tcW w:w="707" w:type="dxa"/>
                  <w:vMerge w:val="continue"/>
                  <w:tcBorders>
                    <w:top w:val="nil"/>
                  </w:tcBorders>
                  <w:vAlign w:val="top"/>
                </w:tcPr>
                <w:p w14:paraId="0E942F47">
                  <w:pPr>
                    <w:rPr>
                      <w:rFonts w:ascii="Arial"/>
                      <w:sz w:val="21"/>
                    </w:rPr>
                  </w:pPr>
                </w:p>
              </w:tc>
            </w:tr>
          </w:tbl>
          <w:p w14:paraId="2246118B">
            <w:pPr>
              <w:pStyle w:val="6"/>
              <w:spacing w:before="31" w:line="228" w:lineRule="auto"/>
              <w:ind w:left="592"/>
              <w:rPr>
                <w:sz w:val="20"/>
                <w:szCs w:val="20"/>
              </w:rPr>
            </w:pPr>
            <w:r>
              <w:rPr>
                <w:spacing w:val="7"/>
                <w:sz w:val="20"/>
                <w:szCs w:val="20"/>
              </w:rPr>
              <w:t>项目危险废物贮存设施情况见表</w:t>
            </w:r>
            <w:r>
              <w:rPr>
                <w:spacing w:val="-37"/>
                <w:sz w:val="20"/>
                <w:szCs w:val="20"/>
              </w:rPr>
              <w:t xml:space="preserve"> </w:t>
            </w:r>
            <w:r>
              <w:rPr>
                <w:rFonts w:ascii="Times New Roman" w:hAnsi="Times New Roman" w:eastAsia="Times New Roman" w:cs="Times New Roman"/>
                <w:spacing w:val="7"/>
                <w:sz w:val="20"/>
                <w:szCs w:val="20"/>
              </w:rPr>
              <w:t>4-14</w:t>
            </w:r>
            <w:r>
              <w:rPr>
                <w:spacing w:val="7"/>
                <w:sz w:val="20"/>
                <w:szCs w:val="20"/>
              </w:rPr>
              <w:t>。</w:t>
            </w:r>
          </w:p>
          <w:p w14:paraId="24DAE309">
            <w:pPr>
              <w:pStyle w:val="6"/>
              <w:spacing w:before="296" w:line="219" w:lineRule="auto"/>
              <w:ind w:left="1753"/>
              <w:rPr>
                <w:sz w:val="18"/>
                <w:szCs w:val="18"/>
              </w:rPr>
            </w:pPr>
            <w:r>
              <w:rPr>
                <w:b/>
                <w:bCs/>
                <w:spacing w:val="-1"/>
                <w:sz w:val="18"/>
                <w:szCs w:val="18"/>
              </w:rPr>
              <w:t>表</w:t>
            </w:r>
            <w:r>
              <w:rPr>
                <w:spacing w:val="-43"/>
                <w:sz w:val="18"/>
                <w:szCs w:val="18"/>
              </w:rPr>
              <w:t xml:space="preserve"> </w:t>
            </w:r>
            <w:r>
              <w:rPr>
                <w:rFonts w:ascii="Times New Roman" w:hAnsi="Times New Roman" w:eastAsia="Times New Roman" w:cs="Times New Roman"/>
                <w:b/>
                <w:bCs/>
                <w:spacing w:val="-1"/>
                <w:sz w:val="18"/>
                <w:szCs w:val="18"/>
              </w:rPr>
              <w:t xml:space="preserve">4-14      </w:t>
            </w:r>
            <w:r>
              <w:rPr>
                <w:b/>
                <w:bCs/>
                <w:spacing w:val="-1"/>
                <w:sz w:val="18"/>
                <w:szCs w:val="18"/>
              </w:rPr>
              <w:t>建设项目危险废物贮存场所（设</w:t>
            </w:r>
            <w:r>
              <w:rPr>
                <w:b/>
                <w:bCs/>
                <w:spacing w:val="-2"/>
                <w:sz w:val="18"/>
                <w:szCs w:val="18"/>
              </w:rPr>
              <w:t>施）基本情况表</w:t>
            </w:r>
          </w:p>
          <w:p w14:paraId="574EFC4D">
            <w:pPr>
              <w:spacing w:line="22" w:lineRule="exact"/>
            </w:pPr>
          </w:p>
          <w:tbl>
            <w:tblPr>
              <w:tblStyle w:val="5"/>
              <w:tblW w:w="7829"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1114"/>
              <w:gridCol w:w="901"/>
              <w:gridCol w:w="814"/>
              <w:gridCol w:w="1071"/>
              <w:gridCol w:w="625"/>
              <w:gridCol w:w="706"/>
              <w:gridCol w:w="729"/>
              <w:gridCol w:w="784"/>
              <w:gridCol w:w="648"/>
            </w:tblGrid>
            <w:tr w14:paraId="0721E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437" w:type="dxa"/>
                  <w:textDirection w:val="tbRlV"/>
                  <w:vAlign w:val="top"/>
                </w:tcPr>
                <w:p w14:paraId="3EC1CFCF">
                  <w:pPr>
                    <w:pStyle w:val="6"/>
                    <w:spacing w:before="127" w:line="210" w:lineRule="auto"/>
                    <w:ind w:left="146"/>
                    <w:rPr>
                      <w:sz w:val="18"/>
                      <w:szCs w:val="18"/>
                    </w:rPr>
                  </w:pPr>
                  <w:r>
                    <w:rPr>
                      <w:b/>
                      <w:bCs/>
                      <w:spacing w:val="24"/>
                      <w:sz w:val="18"/>
                      <w:szCs w:val="18"/>
                    </w:rPr>
                    <w:t>序号</w:t>
                  </w:r>
                </w:p>
              </w:tc>
              <w:tc>
                <w:tcPr>
                  <w:tcW w:w="1114" w:type="dxa"/>
                  <w:vAlign w:val="top"/>
                </w:tcPr>
                <w:p w14:paraId="48930783">
                  <w:pPr>
                    <w:pStyle w:val="6"/>
                    <w:spacing w:before="32" w:line="219" w:lineRule="auto"/>
                    <w:ind w:left="199"/>
                    <w:rPr>
                      <w:sz w:val="18"/>
                      <w:szCs w:val="18"/>
                    </w:rPr>
                  </w:pPr>
                  <w:r>
                    <w:rPr>
                      <w:b/>
                      <w:bCs/>
                      <w:spacing w:val="-4"/>
                      <w:sz w:val="18"/>
                      <w:szCs w:val="18"/>
                    </w:rPr>
                    <w:t>贮存场所</w:t>
                  </w:r>
                </w:p>
                <w:p w14:paraId="4B0086FF">
                  <w:pPr>
                    <w:pStyle w:val="6"/>
                    <w:spacing w:before="18" w:line="221" w:lineRule="auto"/>
                    <w:ind w:left="71"/>
                    <w:rPr>
                      <w:sz w:val="18"/>
                      <w:szCs w:val="18"/>
                    </w:rPr>
                  </w:pPr>
                  <w:r>
                    <w:rPr>
                      <w:b/>
                      <w:bCs/>
                      <w:spacing w:val="-3"/>
                      <w:sz w:val="18"/>
                      <w:szCs w:val="18"/>
                    </w:rPr>
                    <w:t>（设施）名</w:t>
                  </w:r>
                </w:p>
                <w:p w14:paraId="296036EE">
                  <w:pPr>
                    <w:pStyle w:val="6"/>
                    <w:spacing w:before="17" w:line="206" w:lineRule="auto"/>
                    <w:ind w:left="468"/>
                    <w:rPr>
                      <w:sz w:val="18"/>
                      <w:szCs w:val="18"/>
                    </w:rPr>
                  </w:pPr>
                  <w:r>
                    <w:rPr>
                      <w:b/>
                      <w:bCs/>
                      <w:spacing w:val="-2"/>
                      <w:sz w:val="18"/>
                      <w:szCs w:val="18"/>
                    </w:rPr>
                    <w:t>称</w:t>
                  </w:r>
                </w:p>
              </w:tc>
              <w:tc>
                <w:tcPr>
                  <w:tcW w:w="901" w:type="dxa"/>
                  <w:vAlign w:val="top"/>
                </w:tcPr>
                <w:p w14:paraId="38350952">
                  <w:pPr>
                    <w:pStyle w:val="6"/>
                    <w:spacing w:before="146" w:line="230" w:lineRule="auto"/>
                    <w:ind w:left="183" w:right="177" w:firstLine="2"/>
                    <w:rPr>
                      <w:sz w:val="18"/>
                      <w:szCs w:val="18"/>
                    </w:rPr>
                  </w:pPr>
                  <w:r>
                    <w:rPr>
                      <w:b/>
                      <w:bCs/>
                      <w:spacing w:val="-5"/>
                      <w:sz w:val="18"/>
                      <w:szCs w:val="18"/>
                    </w:rPr>
                    <w:t>危险废</w:t>
                  </w:r>
                  <w:r>
                    <w:rPr>
                      <w:spacing w:val="1"/>
                      <w:sz w:val="18"/>
                      <w:szCs w:val="18"/>
                    </w:rPr>
                    <w:t xml:space="preserve"> </w:t>
                  </w:r>
                  <w:r>
                    <w:rPr>
                      <w:b/>
                      <w:bCs/>
                      <w:spacing w:val="-4"/>
                      <w:sz w:val="18"/>
                      <w:szCs w:val="18"/>
                    </w:rPr>
                    <w:t>物名称</w:t>
                  </w:r>
                </w:p>
              </w:tc>
              <w:tc>
                <w:tcPr>
                  <w:tcW w:w="814" w:type="dxa"/>
                  <w:vAlign w:val="top"/>
                </w:tcPr>
                <w:p w14:paraId="4388CE23">
                  <w:pPr>
                    <w:pStyle w:val="6"/>
                    <w:spacing w:before="147" w:line="229" w:lineRule="auto"/>
                    <w:ind w:left="139" w:right="134" w:firstLine="2"/>
                    <w:rPr>
                      <w:sz w:val="18"/>
                      <w:szCs w:val="18"/>
                    </w:rPr>
                  </w:pPr>
                  <w:r>
                    <w:rPr>
                      <w:b/>
                      <w:bCs/>
                      <w:spacing w:val="-5"/>
                      <w:sz w:val="18"/>
                      <w:szCs w:val="18"/>
                    </w:rPr>
                    <w:t>危险废</w:t>
                  </w:r>
                  <w:r>
                    <w:rPr>
                      <w:spacing w:val="1"/>
                      <w:sz w:val="18"/>
                      <w:szCs w:val="18"/>
                    </w:rPr>
                    <w:t xml:space="preserve"> </w:t>
                  </w:r>
                  <w:r>
                    <w:rPr>
                      <w:b/>
                      <w:bCs/>
                      <w:spacing w:val="-4"/>
                      <w:sz w:val="18"/>
                      <w:szCs w:val="18"/>
                    </w:rPr>
                    <w:t>物类别</w:t>
                  </w:r>
                </w:p>
              </w:tc>
              <w:tc>
                <w:tcPr>
                  <w:tcW w:w="1071" w:type="dxa"/>
                  <w:vAlign w:val="top"/>
                </w:tcPr>
                <w:p w14:paraId="2F39A88E">
                  <w:pPr>
                    <w:pStyle w:val="6"/>
                    <w:spacing w:before="147" w:line="229" w:lineRule="auto"/>
                    <w:ind w:left="358" w:right="170" w:hanging="177"/>
                    <w:rPr>
                      <w:sz w:val="18"/>
                      <w:szCs w:val="18"/>
                    </w:rPr>
                  </w:pPr>
                  <w:r>
                    <w:rPr>
                      <w:b/>
                      <w:bCs/>
                      <w:spacing w:val="-4"/>
                      <w:sz w:val="18"/>
                      <w:szCs w:val="18"/>
                    </w:rPr>
                    <w:t>危险废物</w:t>
                  </w:r>
                  <w:r>
                    <w:rPr>
                      <w:sz w:val="18"/>
                      <w:szCs w:val="18"/>
                    </w:rPr>
                    <w:t xml:space="preserve"> </w:t>
                  </w:r>
                  <w:r>
                    <w:rPr>
                      <w:b/>
                      <w:bCs/>
                      <w:spacing w:val="-6"/>
                      <w:sz w:val="18"/>
                      <w:szCs w:val="18"/>
                    </w:rPr>
                    <w:t>代码</w:t>
                  </w:r>
                </w:p>
              </w:tc>
              <w:tc>
                <w:tcPr>
                  <w:tcW w:w="625" w:type="dxa"/>
                  <w:vAlign w:val="top"/>
                </w:tcPr>
                <w:p w14:paraId="454C6243">
                  <w:pPr>
                    <w:pStyle w:val="6"/>
                    <w:spacing w:before="264" w:line="221" w:lineRule="auto"/>
                    <w:ind w:left="138"/>
                    <w:rPr>
                      <w:sz w:val="18"/>
                      <w:szCs w:val="18"/>
                    </w:rPr>
                  </w:pPr>
                  <w:r>
                    <w:rPr>
                      <w:b/>
                      <w:bCs/>
                      <w:spacing w:val="-6"/>
                      <w:sz w:val="18"/>
                      <w:szCs w:val="18"/>
                    </w:rPr>
                    <w:t>位置</w:t>
                  </w:r>
                </w:p>
              </w:tc>
              <w:tc>
                <w:tcPr>
                  <w:tcW w:w="706" w:type="dxa"/>
                  <w:vAlign w:val="top"/>
                </w:tcPr>
                <w:p w14:paraId="7929E2E2">
                  <w:pPr>
                    <w:pStyle w:val="6"/>
                    <w:spacing w:before="147" w:line="229" w:lineRule="auto"/>
                    <w:ind w:left="178" w:right="169" w:firstLine="28"/>
                    <w:rPr>
                      <w:sz w:val="18"/>
                      <w:szCs w:val="18"/>
                    </w:rPr>
                  </w:pPr>
                  <w:r>
                    <w:rPr>
                      <w:b/>
                      <w:bCs/>
                      <w:spacing w:val="-21"/>
                      <w:sz w:val="18"/>
                      <w:szCs w:val="18"/>
                    </w:rPr>
                    <w:t>占地</w:t>
                  </w:r>
                  <w:r>
                    <w:rPr>
                      <w:sz w:val="18"/>
                      <w:szCs w:val="18"/>
                    </w:rPr>
                    <w:t xml:space="preserve"> </w:t>
                  </w:r>
                  <w:r>
                    <w:rPr>
                      <w:b/>
                      <w:bCs/>
                      <w:spacing w:val="-6"/>
                      <w:sz w:val="18"/>
                      <w:szCs w:val="18"/>
                    </w:rPr>
                    <w:t>面积</w:t>
                  </w:r>
                </w:p>
              </w:tc>
              <w:tc>
                <w:tcPr>
                  <w:tcW w:w="729" w:type="dxa"/>
                  <w:vAlign w:val="top"/>
                </w:tcPr>
                <w:p w14:paraId="4C4C4CEE">
                  <w:pPr>
                    <w:pStyle w:val="6"/>
                    <w:spacing w:before="146" w:line="230" w:lineRule="auto"/>
                    <w:ind w:left="190" w:right="181"/>
                    <w:rPr>
                      <w:sz w:val="18"/>
                      <w:szCs w:val="18"/>
                    </w:rPr>
                  </w:pPr>
                  <w:r>
                    <w:rPr>
                      <w:b/>
                      <w:bCs/>
                      <w:spacing w:val="-6"/>
                      <w:sz w:val="18"/>
                      <w:szCs w:val="18"/>
                    </w:rPr>
                    <w:t>贮存</w:t>
                  </w:r>
                  <w:r>
                    <w:rPr>
                      <w:sz w:val="18"/>
                      <w:szCs w:val="18"/>
                    </w:rPr>
                    <w:t xml:space="preserve"> </w:t>
                  </w:r>
                  <w:r>
                    <w:rPr>
                      <w:b/>
                      <w:bCs/>
                      <w:spacing w:val="-6"/>
                      <w:sz w:val="18"/>
                      <w:szCs w:val="18"/>
                    </w:rPr>
                    <w:t>方式</w:t>
                  </w:r>
                </w:p>
              </w:tc>
              <w:tc>
                <w:tcPr>
                  <w:tcW w:w="784" w:type="dxa"/>
                  <w:vAlign w:val="top"/>
                </w:tcPr>
                <w:p w14:paraId="6AA4EB06">
                  <w:pPr>
                    <w:pStyle w:val="6"/>
                    <w:spacing w:before="147" w:line="229" w:lineRule="auto"/>
                    <w:ind w:left="223" w:right="209" w:hanging="6"/>
                    <w:rPr>
                      <w:sz w:val="18"/>
                      <w:szCs w:val="18"/>
                    </w:rPr>
                  </w:pPr>
                  <w:r>
                    <w:rPr>
                      <w:b/>
                      <w:bCs/>
                      <w:spacing w:val="-6"/>
                      <w:sz w:val="18"/>
                      <w:szCs w:val="18"/>
                    </w:rPr>
                    <w:t>贮存</w:t>
                  </w:r>
                  <w:r>
                    <w:rPr>
                      <w:sz w:val="18"/>
                      <w:szCs w:val="18"/>
                    </w:rPr>
                    <w:t xml:space="preserve"> </w:t>
                  </w:r>
                  <w:r>
                    <w:rPr>
                      <w:b/>
                      <w:bCs/>
                      <w:spacing w:val="-9"/>
                      <w:sz w:val="18"/>
                      <w:szCs w:val="18"/>
                    </w:rPr>
                    <w:t>能力</w:t>
                  </w:r>
                </w:p>
              </w:tc>
              <w:tc>
                <w:tcPr>
                  <w:tcW w:w="648" w:type="dxa"/>
                  <w:vAlign w:val="top"/>
                </w:tcPr>
                <w:p w14:paraId="011DA3BB">
                  <w:pPr>
                    <w:pStyle w:val="6"/>
                    <w:spacing w:before="147" w:line="229" w:lineRule="auto"/>
                    <w:ind w:left="148" w:right="142"/>
                    <w:rPr>
                      <w:sz w:val="18"/>
                      <w:szCs w:val="18"/>
                    </w:rPr>
                  </w:pPr>
                  <w:r>
                    <w:rPr>
                      <w:b/>
                      <w:bCs/>
                      <w:spacing w:val="-6"/>
                      <w:sz w:val="18"/>
                      <w:szCs w:val="18"/>
                    </w:rPr>
                    <w:t>贮存</w:t>
                  </w:r>
                  <w:r>
                    <w:rPr>
                      <w:sz w:val="18"/>
                      <w:szCs w:val="18"/>
                    </w:rPr>
                    <w:t xml:space="preserve"> </w:t>
                  </w:r>
                  <w:r>
                    <w:rPr>
                      <w:b/>
                      <w:bCs/>
                      <w:spacing w:val="-6"/>
                      <w:sz w:val="18"/>
                      <w:szCs w:val="18"/>
                    </w:rPr>
                    <w:t>周期</w:t>
                  </w:r>
                </w:p>
              </w:tc>
            </w:tr>
            <w:tr w14:paraId="20637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37" w:type="dxa"/>
                  <w:vAlign w:val="top"/>
                </w:tcPr>
                <w:p w14:paraId="6486E5E9">
                  <w:pPr>
                    <w:spacing w:before="175" w:line="188" w:lineRule="auto"/>
                    <w:ind w:left="19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14" w:type="dxa"/>
                  <w:vMerge w:val="restart"/>
                  <w:tcBorders>
                    <w:bottom w:val="nil"/>
                  </w:tcBorders>
                  <w:vAlign w:val="top"/>
                </w:tcPr>
                <w:p w14:paraId="2B531A64">
                  <w:pPr>
                    <w:spacing w:line="282" w:lineRule="auto"/>
                    <w:rPr>
                      <w:rFonts w:ascii="Arial"/>
                      <w:sz w:val="21"/>
                    </w:rPr>
                  </w:pPr>
                </w:p>
                <w:p w14:paraId="604A717F">
                  <w:pPr>
                    <w:spacing w:line="282" w:lineRule="auto"/>
                    <w:rPr>
                      <w:rFonts w:ascii="Arial"/>
                      <w:sz w:val="21"/>
                    </w:rPr>
                  </w:pPr>
                </w:p>
                <w:p w14:paraId="32FE74A9">
                  <w:pPr>
                    <w:pStyle w:val="6"/>
                    <w:spacing w:before="59" w:line="229" w:lineRule="auto"/>
                    <w:ind w:left="199" w:right="197" w:firstLine="1"/>
                    <w:rPr>
                      <w:sz w:val="18"/>
                      <w:szCs w:val="18"/>
                    </w:rPr>
                  </w:pPr>
                  <w:r>
                    <w:rPr>
                      <w:spacing w:val="-3"/>
                      <w:sz w:val="18"/>
                      <w:szCs w:val="18"/>
                    </w:rPr>
                    <w:t>危险废物</w:t>
                  </w:r>
                  <w:r>
                    <w:rPr>
                      <w:spacing w:val="1"/>
                      <w:sz w:val="18"/>
                      <w:szCs w:val="18"/>
                    </w:rPr>
                    <w:t xml:space="preserve"> </w:t>
                  </w:r>
                  <w:r>
                    <w:rPr>
                      <w:spacing w:val="-2"/>
                      <w:sz w:val="18"/>
                      <w:szCs w:val="18"/>
                    </w:rPr>
                    <w:t>贮存设施</w:t>
                  </w:r>
                </w:p>
              </w:tc>
              <w:tc>
                <w:tcPr>
                  <w:tcW w:w="901" w:type="dxa"/>
                  <w:vAlign w:val="top"/>
                </w:tcPr>
                <w:p w14:paraId="29026E1E">
                  <w:pPr>
                    <w:pStyle w:val="6"/>
                    <w:spacing w:before="30" w:line="221" w:lineRule="auto"/>
                    <w:ind w:left="364" w:right="179" w:hanging="182"/>
                    <w:rPr>
                      <w:sz w:val="18"/>
                      <w:szCs w:val="18"/>
                    </w:rPr>
                  </w:pPr>
                  <w:r>
                    <w:rPr>
                      <w:spacing w:val="-3"/>
                      <w:sz w:val="18"/>
                      <w:szCs w:val="18"/>
                    </w:rPr>
                    <w:t>废机油</w:t>
                  </w:r>
                  <w:r>
                    <w:rPr>
                      <w:spacing w:val="1"/>
                      <w:sz w:val="18"/>
                      <w:szCs w:val="18"/>
                    </w:rPr>
                    <w:t xml:space="preserve"> </w:t>
                  </w:r>
                  <w:r>
                    <w:rPr>
                      <w:sz w:val="18"/>
                      <w:szCs w:val="18"/>
                    </w:rPr>
                    <w:t>桶</w:t>
                  </w:r>
                </w:p>
              </w:tc>
              <w:tc>
                <w:tcPr>
                  <w:tcW w:w="814" w:type="dxa"/>
                  <w:vAlign w:val="top"/>
                </w:tcPr>
                <w:p w14:paraId="487EBE2B">
                  <w:pPr>
                    <w:spacing w:before="175"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071" w:type="dxa"/>
                  <w:vAlign w:val="top"/>
                </w:tcPr>
                <w:p w14:paraId="43430D79">
                  <w:pPr>
                    <w:spacing w:before="175"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625" w:type="dxa"/>
                  <w:vMerge w:val="restart"/>
                  <w:tcBorders>
                    <w:bottom w:val="nil"/>
                  </w:tcBorders>
                  <w:vAlign w:val="top"/>
                </w:tcPr>
                <w:p w14:paraId="3EAC3938">
                  <w:pPr>
                    <w:spacing w:line="447" w:lineRule="auto"/>
                    <w:rPr>
                      <w:rFonts w:ascii="Arial"/>
                      <w:sz w:val="21"/>
                    </w:rPr>
                  </w:pPr>
                </w:p>
                <w:p w14:paraId="522D8CF8">
                  <w:pPr>
                    <w:pStyle w:val="6"/>
                    <w:spacing w:before="59" w:line="220" w:lineRule="auto"/>
                    <w:ind w:left="140"/>
                    <w:rPr>
                      <w:sz w:val="18"/>
                      <w:szCs w:val="18"/>
                    </w:rPr>
                  </w:pPr>
                  <w:r>
                    <w:rPr>
                      <w:spacing w:val="-5"/>
                      <w:sz w:val="18"/>
                      <w:szCs w:val="18"/>
                    </w:rPr>
                    <w:t>危废</w:t>
                  </w:r>
                </w:p>
                <w:p w14:paraId="177437E5">
                  <w:pPr>
                    <w:pStyle w:val="6"/>
                    <w:spacing w:before="20" w:line="219" w:lineRule="auto"/>
                    <w:ind w:left="143"/>
                    <w:rPr>
                      <w:sz w:val="18"/>
                      <w:szCs w:val="18"/>
                    </w:rPr>
                  </w:pPr>
                  <w:r>
                    <w:rPr>
                      <w:spacing w:val="-7"/>
                      <w:sz w:val="18"/>
                      <w:szCs w:val="18"/>
                    </w:rPr>
                    <w:t>暂存</w:t>
                  </w:r>
                </w:p>
                <w:p w14:paraId="037F1EA4">
                  <w:pPr>
                    <w:pStyle w:val="6"/>
                    <w:spacing w:before="19" w:line="222" w:lineRule="auto"/>
                    <w:ind w:left="241"/>
                    <w:rPr>
                      <w:sz w:val="18"/>
                      <w:szCs w:val="18"/>
                    </w:rPr>
                  </w:pPr>
                  <w:r>
                    <w:rPr>
                      <w:sz w:val="18"/>
                      <w:szCs w:val="18"/>
                    </w:rPr>
                    <w:t>间</w:t>
                  </w:r>
                </w:p>
              </w:tc>
              <w:tc>
                <w:tcPr>
                  <w:tcW w:w="706" w:type="dxa"/>
                  <w:vMerge w:val="restart"/>
                  <w:tcBorders>
                    <w:bottom w:val="nil"/>
                  </w:tcBorders>
                  <w:vAlign w:val="top"/>
                </w:tcPr>
                <w:p w14:paraId="5F30D0EF">
                  <w:pPr>
                    <w:spacing w:line="352" w:lineRule="auto"/>
                    <w:rPr>
                      <w:rFonts w:ascii="Arial"/>
                      <w:sz w:val="21"/>
                    </w:rPr>
                  </w:pPr>
                </w:p>
                <w:p w14:paraId="694CCD7F">
                  <w:pPr>
                    <w:spacing w:line="352" w:lineRule="auto"/>
                    <w:rPr>
                      <w:rFonts w:ascii="Arial"/>
                      <w:sz w:val="21"/>
                    </w:rPr>
                  </w:pPr>
                </w:p>
                <w:p w14:paraId="4102E9C2">
                  <w:pPr>
                    <w:spacing w:before="51" w:line="206" w:lineRule="auto"/>
                    <w:ind w:left="182"/>
                    <w:rPr>
                      <w:rFonts w:ascii="Times New Roman" w:hAnsi="Times New Roman" w:eastAsia="Times New Roman" w:cs="Times New Roman"/>
                      <w:sz w:val="11"/>
                      <w:szCs w:val="11"/>
                    </w:rPr>
                  </w:pPr>
                  <w:r>
                    <w:rPr>
                      <w:rFonts w:ascii="Times New Roman" w:hAnsi="Times New Roman" w:eastAsia="Times New Roman" w:cs="Times New Roman"/>
                      <w:spacing w:val="-5"/>
                      <w:sz w:val="18"/>
                      <w:szCs w:val="18"/>
                    </w:rPr>
                    <w:t>10m</w:t>
                  </w:r>
                  <w:r>
                    <w:rPr>
                      <w:rFonts w:ascii="Times New Roman" w:hAnsi="Times New Roman" w:eastAsia="Times New Roman" w:cs="Times New Roman"/>
                      <w:spacing w:val="-5"/>
                      <w:position w:val="5"/>
                      <w:sz w:val="11"/>
                      <w:szCs w:val="11"/>
                    </w:rPr>
                    <w:t>2</w:t>
                  </w:r>
                </w:p>
              </w:tc>
              <w:tc>
                <w:tcPr>
                  <w:tcW w:w="729" w:type="dxa"/>
                  <w:vMerge w:val="restart"/>
                  <w:tcBorders>
                    <w:bottom w:val="nil"/>
                  </w:tcBorders>
                  <w:vAlign w:val="top"/>
                </w:tcPr>
                <w:p w14:paraId="57B69D70">
                  <w:pPr>
                    <w:spacing w:line="331" w:lineRule="auto"/>
                    <w:rPr>
                      <w:rFonts w:ascii="Arial"/>
                      <w:sz w:val="21"/>
                    </w:rPr>
                  </w:pPr>
                </w:p>
                <w:p w14:paraId="11F5E3CC">
                  <w:pPr>
                    <w:pStyle w:val="6"/>
                    <w:spacing w:before="59" w:line="235" w:lineRule="auto"/>
                    <w:ind w:left="112" w:right="123" w:firstLine="79"/>
                    <w:jc w:val="both"/>
                    <w:rPr>
                      <w:sz w:val="18"/>
                      <w:szCs w:val="18"/>
                    </w:rPr>
                  </w:pPr>
                  <w:r>
                    <w:rPr>
                      <w:spacing w:val="-5"/>
                      <w:sz w:val="18"/>
                      <w:szCs w:val="18"/>
                    </w:rPr>
                    <w:t>分类</w:t>
                  </w:r>
                  <w:r>
                    <w:rPr>
                      <w:sz w:val="18"/>
                      <w:szCs w:val="18"/>
                    </w:rPr>
                    <w:t xml:space="preserve"> </w:t>
                  </w:r>
                  <w:r>
                    <w:rPr>
                      <w:spacing w:val="-18"/>
                      <w:sz w:val="18"/>
                      <w:szCs w:val="18"/>
                    </w:rPr>
                    <w:t>存放，</w:t>
                  </w:r>
                  <w:r>
                    <w:rPr>
                      <w:spacing w:val="1"/>
                      <w:sz w:val="18"/>
                      <w:szCs w:val="18"/>
                    </w:rPr>
                    <w:t xml:space="preserve"> </w:t>
                  </w:r>
                  <w:r>
                    <w:rPr>
                      <w:spacing w:val="35"/>
                      <w:sz w:val="18"/>
                      <w:szCs w:val="18"/>
                    </w:rPr>
                    <w:t>密闭</w:t>
                  </w:r>
                  <w:r>
                    <w:rPr>
                      <w:sz w:val="18"/>
                      <w:szCs w:val="18"/>
                    </w:rPr>
                    <w:t xml:space="preserve"> </w:t>
                  </w:r>
                  <w:r>
                    <w:rPr>
                      <w:spacing w:val="35"/>
                      <w:sz w:val="18"/>
                      <w:szCs w:val="18"/>
                    </w:rPr>
                    <w:t>暂存</w:t>
                  </w:r>
                </w:p>
              </w:tc>
              <w:tc>
                <w:tcPr>
                  <w:tcW w:w="784" w:type="dxa"/>
                  <w:vMerge w:val="restart"/>
                  <w:tcBorders>
                    <w:bottom w:val="nil"/>
                  </w:tcBorders>
                  <w:vAlign w:val="top"/>
                </w:tcPr>
                <w:p w14:paraId="4E0F5BF6">
                  <w:pPr>
                    <w:spacing w:line="241" w:lineRule="auto"/>
                    <w:rPr>
                      <w:rFonts w:ascii="Arial"/>
                      <w:sz w:val="21"/>
                    </w:rPr>
                  </w:pPr>
                </w:p>
                <w:p w14:paraId="7D4D3BA6">
                  <w:pPr>
                    <w:spacing w:before="52" w:line="192"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500kg</w:t>
                  </w:r>
                </w:p>
              </w:tc>
              <w:tc>
                <w:tcPr>
                  <w:tcW w:w="648" w:type="dxa"/>
                  <w:vMerge w:val="restart"/>
                  <w:tcBorders>
                    <w:bottom w:val="nil"/>
                  </w:tcBorders>
                  <w:vAlign w:val="top"/>
                </w:tcPr>
                <w:p w14:paraId="697A3362">
                  <w:pPr>
                    <w:pStyle w:val="6"/>
                    <w:spacing w:before="149" w:line="230" w:lineRule="auto"/>
                    <w:ind w:left="242" w:right="163" w:hanging="73"/>
                    <w:rPr>
                      <w:sz w:val="18"/>
                      <w:szCs w:val="18"/>
                    </w:rPr>
                  </w:pPr>
                  <w:r>
                    <w:rPr>
                      <w:rFonts w:ascii="Times New Roman" w:hAnsi="Times New Roman" w:eastAsia="Times New Roman" w:cs="Times New Roman"/>
                      <w:spacing w:val="-8"/>
                      <w:sz w:val="18"/>
                      <w:szCs w:val="18"/>
                    </w:rPr>
                    <w:t>3</w:t>
                  </w:r>
                  <w:r>
                    <w:rPr>
                      <w:rFonts w:ascii="Times New Roman" w:hAnsi="Times New Roman" w:eastAsia="Times New Roman" w:cs="Times New Roman"/>
                      <w:spacing w:val="9"/>
                      <w:sz w:val="18"/>
                      <w:szCs w:val="18"/>
                    </w:rPr>
                    <w:t xml:space="preserve"> </w:t>
                  </w:r>
                  <w:r>
                    <w:rPr>
                      <w:spacing w:val="-8"/>
                      <w:sz w:val="18"/>
                      <w:szCs w:val="18"/>
                    </w:rPr>
                    <w:t>个</w:t>
                  </w:r>
                  <w:r>
                    <w:rPr>
                      <w:sz w:val="18"/>
                      <w:szCs w:val="18"/>
                    </w:rPr>
                    <w:t xml:space="preserve"> 月</w:t>
                  </w:r>
                </w:p>
              </w:tc>
            </w:tr>
            <w:tr w14:paraId="6DC41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437" w:type="dxa"/>
                  <w:vAlign w:val="top"/>
                </w:tcPr>
                <w:p w14:paraId="4EAE259A">
                  <w:pPr>
                    <w:spacing w:before="59" w:line="188"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14" w:type="dxa"/>
                  <w:vMerge w:val="continue"/>
                  <w:tcBorders>
                    <w:top w:val="nil"/>
                    <w:bottom w:val="nil"/>
                  </w:tcBorders>
                  <w:vAlign w:val="top"/>
                </w:tcPr>
                <w:p w14:paraId="6CA71FDB">
                  <w:pPr>
                    <w:rPr>
                      <w:rFonts w:ascii="Arial"/>
                      <w:sz w:val="21"/>
                    </w:rPr>
                  </w:pPr>
                </w:p>
              </w:tc>
              <w:tc>
                <w:tcPr>
                  <w:tcW w:w="901" w:type="dxa"/>
                  <w:vAlign w:val="top"/>
                </w:tcPr>
                <w:p w14:paraId="08203098">
                  <w:pPr>
                    <w:pStyle w:val="6"/>
                    <w:spacing w:before="31" w:line="202" w:lineRule="auto"/>
                    <w:ind w:left="182"/>
                    <w:rPr>
                      <w:sz w:val="18"/>
                      <w:szCs w:val="18"/>
                    </w:rPr>
                  </w:pPr>
                  <w:r>
                    <w:rPr>
                      <w:spacing w:val="-3"/>
                      <w:sz w:val="18"/>
                      <w:szCs w:val="18"/>
                    </w:rPr>
                    <w:t>废机油</w:t>
                  </w:r>
                </w:p>
              </w:tc>
              <w:tc>
                <w:tcPr>
                  <w:tcW w:w="814" w:type="dxa"/>
                  <w:vAlign w:val="top"/>
                </w:tcPr>
                <w:p w14:paraId="79CEA387">
                  <w:pPr>
                    <w:spacing w:before="59"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071" w:type="dxa"/>
                  <w:vAlign w:val="top"/>
                </w:tcPr>
                <w:p w14:paraId="793E656B">
                  <w:pPr>
                    <w:spacing w:before="59"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625" w:type="dxa"/>
                  <w:vMerge w:val="continue"/>
                  <w:tcBorders>
                    <w:top w:val="nil"/>
                    <w:bottom w:val="nil"/>
                  </w:tcBorders>
                  <w:vAlign w:val="top"/>
                </w:tcPr>
                <w:p w14:paraId="247B57F1">
                  <w:pPr>
                    <w:rPr>
                      <w:rFonts w:ascii="Arial"/>
                      <w:sz w:val="21"/>
                    </w:rPr>
                  </w:pPr>
                </w:p>
              </w:tc>
              <w:tc>
                <w:tcPr>
                  <w:tcW w:w="706" w:type="dxa"/>
                  <w:vMerge w:val="continue"/>
                  <w:tcBorders>
                    <w:top w:val="nil"/>
                    <w:bottom w:val="nil"/>
                  </w:tcBorders>
                  <w:vAlign w:val="top"/>
                </w:tcPr>
                <w:p w14:paraId="3283C38D">
                  <w:pPr>
                    <w:rPr>
                      <w:rFonts w:ascii="Arial"/>
                      <w:sz w:val="21"/>
                    </w:rPr>
                  </w:pPr>
                </w:p>
              </w:tc>
              <w:tc>
                <w:tcPr>
                  <w:tcW w:w="729" w:type="dxa"/>
                  <w:vMerge w:val="continue"/>
                  <w:tcBorders>
                    <w:top w:val="nil"/>
                    <w:bottom w:val="nil"/>
                  </w:tcBorders>
                  <w:vAlign w:val="top"/>
                </w:tcPr>
                <w:p w14:paraId="1BC02302">
                  <w:pPr>
                    <w:rPr>
                      <w:rFonts w:ascii="Arial"/>
                      <w:sz w:val="21"/>
                    </w:rPr>
                  </w:pPr>
                </w:p>
              </w:tc>
              <w:tc>
                <w:tcPr>
                  <w:tcW w:w="784" w:type="dxa"/>
                  <w:vMerge w:val="continue"/>
                  <w:tcBorders>
                    <w:top w:val="nil"/>
                  </w:tcBorders>
                  <w:vAlign w:val="top"/>
                </w:tcPr>
                <w:p w14:paraId="2371623E">
                  <w:pPr>
                    <w:rPr>
                      <w:rFonts w:ascii="Arial"/>
                      <w:sz w:val="21"/>
                    </w:rPr>
                  </w:pPr>
                </w:p>
              </w:tc>
              <w:tc>
                <w:tcPr>
                  <w:tcW w:w="648" w:type="dxa"/>
                  <w:vMerge w:val="continue"/>
                  <w:tcBorders>
                    <w:top w:val="nil"/>
                  </w:tcBorders>
                  <w:vAlign w:val="top"/>
                </w:tcPr>
                <w:p w14:paraId="46C8359D">
                  <w:pPr>
                    <w:rPr>
                      <w:rFonts w:ascii="Arial"/>
                      <w:sz w:val="21"/>
                    </w:rPr>
                  </w:pPr>
                </w:p>
              </w:tc>
            </w:tr>
            <w:tr w14:paraId="5451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7" w:type="dxa"/>
                  <w:vAlign w:val="top"/>
                </w:tcPr>
                <w:p w14:paraId="0EF92D4F">
                  <w:pPr>
                    <w:spacing w:before="176" w:line="188"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14" w:type="dxa"/>
                  <w:vMerge w:val="continue"/>
                  <w:tcBorders>
                    <w:top w:val="nil"/>
                    <w:bottom w:val="nil"/>
                  </w:tcBorders>
                  <w:vAlign w:val="top"/>
                </w:tcPr>
                <w:p w14:paraId="44974D25">
                  <w:pPr>
                    <w:rPr>
                      <w:rFonts w:ascii="Arial"/>
                      <w:sz w:val="21"/>
                    </w:rPr>
                  </w:pPr>
                </w:p>
              </w:tc>
              <w:tc>
                <w:tcPr>
                  <w:tcW w:w="901" w:type="dxa"/>
                  <w:vAlign w:val="top"/>
                </w:tcPr>
                <w:p w14:paraId="59A35925">
                  <w:pPr>
                    <w:pStyle w:val="6"/>
                    <w:spacing w:before="30" w:line="220" w:lineRule="auto"/>
                    <w:ind w:left="367" w:right="107" w:hanging="257"/>
                    <w:rPr>
                      <w:sz w:val="18"/>
                      <w:szCs w:val="18"/>
                    </w:rPr>
                  </w:pPr>
                  <w:r>
                    <w:rPr>
                      <w:spacing w:val="9"/>
                      <w:sz w:val="18"/>
                      <w:szCs w:val="18"/>
                    </w:rPr>
                    <w:t>废</w:t>
                  </w:r>
                  <w:r>
                    <w:rPr>
                      <w:rFonts w:ascii="Times New Roman" w:hAnsi="Times New Roman" w:eastAsia="Times New Roman" w:cs="Times New Roman"/>
                      <w:sz w:val="18"/>
                      <w:szCs w:val="18"/>
                    </w:rPr>
                    <w:t>UV</w:t>
                  </w:r>
                  <w:r>
                    <w:rPr>
                      <w:rFonts w:ascii="Times New Roman" w:hAnsi="Times New Roman" w:eastAsia="Times New Roman" w:cs="Times New Roman"/>
                      <w:spacing w:val="-7"/>
                      <w:sz w:val="18"/>
                      <w:szCs w:val="18"/>
                    </w:rPr>
                    <w:t xml:space="preserve"> </w:t>
                  </w:r>
                  <w:r>
                    <w:rPr>
                      <w:spacing w:val="9"/>
                      <w:sz w:val="18"/>
                      <w:szCs w:val="18"/>
                    </w:rPr>
                    <w:t>灯</w:t>
                  </w:r>
                  <w:r>
                    <w:rPr>
                      <w:sz w:val="18"/>
                      <w:szCs w:val="18"/>
                    </w:rPr>
                    <w:t xml:space="preserve"> 管</w:t>
                  </w:r>
                </w:p>
              </w:tc>
              <w:tc>
                <w:tcPr>
                  <w:tcW w:w="814" w:type="dxa"/>
                  <w:vAlign w:val="top"/>
                </w:tcPr>
                <w:p w14:paraId="484B11DF">
                  <w:pPr>
                    <w:spacing w:before="176"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HW29</w:t>
                  </w:r>
                </w:p>
              </w:tc>
              <w:tc>
                <w:tcPr>
                  <w:tcW w:w="1071" w:type="dxa"/>
                  <w:vAlign w:val="top"/>
                </w:tcPr>
                <w:p w14:paraId="0F81F726">
                  <w:pPr>
                    <w:spacing w:before="176"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900-023-29</w:t>
                  </w:r>
                </w:p>
              </w:tc>
              <w:tc>
                <w:tcPr>
                  <w:tcW w:w="625" w:type="dxa"/>
                  <w:vMerge w:val="continue"/>
                  <w:tcBorders>
                    <w:top w:val="nil"/>
                    <w:bottom w:val="nil"/>
                  </w:tcBorders>
                  <w:vAlign w:val="top"/>
                </w:tcPr>
                <w:p w14:paraId="2A7E8461">
                  <w:pPr>
                    <w:rPr>
                      <w:rFonts w:ascii="Arial"/>
                      <w:sz w:val="21"/>
                    </w:rPr>
                  </w:pPr>
                </w:p>
              </w:tc>
              <w:tc>
                <w:tcPr>
                  <w:tcW w:w="706" w:type="dxa"/>
                  <w:vMerge w:val="continue"/>
                  <w:tcBorders>
                    <w:top w:val="nil"/>
                    <w:bottom w:val="nil"/>
                  </w:tcBorders>
                  <w:vAlign w:val="top"/>
                </w:tcPr>
                <w:p w14:paraId="452B1EBF">
                  <w:pPr>
                    <w:rPr>
                      <w:rFonts w:ascii="Arial"/>
                      <w:sz w:val="21"/>
                    </w:rPr>
                  </w:pPr>
                </w:p>
              </w:tc>
              <w:tc>
                <w:tcPr>
                  <w:tcW w:w="729" w:type="dxa"/>
                  <w:vMerge w:val="continue"/>
                  <w:tcBorders>
                    <w:top w:val="nil"/>
                    <w:bottom w:val="nil"/>
                  </w:tcBorders>
                  <w:vAlign w:val="top"/>
                </w:tcPr>
                <w:p w14:paraId="1AE0ADDC">
                  <w:pPr>
                    <w:rPr>
                      <w:rFonts w:ascii="Arial"/>
                      <w:sz w:val="21"/>
                    </w:rPr>
                  </w:pPr>
                </w:p>
              </w:tc>
              <w:tc>
                <w:tcPr>
                  <w:tcW w:w="784" w:type="dxa"/>
                  <w:vAlign w:val="top"/>
                </w:tcPr>
                <w:p w14:paraId="422E648C">
                  <w:pPr>
                    <w:spacing w:before="173" w:line="192"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20kg</w:t>
                  </w:r>
                </w:p>
              </w:tc>
              <w:tc>
                <w:tcPr>
                  <w:tcW w:w="648" w:type="dxa"/>
                  <w:vAlign w:val="top"/>
                </w:tcPr>
                <w:p w14:paraId="63C9057B">
                  <w:pPr>
                    <w:pStyle w:val="6"/>
                    <w:spacing w:before="30" w:line="220" w:lineRule="auto"/>
                    <w:ind w:left="243" w:right="163" w:hanging="73"/>
                    <w:rPr>
                      <w:sz w:val="18"/>
                      <w:szCs w:val="18"/>
                    </w:rPr>
                  </w:pPr>
                  <w:r>
                    <w:rPr>
                      <w:rFonts w:ascii="Times New Roman" w:hAnsi="Times New Roman" w:eastAsia="Times New Roman" w:cs="Times New Roman"/>
                      <w:spacing w:val="-8"/>
                      <w:sz w:val="18"/>
                      <w:szCs w:val="18"/>
                    </w:rPr>
                    <w:t>6</w:t>
                  </w:r>
                  <w:r>
                    <w:rPr>
                      <w:rFonts w:ascii="Times New Roman" w:hAnsi="Times New Roman" w:eastAsia="Times New Roman" w:cs="Times New Roman"/>
                      <w:spacing w:val="9"/>
                      <w:sz w:val="18"/>
                      <w:szCs w:val="18"/>
                    </w:rPr>
                    <w:t xml:space="preserve"> </w:t>
                  </w:r>
                  <w:r>
                    <w:rPr>
                      <w:spacing w:val="-8"/>
                      <w:sz w:val="18"/>
                      <w:szCs w:val="18"/>
                    </w:rPr>
                    <w:t>个</w:t>
                  </w:r>
                  <w:r>
                    <w:rPr>
                      <w:sz w:val="18"/>
                      <w:szCs w:val="18"/>
                    </w:rPr>
                    <w:t xml:space="preserve"> 月</w:t>
                  </w:r>
                </w:p>
              </w:tc>
            </w:tr>
            <w:tr w14:paraId="48AD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37" w:type="dxa"/>
                  <w:vAlign w:val="top"/>
                </w:tcPr>
                <w:p w14:paraId="0B0554CD">
                  <w:pPr>
                    <w:spacing w:before="179" w:line="188" w:lineRule="auto"/>
                    <w:ind w:left="1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114" w:type="dxa"/>
                  <w:vMerge w:val="continue"/>
                  <w:tcBorders>
                    <w:top w:val="nil"/>
                  </w:tcBorders>
                  <w:vAlign w:val="top"/>
                </w:tcPr>
                <w:p w14:paraId="2D539161">
                  <w:pPr>
                    <w:rPr>
                      <w:rFonts w:ascii="Arial"/>
                      <w:sz w:val="21"/>
                    </w:rPr>
                  </w:pPr>
                </w:p>
              </w:tc>
              <w:tc>
                <w:tcPr>
                  <w:tcW w:w="901" w:type="dxa"/>
                  <w:vAlign w:val="top"/>
                </w:tcPr>
                <w:p w14:paraId="27373B19">
                  <w:pPr>
                    <w:pStyle w:val="6"/>
                    <w:spacing w:before="33" w:line="222" w:lineRule="auto"/>
                    <w:ind w:left="365" w:right="179" w:hanging="183"/>
                    <w:rPr>
                      <w:sz w:val="18"/>
                      <w:szCs w:val="18"/>
                    </w:rPr>
                  </w:pPr>
                  <w:r>
                    <w:rPr>
                      <w:spacing w:val="-3"/>
                      <w:sz w:val="18"/>
                      <w:szCs w:val="18"/>
                    </w:rPr>
                    <w:t>废活性</w:t>
                  </w:r>
                  <w:r>
                    <w:rPr>
                      <w:spacing w:val="1"/>
                      <w:sz w:val="18"/>
                      <w:szCs w:val="18"/>
                    </w:rPr>
                    <w:t xml:space="preserve"> </w:t>
                  </w:r>
                  <w:r>
                    <w:rPr>
                      <w:sz w:val="18"/>
                      <w:szCs w:val="18"/>
                    </w:rPr>
                    <w:t>炭</w:t>
                  </w:r>
                </w:p>
              </w:tc>
              <w:tc>
                <w:tcPr>
                  <w:tcW w:w="814" w:type="dxa"/>
                  <w:vAlign w:val="top"/>
                </w:tcPr>
                <w:p w14:paraId="75A4E51B">
                  <w:pPr>
                    <w:spacing w:before="179"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HW49</w:t>
                  </w:r>
                </w:p>
              </w:tc>
              <w:tc>
                <w:tcPr>
                  <w:tcW w:w="1071" w:type="dxa"/>
                  <w:vAlign w:val="top"/>
                </w:tcPr>
                <w:p w14:paraId="3735D09C">
                  <w:pPr>
                    <w:spacing w:before="179"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900-039-49</w:t>
                  </w:r>
                </w:p>
              </w:tc>
              <w:tc>
                <w:tcPr>
                  <w:tcW w:w="625" w:type="dxa"/>
                  <w:vMerge w:val="continue"/>
                  <w:tcBorders>
                    <w:top w:val="nil"/>
                  </w:tcBorders>
                  <w:vAlign w:val="top"/>
                </w:tcPr>
                <w:p w14:paraId="61103C0A">
                  <w:pPr>
                    <w:rPr>
                      <w:rFonts w:ascii="Arial"/>
                      <w:sz w:val="21"/>
                    </w:rPr>
                  </w:pPr>
                </w:p>
              </w:tc>
              <w:tc>
                <w:tcPr>
                  <w:tcW w:w="706" w:type="dxa"/>
                  <w:vMerge w:val="continue"/>
                  <w:tcBorders>
                    <w:top w:val="nil"/>
                  </w:tcBorders>
                  <w:vAlign w:val="top"/>
                </w:tcPr>
                <w:p w14:paraId="0A8F253C">
                  <w:pPr>
                    <w:rPr>
                      <w:rFonts w:ascii="Arial"/>
                      <w:sz w:val="21"/>
                    </w:rPr>
                  </w:pPr>
                </w:p>
              </w:tc>
              <w:tc>
                <w:tcPr>
                  <w:tcW w:w="729" w:type="dxa"/>
                  <w:vMerge w:val="continue"/>
                  <w:tcBorders>
                    <w:top w:val="nil"/>
                  </w:tcBorders>
                  <w:vAlign w:val="top"/>
                </w:tcPr>
                <w:p w14:paraId="06CF8062">
                  <w:pPr>
                    <w:rPr>
                      <w:rFonts w:ascii="Arial"/>
                      <w:sz w:val="21"/>
                    </w:rPr>
                  </w:pPr>
                </w:p>
              </w:tc>
              <w:tc>
                <w:tcPr>
                  <w:tcW w:w="784" w:type="dxa"/>
                  <w:vAlign w:val="top"/>
                </w:tcPr>
                <w:p w14:paraId="2AA128D9">
                  <w:pPr>
                    <w:spacing w:before="17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2.5t</w:t>
                  </w:r>
                </w:p>
              </w:tc>
              <w:tc>
                <w:tcPr>
                  <w:tcW w:w="648" w:type="dxa"/>
                  <w:vAlign w:val="top"/>
                </w:tcPr>
                <w:p w14:paraId="7BC427D3">
                  <w:pPr>
                    <w:pStyle w:val="6"/>
                    <w:spacing w:before="33" w:line="222" w:lineRule="auto"/>
                    <w:ind w:left="242" w:right="163" w:hanging="73"/>
                    <w:rPr>
                      <w:sz w:val="18"/>
                      <w:szCs w:val="18"/>
                    </w:rPr>
                  </w:pPr>
                  <w:r>
                    <w:rPr>
                      <w:rFonts w:ascii="Times New Roman" w:hAnsi="Times New Roman" w:eastAsia="Times New Roman" w:cs="Times New Roman"/>
                      <w:spacing w:val="-8"/>
                      <w:sz w:val="18"/>
                      <w:szCs w:val="18"/>
                    </w:rPr>
                    <w:t>3</w:t>
                  </w:r>
                  <w:r>
                    <w:rPr>
                      <w:rFonts w:ascii="Times New Roman" w:hAnsi="Times New Roman" w:eastAsia="Times New Roman" w:cs="Times New Roman"/>
                      <w:spacing w:val="9"/>
                      <w:sz w:val="18"/>
                      <w:szCs w:val="18"/>
                    </w:rPr>
                    <w:t xml:space="preserve"> </w:t>
                  </w:r>
                  <w:r>
                    <w:rPr>
                      <w:spacing w:val="-8"/>
                      <w:sz w:val="18"/>
                      <w:szCs w:val="18"/>
                    </w:rPr>
                    <w:t>个</w:t>
                  </w:r>
                  <w:r>
                    <w:rPr>
                      <w:sz w:val="18"/>
                      <w:szCs w:val="18"/>
                    </w:rPr>
                    <w:t xml:space="preserve"> 月</w:t>
                  </w:r>
                </w:p>
              </w:tc>
            </w:tr>
          </w:tbl>
          <w:p w14:paraId="1148E400">
            <w:pPr>
              <w:pStyle w:val="6"/>
              <w:spacing w:before="141" w:line="228" w:lineRule="auto"/>
              <w:ind w:left="104"/>
              <w:rPr>
                <w:sz w:val="20"/>
                <w:szCs w:val="20"/>
              </w:rPr>
            </w:pPr>
            <w:r>
              <w:rPr>
                <w:rFonts w:ascii="Times New Roman" w:hAnsi="Times New Roman" w:eastAsia="Times New Roman" w:cs="Times New Roman"/>
                <w:b/>
                <w:bCs/>
                <w:spacing w:val="6"/>
                <w:sz w:val="20"/>
                <w:szCs w:val="20"/>
              </w:rPr>
              <w:t>4.3</w:t>
            </w:r>
            <w:r>
              <w:rPr>
                <w:b/>
                <w:bCs/>
                <w:spacing w:val="6"/>
                <w:sz w:val="20"/>
                <w:szCs w:val="20"/>
              </w:rPr>
              <w:t>危险废物的处置措施</w:t>
            </w:r>
          </w:p>
          <w:p w14:paraId="5CB41FE1">
            <w:pPr>
              <w:pStyle w:val="6"/>
              <w:spacing w:before="153" w:line="226" w:lineRule="auto"/>
              <w:ind w:left="526"/>
              <w:rPr>
                <w:sz w:val="20"/>
                <w:szCs w:val="20"/>
              </w:rPr>
            </w:pPr>
            <w:r>
              <w:rPr>
                <w:spacing w:val="9"/>
                <w:sz w:val="20"/>
                <w:szCs w:val="20"/>
              </w:rPr>
              <w:t>评价要求建设单位应严格按照《危险废物贮存污染</w:t>
            </w:r>
            <w:r>
              <w:rPr>
                <w:spacing w:val="8"/>
                <w:sz w:val="20"/>
                <w:szCs w:val="20"/>
              </w:rPr>
              <w:t>控制标准》（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18597-2023</w:t>
            </w:r>
            <w:r>
              <w:rPr>
                <w:spacing w:val="8"/>
                <w:sz w:val="20"/>
                <w:szCs w:val="20"/>
              </w:rPr>
              <w:t>）</w:t>
            </w:r>
          </w:p>
          <w:p w14:paraId="65CDB25D">
            <w:pPr>
              <w:pStyle w:val="6"/>
              <w:spacing w:before="153" w:line="355" w:lineRule="auto"/>
              <w:ind w:left="107" w:right="105" w:firstLine="18"/>
              <w:rPr>
                <w:sz w:val="20"/>
                <w:szCs w:val="20"/>
              </w:rPr>
            </w:pPr>
            <w:r>
              <w:rPr>
                <w:spacing w:val="7"/>
                <w:sz w:val="20"/>
                <w:szCs w:val="20"/>
              </w:rPr>
              <w:t>中的污染控制要求，进行危险废物的收集、贮存管理；并按照《危险废物识别标志设置</w:t>
            </w:r>
            <w:r>
              <w:rPr>
                <w:spacing w:val="18"/>
                <w:sz w:val="20"/>
                <w:szCs w:val="20"/>
              </w:rPr>
              <w:t xml:space="preserve"> </w:t>
            </w:r>
            <w:r>
              <w:rPr>
                <w:spacing w:val="6"/>
                <w:sz w:val="20"/>
                <w:szCs w:val="20"/>
              </w:rPr>
              <w:t>技术规范》</w:t>
            </w:r>
            <w:r>
              <w:rPr>
                <w:spacing w:val="-42"/>
                <w:sz w:val="20"/>
                <w:szCs w:val="20"/>
              </w:rPr>
              <w:t xml:space="preserve"> </w:t>
            </w:r>
            <w:r>
              <w:rPr>
                <w:spacing w:val="6"/>
                <w:sz w:val="20"/>
                <w:szCs w:val="20"/>
              </w:rPr>
              <w:t>(</w:t>
            </w:r>
            <w:r>
              <w:rPr>
                <w:sz w:val="20"/>
                <w:szCs w:val="20"/>
              </w:rPr>
              <w:t>HJ</w:t>
            </w:r>
            <w:r>
              <w:rPr>
                <w:spacing w:val="6"/>
                <w:sz w:val="20"/>
                <w:szCs w:val="20"/>
              </w:rPr>
              <w:t xml:space="preserve"> 1276-2022)的相应要求设置规范的标识</w:t>
            </w:r>
            <w:r>
              <w:rPr>
                <w:spacing w:val="5"/>
                <w:sz w:val="20"/>
                <w:szCs w:val="20"/>
              </w:rPr>
              <w:t>标牌。</w:t>
            </w:r>
          </w:p>
          <w:p w14:paraId="1E530047">
            <w:pPr>
              <w:pStyle w:val="6"/>
              <w:spacing w:before="33" w:line="359" w:lineRule="auto"/>
              <w:ind w:left="106" w:right="102" w:firstLine="420"/>
              <w:rPr>
                <w:sz w:val="20"/>
                <w:szCs w:val="20"/>
              </w:rPr>
            </w:pPr>
            <w:r>
              <w:rPr>
                <w:spacing w:val="7"/>
                <w:sz w:val="20"/>
                <w:szCs w:val="20"/>
              </w:rPr>
              <w:t>根据调查，目前项目一期工程已经在厂区设置有一个危废间，建筑面积约10</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2</w:t>
            </w:r>
            <w:r>
              <w:rPr>
                <w:spacing w:val="7"/>
                <w:sz w:val="20"/>
                <w:szCs w:val="20"/>
              </w:rPr>
              <w:t>，危</w:t>
            </w:r>
            <w:r>
              <w:rPr>
                <w:sz w:val="20"/>
                <w:szCs w:val="20"/>
              </w:rPr>
              <w:t xml:space="preserve"> </w:t>
            </w:r>
            <w:r>
              <w:rPr>
                <w:spacing w:val="8"/>
                <w:sz w:val="20"/>
                <w:szCs w:val="20"/>
              </w:rPr>
              <w:t>废间已采取防风、防雨、防渗、防漏、防晒及防腐等环境污染防治措施。设专用容器收</w:t>
            </w:r>
            <w:r>
              <w:rPr>
                <w:sz w:val="20"/>
                <w:szCs w:val="20"/>
              </w:rPr>
              <w:t xml:space="preserve"> </w:t>
            </w:r>
            <w:r>
              <w:rPr>
                <w:spacing w:val="9"/>
                <w:sz w:val="20"/>
                <w:szCs w:val="20"/>
              </w:rPr>
              <w:t>集暂存，悬挂危险废物标识牌，建设危废台账并交由有资质的单位回收处置。</w:t>
            </w:r>
          </w:p>
          <w:p w14:paraId="6E7C7EF0">
            <w:pPr>
              <w:pStyle w:val="6"/>
              <w:spacing w:before="32" w:line="330" w:lineRule="auto"/>
              <w:ind w:left="106" w:right="102" w:firstLine="425"/>
              <w:rPr>
                <w:sz w:val="20"/>
                <w:szCs w:val="20"/>
              </w:rPr>
            </w:pPr>
            <w:r>
              <w:rPr>
                <w:b/>
                <w:bCs/>
                <w:spacing w:val="6"/>
                <w:sz w:val="20"/>
                <w:szCs w:val="20"/>
              </w:rPr>
              <w:t>管理要求：</w:t>
            </w:r>
            <w:r>
              <w:rPr>
                <w:rFonts w:ascii="Times New Roman" w:hAnsi="Times New Roman" w:eastAsia="Times New Roman" w:cs="Times New Roman"/>
                <w:spacing w:val="6"/>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spacing w:val="6"/>
                <w:sz w:val="20"/>
                <w:szCs w:val="20"/>
              </w:rPr>
              <w:t>贮存设施应根据危险废物的形态、</w:t>
            </w:r>
            <w:r>
              <w:rPr>
                <w:spacing w:val="5"/>
                <w:sz w:val="20"/>
                <w:szCs w:val="20"/>
              </w:rPr>
              <w:t>物理化学性质、包装形式和污染</w:t>
            </w:r>
            <w:r>
              <w:rPr>
                <w:sz w:val="20"/>
                <w:szCs w:val="20"/>
              </w:rPr>
              <w:t xml:space="preserve"> </w:t>
            </w:r>
            <w:r>
              <w:rPr>
                <w:spacing w:val="8"/>
                <w:sz w:val="20"/>
                <w:szCs w:val="20"/>
              </w:rPr>
              <w:t>物迁移途径，采取必要的防风、防晒、防雨、防漏、防渗、防腐以及其他环境污染防治</w:t>
            </w:r>
            <w:r>
              <w:rPr>
                <w:sz w:val="20"/>
                <w:szCs w:val="20"/>
              </w:rPr>
              <w:t xml:space="preserve"> </w:t>
            </w:r>
            <w:r>
              <w:rPr>
                <w:spacing w:val="8"/>
                <w:sz w:val="20"/>
                <w:szCs w:val="20"/>
              </w:rPr>
              <w:t>措施，不应露天堆放危险废物。</w:t>
            </w:r>
          </w:p>
        </w:tc>
      </w:tr>
    </w:tbl>
    <w:p w14:paraId="6CB5EAC1">
      <w:pPr>
        <w:pStyle w:val="2"/>
      </w:pPr>
    </w:p>
    <w:p w14:paraId="4AD3913B">
      <w:pPr>
        <w:sectPr>
          <w:footerReference r:id="rId81" w:type="default"/>
          <w:pgSz w:w="11907" w:h="16840"/>
          <w:pgMar w:top="1431" w:right="1490" w:bottom="1258" w:left="1489" w:header="0" w:footer="1080" w:gutter="0"/>
          <w:cols w:space="720" w:num="1"/>
        </w:sectPr>
      </w:pPr>
    </w:p>
    <w:p w14:paraId="5D1F32B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AD8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3FF4F277">
            <w:pPr>
              <w:rPr>
                <w:rFonts w:ascii="Arial"/>
                <w:sz w:val="21"/>
              </w:rPr>
            </w:pPr>
          </w:p>
        </w:tc>
        <w:tc>
          <w:tcPr>
            <w:tcW w:w="8127" w:type="dxa"/>
            <w:tcBorders>
              <w:top w:val="single" w:color="000000" w:sz="2" w:space="0"/>
              <w:left w:val="single" w:color="000000" w:sz="2" w:space="0"/>
            </w:tcBorders>
            <w:vAlign w:val="top"/>
          </w:tcPr>
          <w:p w14:paraId="69029860">
            <w:pPr>
              <w:pStyle w:val="6"/>
              <w:spacing w:before="145" w:line="298" w:lineRule="auto"/>
              <w:ind w:left="105" w:right="93" w:firstLine="398"/>
              <w:rPr>
                <w:sz w:val="20"/>
                <w:szCs w:val="20"/>
              </w:rPr>
            </w:pPr>
            <w:r>
              <w:rPr>
                <w:rFonts w:ascii="Times New Roman" w:hAnsi="Times New Roman" w:eastAsia="Times New Roman" w:cs="Times New Roman"/>
                <w:spacing w:val="-2"/>
                <w:sz w:val="20"/>
                <w:szCs w:val="20"/>
              </w:rPr>
              <w:t>6.1.2</w:t>
            </w:r>
            <w:r>
              <w:rPr>
                <w:spacing w:val="-2"/>
                <w:sz w:val="20"/>
                <w:szCs w:val="20"/>
              </w:rPr>
              <w:t>贮存设施应根据危险废物的类别、数量、形态、物理化学性质和污染防治等要求设</w:t>
            </w:r>
            <w:r>
              <w:rPr>
                <w:sz w:val="20"/>
                <w:szCs w:val="20"/>
              </w:rPr>
              <w:t xml:space="preserve"> </w:t>
            </w:r>
            <w:r>
              <w:rPr>
                <w:spacing w:val="-2"/>
                <w:sz w:val="20"/>
                <w:szCs w:val="20"/>
              </w:rPr>
              <w:t>置必要的贮存分区，避免不相容的危险废物接触、混合。</w:t>
            </w:r>
          </w:p>
          <w:p w14:paraId="77A58830">
            <w:pPr>
              <w:pStyle w:val="6"/>
              <w:spacing w:before="155" w:line="298" w:lineRule="auto"/>
              <w:ind w:left="107" w:right="105" w:firstLine="420"/>
              <w:rPr>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1.3</w:t>
            </w:r>
            <w:r>
              <w:rPr>
                <w:spacing w:val="7"/>
                <w:sz w:val="20"/>
                <w:szCs w:val="20"/>
              </w:rPr>
              <w:t>贮存设施或贮存分区内地面、墙面裙脚、</w:t>
            </w:r>
            <w:r>
              <w:rPr>
                <w:spacing w:val="6"/>
                <w:sz w:val="20"/>
                <w:szCs w:val="20"/>
              </w:rPr>
              <w:t>堵截泄漏的围堰、接触危险废物的隔</w:t>
            </w:r>
            <w:r>
              <w:rPr>
                <w:sz w:val="20"/>
                <w:szCs w:val="20"/>
              </w:rPr>
              <w:t xml:space="preserve"> </w:t>
            </w:r>
            <w:r>
              <w:rPr>
                <w:spacing w:val="9"/>
                <w:sz w:val="20"/>
                <w:szCs w:val="20"/>
              </w:rPr>
              <w:t>板和墙体等应采用坚固的材料建造，表面无裂缝。</w:t>
            </w:r>
          </w:p>
          <w:p w14:paraId="6388298B">
            <w:pPr>
              <w:pStyle w:val="6"/>
              <w:spacing w:before="152" w:line="341" w:lineRule="auto"/>
              <w:ind w:left="108" w:right="102" w:firstLine="419"/>
              <w:rPr>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1.4</w:t>
            </w:r>
            <w:r>
              <w:rPr>
                <w:spacing w:val="7"/>
                <w:sz w:val="20"/>
                <w:szCs w:val="20"/>
              </w:rPr>
              <w:t>贮存设施地面与裙脚应采取表面防渗措施；表面</w:t>
            </w:r>
            <w:r>
              <w:rPr>
                <w:spacing w:val="6"/>
                <w:sz w:val="20"/>
                <w:szCs w:val="20"/>
              </w:rPr>
              <w:t>防渗材料应与所接触的物料或</w:t>
            </w:r>
            <w:r>
              <w:rPr>
                <w:sz w:val="20"/>
                <w:szCs w:val="20"/>
              </w:rPr>
              <w:t xml:space="preserve"> </w:t>
            </w:r>
            <w:r>
              <w:rPr>
                <w:spacing w:val="8"/>
                <w:sz w:val="20"/>
                <w:szCs w:val="20"/>
              </w:rPr>
              <w:t>污染物相容，可采用抗渗混凝土、高密度聚乙烯膜、钠基膨润土防水毯或其他防渗性能</w:t>
            </w:r>
            <w:r>
              <w:rPr>
                <w:sz w:val="20"/>
                <w:szCs w:val="20"/>
              </w:rPr>
              <w:t xml:space="preserve"> </w:t>
            </w:r>
            <w:r>
              <w:rPr>
                <w:spacing w:val="10"/>
                <w:sz w:val="20"/>
                <w:szCs w:val="20"/>
              </w:rPr>
              <w:t>等效的材料。贮存的危险废物直接接触地面</w:t>
            </w:r>
            <w:r>
              <w:rPr>
                <w:spacing w:val="9"/>
                <w:sz w:val="20"/>
                <w:szCs w:val="20"/>
              </w:rPr>
              <w:t>的，还应进行基础防渗，防渗层为至少</w:t>
            </w:r>
            <w:r>
              <w:rPr>
                <w:rFonts w:ascii="Times New Roman" w:hAnsi="Times New Roman" w:eastAsia="Times New Roman" w:cs="Times New Roman"/>
                <w:spacing w:val="9"/>
                <w:sz w:val="20"/>
                <w:szCs w:val="20"/>
              </w:rPr>
              <w:t>1m</w:t>
            </w:r>
            <w:r>
              <w:rPr>
                <w:rFonts w:ascii="Times New Roman" w:hAnsi="Times New Roman" w:eastAsia="Times New Roman" w:cs="Times New Roman"/>
                <w:sz w:val="20"/>
                <w:szCs w:val="20"/>
              </w:rPr>
              <w:t xml:space="preserve">   </w:t>
            </w:r>
            <w:r>
              <w:rPr>
                <w:spacing w:val="9"/>
                <w:sz w:val="20"/>
                <w:szCs w:val="20"/>
              </w:rPr>
              <w:t>厚黏土层（渗透系数不大于</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9"/>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9"/>
                <w:sz w:val="20"/>
                <w:szCs w:val="20"/>
              </w:rPr>
              <w:t>/s</w:t>
            </w:r>
            <w:r>
              <w:rPr>
                <w:spacing w:val="15"/>
                <w:sz w:val="20"/>
                <w:szCs w:val="20"/>
              </w:rPr>
              <w:t>），</w:t>
            </w:r>
            <w:r>
              <w:rPr>
                <w:spacing w:val="9"/>
                <w:sz w:val="20"/>
                <w:szCs w:val="20"/>
              </w:rPr>
              <w:t>或至少2</w:t>
            </w:r>
            <w:r>
              <w:rPr>
                <w:rFonts w:ascii="Times New Roman" w:hAnsi="Times New Roman" w:eastAsia="Times New Roman" w:cs="Times New Roman"/>
                <w:sz w:val="20"/>
                <w:szCs w:val="20"/>
              </w:rPr>
              <w:t>mm</w:t>
            </w:r>
            <w:r>
              <w:rPr>
                <w:spacing w:val="9"/>
                <w:sz w:val="20"/>
                <w:szCs w:val="20"/>
              </w:rPr>
              <w:t>厚高密度聚乙烯膜等人工防</w:t>
            </w:r>
            <w:r>
              <w:rPr>
                <w:spacing w:val="8"/>
                <w:sz w:val="20"/>
                <w:szCs w:val="20"/>
              </w:rPr>
              <w:t>渗材料</w:t>
            </w:r>
            <w:r>
              <w:rPr>
                <w:spacing w:val="1"/>
                <w:sz w:val="20"/>
                <w:szCs w:val="20"/>
              </w:rPr>
              <w:t xml:space="preserve"> </w:t>
            </w:r>
            <w:r>
              <w:rPr>
                <w:spacing w:val="7"/>
                <w:sz w:val="20"/>
                <w:szCs w:val="20"/>
              </w:rPr>
              <w:t>（渗透系数不大于</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7"/>
                <w:position w:val="6"/>
                <w:sz w:val="13"/>
                <w:szCs w:val="13"/>
              </w:rPr>
              <w:t>-10</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/s</w:t>
            </w:r>
            <w:r>
              <w:rPr>
                <w:spacing w:val="23"/>
                <w:sz w:val="20"/>
                <w:szCs w:val="20"/>
              </w:rPr>
              <w:t>），</w:t>
            </w:r>
            <w:r>
              <w:rPr>
                <w:spacing w:val="7"/>
                <w:sz w:val="20"/>
                <w:szCs w:val="20"/>
              </w:rPr>
              <w:t>或其他防渗性能等效的材料。</w:t>
            </w:r>
          </w:p>
          <w:p w14:paraId="5E562A4A">
            <w:pPr>
              <w:pStyle w:val="6"/>
              <w:spacing w:before="154" w:line="322" w:lineRule="auto"/>
              <w:ind w:left="110" w:right="89" w:firstLine="417"/>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1.5</w:t>
            </w:r>
            <w:r>
              <w:rPr>
                <w:spacing w:val="8"/>
                <w:sz w:val="20"/>
                <w:szCs w:val="20"/>
              </w:rPr>
              <w:t>同一贮存设施宜采用相同的防渗、防腐工艺（包括防渗、防腐结构或材料</w:t>
            </w:r>
            <w:r>
              <w:rPr>
                <w:spacing w:val="-11"/>
                <w:sz w:val="20"/>
                <w:szCs w:val="20"/>
              </w:rPr>
              <w:t>），</w:t>
            </w:r>
            <w:r>
              <w:rPr>
                <w:sz w:val="20"/>
                <w:szCs w:val="20"/>
              </w:rPr>
              <w:t xml:space="preserve"> </w:t>
            </w:r>
            <w:r>
              <w:rPr>
                <w:spacing w:val="8"/>
                <w:sz w:val="20"/>
                <w:szCs w:val="20"/>
              </w:rPr>
              <w:t>防渗、防腐材料应覆盖所有可能与废物及其渗滤液、渗漏液等接触的构筑物表</w:t>
            </w:r>
            <w:r>
              <w:rPr>
                <w:spacing w:val="7"/>
                <w:sz w:val="20"/>
                <w:szCs w:val="20"/>
              </w:rPr>
              <w:t>面；采用</w:t>
            </w:r>
            <w:r>
              <w:rPr>
                <w:sz w:val="20"/>
                <w:szCs w:val="20"/>
              </w:rPr>
              <w:t xml:space="preserve"> </w:t>
            </w:r>
            <w:r>
              <w:rPr>
                <w:spacing w:val="8"/>
                <w:sz w:val="20"/>
                <w:szCs w:val="20"/>
              </w:rPr>
              <w:t>不同防渗、防腐工艺应分别建设贮存分区。</w:t>
            </w:r>
          </w:p>
          <w:p w14:paraId="23571371">
            <w:pPr>
              <w:pStyle w:val="6"/>
              <w:spacing w:before="154" w:line="227" w:lineRule="auto"/>
              <w:ind w:left="527"/>
              <w:rPr>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7"/>
                <w:sz w:val="20"/>
                <w:szCs w:val="20"/>
              </w:rPr>
              <w:t>1.6</w:t>
            </w:r>
            <w:r>
              <w:rPr>
                <w:spacing w:val="7"/>
                <w:sz w:val="20"/>
                <w:szCs w:val="20"/>
              </w:rPr>
              <w:t>贮存设施应采取技术和管理措施防止无关人员进入。</w:t>
            </w:r>
          </w:p>
          <w:p w14:paraId="4A82BF47">
            <w:pPr>
              <w:pStyle w:val="6"/>
              <w:spacing w:before="152" w:line="355" w:lineRule="auto"/>
              <w:ind w:left="107" w:right="105" w:firstLine="421"/>
              <w:rPr>
                <w:sz w:val="20"/>
                <w:szCs w:val="20"/>
              </w:rPr>
            </w:pPr>
            <w:r>
              <w:rPr>
                <w:spacing w:val="8"/>
                <w:sz w:val="20"/>
                <w:szCs w:val="20"/>
              </w:rPr>
              <w:t>综上所述，在采取上述固废处置措施后，本项目固体废物能够做到</w:t>
            </w:r>
            <w:r>
              <w:rPr>
                <w:spacing w:val="7"/>
                <w:sz w:val="20"/>
                <w:szCs w:val="20"/>
              </w:rPr>
              <w:t>去向明确，能够</w:t>
            </w:r>
            <w:r>
              <w:rPr>
                <w:sz w:val="20"/>
                <w:szCs w:val="20"/>
              </w:rPr>
              <w:t xml:space="preserve"> </w:t>
            </w:r>
            <w:r>
              <w:rPr>
                <w:spacing w:val="8"/>
                <w:sz w:val="20"/>
                <w:szCs w:val="20"/>
              </w:rPr>
              <w:t>得到妥善处置，不会产生二次污染。</w:t>
            </w:r>
          </w:p>
          <w:p w14:paraId="2ECD0050">
            <w:pPr>
              <w:pStyle w:val="6"/>
              <w:spacing w:before="22" w:line="323" w:lineRule="auto"/>
              <w:ind w:left="91" w:right="25" w:firstLine="443"/>
            </w:pPr>
            <w:r>
              <w:rPr>
                <w:spacing w:val="-4"/>
              </w:rPr>
              <w:t>综上所述，本项目固体废物能够得到妥善的处理，对周围环境造成的</w:t>
            </w:r>
            <w:r>
              <w:rPr>
                <w:spacing w:val="-5"/>
              </w:rPr>
              <w:t>影响很小，</w:t>
            </w:r>
            <w:r>
              <w:t xml:space="preserve"> </w:t>
            </w:r>
            <w:r>
              <w:rPr>
                <w:spacing w:val="-1"/>
              </w:rPr>
              <w:t>其处理措施技术可行、经济合理。</w:t>
            </w:r>
          </w:p>
          <w:p w14:paraId="30666C0C">
            <w:pPr>
              <w:pStyle w:val="6"/>
              <w:spacing w:before="32" w:line="220" w:lineRule="auto"/>
              <w:ind w:left="89"/>
            </w:pPr>
            <w:r>
              <w:rPr>
                <w:rFonts w:ascii="Times New Roman" w:hAnsi="Times New Roman" w:eastAsia="Times New Roman" w:cs="Times New Roman"/>
                <w:b/>
                <w:bCs/>
                <w:spacing w:val="-4"/>
              </w:rPr>
              <w:t>5</w:t>
            </w:r>
            <w:r>
              <w:rPr>
                <w:rFonts w:ascii="Times New Roman" w:hAnsi="Times New Roman" w:eastAsia="Times New Roman" w:cs="Times New Roman"/>
                <w:b/>
                <w:bCs/>
                <w:spacing w:val="-15"/>
              </w:rPr>
              <w:t xml:space="preserve"> </w:t>
            </w:r>
            <w:r>
              <w:rPr>
                <w:b/>
                <w:bCs/>
                <w:spacing w:val="-4"/>
              </w:rPr>
              <w:t>、地下水、土壤污染防治措施及影响分析</w:t>
            </w:r>
          </w:p>
          <w:p w14:paraId="36E79D61">
            <w:pPr>
              <w:pStyle w:val="6"/>
              <w:spacing w:before="136" w:line="220" w:lineRule="auto"/>
              <w:ind w:left="89"/>
            </w:pPr>
            <w:r>
              <w:rPr>
                <w:rFonts w:ascii="Times New Roman" w:hAnsi="Times New Roman" w:eastAsia="Times New Roman" w:cs="Times New Roman"/>
                <w:b/>
                <w:bCs/>
                <w:spacing w:val="-4"/>
              </w:rPr>
              <w:t>5.1</w:t>
            </w:r>
            <w:r>
              <w:rPr>
                <w:rFonts w:ascii="Times New Roman" w:hAnsi="Times New Roman" w:eastAsia="Times New Roman" w:cs="Times New Roman"/>
                <w:b/>
                <w:bCs/>
                <w:spacing w:val="14"/>
                <w:w w:val="101"/>
              </w:rPr>
              <w:t xml:space="preserve"> </w:t>
            </w:r>
            <w:r>
              <w:rPr>
                <w:b/>
                <w:bCs/>
                <w:spacing w:val="-4"/>
              </w:rPr>
              <w:t>污染途径</w:t>
            </w:r>
          </w:p>
          <w:p w14:paraId="73BB2EEB">
            <w:pPr>
              <w:pStyle w:val="6"/>
              <w:spacing w:before="139" w:line="326" w:lineRule="auto"/>
              <w:ind w:left="90" w:right="8" w:firstLine="445"/>
              <w:jc w:val="both"/>
            </w:pPr>
            <w:r>
              <w:rPr>
                <w:spacing w:val="-4"/>
              </w:rPr>
              <w:t>项目营运期对区域地下水和土壤环境的污染影响途径主要包括：危废间废机油、</w:t>
            </w:r>
            <w:r>
              <w:rPr>
                <w:spacing w:val="12"/>
              </w:rPr>
              <w:t xml:space="preserve"> </w:t>
            </w:r>
            <w:r>
              <w:rPr>
                <w:spacing w:val="1"/>
              </w:rPr>
              <w:t>物资库存放的脱模剂、水性漆等材料发生泄</w:t>
            </w:r>
            <w:r>
              <w:t xml:space="preserve">漏，导致机油、脱模剂及油漆等化学物 </w:t>
            </w:r>
            <w:r>
              <w:rPr>
                <w:spacing w:val="-1"/>
              </w:rPr>
              <w:t>质垂直入渗污染地下水和土壤。</w:t>
            </w:r>
          </w:p>
          <w:p w14:paraId="2DABECAC">
            <w:pPr>
              <w:pStyle w:val="6"/>
              <w:spacing w:before="33" w:line="221" w:lineRule="auto"/>
              <w:ind w:left="89"/>
            </w:pPr>
            <w:r>
              <w:rPr>
                <w:rFonts w:ascii="Times New Roman" w:hAnsi="Times New Roman" w:eastAsia="Times New Roman" w:cs="Times New Roman"/>
                <w:b/>
                <w:bCs/>
                <w:spacing w:val="-5"/>
              </w:rPr>
              <w:t>5.2</w:t>
            </w:r>
            <w:r>
              <w:rPr>
                <w:rFonts w:ascii="Times New Roman" w:hAnsi="Times New Roman" w:eastAsia="Times New Roman" w:cs="Times New Roman"/>
                <w:b/>
                <w:bCs/>
                <w:spacing w:val="22"/>
                <w:w w:val="101"/>
              </w:rPr>
              <w:t xml:space="preserve"> </w:t>
            </w:r>
            <w:r>
              <w:rPr>
                <w:b/>
                <w:bCs/>
                <w:spacing w:val="-5"/>
              </w:rPr>
              <w:t>防治措施</w:t>
            </w:r>
          </w:p>
          <w:p w14:paraId="684CDE2B">
            <w:pPr>
              <w:pStyle w:val="6"/>
              <w:spacing w:before="138" w:line="218" w:lineRule="auto"/>
              <w:ind w:left="531"/>
            </w:pPr>
            <w:r>
              <w:rPr>
                <w:spacing w:val="-2"/>
              </w:rPr>
              <w:t>①源头控制措施</w:t>
            </w:r>
          </w:p>
          <w:p w14:paraId="2CCC799D">
            <w:pPr>
              <w:pStyle w:val="6"/>
              <w:spacing w:before="141" w:line="330" w:lineRule="auto"/>
              <w:ind w:left="90" w:right="86" w:firstLine="445"/>
            </w:pPr>
            <w:r>
              <w:t>项目应根据国家现行相关规范加强环境管理，采取防止和降低污染物跑、冒、</w:t>
            </w:r>
            <w:r>
              <w:rPr>
                <w:spacing w:val="14"/>
              </w:rPr>
              <w:t xml:space="preserve"> </w:t>
            </w:r>
            <w:r>
              <w:rPr>
                <w:spacing w:val="1"/>
              </w:rPr>
              <w:t>滴、漏的措施。正常生产过程中应加强巡检</w:t>
            </w:r>
            <w:r>
              <w:t xml:space="preserve">及时处理污染物跑、冒、滴、漏。同时 </w:t>
            </w:r>
            <w:r>
              <w:rPr>
                <w:spacing w:val="1"/>
              </w:rPr>
              <w:t>应加强对防渗工程的检查，若发现防渗密封</w:t>
            </w:r>
            <w:r>
              <w:t xml:space="preserve">材料老化或损坏，应及时维修更换；对 </w:t>
            </w:r>
            <w:r>
              <w:rPr>
                <w:spacing w:val="1"/>
              </w:rPr>
              <w:t>工艺、设备、废水收集管沟采取控制措施，</w:t>
            </w:r>
            <w:r>
              <w:t xml:space="preserve">防止污染物的跑、冒、滴、漏，将污染 </w:t>
            </w:r>
            <w:r>
              <w:rPr>
                <w:spacing w:val="-1"/>
              </w:rPr>
              <w:t>物泄漏的环境风险事故降到最低限度。</w:t>
            </w:r>
          </w:p>
          <w:p w14:paraId="2A3695AB">
            <w:pPr>
              <w:pStyle w:val="6"/>
              <w:spacing w:before="33" w:line="218" w:lineRule="auto"/>
              <w:ind w:left="530"/>
            </w:pPr>
            <w:r>
              <w:rPr>
                <w:spacing w:val="-1"/>
              </w:rPr>
              <w:t>②分区防治措施</w:t>
            </w:r>
          </w:p>
          <w:p w14:paraId="4320849A">
            <w:pPr>
              <w:pStyle w:val="6"/>
              <w:spacing w:before="137" w:line="323" w:lineRule="auto"/>
              <w:ind w:left="93" w:right="83" w:firstLine="438"/>
            </w:pPr>
            <w:r>
              <w:rPr>
                <w:spacing w:val="1"/>
              </w:rPr>
              <w:t>根据各生产单元可能泄漏至地面区域的污染物</w:t>
            </w:r>
            <w:r>
              <w:t>性质和生产单元的构筑方式，将 厂区划分为重点防渗区、一般防渗区、简单防渗区，</w:t>
            </w:r>
            <w:r>
              <w:rPr>
                <w:spacing w:val="-1"/>
              </w:rPr>
              <w:t>并采取对应的措施。</w:t>
            </w:r>
          </w:p>
          <w:p w14:paraId="709F075A">
            <w:pPr>
              <w:pStyle w:val="6"/>
              <w:spacing w:before="33" w:line="220" w:lineRule="auto"/>
              <w:jc w:val="right"/>
            </w:pPr>
            <w:r>
              <w:rPr>
                <w:spacing w:val="-4"/>
              </w:rPr>
              <w:t>其中危废间、浸漆烤漆房划为重点防渗区、物资库、生产车间划为一般防渗区、</w:t>
            </w:r>
          </w:p>
        </w:tc>
      </w:tr>
    </w:tbl>
    <w:p w14:paraId="56C937C9">
      <w:pPr>
        <w:pStyle w:val="2"/>
      </w:pPr>
    </w:p>
    <w:p w14:paraId="57A29902">
      <w:pPr>
        <w:sectPr>
          <w:footerReference r:id="rId82" w:type="default"/>
          <w:pgSz w:w="11907" w:h="16840"/>
          <w:pgMar w:top="1431" w:right="1490" w:bottom="1260" w:left="1489" w:header="0" w:footer="1080" w:gutter="0"/>
          <w:cols w:space="720" w:num="1"/>
        </w:sectPr>
      </w:pPr>
    </w:p>
    <w:p w14:paraId="6FF6B0C7">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8FB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1" w:hRule="atLeast"/>
        </w:trPr>
        <w:tc>
          <w:tcPr>
            <w:tcW w:w="785" w:type="dxa"/>
            <w:tcBorders>
              <w:top w:val="single" w:color="000000" w:sz="2" w:space="0"/>
              <w:right w:val="single" w:color="000000" w:sz="2" w:space="0"/>
            </w:tcBorders>
            <w:vAlign w:val="top"/>
          </w:tcPr>
          <w:p w14:paraId="1F17BF89">
            <w:pPr>
              <w:rPr>
                <w:rFonts w:ascii="Arial"/>
                <w:sz w:val="21"/>
              </w:rPr>
            </w:pPr>
          </w:p>
        </w:tc>
        <w:tc>
          <w:tcPr>
            <w:tcW w:w="8127" w:type="dxa"/>
            <w:tcBorders>
              <w:top w:val="single" w:color="000000" w:sz="2" w:space="0"/>
              <w:left w:val="single" w:color="000000" w:sz="2" w:space="0"/>
            </w:tcBorders>
            <w:vAlign w:val="top"/>
          </w:tcPr>
          <w:p w14:paraId="4853DEB0">
            <w:pPr>
              <w:pStyle w:val="6"/>
              <w:spacing w:before="136" w:line="329" w:lineRule="auto"/>
              <w:ind w:left="91" w:right="86" w:firstLine="1"/>
              <w:jc w:val="both"/>
            </w:pPr>
            <w:r>
              <w:t>厂区转运道路划为简单防渗区，采取水泥硬化防渗。危废暂存间的防渗措施应满足</w:t>
            </w:r>
            <w:r>
              <w:rPr>
                <w:spacing w:val="16"/>
              </w:rPr>
              <w:t xml:space="preserve"> </w:t>
            </w:r>
            <w:r>
              <w:rPr>
                <w:spacing w:val="2"/>
              </w:rPr>
              <w:t>重点防渗要求，渗透系数≤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-10</w:t>
            </w:r>
            <w:r>
              <w:rPr>
                <w:rFonts w:ascii="Times New Roman" w:hAnsi="Times New Roman" w:eastAsia="Times New Roman" w:cs="Times New Roman"/>
              </w:rPr>
              <w:t>cm</w:t>
            </w:r>
            <w:r>
              <w:rPr>
                <w:rFonts w:ascii="Times New Roman" w:hAnsi="Times New Roman" w:eastAsia="Times New Roman" w:cs="Times New Roman"/>
                <w:spacing w:val="2"/>
              </w:rPr>
              <w:t>/s</w:t>
            </w:r>
            <w:r>
              <w:rPr>
                <w:spacing w:val="2"/>
              </w:rPr>
              <w:t>；物资库、生产车间、废浆池应满足一般</w:t>
            </w:r>
            <w:r>
              <w:rPr>
                <w:spacing w:val="1"/>
              </w:rPr>
              <w:t>防渗</w:t>
            </w:r>
            <w:r>
              <w:t xml:space="preserve"> </w:t>
            </w:r>
            <w:r>
              <w:rPr>
                <w:spacing w:val="-2"/>
              </w:rPr>
              <w:t>区防渗要求，渗透系数≤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-7</w:t>
            </w:r>
            <w:r>
              <w:rPr>
                <w:rFonts w:ascii="Times New Roman" w:hAnsi="Times New Roman" w:eastAsia="Times New Roman" w:cs="Times New Roman"/>
                <w:spacing w:val="-2"/>
              </w:rPr>
              <w:t>cm/s</w:t>
            </w:r>
            <w:r>
              <w:rPr>
                <w:spacing w:val="-2"/>
              </w:rPr>
              <w:t>；简单防渗区应为非污染防治区，一般水泥硬化地</w:t>
            </w:r>
            <w:r>
              <w:rPr>
                <w:spacing w:val="8"/>
              </w:rPr>
              <w:t xml:space="preserve"> </w:t>
            </w:r>
            <w:r>
              <w:rPr>
                <w:spacing w:val="-3"/>
              </w:rPr>
              <w:t>面即可。</w:t>
            </w:r>
          </w:p>
          <w:p w14:paraId="519477E7">
            <w:pPr>
              <w:pStyle w:val="6"/>
              <w:spacing w:before="32" w:line="219" w:lineRule="auto"/>
              <w:ind w:left="533"/>
            </w:pPr>
            <w:r>
              <w:rPr>
                <w:b/>
                <w:bCs/>
                <w:spacing w:val="-1"/>
              </w:rPr>
              <w:t>现状情况</w:t>
            </w:r>
            <w:r>
              <w:rPr>
                <w:spacing w:val="-1"/>
              </w:rPr>
              <w:t>：根据环评调查，本项目一期工程已建设有危废间和物资库。</w:t>
            </w:r>
          </w:p>
          <w:p w14:paraId="69D07BCF">
            <w:pPr>
              <w:pStyle w:val="6"/>
              <w:spacing w:before="139" w:line="331" w:lineRule="auto"/>
              <w:ind w:left="89" w:right="59" w:firstLine="443"/>
            </w:pPr>
            <w:r>
              <w:t>其中危废间依据国家危险贮存标准要求设计、施工，地面、裙角及围堰采用双</w:t>
            </w:r>
            <w:r>
              <w:rPr>
                <w:spacing w:val="16"/>
              </w:rPr>
              <w:t xml:space="preserve"> </w:t>
            </w:r>
            <w:r>
              <w:t>层防渗结构：厚度不小于</w:t>
            </w:r>
            <w:r>
              <w:rPr>
                <w:rFonts w:ascii="Times New Roman" w:hAnsi="Times New Roman" w:eastAsia="Times New Roman" w:cs="Times New Roman"/>
              </w:rPr>
              <w:t>30cm</w:t>
            </w:r>
            <w:r>
              <w:t>的混凝土</w:t>
            </w:r>
            <w:r>
              <w:rPr>
                <w:rFonts w:ascii="Times New Roman" w:hAnsi="Times New Roman" w:eastAsia="Times New Roman" w:cs="Times New Roman"/>
              </w:rPr>
              <w:t>+2.0mm</w:t>
            </w:r>
            <w:r>
              <w:t>人工材料（如高</w:t>
            </w:r>
            <w:r>
              <w:rPr>
                <w:spacing w:val="-1"/>
              </w:rPr>
              <w:t>密度聚乙烯</w:t>
            </w:r>
            <w:r>
              <w:rPr>
                <w:spacing w:val="-51"/>
              </w:rPr>
              <w:t>），</w:t>
            </w:r>
            <w:r>
              <w:rPr>
                <w:spacing w:val="-1"/>
              </w:rPr>
              <w:t>表面</w:t>
            </w:r>
            <w:r>
              <w:rPr>
                <w:spacing w:val="1"/>
              </w:rPr>
              <w:t xml:space="preserve"> 刷环氧地坪做防腐处理，使渗透系数不大于</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rPr>
              <w:t>cm</w:t>
            </w:r>
            <w:r>
              <w:rPr>
                <w:rFonts w:ascii="Times New Roman" w:hAnsi="Times New Roman" w:eastAsia="Times New Roman" w:cs="Times New Roman"/>
                <w:spacing w:val="1"/>
              </w:rPr>
              <w:t>/s</w:t>
            </w:r>
            <w:r>
              <w:rPr>
                <w:rFonts w:ascii="Times New Roman" w:hAnsi="Times New Roman" w:eastAsia="Times New Roman" w:cs="Times New Roman"/>
                <w:spacing w:val="-17"/>
              </w:rPr>
              <w:t xml:space="preserve"> </w:t>
            </w:r>
            <w:r>
              <w:rPr>
                <w:spacing w:val="1"/>
              </w:rPr>
              <w:t>，能够满足重点防渗区防渗要</w:t>
            </w:r>
            <w:r>
              <w:t xml:space="preserve"> </w:t>
            </w:r>
            <w:r>
              <w:rPr>
                <w:spacing w:val="-2"/>
              </w:rPr>
              <w:t>求。物资库地基为原土夯实，等效黏土防渗达到</w:t>
            </w:r>
            <w:r>
              <w:rPr>
                <w:rFonts w:ascii="Times New Roman" w:hAnsi="Times New Roman" w:eastAsia="Times New Roman" w:cs="Times New Roman"/>
                <w:spacing w:val="-2"/>
              </w:rPr>
              <w:t>Mb</w:t>
            </w:r>
            <w:r>
              <w:rPr>
                <w:spacing w:val="-2"/>
              </w:rPr>
              <w:t>≥</w:t>
            </w:r>
            <w:r>
              <w:rPr>
                <w:rFonts w:ascii="Times New Roman" w:hAnsi="Times New Roman" w:eastAsia="Times New Roman" w:cs="Times New Roman"/>
                <w:spacing w:val="-2"/>
              </w:rPr>
              <w:t>1.5m</w:t>
            </w:r>
            <w:r>
              <w:rPr>
                <w:spacing w:val="-2"/>
              </w:rPr>
              <w:t>，铺砌砂石基层，采用防</w:t>
            </w:r>
            <w:r>
              <w:rPr>
                <w:spacing w:val="6"/>
              </w:rPr>
              <w:t xml:space="preserve"> </w:t>
            </w:r>
            <w:r>
              <w:rPr>
                <w:spacing w:val="-2"/>
              </w:rPr>
              <w:t>渗混凝土作面层，面层厚度不小于</w:t>
            </w:r>
            <w:r>
              <w:rPr>
                <w:rFonts w:ascii="Times New Roman" w:hAnsi="Times New Roman" w:eastAsia="Times New Roman" w:cs="Times New Roman"/>
                <w:spacing w:val="-2"/>
              </w:rPr>
              <w:t>100mm</w:t>
            </w:r>
            <w:r>
              <w:rPr>
                <w:rFonts w:ascii="Times New Roman" w:hAnsi="Times New Roman" w:eastAsia="Times New Roman" w:cs="Times New Roman"/>
                <w:spacing w:val="-27"/>
              </w:rPr>
              <w:t xml:space="preserve"> </w:t>
            </w:r>
            <w:r>
              <w:rPr>
                <w:spacing w:val="-2"/>
              </w:rPr>
              <w:t>，使地面渗透系数满足≤</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-7</w:t>
            </w:r>
            <w:r>
              <w:rPr>
                <w:rFonts w:ascii="Times New Roman" w:hAnsi="Times New Roman" w:eastAsia="Times New Roman" w:cs="Times New Roman"/>
                <w:spacing w:val="-2"/>
              </w:rPr>
              <w:t>cm/s</w:t>
            </w:r>
            <w:r>
              <w:rPr>
                <w:spacing w:val="-2"/>
              </w:rPr>
              <w:t>的要求；</w:t>
            </w:r>
            <w:r>
              <w:t xml:space="preserve"> </w:t>
            </w:r>
            <w:r>
              <w:rPr>
                <w:spacing w:val="-1"/>
              </w:rPr>
              <w:t>库房四周设置</w:t>
            </w:r>
            <w:r>
              <w:rPr>
                <w:rFonts w:ascii="Times New Roman" w:hAnsi="Times New Roman" w:eastAsia="Times New Roman" w:cs="Times New Roman"/>
                <w:spacing w:val="-1"/>
              </w:rPr>
              <w:t>0.3m</w:t>
            </w:r>
            <w:r>
              <w:rPr>
                <w:spacing w:val="-1"/>
              </w:rPr>
              <w:t>高防渗围堰。</w:t>
            </w:r>
          </w:p>
          <w:p w14:paraId="52E7C31D">
            <w:pPr>
              <w:pStyle w:val="6"/>
              <w:spacing w:before="32" w:line="321" w:lineRule="auto"/>
              <w:ind w:left="91" w:right="83" w:firstLine="441"/>
            </w:pPr>
            <w:r>
              <w:rPr>
                <w:spacing w:val="1"/>
              </w:rPr>
              <w:t>本项目可充分利用一期工程现有的危废间和</w:t>
            </w:r>
            <w:r>
              <w:t xml:space="preserve">物资库，其防渗措施满足相应的防 </w:t>
            </w:r>
            <w:r>
              <w:rPr>
                <w:spacing w:val="-2"/>
              </w:rPr>
              <w:t>渗等级要求。</w:t>
            </w:r>
          </w:p>
          <w:p w14:paraId="3951492A">
            <w:pPr>
              <w:pStyle w:val="6"/>
              <w:spacing w:before="33" w:line="327" w:lineRule="auto"/>
              <w:ind w:left="89" w:right="83" w:firstLine="441"/>
              <w:jc w:val="both"/>
            </w:pPr>
            <w:r>
              <w:rPr>
                <w:spacing w:val="1"/>
              </w:rPr>
              <w:t>评价要求：本项目浸漆烤漆房、生产车间及废</w:t>
            </w:r>
            <w:r>
              <w:t xml:space="preserve">浆池的设计、施工，应按照各区 </w:t>
            </w:r>
            <w:r>
              <w:rPr>
                <w:spacing w:val="1"/>
              </w:rPr>
              <w:t>划定的防渗分区的防渗要求，落实相应的防渗</w:t>
            </w:r>
            <w:r>
              <w:t xml:space="preserve">措施，避免造成区域地下水和土壤的 </w:t>
            </w:r>
            <w:r>
              <w:rPr>
                <w:spacing w:val="-2"/>
              </w:rPr>
              <w:t>环境污染。</w:t>
            </w:r>
          </w:p>
          <w:p w14:paraId="5A41F682">
            <w:pPr>
              <w:pStyle w:val="6"/>
              <w:spacing w:before="32" w:line="219" w:lineRule="auto"/>
              <w:ind w:left="90"/>
            </w:pPr>
            <w:r>
              <w:rPr>
                <w:rFonts w:ascii="Times New Roman" w:hAnsi="Times New Roman" w:eastAsia="Times New Roman" w:cs="Times New Roman"/>
                <w:b/>
                <w:bCs/>
                <w:spacing w:val="-7"/>
              </w:rPr>
              <w:t>6</w:t>
            </w:r>
            <w:r>
              <w:rPr>
                <w:rFonts w:ascii="Times New Roman" w:hAnsi="Times New Roman" w:eastAsia="Times New Roman" w:cs="Times New Roman"/>
                <w:b/>
                <w:bCs/>
                <w:spacing w:val="-19"/>
              </w:rPr>
              <w:t xml:space="preserve"> </w:t>
            </w:r>
            <w:r>
              <w:rPr>
                <w:rFonts w:ascii="黑体" w:hAnsi="黑体" w:eastAsia="黑体" w:cs="黑体"/>
                <w:b/>
                <w:bCs/>
                <w:spacing w:val="-7"/>
              </w:rPr>
              <w:t>、</w:t>
            </w:r>
            <w:r>
              <w:rPr>
                <w:b/>
                <w:bCs/>
                <w:spacing w:val="-7"/>
              </w:rPr>
              <w:t>环境风险评价</w:t>
            </w:r>
          </w:p>
          <w:p w14:paraId="30FB90F4">
            <w:pPr>
              <w:pStyle w:val="6"/>
              <w:spacing w:before="144" w:line="334" w:lineRule="auto"/>
              <w:ind w:left="89" w:right="83" w:firstLine="442"/>
              <w:jc w:val="both"/>
            </w:pPr>
            <w:r>
              <w:rPr>
                <w:spacing w:val="1"/>
              </w:rPr>
              <w:t>环境风险评价是对涉及有毒有害和易燃易爆危</w:t>
            </w:r>
            <w:r>
              <w:t xml:space="preserve">险物质生产、使用、储存（包括 </w:t>
            </w:r>
            <w:r>
              <w:rPr>
                <w:spacing w:val="1"/>
              </w:rPr>
              <w:t>使用管线输运）的建设项目可能发生的突发性</w:t>
            </w:r>
            <w:r>
              <w:t xml:space="preserve">事故（不包括人为破坏及自然灾害引 </w:t>
            </w:r>
            <w:r>
              <w:rPr>
                <w:spacing w:val="1"/>
              </w:rPr>
              <w:t>发的事故）进行的评价。评价以突发性事故导</w:t>
            </w:r>
            <w:r>
              <w:t xml:space="preserve">致的危险物质环境急性损害防控为目 </w:t>
            </w:r>
            <w:r>
              <w:rPr>
                <w:spacing w:val="1"/>
              </w:rPr>
              <w:t>标，对建设项目的环境风险进行分析、预测和</w:t>
            </w:r>
            <w:r>
              <w:t xml:space="preserve">评估，提出环境风险预防、控制、减 </w:t>
            </w:r>
            <w:r>
              <w:rPr>
                <w:spacing w:val="1"/>
              </w:rPr>
              <w:t>缓措施，明确环境风险监控及应急建议要求，</w:t>
            </w:r>
            <w:r>
              <w:t xml:space="preserve">为建设项目环境风险防控提供科学依 </w:t>
            </w:r>
            <w:r>
              <w:rPr>
                <w:spacing w:val="-4"/>
              </w:rPr>
              <w:t>据。</w:t>
            </w:r>
          </w:p>
          <w:p w14:paraId="403943E6">
            <w:pPr>
              <w:pStyle w:val="6"/>
              <w:spacing w:before="32" w:line="221" w:lineRule="auto"/>
              <w:ind w:left="109"/>
            </w:pPr>
            <w:r>
              <w:rPr>
                <w:b/>
                <w:bCs/>
                <w:spacing w:val="-3"/>
              </w:rPr>
              <w:t>6.1危险物质</w:t>
            </w:r>
          </w:p>
          <w:p w14:paraId="7144AABE">
            <w:pPr>
              <w:pStyle w:val="6"/>
              <w:spacing w:before="144" w:line="353" w:lineRule="auto"/>
              <w:ind w:left="105" w:right="34" w:firstLine="420"/>
              <w:jc w:val="both"/>
              <w:rPr>
                <w:sz w:val="20"/>
                <w:szCs w:val="20"/>
              </w:rPr>
            </w:pPr>
            <w:r>
              <w:rPr>
                <w:spacing w:val="7"/>
                <w:sz w:val="20"/>
                <w:szCs w:val="20"/>
              </w:rPr>
              <w:t>对照《建设项目环境风险评价技术导则》</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7"/>
                <w:sz w:val="20"/>
                <w:szCs w:val="20"/>
              </w:rPr>
              <w:t>169-2018</w:t>
            </w:r>
            <w:r>
              <w:rPr>
                <w:spacing w:val="7"/>
                <w:sz w:val="20"/>
                <w:szCs w:val="20"/>
              </w:rPr>
              <w:t>）附录中</w:t>
            </w:r>
            <w:r>
              <w:rPr>
                <w:rFonts w:ascii="Times New Roman" w:hAnsi="Times New Roman" w:eastAsia="Times New Roman" w:cs="Times New Roman"/>
                <w:spacing w:val="7"/>
                <w:sz w:val="20"/>
                <w:szCs w:val="20"/>
              </w:rPr>
              <w:t>B</w:t>
            </w:r>
            <w:r>
              <w:rPr>
                <w:spacing w:val="7"/>
                <w:sz w:val="20"/>
                <w:szCs w:val="20"/>
              </w:rPr>
              <w:t>（重点关注的危险</w:t>
            </w:r>
            <w:r>
              <w:rPr>
                <w:spacing w:val="18"/>
                <w:sz w:val="20"/>
                <w:szCs w:val="20"/>
              </w:rPr>
              <w:t xml:space="preserve"> </w:t>
            </w:r>
            <w:r>
              <w:rPr>
                <w:spacing w:val="8"/>
                <w:sz w:val="20"/>
                <w:szCs w:val="20"/>
              </w:rPr>
              <w:t>物质及临界量</w:t>
            </w:r>
            <w:r>
              <w:rPr>
                <w:spacing w:val="-52"/>
                <w:sz w:val="20"/>
                <w:szCs w:val="20"/>
              </w:rPr>
              <w:t>），</w:t>
            </w:r>
            <w:r>
              <w:rPr>
                <w:spacing w:val="8"/>
                <w:sz w:val="20"/>
                <w:szCs w:val="20"/>
              </w:rPr>
              <w:t>项目所使用的物品或物品涉及含</w:t>
            </w:r>
            <w:r>
              <w:rPr>
                <w:spacing w:val="7"/>
                <w:sz w:val="20"/>
                <w:szCs w:val="20"/>
              </w:rPr>
              <w:t>有危险物质的主要有废机油、脱模剂。</w:t>
            </w:r>
            <w:r>
              <w:rPr>
                <w:spacing w:val="1"/>
                <w:sz w:val="20"/>
                <w:szCs w:val="20"/>
              </w:rPr>
              <w:t xml:space="preserve"> </w:t>
            </w:r>
            <w:r>
              <w:rPr>
                <w:spacing w:val="8"/>
                <w:sz w:val="20"/>
                <w:szCs w:val="20"/>
              </w:rPr>
              <w:t>但上述物品本身不属于危化品。</w:t>
            </w:r>
          </w:p>
          <w:p w14:paraId="04323165">
            <w:pPr>
              <w:spacing w:line="226" w:lineRule="auto"/>
              <w:ind w:left="2735"/>
              <w:rPr>
                <w:rFonts w:ascii="黑体" w:hAnsi="黑体" w:eastAsia="黑体" w:cs="黑体"/>
                <w:sz w:val="19"/>
                <w:szCs w:val="19"/>
              </w:rPr>
            </w:pP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4-15      </w:t>
            </w:r>
            <w:r>
              <w:rPr>
                <w:rFonts w:ascii="黑体" w:hAnsi="黑体" w:eastAsia="黑体" w:cs="黑体"/>
                <w:spacing w:val="5"/>
                <w:sz w:val="19"/>
                <w:szCs w:val="19"/>
              </w:rPr>
              <w:t>危险废物产生情况表</w:t>
            </w:r>
          </w:p>
          <w:tbl>
            <w:tblPr>
              <w:tblStyle w:val="5"/>
              <w:tblW w:w="7820"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217"/>
              <w:gridCol w:w="1239"/>
              <w:gridCol w:w="1002"/>
              <w:gridCol w:w="1089"/>
              <w:gridCol w:w="740"/>
              <w:gridCol w:w="890"/>
              <w:gridCol w:w="1029"/>
            </w:tblGrid>
            <w:tr w14:paraId="49BAC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614" w:type="dxa"/>
                  <w:vAlign w:val="top"/>
                </w:tcPr>
                <w:p w14:paraId="1AF0A8A1">
                  <w:pPr>
                    <w:pStyle w:val="6"/>
                    <w:spacing w:before="107" w:line="216" w:lineRule="auto"/>
                    <w:ind w:left="129"/>
                    <w:rPr>
                      <w:sz w:val="18"/>
                      <w:szCs w:val="18"/>
                    </w:rPr>
                  </w:pPr>
                  <w:r>
                    <w:rPr>
                      <w:b/>
                      <w:bCs/>
                      <w:spacing w:val="-6"/>
                      <w:sz w:val="18"/>
                      <w:szCs w:val="18"/>
                    </w:rPr>
                    <w:t>序号</w:t>
                  </w:r>
                </w:p>
              </w:tc>
              <w:tc>
                <w:tcPr>
                  <w:tcW w:w="1217" w:type="dxa"/>
                  <w:vAlign w:val="top"/>
                </w:tcPr>
                <w:p w14:paraId="3E9D8735">
                  <w:pPr>
                    <w:pStyle w:val="6"/>
                    <w:spacing w:before="107" w:line="216" w:lineRule="auto"/>
                    <w:ind w:left="432"/>
                    <w:rPr>
                      <w:sz w:val="18"/>
                      <w:szCs w:val="18"/>
                    </w:rPr>
                  </w:pPr>
                  <w:r>
                    <w:rPr>
                      <w:b/>
                      <w:bCs/>
                      <w:spacing w:val="-7"/>
                      <w:sz w:val="18"/>
                      <w:szCs w:val="18"/>
                    </w:rPr>
                    <w:t>名称</w:t>
                  </w:r>
                </w:p>
              </w:tc>
              <w:tc>
                <w:tcPr>
                  <w:tcW w:w="1239" w:type="dxa"/>
                  <w:vAlign w:val="top"/>
                </w:tcPr>
                <w:p w14:paraId="3766877B">
                  <w:pPr>
                    <w:pStyle w:val="6"/>
                    <w:spacing w:before="107" w:line="216" w:lineRule="auto"/>
                    <w:jc w:val="right"/>
                    <w:rPr>
                      <w:sz w:val="18"/>
                      <w:szCs w:val="18"/>
                    </w:rPr>
                  </w:pPr>
                  <w:r>
                    <w:rPr>
                      <w:b/>
                      <w:bCs/>
                      <w:spacing w:val="-18"/>
                      <w:sz w:val="18"/>
                      <w:szCs w:val="18"/>
                    </w:rPr>
                    <w:t>最大储存量（</w:t>
                  </w:r>
                  <w:r>
                    <w:rPr>
                      <w:rFonts w:ascii="Times New Roman" w:hAnsi="Times New Roman" w:eastAsia="Times New Roman" w:cs="Times New Roman"/>
                      <w:b/>
                      <w:bCs/>
                      <w:spacing w:val="-18"/>
                      <w:sz w:val="18"/>
                      <w:szCs w:val="18"/>
                    </w:rPr>
                    <w:t>t</w:t>
                  </w:r>
                  <w:r>
                    <w:rPr>
                      <w:b/>
                      <w:bCs/>
                      <w:spacing w:val="-18"/>
                      <w:sz w:val="18"/>
                      <w:szCs w:val="18"/>
                    </w:rPr>
                    <w:t>）</w:t>
                  </w:r>
                </w:p>
              </w:tc>
              <w:tc>
                <w:tcPr>
                  <w:tcW w:w="1002" w:type="dxa"/>
                  <w:vAlign w:val="top"/>
                </w:tcPr>
                <w:p w14:paraId="33D5E4CC">
                  <w:pPr>
                    <w:pStyle w:val="6"/>
                    <w:spacing w:before="107" w:line="216" w:lineRule="auto"/>
                    <w:jc w:val="right"/>
                    <w:rPr>
                      <w:sz w:val="18"/>
                      <w:szCs w:val="18"/>
                    </w:rPr>
                  </w:pPr>
                  <w:r>
                    <w:rPr>
                      <w:b/>
                      <w:bCs/>
                      <w:spacing w:val="-20"/>
                      <w:sz w:val="18"/>
                      <w:szCs w:val="18"/>
                    </w:rPr>
                    <w:t>产生量（</w:t>
                  </w:r>
                  <w:r>
                    <w:rPr>
                      <w:rFonts w:ascii="Times New Roman" w:hAnsi="Times New Roman" w:eastAsia="Times New Roman" w:cs="Times New Roman"/>
                      <w:b/>
                      <w:bCs/>
                      <w:spacing w:val="-20"/>
                      <w:sz w:val="18"/>
                      <w:szCs w:val="18"/>
                    </w:rPr>
                    <w:t>t/a</w:t>
                  </w:r>
                  <w:r>
                    <w:rPr>
                      <w:b/>
                      <w:bCs/>
                      <w:spacing w:val="-20"/>
                      <w:sz w:val="18"/>
                      <w:szCs w:val="18"/>
                    </w:rPr>
                    <w:t>）</w:t>
                  </w:r>
                </w:p>
              </w:tc>
              <w:tc>
                <w:tcPr>
                  <w:tcW w:w="1089" w:type="dxa"/>
                  <w:vAlign w:val="top"/>
                </w:tcPr>
                <w:p w14:paraId="69976201">
                  <w:pPr>
                    <w:pStyle w:val="6"/>
                    <w:spacing w:before="107" w:line="216" w:lineRule="auto"/>
                    <w:ind w:left="188"/>
                    <w:rPr>
                      <w:sz w:val="18"/>
                      <w:szCs w:val="18"/>
                    </w:rPr>
                  </w:pPr>
                  <w:r>
                    <w:rPr>
                      <w:b/>
                      <w:bCs/>
                      <w:spacing w:val="-4"/>
                      <w:sz w:val="18"/>
                      <w:szCs w:val="18"/>
                    </w:rPr>
                    <w:t>贮存方式</w:t>
                  </w:r>
                </w:p>
              </w:tc>
              <w:tc>
                <w:tcPr>
                  <w:tcW w:w="740" w:type="dxa"/>
                  <w:vAlign w:val="top"/>
                </w:tcPr>
                <w:p w14:paraId="20B573E6">
                  <w:pPr>
                    <w:pStyle w:val="6"/>
                    <w:spacing w:before="107" w:line="216" w:lineRule="auto"/>
                    <w:ind w:left="114"/>
                    <w:rPr>
                      <w:sz w:val="18"/>
                      <w:szCs w:val="18"/>
                    </w:rPr>
                  </w:pPr>
                  <w:r>
                    <w:rPr>
                      <w:b/>
                      <w:bCs/>
                      <w:spacing w:val="-7"/>
                      <w:sz w:val="18"/>
                      <w:szCs w:val="18"/>
                    </w:rPr>
                    <w:t>临界量</w:t>
                  </w:r>
                </w:p>
              </w:tc>
              <w:tc>
                <w:tcPr>
                  <w:tcW w:w="890" w:type="dxa"/>
                  <w:vAlign w:val="top"/>
                </w:tcPr>
                <w:p w14:paraId="32888D53">
                  <w:pPr>
                    <w:pStyle w:val="6"/>
                    <w:spacing w:before="107" w:line="216" w:lineRule="auto"/>
                    <w:ind w:left="88"/>
                    <w:rPr>
                      <w:sz w:val="18"/>
                      <w:szCs w:val="18"/>
                    </w:rPr>
                  </w:pPr>
                  <w:r>
                    <w:rPr>
                      <w:b/>
                      <w:bCs/>
                      <w:spacing w:val="-3"/>
                      <w:sz w:val="18"/>
                      <w:szCs w:val="18"/>
                    </w:rPr>
                    <w:t>储存位置</w:t>
                  </w:r>
                </w:p>
              </w:tc>
              <w:tc>
                <w:tcPr>
                  <w:tcW w:w="1029" w:type="dxa"/>
                  <w:vAlign w:val="top"/>
                </w:tcPr>
                <w:p w14:paraId="2ED2A4B5">
                  <w:pPr>
                    <w:pStyle w:val="6"/>
                    <w:spacing w:before="107" w:line="216" w:lineRule="auto"/>
                    <w:ind w:left="66"/>
                    <w:rPr>
                      <w:sz w:val="18"/>
                      <w:szCs w:val="18"/>
                    </w:rPr>
                  </w:pPr>
                  <w:r>
                    <w:rPr>
                      <w:b/>
                      <w:bCs/>
                      <w:spacing w:val="-3"/>
                      <w:sz w:val="18"/>
                      <w:szCs w:val="18"/>
                    </w:rPr>
                    <w:t>重大危险源</w:t>
                  </w:r>
                </w:p>
              </w:tc>
            </w:tr>
            <w:tr w14:paraId="5741D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14" w:type="dxa"/>
                  <w:vAlign w:val="top"/>
                </w:tcPr>
                <w:p w14:paraId="55D1BAC1">
                  <w:pPr>
                    <w:spacing w:before="134"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17" w:type="dxa"/>
                  <w:vAlign w:val="top"/>
                </w:tcPr>
                <w:p w14:paraId="4C6D178E">
                  <w:pPr>
                    <w:pStyle w:val="6"/>
                    <w:spacing w:before="105" w:line="214" w:lineRule="auto"/>
                    <w:ind w:left="340"/>
                    <w:rPr>
                      <w:sz w:val="18"/>
                      <w:szCs w:val="18"/>
                    </w:rPr>
                  </w:pPr>
                  <w:r>
                    <w:rPr>
                      <w:spacing w:val="-3"/>
                      <w:sz w:val="18"/>
                      <w:szCs w:val="18"/>
                    </w:rPr>
                    <w:t>废机油</w:t>
                  </w:r>
                </w:p>
              </w:tc>
              <w:tc>
                <w:tcPr>
                  <w:tcW w:w="1239" w:type="dxa"/>
                  <w:vAlign w:val="top"/>
                </w:tcPr>
                <w:p w14:paraId="4BE91519">
                  <w:pPr>
                    <w:spacing w:before="134" w:line="188" w:lineRule="auto"/>
                    <w:ind w:left="4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002" w:type="dxa"/>
                  <w:vAlign w:val="top"/>
                </w:tcPr>
                <w:p w14:paraId="565A70A9">
                  <w:pPr>
                    <w:spacing w:before="134" w:line="188" w:lineRule="auto"/>
                    <w:ind w:left="3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089" w:type="dxa"/>
                  <w:vAlign w:val="top"/>
                </w:tcPr>
                <w:p w14:paraId="77CC86F4">
                  <w:pPr>
                    <w:pStyle w:val="6"/>
                    <w:spacing w:before="105" w:line="214" w:lineRule="auto"/>
                    <w:ind w:left="372"/>
                    <w:rPr>
                      <w:sz w:val="18"/>
                      <w:szCs w:val="18"/>
                    </w:rPr>
                  </w:pPr>
                  <w:r>
                    <w:rPr>
                      <w:spacing w:val="-5"/>
                      <w:sz w:val="18"/>
                      <w:szCs w:val="18"/>
                    </w:rPr>
                    <w:t>桶装</w:t>
                  </w:r>
                </w:p>
              </w:tc>
              <w:tc>
                <w:tcPr>
                  <w:tcW w:w="740" w:type="dxa"/>
                  <w:vAlign w:val="top"/>
                </w:tcPr>
                <w:p w14:paraId="3B97170F">
                  <w:pPr>
                    <w:spacing w:before="134"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890" w:type="dxa"/>
                  <w:vAlign w:val="top"/>
                </w:tcPr>
                <w:p w14:paraId="61B9E7EA">
                  <w:pPr>
                    <w:pStyle w:val="6"/>
                    <w:spacing w:before="105" w:line="214" w:lineRule="auto"/>
                    <w:ind w:left="182"/>
                    <w:rPr>
                      <w:sz w:val="18"/>
                      <w:szCs w:val="18"/>
                    </w:rPr>
                  </w:pPr>
                  <w:r>
                    <w:rPr>
                      <w:spacing w:val="-4"/>
                      <w:sz w:val="18"/>
                      <w:szCs w:val="18"/>
                    </w:rPr>
                    <w:t>危废间</w:t>
                  </w:r>
                </w:p>
              </w:tc>
              <w:tc>
                <w:tcPr>
                  <w:tcW w:w="1029" w:type="dxa"/>
                  <w:vAlign w:val="top"/>
                </w:tcPr>
                <w:p w14:paraId="57C35E4C">
                  <w:pPr>
                    <w:pStyle w:val="6"/>
                    <w:spacing w:before="105" w:line="214" w:lineRule="auto"/>
                    <w:ind w:left="433"/>
                    <w:rPr>
                      <w:sz w:val="18"/>
                      <w:szCs w:val="18"/>
                    </w:rPr>
                  </w:pPr>
                  <w:r>
                    <w:rPr>
                      <w:sz w:val="18"/>
                      <w:szCs w:val="18"/>
                    </w:rPr>
                    <w:t>否</w:t>
                  </w:r>
                </w:p>
              </w:tc>
            </w:tr>
            <w:tr w14:paraId="2EEC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14" w:type="dxa"/>
                  <w:vAlign w:val="top"/>
                </w:tcPr>
                <w:p w14:paraId="53E9F5E5">
                  <w:pPr>
                    <w:spacing w:line="241" w:lineRule="auto"/>
                    <w:rPr>
                      <w:rFonts w:ascii="Arial"/>
                      <w:sz w:val="21"/>
                    </w:rPr>
                  </w:pPr>
                </w:p>
                <w:p w14:paraId="71608A19">
                  <w:pPr>
                    <w:spacing w:before="5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17" w:type="dxa"/>
                  <w:vAlign w:val="top"/>
                </w:tcPr>
                <w:p w14:paraId="769C825E">
                  <w:pPr>
                    <w:pStyle w:val="6"/>
                    <w:spacing w:before="104" w:line="273" w:lineRule="auto"/>
                    <w:ind w:left="181" w:right="66" w:hanging="108"/>
                    <w:rPr>
                      <w:sz w:val="18"/>
                      <w:szCs w:val="18"/>
                    </w:rPr>
                  </w:pPr>
                  <w:r>
                    <w:rPr>
                      <w:spacing w:val="-2"/>
                      <w:sz w:val="18"/>
                      <w:szCs w:val="18"/>
                    </w:rPr>
                    <w:t>脱模剂（含基</w:t>
                  </w:r>
                  <w:r>
                    <w:rPr>
                      <w:spacing w:val="3"/>
                      <w:sz w:val="18"/>
                      <w:szCs w:val="18"/>
                    </w:rPr>
                    <w:t xml:space="preserve"> </w:t>
                  </w:r>
                  <w:r>
                    <w:rPr>
                      <w:spacing w:val="-3"/>
                      <w:sz w:val="18"/>
                      <w:szCs w:val="18"/>
                    </w:rPr>
                    <w:t>础油</w:t>
                  </w:r>
                  <w:r>
                    <w:rPr>
                      <w:spacing w:val="-34"/>
                      <w:sz w:val="18"/>
                      <w:szCs w:val="18"/>
                    </w:rPr>
                    <w:t xml:space="preserve"> </w:t>
                  </w:r>
                  <w:r>
                    <w:rPr>
                      <w:spacing w:val="-3"/>
                      <w:sz w:val="18"/>
                      <w:szCs w:val="18"/>
                    </w:rPr>
                    <w:t>40%）</w:t>
                  </w:r>
                </w:p>
              </w:tc>
              <w:tc>
                <w:tcPr>
                  <w:tcW w:w="1239" w:type="dxa"/>
                  <w:vAlign w:val="top"/>
                </w:tcPr>
                <w:p w14:paraId="6FE9DE7A">
                  <w:pPr>
                    <w:pStyle w:val="6"/>
                    <w:spacing w:before="104" w:line="273" w:lineRule="auto"/>
                    <w:ind w:left="488" w:right="52" w:hanging="434"/>
                    <w:rPr>
                      <w:sz w:val="18"/>
                      <w:szCs w:val="18"/>
                    </w:rPr>
                  </w:pPr>
                  <w:r>
                    <w:rPr>
                      <w:rFonts w:ascii="Times New Roman" w:hAnsi="Times New Roman" w:eastAsia="Times New Roman" w:cs="Times New Roman"/>
                      <w:spacing w:val="-7"/>
                      <w:sz w:val="18"/>
                      <w:szCs w:val="18"/>
                    </w:rPr>
                    <w:t>2</w:t>
                  </w:r>
                  <w:r>
                    <w:rPr>
                      <w:spacing w:val="-7"/>
                      <w:sz w:val="18"/>
                      <w:szCs w:val="18"/>
                    </w:rPr>
                    <w:t>（脱模剂储量</w:t>
                  </w:r>
                  <w:r>
                    <w:rPr>
                      <w:spacing w:val="4"/>
                      <w:sz w:val="18"/>
                      <w:szCs w:val="18"/>
                    </w:rPr>
                    <w:t xml:space="preserve"> </w:t>
                  </w:r>
                  <w:r>
                    <w:rPr>
                      <w:rFonts w:ascii="Times New Roman" w:hAnsi="Times New Roman" w:eastAsia="Times New Roman" w:cs="Times New Roman"/>
                      <w:spacing w:val="-5"/>
                      <w:sz w:val="18"/>
                      <w:szCs w:val="18"/>
                    </w:rPr>
                    <w:t>5</w:t>
                  </w:r>
                  <w:r>
                    <w:rPr>
                      <w:spacing w:val="-5"/>
                      <w:sz w:val="18"/>
                      <w:szCs w:val="18"/>
                    </w:rPr>
                    <w:t>）</w:t>
                  </w:r>
                </w:p>
              </w:tc>
              <w:tc>
                <w:tcPr>
                  <w:tcW w:w="1002" w:type="dxa"/>
                  <w:vAlign w:val="top"/>
                </w:tcPr>
                <w:p w14:paraId="0AA01A6B">
                  <w:pPr>
                    <w:spacing w:line="241" w:lineRule="auto"/>
                    <w:rPr>
                      <w:rFonts w:ascii="Arial"/>
                      <w:sz w:val="21"/>
                    </w:rPr>
                  </w:pPr>
                </w:p>
                <w:p w14:paraId="63D25E5D">
                  <w:pPr>
                    <w:spacing w:before="52" w:line="188"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89" w:type="dxa"/>
                  <w:vAlign w:val="top"/>
                </w:tcPr>
                <w:p w14:paraId="5E93F211">
                  <w:pPr>
                    <w:pStyle w:val="6"/>
                    <w:spacing w:before="266" w:line="219" w:lineRule="auto"/>
                    <w:ind w:left="191"/>
                    <w:rPr>
                      <w:sz w:val="18"/>
                      <w:szCs w:val="18"/>
                    </w:rPr>
                  </w:pPr>
                  <w:r>
                    <w:rPr>
                      <w:spacing w:val="-2"/>
                      <w:sz w:val="18"/>
                      <w:szCs w:val="18"/>
                    </w:rPr>
                    <w:t>专用桶装</w:t>
                  </w:r>
                </w:p>
              </w:tc>
              <w:tc>
                <w:tcPr>
                  <w:tcW w:w="740" w:type="dxa"/>
                  <w:vAlign w:val="top"/>
                </w:tcPr>
                <w:p w14:paraId="548BAE71">
                  <w:pPr>
                    <w:spacing w:line="241" w:lineRule="auto"/>
                    <w:rPr>
                      <w:rFonts w:ascii="Arial"/>
                      <w:sz w:val="21"/>
                    </w:rPr>
                  </w:pPr>
                </w:p>
                <w:p w14:paraId="77B60AA7">
                  <w:pPr>
                    <w:spacing w:before="52"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890" w:type="dxa"/>
                  <w:vAlign w:val="top"/>
                </w:tcPr>
                <w:p w14:paraId="110605C4">
                  <w:pPr>
                    <w:pStyle w:val="6"/>
                    <w:spacing w:before="266" w:line="219" w:lineRule="auto"/>
                    <w:ind w:left="180"/>
                    <w:rPr>
                      <w:sz w:val="18"/>
                      <w:szCs w:val="18"/>
                    </w:rPr>
                  </w:pPr>
                  <w:r>
                    <w:rPr>
                      <w:spacing w:val="-3"/>
                      <w:sz w:val="18"/>
                      <w:szCs w:val="18"/>
                    </w:rPr>
                    <w:t>物资库</w:t>
                  </w:r>
                </w:p>
              </w:tc>
              <w:tc>
                <w:tcPr>
                  <w:tcW w:w="1029" w:type="dxa"/>
                  <w:vAlign w:val="top"/>
                </w:tcPr>
                <w:p w14:paraId="00C53ABD">
                  <w:pPr>
                    <w:pStyle w:val="6"/>
                    <w:spacing w:before="266" w:line="220" w:lineRule="auto"/>
                    <w:ind w:left="433"/>
                    <w:rPr>
                      <w:sz w:val="18"/>
                      <w:szCs w:val="18"/>
                    </w:rPr>
                  </w:pPr>
                  <w:r>
                    <w:rPr>
                      <w:sz w:val="18"/>
                      <w:szCs w:val="18"/>
                    </w:rPr>
                    <w:t>否</w:t>
                  </w:r>
                </w:p>
              </w:tc>
            </w:tr>
          </w:tbl>
          <w:p w14:paraId="37F710C8">
            <w:pPr>
              <w:spacing w:before="141" w:line="230" w:lineRule="auto"/>
              <w:ind w:left="107"/>
              <w:rPr>
                <w:rFonts w:ascii="黑体" w:hAnsi="黑体" w:eastAsia="黑体" w:cs="黑体"/>
                <w:sz w:val="20"/>
                <w:szCs w:val="20"/>
              </w:rPr>
            </w:pPr>
            <w:r>
              <w:rPr>
                <w:rFonts w:ascii="Times New Roman" w:hAnsi="Times New Roman" w:eastAsia="Times New Roman" w:cs="Times New Roman"/>
                <w:spacing w:val="7"/>
                <w:sz w:val="20"/>
                <w:szCs w:val="20"/>
              </w:rPr>
              <w:t>6.2</w:t>
            </w:r>
            <w:r>
              <w:rPr>
                <w:rFonts w:ascii="黑体" w:hAnsi="黑体" w:eastAsia="黑体" w:cs="黑体"/>
                <w:spacing w:val="7"/>
                <w:sz w:val="20"/>
                <w:szCs w:val="20"/>
              </w:rPr>
              <w:t>项目环境风险潜势判定</w:t>
            </w:r>
          </w:p>
          <w:p w14:paraId="472EA05A">
            <w:pPr>
              <w:pStyle w:val="6"/>
              <w:spacing w:before="152" w:line="226" w:lineRule="auto"/>
              <w:ind w:left="474"/>
              <w:rPr>
                <w:sz w:val="20"/>
                <w:szCs w:val="20"/>
              </w:rPr>
            </w:pPr>
            <w:r>
              <w:rPr>
                <w:spacing w:val="6"/>
                <w:sz w:val="20"/>
                <w:szCs w:val="20"/>
              </w:rPr>
              <w:t>根据《建设项目环境风险评价技术导则》（</w:t>
            </w:r>
            <w:r>
              <w:rPr>
                <w:sz w:val="20"/>
                <w:szCs w:val="20"/>
              </w:rPr>
              <w:t>HJ</w:t>
            </w:r>
            <w:r>
              <w:rPr>
                <w:spacing w:val="6"/>
                <w:sz w:val="20"/>
                <w:szCs w:val="20"/>
              </w:rPr>
              <w:t>169</w:t>
            </w:r>
            <w:r>
              <w:rPr>
                <w:spacing w:val="5"/>
                <w:sz w:val="20"/>
                <w:szCs w:val="20"/>
              </w:rPr>
              <w:t>－2018）附录</w:t>
            </w:r>
            <w:r>
              <w:rPr>
                <w:spacing w:val="-41"/>
                <w:sz w:val="20"/>
                <w:szCs w:val="20"/>
              </w:rPr>
              <w:t xml:space="preserve"> </w:t>
            </w:r>
            <w:r>
              <w:rPr>
                <w:spacing w:val="5"/>
                <w:sz w:val="20"/>
                <w:szCs w:val="20"/>
              </w:rPr>
              <w:t>C</w:t>
            </w:r>
            <w:r>
              <w:rPr>
                <w:spacing w:val="-37"/>
                <w:sz w:val="20"/>
                <w:szCs w:val="20"/>
              </w:rPr>
              <w:t xml:space="preserve"> </w:t>
            </w:r>
            <w:r>
              <w:rPr>
                <w:spacing w:val="5"/>
                <w:sz w:val="20"/>
                <w:szCs w:val="20"/>
              </w:rPr>
              <w:t>和附录</w:t>
            </w:r>
            <w:r>
              <w:rPr>
                <w:spacing w:val="-44"/>
                <w:sz w:val="20"/>
                <w:szCs w:val="20"/>
              </w:rPr>
              <w:t xml:space="preserve"> </w:t>
            </w:r>
            <w:r>
              <w:rPr>
                <w:spacing w:val="5"/>
                <w:sz w:val="20"/>
                <w:szCs w:val="20"/>
              </w:rPr>
              <w:t>B，危险物</w:t>
            </w:r>
          </w:p>
        </w:tc>
      </w:tr>
    </w:tbl>
    <w:p w14:paraId="34D827AD">
      <w:pPr>
        <w:pStyle w:val="2"/>
      </w:pPr>
    </w:p>
    <w:p w14:paraId="5125D9F7">
      <w:pPr>
        <w:sectPr>
          <w:footerReference r:id="rId83" w:type="default"/>
          <w:pgSz w:w="11907" w:h="16840"/>
          <w:pgMar w:top="1431" w:right="1490" w:bottom="1260" w:left="1489" w:header="0" w:footer="1080" w:gutter="0"/>
          <w:cols w:space="720" w:num="1"/>
        </w:sectPr>
      </w:pPr>
    </w:p>
    <w:p w14:paraId="4755A80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79D0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148" w:hRule="atLeast"/>
        </w:trPr>
        <w:tc>
          <w:tcPr>
            <w:tcW w:w="785" w:type="dxa"/>
            <w:tcBorders>
              <w:top w:val="single" w:color="000000" w:sz="2" w:space="0"/>
              <w:right w:val="single" w:color="000000" w:sz="2" w:space="0"/>
            </w:tcBorders>
            <w:vAlign w:val="top"/>
          </w:tcPr>
          <w:p w14:paraId="78F1D666">
            <w:pPr>
              <w:rPr>
                <w:rFonts w:ascii="Arial"/>
                <w:sz w:val="21"/>
              </w:rPr>
            </w:pPr>
          </w:p>
        </w:tc>
        <w:tc>
          <w:tcPr>
            <w:tcW w:w="8127" w:type="dxa"/>
            <w:tcBorders>
              <w:top w:val="single" w:color="000000" w:sz="2" w:space="0"/>
              <w:left w:val="single" w:color="000000" w:sz="2" w:space="0"/>
            </w:tcBorders>
            <w:vAlign w:val="top"/>
          </w:tcPr>
          <w:p w14:paraId="76DA2E25">
            <w:pPr>
              <w:pStyle w:val="6"/>
              <w:spacing w:before="145" w:line="228" w:lineRule="auto"/>
              <w:ind w:left="54"/>
              <w:rPr>
                <w:sz w:val="20"/>
                <w:szCs w:val="20"/>
              </w:rPr>
            </w:pPr>
            <w:r>
              <w:rPr>
                <w:spacing w:val="8"/>
                <w:sz w:val="20"/>
                <w:szCs w:val="20"/>
              </w:rPr>
              <w:t>质数量与临界量比值（Q）的计算方法如下所示。</w:t>
            </w:r>
          </w:p>
          <w:p w14:paraId="341D18F1">
            <w:pPr>
              <w:pStyle w:val="6"/>
              <w:spacing w:before="152" w:line="355" w:lineRule="auto"/>
              <w:ind w:left="65" w:right="143" w:firstLine="421"/>
              <w:rPr>
                <w:sz w:val="20"/>
                <w:szCs w:val="20"/>
              </w:rPr>
            </w:pPr>
            <w:r>
              <w:rPr>
                <w:spacing w:val="11"/>
                <w:sz w:val="20"/>
                <w:szCs w:val="20"/>
              </w:rPr>
              <w:t>当只涉及一种污染物时，计算该物质的总量与临界量比值</w:t>
            </w:r>
            <w:r>
              <w:rPr>
                <w:spacing w:val="10"/>
                <w:sz w:val="20"/>
                <w:szCs w:val="20"/>
              </w:rPr>
              <w:t>，即为Q；当存在多种危</w:t>
            </w:r>
            <w:r>
              <w:rPr>
                <w:sz w:val="20"/>
                <w:szCs w:val="20"/>
              </w:rPr>
              <w:t xml:space="preserve"> </w:t>
            </w:r>
            <w:r>
              <w:rPr>
                <w:spacing w:val="9"/>
                <w:sz w:val="20"/>
                <w:szCs w:val="20"/>
              </w:rPr>
              <w:t>险物质时，则按下式计算物质总量与其临界量比值（Q</w:t>
            </w:r>
            <w:r>
              <w:rPr>
                <w:spacing w:val="-53"/>
                <w:w w:val="98"/>
                <w:sz w:val="20"/>
                <w:szCs w:val="20"/>
              </w:rPr>
              <w:t>）：</w:t>
            </w:r>
          </w:p>
          <w:p w14:paraId="73C5432F">
            <w:pPr>
              <w:spacing w:before="7" w:line="545" w:lineRule="exact"/>
              <w:ind w:firstLine="3256"/>
            </w:pPr>
            <w:r>
              <w:rPr>
                <w:position w:val="-10"/>
              </w:rPr>
              <w:drawing>
                <wp:inline distT="0" distB="0" distL="0" distR="0">
                  <wp:extent cx="1320800" cy="346075"/>
                  <wp:effectExtent l="0" t="0" r="0" b="0"/>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262"/>
                          <a:stretch>
                            <a:fillRect/>
                          </a:stretch>
                        </pic:blipFill>
                        <pic:spPr>
                          <a:xfrm>
                            <a:off x="0" y="0"/>
                            <a:ext cx="1321266" cy="346116"/>
                          </a:xfrm>
                          <a:prstGeom prst="rect">
                            <a:avLst/>
                          </a:prstGeom>
                        </pic:spPr>
                      </pic:pic>
                    </a:graphicData>
                  </a:graphic>
                </wp:inline>
              </w:drawing>
            </w:r>
          </w:p>
          <w:p w14:paraId="3D10C186">
            <w:pPr>
              <w:pStyle w:val="6"/>
              <w:spacing w:before="153" w:line="223" w:lineRule="auto"/>
              <w:ind w:left="591"/>
              <w:rPr>
                <w:sz w:val="20"/>
                <w:szCs w:val="20"/>
              </w:rPr>
            </w:pPr>
            <w:r>
              <w:rPr>
                <w:spacing w:val="6"/>
                <w:sz w:val="20"/>
                <w:szCs w:val="20"/>
              </w:rPr>
              <w:t>式中：</w:t>
            </w:r>
            <w:r>
              <w:rPr>
                <w:rFonts w:ascii="Times New Roman" w:hAnsi="Times New Roman" w:eastAsia="Times New Roman" w:cs="Times New Roman"/>
                <w:spacing w:val="6"/>
                <w:sz w:val="20"/>
                <w:szCs w:val="20"/>
              </w:rPr>
              <w:t>q</w:t>
            </w:r>
            <w:r>
              <w:rPr>
                <w:rFonts w:ascii="Times New Roman" w:hAnsi="Times New Roman" w:eastAsia="Times New Roman" w:cs="Times New Roman"/>
                <w:spacing w:val="6"/>
                <w:position w:val="-1"/>
                <w:sz w:val="13"/>
                <w:szCs w:val="13"/>
              </w:rPr>
              <w:t>1</w:t>
            </w:r>
            <w:r>
              <w:rPr>
                <w:rFonts w:ascii="Times New Roman" w:hAnsi="Times New Roman" w:eastAsia="Times New Roman" w:cs="Times New Roman"/>
                <w:spacing w:val="-4"/>
                <w:position w:val="-1"/>
                <w:sz w:val="13"/>
                <w:szCs w:val="13"/>
              </w:rPr>
              <w:t xml:space="preserve"> </w:t>
            </w:r>
            <w:r>
              <w:rPr>
                <w:spacing w:val="6"/>
                <w:sz w:val="20"/>
                <w:szCs w:val="20"/>
              </w:rPr>
              <w:t>，</w:t>
            </w:r>
            <w:r>
              <w:rPr>
                <w:rFonts w:ascii="Times New Roman" w:hAnsi="Times New Roman" w:eastAsia="Times New Roman" w:cs="Times New Roman"/>
                <w:spacing w:val="6"/>
                <w:sz w:val="20"/>
                <w:szCs w:val="20"/>
              </w:rPr>
              <w:t>q</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pacing w:val="-9"/>
                <w:position w:val="-1"/>
                <w:sz w:val="13"/>
                <w:szCs w:val="13"/>
              </w:rPr>
              <w:t xml:space="preserve"> </w:t>
            </w:r>
            <w:r>
              <w:rPr>
                <w:spacing w:val="6"/>
                <w:sz w:val="20"/>
                <w:szCs w:val="20"/>
              </w:rPr>
              <w:t>，</w:t>
            </w:r>
            <w:r>
              <w:rPr>
                <w:spacing w:val="-68"/>
                <w:sz w:val="20"/>
                <w:szCs w:val="20"/>
              </w:rPr>
              <w:t xml:space="preserve"> </w:t>
            </w:r>
            <w:r>
              <w:rPr>
                <w:rFonts w:ascii="Times New Roman" w:hAnsi="Times New Roman" w:eastAsia="Times New Roman" w:cs="Times New Roman"/>
                <w:spacing w:val="6"/>
                <w:sz w:val="20"/>
                <w:szCs w:val="20"/>
              </w:rPr>
              <w:t>ⅆ</w:t>
            </w:r>
            <w:r>
              <w:rPr>
                <w:rFonts w:ascii="Times New Roman" w:hAnsi="Times New Roman" w:eastAsia="Times New Roman" w:cs="Times New Roman"/>
                <w:spacing w:val="-25"/>
                <w:sz w:val="20"/>
                <w:szCs w:val="20"/>
              </w:rPr>
              <w:t xml:space="preserve"> </w:t>
            </w:r>
            <w:r>
              <w:rPr>
                <w:spacing w:val="6"/>
                <w:sz w:val="20"/>
                <w:szCs w:val="20"/>
              </w:rPr>
              <w:t>,</w:t>
            </w:r>
            <w:r>
              <w:rPr>
                <w:spacing w:val="61"/>
                <w:sz w:val="20"/>
                <w:szCs w:val="20"/>
              </w:rPr>
              <w:t xml:space="preserve"> </w:t>
            </w:r>
            <w:r>
              <w:rPr>
                <w:rFonts w:ascii="Times New Roman" w:hAnsi="Times New Roman" w:eastAsia="Times New Roman" w:cs="Times New Roman"/>
                <w:sz w:val="20"/>
                <w:szCs w:val="20"/>
              </w:rPr>
              <w:t>q</w:t>
            </w:r>
            <w:r>
              <w:rPr>
                <w:rFonts w:ascii="Times New Roman" w:hAnsi="Times New Roman" w:eastAsia="Times New Roman" w:cs="Times New Roman"/>
                <w:sz w:val="13"/>
                <w:szCs w:val="13"/>
              </w:rPr>
              <w:t>n</w:t>
            </w:r>
            <w:r>
              <w:rPr>
                <w:rFonts w:ascii="Times New Roman" w:hAnsi="Times New Roman" w:eastAsia="Times New Roman" w:cs="Times New Roman"/>
                <w:spacing w:val="6"/>
                <w:sz w:val="20"/>
                <w:szCs w:val="20"/>
              </w:rPr>
              <w:t>——</w:t>
            </w:r>
            <w:r>
              <w:rPr>
                <w:spacing w:val="6"/>
                <w:sz w:val="20"/>
                <w:szCs w:val="20"/>
              </w:rPr>
              <w:t>每种危险物质的最大存在总量，</w:t>
            </w:r>
            <w:r>
              <w:rPr>
                <w:rFonts w:ascii="Times New Roman" w:hAnsi="Times New Roman" w:eastAsia="Times New Roman" w:cs="Times New Roman"/>
                <w:spacing w:val="6"/>
                <w:sz w:val="20"/>
                <w:szCs w:val="20"/>
              </w:rPr>
              <w:t>t</w:t>
            </w:r>
            <w:r>
              <w:rPr>
                <w:spacing w:val="6"/>
                <w:sz w:val="20"/>
                <w:szCs w:val="20"/>
              </w:rPr>
              <w:t>；</w:t>
            </w:r>
          </w:p>
          <w:p w14:paraId="6AA819E8">
            <w:pPr>
              <w:pStyle w:val="6"/>
              <w:spacing w:before="159" w:line="223" w:lineRule="auto"/>
              <w:ind w:left="1157"/>
              <w:rPr>
                <w:sz w:val="20"/>
                <w:szCs w:val="20"/>
              </w:rPr>
            </w:pPr>
            <w:r>
              <w:rPr>
                <w:rFonts w:ascii="Times New Roman" w:hAnsi="Times New Roman" w:eastAsia="Times New Roman" w:cs="Times New Roman"/>
                <w:spacing w:val="5"/>
                <w:sz w:val="20"/>
                <w:szCs w:val="20"/>
              </w:rPr>
              <w:t>Q</w:t>
            </w:r>
            <w:r>
              <w:rPr>
                <w:rFonts w:ascii="Times New Roman" w:hAnsi="Times New Roman" w:eastAsia="Times New Roman" w:cs="Times New Roman"/>
                <w:spacing w:val="5"/>
                <w:position w:val="-1"/>
                <w:sz w:val="13"/>
                <w:szCs w:val="13"/>
              </w:rPr>
              <w:t>1</w:t>
            </w:r>
            <w:r>
              <w:rPr>
                <w:rFonts w:ascii="Times New Roman" w:hAnsi="Times New Roman" w:eastAsia="Times New Roman" w:cs="Times New Roman"/>
                <w:spacing w:val="3"/>
                <w:position w:val="-1"/>
                <w:sz w:val="13"/>
                <w:szCs w:val="13"/>
              </w:rPr>
              <w:t xml:space="preserve"> </w:t>
            </w:r>
            <w:r>
              <w:rPr>
                <w:spacing w:val="5"/>
                <w:sz w:val="20"/>
                <w:szCs w:val="20"/>
              </w:rPr>
              <w:t>，</w:t>
            </w:r>
            <w:r>
              <w:rPr>
                <w:rFonts w:ascii="Times New Roman" w:hAnsi="Times New Roman" w:eastAsia="Times New Roman" w:cs="Times New Roman"/>
                <w:spacing w:val="5"/>
                <w:sz w:val="20"/>
                <w:szCs w:val="20"/>
              </w:rPr>
              <w:t>Q</w:t>
            </w:r>
            <w:r>
              <w:rPr>
                <w:rFonts w:ascii="Times New Roman" w:hAnsi="Times New Roman" w:eastAsia="Times New Roman" w:cs="Times New Roman"/>
                <w:spacing w:val="5"/>
                <w:position w:val="-1"/>
                <w:sz w:val="13"/>
                <w:szCs w:val="13"/>
              </w:rPr>
              <w:t>2</w:t>
            </w:r>
            <w:r>
              <w:rPr>
                <w:rFonts w:ascii="Times New Roman" w:hAnsi="Times New Roman" w:eastAsia="Times New Roman" w:cs="Times New Roman"/>
                <w:spacing w:val="-9"/>
                <w:position w:val="-1"/>
                <w:sz w:val="13"/>
                <w:szCs w:val="13"/>
              </w:rPr>
              <w:t xml:space="preserve"> </w:t>
            </w:r>
            <w:r>
              <w:rPr>
                <w:spacing w:val="5"/>
                <w:sz w:val="20"/>
                <w:szCs w:val="20"/>
              </w:rPr>
              <w:t>，</w:t>
            </w:r>
            <w:r>
              <w:rPr>
                <w:spacing w:val="-68"/>
                <w:sz w:val="20"/>
                <w:szCs w:val="20"/>
              </w:rPr>
              <w:t xml:space="preserve"> </w:t>
            </w:r>
            <w:r>
              <w:rPr>
                <w:rFonts w:ascii="Times New Roman" w:hAnsi="Times New Roman" w:eastAsia="Times New Roman" w:cs="Times New Roman"/>
                <w:spacing w:val="5"/>
                <w:sz w:val="20"/>
                <w:szCs w:val="20"/>
              </w:rPr>
              <w:t>ⅆ</w:t>
            </w:r>
            <w:r>
              <w:rPr>
                <w:rFonts w:ascii="Times New Roman" w:hAnsi="Times New Roman" w:eastAsia="Times New Roman" w:cs="Times New Roman"/>
                <w:spacing w:val="-25"/>
                <w:sz w:val="20"/>
                <w:szCs w:val="20"/>
              </w:rPr>
              <w:t xml:space="preserve"> </w:t>
            </w:r>
            <w:r>
              <w:rPr>
                <w:spacing w:val="5"/>
                <w:sz w:val="20"/>
                <w:szCs w:val="20"/>
              </w:rPr>
              <w:t>,</w:t>
            </w:r>
            <w:r>
              <w:rPr>
                <w:spacing w:val="61"/>
                <w:sz w:val="20"/>
                <w:szCs w:val="20"/>
              </w:rPr>
              <w:t xml:space="preserve"> </w:t>
            </w:r>
            <w:r>
              <w:rPr>
                <w:rFonts w:ascii="Times New Roman" w:hAnsi="Times New Roman" w:eastAsia="Times New Roman" w:cs="Times New Roman"/>
                <w:sz w:val="20"/>
                <w:szCs w:val="20"/>
              </w:rPr>
              <w:t>Q</w:t>
            </w:r>
            <w:r>
              <w:rPr>
                <w:rFonts w:ascii="Times New Roman" w:hAnsi="Times New Roman" w:eastAsia="Times New Roman" w:cs="Times New Roman"/>
                <w:sz w:val="13"/>
                <w:szCs w:val="13"/>
              </w:rPr>
              <w:t>n</w:t>
            </w:r>
            <w:r>
              <w:rPr>
                <w:rFonts w:ascii="Times New Roman" w:hAnsi="Times New Roman" w:eastAsia="Times New Roman" w:cs="Times New Roman"/>
                <w:spacing w:val="5"/>
                <w:sz w:val="20"/>
                <w:szCs w:val="20"/>
              </w:rPr>
              <w:t>——</w:t>
            </w:r>
            <w:r>
              <w:rPr>
                <w:spacing w:val="5"/>
                <w:sz w:val="20"/>
                <w:szCs w:val="20"/>
              </w:rPr>
              <w:t>每种危险物质的临界量，</w:t>
            </w:r>
            <w:r>
              <w:rPr>
                <w:rFonts w:ascii="Times New Roman" w:hAnsi="Times New Roman" w:eastAsia="Times New Roman" w:cs="Times New Roman"/>
                <w:spacing w:val="5"/>
                <w:sz w:val="20"/>
                <w:szCs w:val="20"/>
              </w:rPr>
              <w:t>t</w:t>
            </w:r>
            <w:r>
              <w:rPr>
                <w:spacing w:val="5"/>
                <w:sz w:val="20"/>
                <w:szCs w:val="20"/>
              </w:rPr>
              <w:t>。</w:t>
            </w:r>
          </w:p>
          <w:p w14:paraId="4B0955A4">
            <w:pPr>
              <w:pStyle w:val="6"/>
              <w:spacing w:before="159" w:line="221" w:lineRule="auto"/>
              <w:ind w:right="9"/>
              <w:jc w:val="right"/>
              <w:rPr>
                <w:sz w:val="20"/>
                <w:szCs w:val="20"/>
              </w:rPr>
            </w:pPr>
            <w:r>
              <w:rPr>
                <w:spacing w:val="-5"/>
                <w:sz w:val="20"/>
                <w:szCs w:val="20"/>
              </w:rPr>
              <w:t>当</w:t>
            </w:r>
            <w:r>
              <w:rPr>
                <w:spacing w:val="-38"/>
                <w:sz w:val="20"/>
                <w:szCs w:val="20"/>
              </w:rPr>
              <w:t xml:space="preserve"> </w:t>
            </w:r>
            <w:r>
              <w:rPr>
                <w:rFonts w:ascii="Times New Roman" w:hAnsi="Times New Roman" w:eastAsia="Times New Roman" w:cs="Times New Roman"/>
                <w:spacing w:val="-5"/>
                <w:sz w:val="20"/>
                <w:szCs w:val="20"/>
              </w:rPr>
              <w:t>Q&lt;1</w:t>
            </w:r>
            <w:r>
              <w:rPr>
                <w:rFonts w:ascii="Times New Roman" w:hAnsi="Times New Roman" w:eastAsia="Times New Roman" w:cs="Times New Roman"/>
                <w:spacing w:val="22"/>
                <w:sz w:val="20"/>
                <w:szCs w:val="20"/>
              </w:rPr>
              <w:t xml:space="preserve"> </w:t>
            </w:r>
            <w:r>
              <w:rPr>
                <w:spacing w:val="-5"/>
                <w:sz w:val="20"/>
                <w:szCs w:val="20"/>
              </w:rPr>
              <w:t>时，该项目环境风险潜势为</w:t>
            </w:r>
            <w:r>
              <w:rPr>
                <w:spacing w:val="-43"/>
                <w:sz w:val="20"/>
                <w:szCs w:val="20"/>
              </w:rPr>
              <w:t xml:space="preserve"> </w:t>
            </w:r>
            <w:r>
              <w:rPr>
                <w:rFonts w:ascii="Times New Roman" w:hAnsi="Times New Roman" w:eastAsia="Times New Roman" w:cs="Times New Roman"/>
                <w:spacing w:val="-5"/>
                <w:sz w:val="20"/>
                <w:szCs w:val="20"/>
              </w:rPr>
              <w:t>I</w:t>
            </w:r>
            <w:r>
              <w:rPr>
                <w:spacing w:val="-5"/>
                <w:sz w:val="20"/>
                <w:szCs w:val="20"/>
              </w:rPr>
              <w:t>。当</w:t>
            </w:r>
            <w:r>
              <w:rPr>
                <w:spacing w:val="-40"/>
                <w:sz w:val="20"/>
                <w:szCs w:val="20"/>
              </w:rPr>
              <w:t xml:space="preserve"> </w:t>
            </w:r>
            <w:r>
              <w:rPr>
                <w:rFonts w:ascii="Times New Roman" w:hAnsi="Times New Roman" w:eastAsia="Times New Roman" w:cs="Times New Roman"/>
                <w:spacing w:val="-5"/>
                <w:sz w:val="20"/>
                <w:szCs w:val="20"/>
              </w:rPr>
              <w:t>Q≥1</w:t>
            </w:r>
            <w:r>
              <w:rPr>
                <w:rFonts w:ascii="Times New Roman" w:hAnsi="Times New Roman" w:eastAsia="Times New Roman" w:cs="Times New Roman"/>
                <w:spacing w:val="20"/>
                <w:sz w:val="20"/>
                <w:szCs w:val="20"/>
              </w:rPr>
              <w:t xml:space="preserve"> </w:t>
            </w:r>
            <w:r>
              <w:rPr>
                <w:spacing w:val="-5"/>
                <w:sz w:val="20"/>
                <w:szCs w:val="20"/>
              </w:rPr>
              <w:t>时，将</w:t>
            </w:r>
            <w:r>
              <w:rPr>
                <w:spacing w:val="-40"/>
                <w:sz w:val="20"/>
                <w:szCs w:val="20"/>
              </w:rPr>
              <w:t xml:space="preserve"> </w:t>
            </w:r>
            <w:r>
              <w:rPr>
                <w:rFonts w:ascii="Times New Roman" w:hAnsi="Times New Roman" w:eastAsia="Times New Roman" w:cs="Times New Roman"/>
                <w:spacing w:val="-5"/>
                <w:sz w:val="20"/>
                <w:szCs w:val="20"/>
              </w:rPr>
              <w:t>Q</w:t>
            </w:r>
            <w:r>
              <w:rPr>
                <w:rFonts w:ascii="Times New Roman" w:hAnsi="Times New Roman" w:eastAsia="Times New Roman" w:cs="Times New Roman"/>
                <w:spacing w:val="11"/>
                <w:sz w:val="20"/>
                <w:szCs w:val="20"/>
              </w:rPr>
              <w:t xml:space="preserve"> </w:t>
            </w:r>
            <w:r>
              <w:rPr>
                <w:spacing w:val="-5"/>
                <w:sz w:val="20"/>
                <w:szCs w:val="20"/>
              </w:rPr>
              <w:t>值划分为</w:t>
            </w:r>
            <w:r>
              <w:rPr>
                <w:spacing w:val="-37"/>
                <w:w w:val="68"/>
                <w:sz w:val="20"/>
                <w:szCs w:val="20"/>
              </w:rPr>
              <w:t>：（</w:t>
            </w:r>
            <w:r>
              <w:rPr>
                <w:rFonts w:ascii="Times New Roman" w:hAnsi="Times New Roman" w:eastAsia="Times New Roman" w:cs="Times New Roman"/>
                <w:spacing w:val="-5"/>
                <w:sz w:val="20"/>
                <w:szCs w:val="20"/>
              </w:rPr>
              <w:t>1</w:t>
            </w:r>
            <w:r>
              <w:rPr>
                <w:spacing w:val="-5"/>
                <w:sz w:val="20"/>
                <w:szCs w:val="20"/>
              </w:rPr>
              <w:t>）</w:t>
            </w:r>
            <w:r>
              <w:rPr>
                <w:rFonts w:ascii="Times New Roman" w:hAnsi="Times New Roman" w:eastAsia="Times New Roman" w:cs="Times New Roman"/>
                <w:spacing w:val="-5"/>
                <w:sz w:val="20"/>
                <w:szCs w:val="20"/>
              </w:rPr>
              <w:t>1≤Q&lt;10</w:t>
            </w:r>
            <w:r>
              <w:rPr>
                <w:spacing w:val="-5"/>
                <w:sz w:val="20"/>
                <w:szCs w:val="20"/>
              </w:rPr>
              <w:t>；</w:t>
            </w:r>
          </w:p>
          <w:p w14:paraId="4F5F176C">
            <w:pPr>
              <w:pStyle w:val="6"/>
              <w:spacing w:before="159" w:line="223" w:lineRule="auto"/>
              <w:ind w:left="117"/>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w:t>
            </w:r>
            <w:r>
              <w:rPr>
                <w:rFonts w:ascii="Times New Roman" w:hAnsi="Times New Roman" w:eastAsia="Times New Roman" w:cs="Times New Roman"/>
                <w:spacing w:val="6"/>
                <w:sz w:val="20"/>
                <w:szCs w:val="20"/>
              </w:rPr>
              <w:t>10≤Q&lt;100</w:t>
            </w:r>
            <w:r>
              <w:rPr>
                <w:spacing w:val="-53"/>
                <w:sz w:val="20"/>
                <w:szCs w:val="20"/>
              </w:rPr>
              <w:t>；（</w:t>
            </w:r>
            <w:r>
              <w:rPr>
                <w:rFonts w:ascii="Times New Roman" w:hAnsi="Times New Roman" w:eastAsia="Times New Roman" w:cs="Times New Roman"/>
                <w:spacing w:val="6"/>
                <w:sz w:val="20"/>
                <w:szCs w:val="20"/>
              </w:rPr>
              <w:t>3</w:t>
            </w:r>
            <w:r>
              <w:rPr>
                <w:spacing w:val="6"/>
                <w:sz w:val="20"/>
                <w:szCs w:val="20"/>
              </w:rPr>
              <w:t>）</w:t>
            </w:r>
            <w:r>
              <w:rPr>
                <w:rFonts w:ascii="Times New Roman" w:hAnsi="Times New Roman" w:eastAsia="Times New Roman" w:cs="Times New Roman"/>
                <w:spacing w:val="6"/>
                <w:sz w:val="20"/>
                <w:szCs w:val="20"/>
              </w:rPr>
              <w:t>Q≥100</w:t>
            </w:r>
            <w:r>
              <w:rPr>
                <w:spacing w:val="6"/>
                <w:sz w:val="20"/>
                <w:szCs w:val="20"/>
              </w:rPr>
              <w:t>。</w:t>
            </w:r>
          </w:p>
          <w:p w14:paraId="0ED2A0F6">
            <w:pPr>
              <w:pStyle w:val="6"/>
              <w:spacing w:before="205" w:line="358" w:lineRule="auto"/>
              <w:ind w:left="112" w:right="105" w:firstLine="414"/>
              <w:jc w:val="both"/>
              <w:rPr>
                <w:sz w:val="20"/>
                <w:szCs w:val="20"/>
              </w:rPr>
            </w:pPr>
            <w:r>
              <w:rPr>
                <w:spacing w:val="4"/>
                <w:sz w:val="20"/>
                <w:szCs w:val="20"/>
              </w:rPr>
              <w:t>根据《建设项目环境风险评价技术导则》（</w:t>
            </w:r>
            <w:r>
              <w:rPr>
                <w:sz w:val="20"/>
                <w:szCs w:val="20"/>
              </w:rPr>
              <w:t>HJ</w:t>
            </w:r>
            <w:r>
              <w:rPr>
                <w:spacing w:val="4"/>
                <w:sz w:val="20"/>
                <w:szCs w:val="20"/>
              </w:rPr>
              <w:t>169－2018）附录B.1及B.2判断，本项</w:t>
            </w:r>
            <w:r>
              <w:rPr>
                <w:spacing w:val="15"/>
                <w:sz w:val="20"/>
                <w:szCs w:val="20"/>
              </w:rPr>
              <w:t xml:space="preserve"> </w:t>
            </w:r>
            <w:r>
              <w:rPr>
                <w:spacing w:val="9"/>
                <w:sz w:val="20"/>
                <w:szCs w:val="20"/>
              </w:rPr>
              <w:t>目涉及的危险物质包括油类物质，最大存在量和Q值计算结果为：Q=0.00082。项目Q值</w:t>
            </w:r>
            <w:r>
              <w:rPr>
                <w:spacing w:val="11"/>
                <w:sz w:val="20"/>
                <w:szCs w:val="20"/>
              </w:rPr>
              <w:t xml:space="preserve"> </w:t>
            </w:r>
            <w:r>
              <w:rPr>
                <w:spacing w:val="4"/>
                <w:sz w:val="20"/>
                <w:szCs w:val="20"/>
              </w:rPr>
              <w:t>小于1，环境风险潜势为</w:t>
            </w:r>
            <w:r>
              <w:rPr>
                <w:spacing w:val="-9"/>
                <w:sz w:val="20"/>
                <w:szCs w:val="20"/>
              </w:rPr>
              <w:t xml:space="preserve"> </w:t>
            </w:r>
            <w:r>
              <w:rPr>
                <w:spacing w:val="4"/>
                <w:sz w:val="20"/>
                <w:szCs w:val="20"/>
              </w:rPr>
              <w:t>Ⅰ</w:t>
            </w:r>
            <w:r>
              <w:rPr>
                <w:spacing w:val="-73"/>
                <w:sz w:val="20"/>
                <w:szCs w:val="20"/>
              </w:rPr>
              <w:t xml:space="preserve"> </w:t>
            </w:r>
            <w:r>
              <w:rPr>
                <w:spacing w:val="4"/>
                <w:sz w:val="20"/>
                <w:szCs w:val="20"/>
              </w:rPr>
              <w:t>,</w:t>
            </w:r>
            <w:r>
              <w:rPr>
                <w:spacing w:val="61"/>
                <w:sz w:val="20"/>
                <w:szCs w:val="20"/>
              </w:rPr>
              <w:t xml:space="preserve"> </w:t>
            </w:r>
            <w:r>
              <w:rPr>
                <w:spacing w:val="4"/>
                <w:sz w:val="20"/>
                <w:szCs w:val="20"/>
              </w:rPr>
              <w:t>可不确定环境风险评价等级，直接进行简单分析。</w:t>
            </w:r>
          </w:p>
          <w:p w14:paraId="492F4503">
            <w:pPr>
              <w:spacing w:before="26"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6.3</w:t>
            </w:r>
            <w:r>
              <w:rPr>
                <w:rFonts w:ascii="黑体" w:hAnsi="黑体" w:eastAsia="黑体" w:cs="黑体"/>
                <w:spacing w:val="-1"/>
                <w:sz w:val="22"/>
                <w:szCs w:val="22"/>
              </w:rPr>
              <w:t>风险源识别及影响途径</w:t>
            </w:r>
          </w:p>
          <w:p w14:paraId="139CA140">
            <w:pPr>
              <w:pStyle w:val="6"/>
              <w:spacing w:before="136" w:line="329" w:lineRule="auto"/>
              <w:ind w:left="107" w:right="42" w:firstLine="442"/>
            </w:pPr>
            <w:r>
              <w:t>风险识别范围包括物质危险性识别和生产系</w:t>
            </w:r>
            <w:r>
              <w:rPr>
                <w:spacing w:val="-1"/>
              </w:rPr>
              <w:t>统危险性识别。物质风险性识别包</w:t>
            </w:r>
            <w:r>
              <w:t xml:space="preserve"> </w:t>
            </w:r>
            <w:r>
              <w:rPr>
                <w:spacing w:val="-2"/>
              </w:rPr>
              <w:t>括主要原辅材料、燃料、中间产品、副产品、最终产品、污染物和爆炸伴生</w:t>
            </w:r>
            <w:r>
              <w:rPr>
                <w:rFonts w:ascii="Times New Roman" w:hAnsi="Times New Roman" w:eastAsia="Times New Roman" w:cs="Times New Roman"/>
                <w:spacing w:val="-2"/>
              </w:rPr>
              <w:t>/</w:t>
            </w:r>
            <w:r>
              <w:rPr>
                <w:spacing w:val="-2"/>
              </w:rPr>
              <w:t>次</w:t>
            </w:r>
            <w:r>
              <w:rPr>
                <w:spacing w:val="-3"/>
              </w:rPr>
              <w:t>生物</w:t>
            </w:r>
            <w:r>
              <w:t xml:space="preserve"> </w:t>
            </w:r>
            <w:r>
              <w:rPr>
                <w:spacing w:val="-5"/>
              </w:rPr>
              <w:t>等。生产系统危险性识别包括主要生产装置、储运设施、公用工程和辅助生产设施，</w:t>
            </w:r>
            <w:r>
              <w:rPr>
                <w:spacing w:val="11"/>
              </w:rPr>
              <w:t xml:space="preserve"> </w:t>
            </w:r>
            <w:r>
              <w:rPr>
                <w:spacing w:val="-1"/>
              </w:rPr>
              <w:t>以及环境保护设施等。</w:t>
            </w:r>
          </w:p>
          <w:p w14:paraId="12A45DFE">
            <w:pPr>
              <w:pStyle w:val="6"/>
              <w:spacing w:before="33" w:line="218" w:lineRule="auto"/>
              <w:ind w:left="548"/>
            </w:pPr>
            <w:r>
              <w:rPr>
                <w:spacing w:val="-2"/>
              </w:rPr>
              <w:t>①物质风险性识别</w:t>
            </w:r>
          </w:p>
          <w:p w14:paraId="163E0A34">
            <w:pPr>
              <w:pStyle w:val="6"/>
              <w:spacing w:before="149" w:line="355" w:lineRule="auto"/>
              <w:ind w:left="106" w:right="105" w:firstLine="419"/>
              <w:rPr>
                <w:sz w:val="20"/>
                <w:szCs w:val="20"/>
              </w:rPr>
            </w:pPr>
            <w:r>
              <w:rPr>
                <w:spacing w:val="8"/>
                <w:sz w:val="20"/>
                <w:szCs w:val="20"/>
              </w:rPr>
              <w:t>废机油属于可燃物质，在接触明火时较易点燃，引起火灾事故。废机油、</w:t>
            </w:r>
            <w:r>
              <w:rPr>
                <w:spacing w:val="7"/>
                <w:sz w:val="20"/>
                <w:szCs w:val="20"/>
              </w:rPr>
              <w:t>脱模剂等</w:t>
            </w:r>
            <w:r>
              <w:rPr>
                <w:sz w:val="20"/>
                <w:szCs w:val="20"/>
              </w:rPr>
              <w:t xml:space="preserve"> </w:t>
            </w:r>
            <w:r>
              <w:rPr>
                <w:spacing w:val="9"/>
                <w:sz w:val="20"/>
                <w:szCs w:val="20"/>
              </w:rPr>
              <w:t>含油类物质泄露会对区域土壤、地下水和地表水造成污染影响。</w:t>
            </w:r>
          </w:p>
          <w:p w14:paraId="30074D6E">
            <w:pPr>
              <w:pStyle w:val="6"/>
              <w:spacing w:before="22" w:line="218" w:lineRule="auto"/>
              <w:ind w:left="547"/>
            </w:pPr>
            <w:r>
              <w:rPr>
                <w:spacing w:val="-1"/>
              </w:rPr>
              <w:t>②运输过程风险识别</w:t>
            </w:r>
          </w:p>
          <w:p w14:paraId="19DFCA7D">
            <w:pPr>
              <w:pStyle w:val="6"/>
              <w:spacing w:before="139" w:line="220" w:lineRule="auto"/>
              <w:jc w:val="right"/>
            </w:pPr>
            <w:r>
              <w:rPr>
                <w:spacing w:val="-5"/>
              </w:rPr>
              <w:t>项目主要开展一般物品的运输作业。运输过程中注意行车安全，防止物品遗撒。</w:t>
            </w:r>
          </w:p>
          <w:p w14:paraId="2982FB29">
            <w:pPr>
              <w:pStyle w:val="6"/>
              <w:spacing w:before="138" w:line="218" w:lineRule="auto"/>
              <w:ind w:left="547"/>
            </w:pPr>
            <w:r>
              <w:rPr>
                <w:spacing w:val="-1"/>
              </w:rPr>
              <w:t>③存储风险识别</w:t>
            </w:r>
          </w:p>
          <w:p w14:paraId="4B2C7193">
            <w:pPr>
              <w:pStyle w:val="6"/>
              <w:spacing w:before="140" w:line="321" w:lineRule="auto"/>
              <w:ind w:left="110" w:right="100" w:firstLine="441"/>
            </w:pPr>
            <w:r>
              <w:rPr>
                <w:spacing w:val="-1"/>
              </w:rPr>
              <w:t>项目生产过程中若因废机油贮存不当，可能有泄漏、火灾等风险的发生。废机</w:t>
            </w:r>
            <w:r>
              <w:rPr>
                <w:spacing w:val="17"/>
              </w:rPr>
              <w:t xml:space="preserve"> </w:t>
            </w:r>
            <w:r>
              <w:rPr>
                <w:spacing w:val="-1"/>
              </w:rPr>
              <w:t>油、脱模剂泄露会对区域土壤、地下水和地表水造成污染影响。</w:t>
            </w:r>
          </w:p>
          <w:p w14:paraId="1B12FC72">
            <w:pPr>
              <w:pStyle w:val="6"/>
              <w:spacing w:before="35" w:line="218" w:lineRule="auto"/>
              <w:ind w:left="547"/>
            </w:pPr>
            <w:r>
              <w:rPr>
                <w:spacing w:val="-1"/>
              </w:rPr>
              <w:t>④生产装置风险识别</w:t>
            </w:r>
          </w:p>
          <w:p w14:paraId="6489147C">
            <w:pPr>
              <w:pStyle w:val="6"/>
              <w:spacing w:before="141" w:line="219" w:lineRule="auto"/>
              <w:ind w:left="552"/>
            </w:pPr>
            <w:r>
              <w:rPr>
                <w:spacing w:val="-1"/>
              </w:rPr>
              <w:t>项目所使用的蒸压釜属于高温高压设备，会有造成的爆炸的危险。</w:t>
            </w:r>
          </w:p>
          <w:p w14:paraId="6C5D3AD4">
            <w:pPr>
              <w:pStyle w:val="6"/>
              <w:spacing w:before="136" w:line="329" w:lineRule="auto"/>
              <w:ind w:left="105" w:right="100" w:firstLine="446"/>
            </w:pPr>
            <w:r>
              <w:rPr>
                <w:spacing w:val="-1"/>
              </w:rPr>
              <w:t>综上，本项目风险源主要存在于废矿物油、脱模剂的贮存过程，一旦发生泄漏</w:t>
            </w:r>
            <w:r>
              <w:rPr>
                <w:spacing w:val="15"/>
              </w:rPr>
              <w:t xml:space="preserve"> </w:t>
            </w:r>
            <w:r>
              <w:t>将对区域土壤、地下水和地表水造成污染影响。若发</w:t>
            </w:r>
            <w:r>
              <w:rPr>
                <w:spacing w:val="-1"/>
              </w:rPr>
              <w:t>生火灾等风险事故，将对周边</w:t>
            </w:r>
            <w:r>
              <w:t xml:space="preserve"> 大气环境造成污染影响。蒸压釜属于高温高压设备，若设</w:t>
            </w:r>
            <w:r>
              <w:rPr>
                <w:spacing w:val="-1"/>
              </w:rPr>
              <w:t>备维护疏于维护或工人操</w:t>
            </w:r>
            <w:r>
              <w:t xml:space="preserve"> </w:t>
            </w:r>
            <w:r>
              <w:rPr>
                <w:spacing w:val="-1"/>
              </w:rPr>
              <w:t>作不当，易发生爆炸的危险。</w:t>
            </w:r>
          </w:p>
          <w:p w14:paraId="13310976">
            <w:pPr>
              <w:spacing w:before="34"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6.4</w:t>
            </w:r>
            <w:r>
              <w:rPr>
                <w:rFonts w:ascii="黑体" w:hAnsi="黑体" w:eastAsia="黑体" w:cs="黑体"/>
                <w:spacing w:val="-1"/>
                <w:sz w:val="22"/>
                <w:szCs w:val="22"/>
              </w:rPr>
              <w:t>风险防范措施</w:t>
            </w:r>
          </w:p>
          <w:p w14:paraId="20A45815">
            <w:pPr>
              <w:pStyle w:val="6"/>
              <w:spacing w:before="137" w:line="218" w:lineRule="auto"/>
              <w:ind w:left="548"/>
            </w:pPr>
            <w:r>
              <w:t>①根据调查，项目厂区现有危废暂存间已经采取防风、防雨、防渗、防漏、防</w:t>
            </w:r>
          </w:p>
        </w:tc>
      </w:tr>
    </w:tbl>
    <w:p w14:paraId="5F78D64A">
      <w:pPr>
        <w:pStyle w:val="2"/>
      </w:pPr>
    </w:p>
    <w:p w14:paraId="107E77BB">
      <w:pPr>
        <w:sectPr>
          <w:footerReference r:id="rId84" w:type="default"/>
          <w:pgSz w:w="11907" w:h="16840"/>
          <w:pgMar w:top="1431" w:right="1490" w:bottom="1260" w:left="1489" w:header="0" w:footer="1080" w:gutter="0"/>
          <w:cols w:space="720" w:num="1"/>
        </w:sectPr>
      </w:pPr>
    </w:p>
    <w:p w14:paraId="12640F7E">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505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609A4FC0">
            <w:pPr>
              <w:rPr>
                <w:rFonts w:ascii="Arial"/>
                <w:sz w:val="21"/>
              </w:rPr>
            </w:pPr>
          </w:p>
        </w:tc>
        <w:tc>
          <w:tcPr>
            <w:tcW w:w="8127" w:type="dxa"/>
            <w:tcBorders>
              <w:top w:val="single" w:color="000000" w:sz="2" w:space="0"/>
              <w:left w:val="single" w:color="000000" w:sz="2" w:space="0"/>
            </w:tcBorders>
            <w:vAlign w:val="top"/>
          </w:tcPr>
          <w:p w14:paraId="212C292D">
            <w:pPr>
              <w:pStyle w:val="6"/>
              <w:spacing w:before="138" w:line="331" w:lineRule="auto"/>
              <w:ind w:left="107" w:right="42" w:firstLine="8"/>
            </w:pPr>
            <w:r>
              <w:rPr>
                <w:spacing w:val="-1"/>
              </w:rPr>
              <w:t>晒及防腐等环境污染防治措施。地面、裙角及围堰采用双层防渗结构：厚度不小于</w:t>
            </w:r>
            <w:r>
              <w:rPr>
                <w:spacing w:val="15"/>
              </w:rPr>
              <w:t xml:space="preserve"> </w:t>
            </w:r>
            <w:r>
              <w:rPr>
                <w:rFonts w:ascii="Times New Roman" w:hAnsi="Times New Roman" w:eastAsia="Times New Roman" w:cs="Times New Roman"/>
                <w:spacing w:val="-3"/>
              </w:rPr>
              <w:t>30cm</w:t>
            </w:r>
            <w:r>
              <w:rPr>
                <w:rFonts w:ascii="Times New Roman" w:hAnsi="Times New Roman" w:eastAsia="Times New Roman" w:cs="Times New Roman"/>
                <w:spacing w:val="25"/>
                <w:w w:val="101"/>
              </w:rPr>
              <w:t xml:space="preserve"> </w:t>
            </w:r>
            <w:r>
              <w:rPr>
                <w:spacing w:val="-3"/>
              </w:rPr>
              <w:t>的混凝土</w:t>
            </w:r>
            <w:r>
              <w:rPr>
                <w:rFonts w:ascii="Times New Roman" w:hAnsi="Times New Roman" w:eastAsia="Times New Roman" w:cs="Times New Roman"/>
                <w:spacing w:val="-3"/>
              </w:rPr>
              <w:t xml:space="preserve">+2.0mm </w:t>
            </w:r>
            <w:r>
              <w:rPr>
                <w:spacing w:val="-3"/>
              </w:rPr>
              <w:t>人工材料（如高密度聚乙烯</w:t>
            </w:r>
            <w:r>
              <w:rPr>
                <w:spacing w:val="-50"/>
              </w:rPr>
              <w:t>），</w:t>
            </w:r>
            <w:r>
              <w:rPr>
                <w:spacing w:val="-3"/>
              </w:rPr>
              <w:t>表面刷环氧地坪做防腐处理，</w:t>
            </w:r>
            <w:r>
              <w:t xml:space="preserve"> </w:t>
            </w:r>
            <w:r>
              <w:rPr>
                <w:spacing w:val="-2"/>
              </w:rPr>
              <w:t>使渗透系数不大于</w:t>
            </w:r>
            <w:r>
              <w:rPr>
                <w:spacing w:val="-13"/>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-10</w:t>
            </w:r>
            <w:r>
              <w:rPr>
                <w:rFonts w:ascii="Times New Roman" w:hAnsi="Times New Roman" w:eastAsia="Times New Roman" w:cs="Times New Roman"/>
                <w:spacing w:val="-2"/>
              </w:rPr>
              <w:t>cm/s</w:t>
            </w:r>
            <w:r>
              <w:rPr>
                <w:rFonts w:ascii="Times New Roman" w:hAnsi="Times New Roman" w:eastAsia="Times New Roman" w:cs="Times New Roman"/>
                <w:spacing w:val="-27"/>
              </w:rPr>
              <w:t xml:space="preserve"> </w:t>
            </w:r>
            <w:r>
              <w:rPr>
                <w:spacing w:val="-2"/>
              </w:rPr>
              <w:t>，能够满足重点防渗区防渗要求。物资库地基为原土夯</w:t>
            </w:r>
            <w:r>
              <w:t xml:space="preserve"> </w:t>
            </w:r>
            <w:r>
              <w:rPr>
                <w:spacing w:val="1"/>
              </w:rPr>
              <w:t>实，等效黏土防渗达到</w:t>
            </w:r>
            <w:r>
              <w:rPr>
                <w:rFonts w:ascii="Times New Roman" w:hAnsi="Times New Roman" w:eastAsia="Times New Roman" w:cs="Times New Roman"/>
              </w:rPr>
              <w:t>Mb</w:t>
            </w:r>
            <w:r>
              <w:rPr>
                <w:spacing w:val="1"/>
              </w:rPr>
              <w:t>≥</w:t>
            </w:r>
            <w:r>
              <w:rPr>
                <w:rFonts w:ascii="Times New Roman" w:hAnsi="Times New Roman" w:eastAsia="Times New Roman" w:cs="Times New Roman"/>
                <w:spacing w:val="1"/>
              </w:rPr>
              <w:t>1.5m</w:t>
            </w:r>
            <w:r>
              <w:rPr>
                <w:rFonts w:ascii="Times New Roman" w:hAnsi="Times New Roman" w:eastAsia="Times New Roman" w:cs="Times New Roman"/>
                <w:spacing w:val="-32"/>
              </w:rPr>
              <w:t xml:space="preserve"> </w:t>
            </w:r>
            <w:r>
              <w:rPr>
                <w:spacing w:val="1"/>
              </w:rPr>
              <w:t>，铺砌砂石</w:t>
            </w:r>
            <w:r>
              <w:t xml:space="preserve">基层，采用防渗混凝土作面层，面层  </w:t>
            </w:r>
            <w:r>
              <w:rPr>
                <w:spacing w:val="-2"/>
              </w:rPr>
              <w:t>厚度不小于</w:t>
            </w:r>
            <w:r>
              <w:rPr>
                <w:spacing w:val="-29"/>
              </w:rPr>
              <w:t xml:space="preserve"> </w:t>
            </w:r>
            <w:r>
              <w:rPr>
                <w:rFonts w:ascii="Times New Roman" w:hAnsi="Times New Roman" w:eastAsia="Times New Roman" w:cs="Times New Roman"/>
                <w:spacing w:val="-2"/>
              </w:rPr>
              <w:t>100mm</w:t>
            </w:r>
            <w:r>
              <w:rPr>
                <w:rFonts w:ascii="Times New Roman" w:hAnsi="Times New Roman" w:eastAsia="Times New Roman" w:cs="Times New Roman"/>
                <w:spacing w:val="-27"/>
              </w:rPr>
              <w:t xml:space="preserve"> </w:t>
            </w:r>
            <w:r>
              <w:rPr>
                <w:spacing w:val="-2"/>
              </w:rPr>
              <w:t>，使地面渗透系数满足≤</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-7</w:t>
            </w:r>
            <w:r>
              <w:rPr>
                <w:rFonts w:ascii="Times New Roman" w:hAnsi="Times New Roman" w:eastAsia="Times New Roman" w:cs="Times New Roman"/>
                <w:spacing w:val="-2"/>
              </w:rPr>
              <w:t>cm/s</w:t>
            </w:r>
            <w:r>
              <w:rPr>
                <w:rFonts w:ascii="Times New Roman" w:hAnsi="Times New Roman" w:eastAsia="Times New Roman" w:cs="Times New Roman"/>
                <w:spacing w:val="27"/>
                <w:w w:val="101"/>
              </w:rPr>
              <w:t xml:space="preserve"> </w:t>
            </w:r>
            <w:r>
              <w:rPr>
                <w:spacing w:val="-2"/>
              </w:rPr>
              <w:t>的要求</w:t>
            </w:r>
            <w:r>
              <w:rPr>
                <w:spacing w:val="-3"/>
              </w:rPr>
              <w:t>。库房四周设置</w:t>
            </w:r>
            <w:r>
              <w:rPr>
                <w:spacing w:val="-47"/>
              </w:rPr>
              <w:t xml:space="preserve"> </w:t>
            </w:r>
            <w:r>
              <w:rPr>
                <w:rFonts w:ascii="Times New Roman" w:hAnsi="Times New Roman" w:eastAsia="Times New Roman" w:cs="Times New Roman"/>
                <w:spacing w:val="-3"/>
              </w:rPr>
              <w:t>0.3m</w:t>
            </w:r>
            <w:r>
              <w:rPr>
                <w:rFonts w:ascii="Times New Roman" w:hAnsi="Times New Roman" w:eastAsia="Times New Roman" w:cs="Times New Roman"/>
              </w:rPr>
              <w:t xml:space="preserve">     </w:t>
            </w:r>
            <w:r>
              <w:rPr>
                <w:spacing w:val="-2"/>
              </w:rPr>
              <w:t>高防渗围堰。</w:t>
            </w:r>
          </w:p>
          <w:p w14:paraId="7E229E64">
            <w:pPr>
              <w:pStyle w:val="6"/>
              <w:spacing w:before="30" w:line="278" w:lineRule="auto"/>
              <w:ind w:left="107" w:right="128" w:firstLine="439"/>
            </w:pPr>
            <w:r>
              <w:rPr>
                <w:spacing w:val="-1"/>
              </w:rPr>
              <w:t>②危废暂存间等易燃物质区域配备一定数量的消防器材，预防火</w:t>
            </w:r>
            <w:r>
              <w:rPr>
                <w:spacing w:val="-2"/>
              </w:rPr>
              <w:t>灾事故发生。</w:t>
            </w:r>
            <w:r>
              <w:t xml:space="preserve"> 认真贯彻</w:t>
            </w:r>
            <w:r>
              <w:rPr>
                <w:rFonts w:ascii="Times New Roman" w:hAnsi="Times New Roman" w:eastAsia="Times New Roman" w:cs="Times New Roman"/>
              </w:rPr>
              <w:t>“</w:t>
            </w:r>
            <w:r>
              <w:t>安全第一，预防为主</w:t>
            </w:r>
            <w:r>
              <w:rPr>
                <w:rFonts w:ascii="Times New Roman" w:hAnsi="Times New Roman" w:eastAsia="Times New Roman" w:cs="Times New Roman"/>
              </w:rPr>
              <w:t>”</w:t>
            </w:r>
            <w:r>
              <w:t>的方针，安排专门的人</w:t>
            </w:r>
            <w:r>
              <w:rPr>
                <w:spacing w:val="-1"/>
              </w:rPr>
              <w:t>员定期负责检查。</w:t>
            </w:r>
          </w:p>
          <w:p w14:paraId="4DC0C07E">
            <w:pPr>
              <w:pStyle w:val="6"/>
              <w:spacing w:before="137" w:line="307" w:lineRule="auto"/>
              <w:ind w:left="106" w:right="100" w:firstLine="440"/>
            </w:pPr>
            <w:r>
              <w:t>③设置专人看管，防止危废流失进入外环境。暂存</w:t>
            </w:r>
            <w:r>
              <w:rPr>
                <w:spacing w:val="-1"/>
              </w:rPr>
              <w:t>间设置警示标志，无关人员</w:t>
            </w:r>
            <w:r>
              <w:t xml:space="preserve"> 不得入内，建立危废台账，加强危险废物管理。严</w:t>
            </w:r>
            <w:r>
              <w:rPr>
                <w:spacing w:val="-1"/>
              </w:rPr>
              <w:t>格控制厂区内废油液等危险废物</w:t>
            </w:r>
            <w:r>
              <w:t xml:space="preserve"> 的储存量，达到一定量时立即通知资质单位转移处</w:t>
            </w:r>
            <w:r>
              <w:rPr>
                <w:spacing w:val="-1"/>
              </w:rPr>
              <w:t>置，尽量避免长时间暂存。定期</w:t>
            </w:r>
            <w:r>
              <w:t xml:space="preserve"> </w:t>
            </w:r>
            <w:r>
              <w:rPr>
                <w:spacing w:val="-1"/>
              </w:rPr>
              <w:t>对厂区内的危废暂存间等进行检查、保养。</w:t>
            </w:r>
          </w:p>
          <w:p w14:paraId="408F7DC0">
            <w:pPr>
              <w:pStyle w:val="6"/>
              <w:spacing w:before="135" w:line="307" w:lineRule="auto"/>
              <w:ind w:left="110" w:right="24" w:firstLine="437"/>
            </w:pPr>
            <w:r>
              <w:t>④危废暂存间外设置明显的标识、标牌，严禁烟火</w:t>
            </w:r>
            <w:r>
              <w:rPr>
                <w:spacing w:val="-1"/>
              </w:rPr>
              <w:t>等。暂存间内分类设置各类</w:t>
            </w:r>
            <w:r>
              <w:t xml:space="preserve"> 危废的储存区域，并设置明显标识。厂区配</w:t>
            </w:r>
            <w:r>
              <w:rPr>
                <w:spacing w:val="-1"/>
              </w:rPr>
              <w:t>备一定数量的消防器具，按照当地消防</w:t>
            </w:r>
            <w:r>
              <w:t xml:space="preserve"> </w:t>
            </w:r>
            <w:r>
              <w:rPr>
                <w:spacing w:val="-4"/>
              </w:rPr>
              <w:t>部门的要求，落实消防措施。生产过程应加强管控，严禁烟</w:t>
            </w:r>
            <w:r>
              <w:rPr>
                <w:spacing w:val="-5"/>
              </w:rPr>
              <w:t>火，降低火灾发生概率。</w:t>
            </w:r>
            <w:r>
              <w:t xml:space="preserve"> </w:t>
            </w:r>
            <w:r>
              <w:rPr>
                <w:spacing w:val="-1"/>
              </w:rPr>
              <w:t>同时，建立并落实火灾风险防范和应对措施。</w:t>
            </w:r>
          </w:p>
          <w:p w14:paraId="59BFD417">
            <w:pPr>
              <w:pStyle w:val="6"/>
              <w:spacing w:before="139" w:line="278" w:lineRule="auto"/>
              <w:ind w:left="114" w:right="100" w:firstLine="433"/>
            </w:pPr>
            <w:r>
              <w:t>⑤选择合适的蒸压釜：要选择正规厂家生产的蒸压</w:t>
            </w:r>
            <w:r>
              <w:rPr>
                <w:spacing w:val="-1"/>
              </w:rPr>
              <w:t>釜，并按照工艺要求进行选</w:t>
            </w:r>
            <w:r>
              <w:t xml:space="preserve"> </w:t>
            </w:r>
            <w:r>
              <w:rPr>
                <w:spacing w:val="-1"/>
              </w:rPr>
              <w:t>型，安装前要进行严格检测确保符合国家标准。</w:t>
            </w:r>
          </w:p>
          <w:p w14:paraId="2DD4A8ED">
            <w:pPr>
              <w:pStyle w:val="6"/>
              <w:spacing w:before="135" w:line="323" w:lineRule="auto"/>
              <w:ind w:left="110" w:right="102" w:firstLine="438"/>
            </w:pPr>
            <w:r>
              <w:rPr>
                <w:spacing w:val="-1"/>
              </w:rPr>
              <w:t>加强维护：蒸压釜使用一段时间后要定期对其进行检验、维修或更换密封件等</w:t>
            </w:r>
            <w:r>
              <w:rPr>
                <w:spacing w:val="18"/>
              </w:rPr>
              <w:t xml:space="preserve"> </w:t>
            </w:r>
            <w:r>
              <w:rPr>
                <w:spacing w:val="-1"/>
              </w:rPr>
              <w:t>必要的维护保养操作，确保其正常运转，有效预防危害发生。</w:t>
            </w:r>
          </w:p>
          <w:p w14:paraId="23272273">
            <w:pPr>
              <w:pStyle w:val="6"/>
              <w:spacing w:before="32" w:line="321" w:lineRule="auto"/>
              <w:ind w:left="110" w:right="24" w:firstLine="447"/>
            </w:pPr>
            <w:r>
              <w:rPr>
                <w:spacing w:val="-1"/>
              </w:rPr>
              <w:t>负责任的操作人员：蒸压釜需要专业技术人员来操作，要求操作人员必须熟悉</w:t>
            </w:r>
            <w:r>
              <w:rPr>
                <w:spacing w:val="11"/>
              </w:rPr>
              <w:t xml:space="preserve"> </w:t>
            </w:r>
            <w:r>
              <w:rPr>
                <w:spacing w:val="-4"/>
              </w:rPr>
              <w:t>蒸压釜的工作原理、操作手册、规程和安全注意事项，严格</w:t>
            </w:r>
            <w:r>
              <w:rPr>
                <w:spacing w:val="-5"/>
              </w:rPr>
              <w:t>按照操作规程进行操作。</w:t>
            </w:r>
          </w:p>
          <w:p w14:paraId="351C99C0">
            <w:pPr>
              <w:pStyle w:val="6"/>
              <w:spacing w:before="34" w:line="323" w:lineRule="auto"/>
              <w:ind w:left="108" w:right="100" w:firstLine="440"/>
            </w:pPr>
            <w:r>
              <w:t>注重安全标识：在蒸压釜附近要设置安全标识</w:t>
            </w:r>
            <w:r>
              <w:rPr>
                <w:spacing w:val="-1"/>
              </w:rPr>
              <w:t>，对相关人员进行安全教育和警</w:t>
            </w:r>
            <w:r>
              <w:t xml:space="preserve"> </w:t>
            </w:r>
            <w:r>
              <w:rPr>
                <w:spacing w:val="-1"/>
              </w:rPr>
              <w:t>示，减少人员误操作。</w:t>
            </w:r>
          </w:p>
          <w:p w14:paraId="7EEED5CC">
            <w:pPr>
              <w:pStyle w:val="6"/>
              <w:spacing w:before="30" w:line="322" w:lineRule="auto"/>
              <w:ind w:left="106" w:right="100" w:firstLine="447"/>
            </w:pPr>
            <w:r>
              <w:rPr>
                <w:spacing w:val="-1"/>
              </w:rPr>
              <w:t>实行安全管理制度：企业应建立完善的安全管理制度和应急预案，对蒸压釜的</w:t>
            </w:r>
            <w:r>
              <w:rPr>
                <w:spacing w:val="15"/>
              </w:rPr>
              <w:t xml:space="preserve"> </w:t>
            </w:r>
            <w:r>
              <w:rPr>
                <w:spacing w:val="-1"/>
              </w:rPr>
              <w:t>操作、安全防护等情况进行监督、检查和评估。</w:t>
            </w:r>
          </w:p>
          <w:p w14:paraId="615A166A">
            <w:pPr>
              <w:pStyle w:val="6"/>
              <w:spacing w:before="33" w:line="307" w:lineRule="auto"/>
              <w:ind w:left="107" w:right="100" w:firstLine="439"/>
            </w:pPr>
            <w:r>
              <w:t>⑥根据</w:t>
            </w:r>
            <w:r>
              <w:rPr>
                <w:rFonts w:hint="eastAsia"/>
              </w:rPr>
              <w:t>《中华人民共和国固体废物污染环境防治法》</w:t>
            </w:r>
            <w:r>
              <w:rPr>
                <w:spacing w:val="-1"/>
              </w:rPr>
              <w:t>规定要求，产生的危险废物应</w:t>
            </w:r>
            <w:r>
              <w:t xml:space="preserve"> 严格按照《四川省环境保护厅关于进一步规范危险废物</w:t>
            </w:r>
            <w:r>
              <w:rPr>
                <w:spacing w:val="-1"/>
              </w:rPr>
              <w:t>省内转移工作的通知》（川</w:t>
            </w:r>
            <w:r>
              <w:t xml:space="preserve"> 环函〔</w:t>
            </w:r>
            <w:r>
              <w:rPr>
                <w:rFonts w:ascii="Times New Roman" w:hAnsi="Times New Roman" w:eastAsia="Times New Roman" w:cs="Times New Roman"/>
              </w:rPr>
              <w:t>2017</w:t>
            </w:r>
            <w:r>
              <w:t>〕</w:t>
            </w:r>
            <w:r>
              <w:rPr>
                <w:rFonts w:ascii="Times New Roman" w:hAnsi="Times New Roman" w:eastAsia="Times New Roman" w:cs="Times New Roman"/>
              </w:rPr>
              <w:t xml:space="preserve">710  </w:t>
            </w:r>
            <w:r>
              <w:t>号）危险废物处置之前，厂内临时储</w:t>
            </w:r>
            <w:r>
              <w:rPr>
                <w:spacing w:val="-1"/>
              </w:rPr>
              <w:t>存和运输也应按照危险废物</w:t>
            </w:r>
            <w:r>
              <w:t xml:space="preserve"> </w:t>
            </w:r>
            <w:r>
              <w:rPr>
                <w:spacing w:val="-1"/>
              </w:rPr>
              <w:t>管理和处置相关要求进行。</w:t>
            </w:r>
          </w:p>
          <w:p w14:paraId="1B31D2B5">
            <w:pPr>
              <w:pStyle w:val="6"/>
              <w:spacing w:before="137" w:line="297" w:lineRule="auto"/>
              <w:ind w:left="107" w:right="42" w:firstLine="439"/>
            </w:pPr>
            <w:r>
              <w:rPr>
                <w:spacing w:val="-5"/>
              </w:rPr>
              <w:t>⑦按照《国家突发环境事件应急预案》（国办函〔</w:t>
            </w:r>
            <w:r>
              <w:rPr>
                <w:rFonts w:ascii="Times New Roman" w:hAnsi="Times New Roman" w:eastAsia="Times New Roman" w:cs="Times New Roman"/>
                <w:spacing w:val="-5"/>
              </w:rPr>
              <w:t>2014</w:t>
            </w:r>
            <w:r>
              <w:rPr>
                <w:spacing w:val="-5"/>
              </w:rPr>
              <w:t>〕</w:t>
            </w:r>
            <w:r>
              <w:rPr>
                <w:rFonts w:ascii="Times New Roman" w:hAnsi="Times New Roman" w:eastAsia="Times New Roman" w:cs="Times New Roman"/>
                <w:spacing w:val="-5"/>
              </w:rPr>
              <w:t>119</w:t>
            </w:r>
            <w:r>
              <w:rPr>
                <w:rFonts w:ascii="Times New Roman" w:hAnsi="Times New Roman" w:eastAsia="Times New Roman" w:cs="Times New Roman"/>
                <w:spacing w:val="14"/>
                <w:w w:val="101"/>
              </w:rPr>
              <w:t xml:space="preserve"> </w:t>
            </w:r>
            <w:r>
              <w:rPr>
                <w:spacing w:val="-5"/>
              </w:rPr>
              <w:t>号）、地</w:t>
            </w:r>
            <w:r>
              <w:rPr>
                <w:spacing w:val="-6"/>
              </w:rPr>
              <w:t>方和相关</w:t>
            </w:r>
            <w:r>
              <w:t xml:space="preserve"> </w:t>
            </w:r>
            <w:r>
              <w:rPr>
                <w:spacing w:val="-5"/>
              </w:rPr>
              <w:t>部门的要求，制定符合项目实际需要的应急预案，并定期组织演练，一旦发生事故，</w:t>
            </w:r>
            <w:r>
              <w:rPr>
                <w:spacing w:val="11"/>
              </w:rPr>
              <w:t xml:space="preserve"> </w:t>
            </w:r>
            <w:r>
              <w:t>迅速采取有效处理措施进行抢险修复，最大限度降低对</w:t>
            </w:r>
            <w:r>
              <w:rPr>
                <w:spacing w:val="-1"/>
              </w:rPr>
              <w:t>周围环境和人民生命财产的</w:t>
            </w:r>
          </w:p>
        </w:tc>
      </w:tr>
    </w:tbl>
    <w:p w14:paraId="5DE04957">
      <w:pPr>
        <w:pStyle w:val="2"/>
      </w:pPr>
    </w:p>
    <w:p w14:paraId="6DC8E689">
      <w:pPr>
        <w:sectPr>
          <w:footerReference r:id="rId85" w:type="default"/>
          <w:pgSz w:w="11907" w:h="16840"/>
          <w:pgMar w:top="1431" w:right="1490" w:bottom="1260" w:left="1489" w:header="0" w:footer="1080" w:gutter="0"/>
          <w:cols w:space="720" w:num="1"/>
        </w:sectPr>
      </w:pPr>
    </w:p>
    <w:p w14:paraId="012C58D4">
      <w:pPr>
        <w:spacing w:before="2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8127"/>
      </w:tblGrid>
      <w:tr w14:paraId="5CC5E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2" w:hRule="atLeast"/>
        </w:trPr>
        <w:tc>
          <w:tcPr>
            <w:tcW w:w="785" w:type="dxa"/>
            <w:tcBorders>
              <w:left w:val="single" w:color="000000" w:sz="6" w:space="0"/>
              <w:bottom w:val="single" w:color="000000" w:sz="4" w:space="0"/>
            </w:tcBorders>
            <w:vAlign w:val="top"/>
          </w:tcPr>
          <w:p w14:paraId="5B0CF202">
            <w:pPr>
              <w:rPr>
                <w:rFonts w:ascii="Arial"/>
                <w:sz w:val="21"/>
              </w:rPr>
            </w:pPr>
          </w:p>
        </w:tc>
        <w:tc>
          <w:tcPr>
            <w:tcW w:w="8127" w:type="dxa"/>
            <w:tcBorders>
              <w:bottom w:val="single" w:color="000000" w:sz="4" w:space="0"/>
              <w:right w:val="single" w:color="000000" w:sz="6" w:space="0"/>
            </w:tcBorders>
            <w:vAlign w:val="top"/>
          </w:tcPr>
          <w:p w14:paraId="4A4328FA">
            <w:pPr>
              <w:pStyle w:val="6"/>
              <w:spacing w:before="135" w:line="221" w:lineRule="auto"/>
              <w:ind w:left="110"/>
            </w:pPr>
            <w:r>
              <w:rPr>
                <w:spacing w:val="-4"/>
              </w:rPr>
              <w:t>危害。</w:t>
            </w:r>
          </w:p>
          <w:p w14:paraId="3CE7CD4E">
            <w:pPr>
              <w:spacing w:before="138"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6.5</w:t>
            </w:r>
            <w:r>
              <w:rPr>
                <w:rFonts w:ascii="黑体" w:hAnsi="黑体" w:eastAsia="黑体" w:cs="黑体"/>
                <w:spacing w:val="-1"/>
                <w:sz w:val="22"/>
                <w:szCs w:val="22"/>
              </w:rPr>
              <w:t>环境风险评价结论</w:t>
            </w:r>
          </w:p>
          <w:p w14:paraId="753740B7">
            <w:pPr>
              <w:pStyle w:val="6"/>
              <w:spacing w:before="134" w:line="321" w:lineRule="auto"/>
              <w:ind w:left="90" w:right="135" w:firstLine="442"/>
            </w:pPr>
            <w:r>
              <w:rPr>
                <w:spacing w:val="-1"/>
              </w:rPr>
              <w:t>本项目风险源主要为废机油、脱模剂及蒸压釜。通过采取上述风险防范措施，</w:t>
            </w:r>
            <w:r>
              <w:rPr>
                <w:spacing w:val="1"/>
              </w:rPr>
              <w:t xml:space="preserve"> </w:t>
            </w:r>
            <w:r>
              <w:t>环境风险是可控的。因此，从环境风险角度分</w:t>
            </w:r>
            <w:r>
              <w:rPr>
                <w:spacing w:val="-1"/>
              </w:rPr>
              <w:t>析本项目建设可行。</w:t>
            </w:r>
          </w:p>
          <w:p w14:paraId="23EAE8D1">
            <w:pPr>
              <w:spacing w:before="18" w:line="222" w:lineRule="auto"/>
              <w:ind w:left="90"/>
              <w:rPr>
                <w:rFonts w:ascii="黑体" w:hAnsi="黑体" w:eastAsia="黑体" w:cs="黑体"/>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18"/>
                <w:sz w:val="22"/>
                <w:szCs w:val="22"/>
              </w:rPr>
              <w:t xml:space="preserve"> </w:t>
            </w:r>
            <w:r>
              <w:rPr>
                <w:rFonts w:ascii="黑体" w:hAnsi="黑体" w:eastAsia="黑体" w:cs="黑体"/>
                <w:spacing w:val="-5"/>
                <w:sz w:val="22"/>
                <w:szCs w:val="22"/>
              </w:rPr>
              <w:t>、环保投资一览表</w:t>
            </w:r>
          </w:p>
          <w:p w14:paraId="3763C682">
            <w:pPr>
              <w:pStyle w:val="6"/>
              <w:spacing w:before="115" w:line="312" w:lineRule="auto"/>
              <w:ind w:left="91" w:right="83" w:firstLine="404"/>
            </w:pPr>
            <w:r>
              <w:rPr>
                <w:spacing w:val="-1"/>
              </w:rPr>
              <w:t>“绿色节能环保建材产业化项目</w:t>
            </w:r>
            <w:r>
              <w:rPr>
                <w:spacing w:val="-72"/>
              </w:rPr>
              <w:t xml:space="preserve"> </w:t>
            </w:r>
            <w:r>
              <w:rPr>
                <w:spacing w:val="-1"/>
              </w:rPr>
              <w:t>”总投资</w:t>
            </w:r>
            <w:r>
              <w:rPr>
                <w:rFonts w:ascii="Times New Roman" w:hAnsi="Times New Roman" w:eastAsia="Times New Roman" w:cs="Times New Roman"/>
                <w:spacing w:val="-1"/>
              </w:rPr>
              <w:t>11300</w:t>
            </w:r>
            <w:r>
              <w:rPr>
                <w:spacing w:val="-1"/>
              </w:rPr>
              <w:t>万元，其中一期已投资</w:t>
            </w:r>
            <w:r>
              <w:rPr>
                <w:rFonts w:ascii="Times New Roman" w:hAnsi="Times New Roman" w:eastAsia="Times New Roman" w:cs="Times New Roman"/>
                <w:spacing w:val="-1"/>
              </w:rPr>
              <w:t>3000.00</w:t>
            </w:r>
            <w:r>
              <w:rPr>
                <w:rFonts w:ascii="Times New Roman" w:hAnsi="Times New Roman" w:eastAsia="Times New Roman" w:cs="Times New Roman"/>
              </w:rPr>
              <w:t xml:space="preserve">   </w:t>
            </w:r>
            <w:r>
              <w:rPr>
                <w:spacing w:val="-2"/>
              </w:rPr>
              <w:t>万元，本次项目投资约</w:t>
            </w:r>
            <w:r>
              <w:rPr>
                <w:rFonts w:ascii="Times New Roman" w:hAnsi="Times New Roman" w:eastAsia="Times New Roman" w:cs="Times New Roman"/>
                <w:spacing w:val="-2"/>
              </w:rPr>
              <w:t>8300</w:t>
            </w:r>
            <w:r>
              <w:rPr>
                <w:spacing w:val="-2"/>
              </w:rPr>
              <w:t>万元，其中环保投资</w:t>
            </w:r>
            <w:r>
              <w:rPr>
                <w:rFonts w:ascii="Times New Roman" w:hAnsi="Times New Roman" w:eastAsia="Times New Roman" w:cs="Times New Roman"/>
                <w:spacing w:val="-2"/>
              </w:rPr>
              <w:t>31.50</w:t>
            </w:r>
            <w:r>
              <w:rPr>
                <w:spacing w:val="-2"/>
              </w:rPr>
              <w:t>万元，占总投资的</w:t>
            </w:r>
            <w:r>
              <w:rPr>
                <w:rFonts w:ascii="Times New Roman" w:hAnsi="Times New Roman" w:eastAsia="Times New Roman" w:cs="Times New Roman"/>
                <w:spacing w:val="-2"/>
              </w:rPr>
              <w:t>10.50%</w:t>
            </w:r>
            <w:r>
              <w:rPr>
                <w:rFonts w:ascii="Times New Roman" w:hAnsi="Times New Roman" w:eastAsia="Times New Roman" w:cs="Times New Roman"/>
                <w:spacing w:val="-20"/>
              </w:rPr>
              <w:t xml:space="preserve"> </w:t>
            </w:r>
            <w:r>
              <w:rPr>
                <w:spacing w:val="-2"/>
              </w:rPr>
              <w:t>。处</w:t>
            </w:r>
            <w:r>
              <w:t xml:space="preserve"> 理措施和处理效果从总体上看，能满足环保要求，可有效</w:t>
            </w:r>
            <w:r>
              <w:rPr>
                <w:spacing w:val="-1"/>
              </w:rPr>
              <w:t>降低由于工程的建设所带</w:t>
            </w:r>
            <w:r>
              <w:t xml:space="preserve"> 来的环境污染和生态影响，经济合理、技术可行。本项目的环</w:t>
            </w:r>
            <w:r>
              <w:rPr>
                <w:spacing w:val="-1"/>
              </w:rPr>
              <w:t>保投资估算见下表。</w:t>
            </w:r>
          </w:p>
          <w:p w14:paraId="110996FE">
            <w:pPr>
              <w:spacing w:before="85" w:line="222" w:lineRule="auto"/>
              <w:ind w:left="282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4-16        </w:t>
            </w:r>
            <w:r>
              <w:rPr>
                <w:rFonts w:ascii="黑体" w:hAnsi="黑体" w:eastAsia="黑体" w:cs="黑体"/>
                <w:spacing w:val="-1"/>
                <w:sz w:val="18"/>
                <w:szCs w:val="18"/>
              </w:rPr>
              <w:t>环保投资估算一览表</w:t>
            </w:r>
          </w:p>
          <w:p w14:paraId="24C4B50E">
            <w:pPr>
              <w:spacing w:line="16" w:lineRule="exact"/>
            </w:pPr>
          </w:p>
          <w:tbl>
            <w:tblPr>
              <w:tblStyle w:val="5"/>
              <w:tblW w:w="786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567"/>
              <w:gridCol w:w="848"/>
              <w:gridCol w:w="764"/>
            </w:tblGrid>
            <w:tr w14:paraId="3C242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5" w:type="dxa"/>
                  <w:vAlign w:val="top"/>
                </w:tcPr>
                <w:p w14:paraId="6D84C680">
                  <w:pPr>
                    <w:pStyle w:val="6"/>
                    <w:spacing w:before="242" w:line="220" w:lineRule="auto"/>
                    <w:ind w:left="181"/>
                    <w:rPr>
                      <w:sz w:val="18"/>
                      <w:szCs w:val="18"/>
                    </w:rPr>
                  </w:pPr>
                  <w:r>
                    <w:rPr>
                      <w:b/>
                      <w:bCs/>
                      <w:spacing w:val="-7"/>
                      <w:sz w:val="18"/>
                      <w:szCs w:val="18"/>
                    </w:rPr>
                    <w:t>项目</w:t>
                  </w:r>
                </w:p>
              </w:tc>
              <w:tc>
                <w:tcPr>
                  <w:tcW w:w="5567" w:type="dxa"/>
                  <w:vAlign w:val="top"/>
                </w:tcPr>
                <w:p w14:paraId="4AECF928">
                  <w:pPr>
                    <w:pStyle w:val="6"/>
                    <w:spacing w:before="242" w:line="219" w:lineRule="auto"/>
                    <w:ind w:left="2483"/>
                    <w:rPr>
                      <w:sz w:val="18"/>
                      <w:szCs w:val="18"/>
                    </w:rPr>
                  </w:pPr>
                  <w:r>
                    <w:rPr>
                      <w:b/>
                      <w:bCs/>
                      <w:spacing w:val="-17"/>
                      <w:sz w:val="18"/>
                      <w:szCs w:val="18"/>
                    </w:rPr>
                    <w:t>内</w:t>
                  </w:r>
                  <w:r>
                    <w:rPr>
                      <w:spacing w:val="13"/>
                      <w:sz w:val="18"/>
                      <w:szCs w:val="18"/>
                    </w:rPr>
                    <w:t xml:space="preserve">   </w:t>
                  </w:r>
                  <w:r>
                    <w:rPr>
                      <w:b/>
                      <w:bCs/>
                      <w:spacing w:val="-17"/>
                      <w:sz w:val="18"/>
                      <w:szCs w:val="18"/>
                    </w:rPr>
                    <w:t>容</w:t>
                  </w:r>
                </w:p>
              </w:tc>
              <w:tc>
                <w:tcPr>
                  <w:tcW w:w="848" w:type="dxa"/>
                  <w:vAlign w:val="top"/>
                </w:tcPr>
                <w:p w14:paraId="01EAAE58">
                  <w:pPr>
                    <w:pStyle w:val="6"/>
                    <w:spacing w:before="91" w:line="261" w:lineRule="auto"/>
                    <w:ind w:left="206" w:right="155" w:hanging="29"/>
                    <w:rPr>
                      <w:rFonts w:ascii="Times New Roman" w:hAnsi="Times New Roman" w:eastAsia="Times New Roman" w:cs="Times New Roman"/>
                      <w:sz w:val="18"/>
                      <w:szCs w:val="18"/>
                    </w:rPr>
                  </w:pPr>
                  <w:r>
                    <w:rPr>
                      <w:b/>
                      <w:bCs/>
                      <w:spacing w:val="-13"/>
                      <w:sz w:val="18"/>
                      <w:szCs w:val="18"/>
                    </w:rPr>
                    <w:t>投资额</w:t>
                  </w:r>
                  <w:r>
                    <w:rPr>
                      <w:spacing w:val="1"/>
                      <w:sz w:val="18"/>
                      <w:szCs w:val="18"/>
                    </w:rPr>
                    <w:t xml:space="preserve"> </w:t>
                  </w:r>
                  <w:r>
                    <w:rPr>
                      <w:rFonts w:ascii="Times New Roman" w:hAnsi="Times New Roman" w:eastAsia="Times New Roman" w:cs="Times New Roman"/>
                      <w:b/>
                      <w:bCs/>
                      <w:spacing w:val="-8"/>
                      <w:sz w:val="18"/>
                      <w:szCs w:val="18"/>
                    </w:rPr>
                    <w:t>(</w:t>
                  </w:r>
                  <w:r>
                    <w:rPr>
                      <w:b/>
                      <w:bCs/>
                      <w:spacing w:val="-8"/>
                      <w:sz w:val="18"/>
                      <w:szCs w:val="18"/>
                    </w:rPr>
                    <w:t>万元</w:t>
                  </w:r>
                  <w:r>
                    <w:rPr>
                      <w:rFonts w:ascii="Times New Roman" w:hAnsi="Times New Roman" w:eastAsia="Times New Roman" w:cs="Times New Roman"/>
                      <w:b/>
                      <w:bCs/>
                      <w:spacing w:val="-8"/>
                      <w:sz w:val="18"/>
                      <w:szCs w:val="18"/>
                    </w:rPr>
                    <w:t>)</w:t>
                  </w:r>
                </w:p>
              </w:tc>
              <w:tc>
                <w:tcPr>
                  <w:tcW w:w="764" w:type="dxa"/>
                  <w:vAlign w:val="top"/>
                </w:tcPr>
                <w:p w14:paraId="11D1C17C">
                  <w:pPr>
                    <w:pStyle w:val="6"/>
                    <w:spacing w:before="242" w:line="221" w:lineRule="auto"/>
                    <w:ind w:left="181"/>
                    <w:rPr>
                      <w:sz w:val="18"/>
                      <w:szCs w:val="18"/>
                    </w:rPr>
                  </w:pPr>
                  <w:r>
                    <w:rPr>
                      <w:b/>
                      <w:bCs/>
                      <w:spacing w:val="-7"/>
                      <w:sz w:val="18"/>
                      <w:szCs w:val="18"/>
                    </w:rPr>
                    <w:t>备</w:t>
                  </w:r>
                  <w:r>
                    <w:rPr>
                      <w:spacing w:val="-19"/>
                      <w:sz w:val="18"/>
                      <w:szCs w:val="18"/>
                    </w:rPr>
                    <w:t xml:space="preserve"> </w:t>
                  </w:r>
                  <w:r>
                    <w:rPr>
                      <w:b/>
                      <w:bCs/>
                      <w:spacing w:val="-7"/>
                      <w:sz w:val="18"/>
                      <w:szCs w:val="18"/>
                    </w:rPr>
                    <w:t>注</w:t>
                  </w:r>
                </w:p>
              </w:tc>
            </w:tr>
            <w:tr w14:paraId="35668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85" w:type="dxa"/>
                  <w:vMerge w:val="restart"/>
                  <w:tcBorders>
                    <w:bottom w:val="nil"/>
                  </w:tcBorders>
                  <w:vAlign w:val="top"/>
                </w:tcPr>
                <w:p w14:paraId="6171F33C">
                  <w:pPr>
                    <w:spacing w:line="249" w:lineRule="auto"/>
                    <w:rPr>
                      <w:rFonts w:ascii="Arial"/>
                      <w:sz w:val="21"/>
                    </w:rPr>
                  </w:pPr>
                </w:p>
                <w:p w14:paraId="427F99DF">
                  <w:pPr>
                    <w:spacing w:line="249" w:lineRule="auto"/>
                    <w:rPr>
                      <w:rFonts w:ascii="Arial"/>
                      <w:sz w:val="21"/>
                    </w:rPr>
                  </w:pPr>
                </w:p>
                <w:p w14:paraId="6417F76C">
                  <w:pPr>
                    <w:spacing w:line="249" w:lineRule="auto"/>
                    <w:rPr>
                      <w:rFonts w:ascii="Arial"/>
                      <w:sz w:val="21"/>
                    </w:rPr>
                  </w:pPr>
                </w:p>
                <w:p w14:paraId="7ABD62D9">
                  <w:pPr>
                    <w:spacing w:line="249" w:lineRule="auto"/>
                    <w:rPr>
                      <w:rFonts w:ascii="Arial"/>
                      <w:sz w:val="21"/>
                    </w:rPr>
                  </w:pPr>
                </w:p>
                <w:p w14:paraId="402CCEEE">
                  <w:pPr>
                    <w:spacing w:line="249" w:lineRule="auto"/>
                    <w:rPr>
                      <w:rFonts w:ascii="Arial"/>
                      <w:sz w:val="21"/>
                    </w:rPr>
                  </w:pPr>
                </w:p>
                <w:p w14:paraId="422C3876">
                  <w:pPr>
                    <w:spacing w:line="249" w:lineRule="auto"/>
                    <w:rPr>
                      <w:rFonts w:ascii="Arial"/>
                      <w:sz w:val="21"/>
                    </w:rPr>
                  </w:pPr>
                </w:p>
                <w:p w14:paraId="1C15E3BC">
                  <w:pPr>
                    <w:spacing w:line="249" w:lineRule="auto"/>
                    <w:rPr>
                      <w:rFonts w:ascii="Arial"/>
                      <w:sz w:val="21"/>
                    </w:rPr>
                  </w:pPr>
                </w:p>
                <w:p w14:paraId="7EB24508">
                  <w:pPr>
                    <w:spacing w:line="250" w:lineRule="auto"/>
                    <w:rPr>
                      <w:rFonts w:ascii="Arial"/>
                      <w:sz w:val="21"/>
                    </w:rPr>
                  </w:pPr>
                </w:p>
                <w:p w14:paraId="0A5EA356">
                  <w:pPr>
                    <w:spacing w:line="250" w:lineRule="auto"/>
                    <w:rPr>
                      <w:rFonts w:ascii="Arial"/>
                      <w:sz w:val="21"/>
                    </w:rPr>
                  </w:pPr>
                </w:p>
                <w:p w14:paraId="79542AC0">
                  <w:pPr>
                    <w:spacing w:line="250" w:lineRule="auto"/>
                    <w:rPr>
                      <w:rFonts w:ascii="Arial"/>
                      <w:sz w:val="21"/>
                    </w:rPr>
                  </w:pPr>
                </w:p>
                <w:p w14:paraId="70DC8375">
                  <w:pPr>
                    <w:spacing w:line="250" w:lineRule="auto"/>
                    <w:rPr>
                      <w:rFonts w:ascii="Arial"/>
                      <w:sz w:val="21"/>
                    </w:rPr>
                  </w:pPr>
                </w:p>
                <w:p w14:paraId="738CF19D">
                  <w:pPr>
                    <w:spacing w:line="250" w:lineRule="auto"/>
                    <w:rPr>
                      <w:rFonts w:ascii="Arial"/>
                      <w:sz w:val="21"/>
                    </w:rPr>
                  </w:pPr>
                </w:p>
                <w:p w14:paraId="4E7E8BF4">
                  <w:pPr>
                    <w:pStyle w:val="6"/>
                    <w:spacing w:before="59" w:line="297" w:lineRule="auto"/>
                    <w:ind w:left="181" w:right="160" w:hanging="4"/>
                    <w:rPr>
                      <w:sz w:val="18"/>
                      <w:szCs w:val="18"/>
                    </w:rPr>
                  </w:pPr>
                  <w:r>
                    <w:rPr>
                      <w:spacing w:val="-10"/>
                      <w:sz w:val="18"/>
                      <w:szCs w:val="18"/>
                    </w:rPr>
                    <w:t>废气</w:t>
                  </w:r>
                  <w:r>
                    <w:rPr>
                      <w:sz w:val="18"/>
                      <w:szCs w:val="18"/>
                    </w:rPr>
                    <w:t xml:space="preserve"> </w:t>
                  </w:r>
                  <w:r>
                    <w:rPr>
                      <w:spacing w:val="-12"/>
                      <w:sz w:val="18"/>
                      <w:szCs w:val="18"/>
                    </w:rPr>
                    <w:t>处理</w:t>
                  </w:r>
                </w:p>
              </w:tc>
              <w:tc>
                <w:tcPr>
                  <w:tcW w:w="5567" w:type="dxa"/>
                  <w:vAlign w:val="top"/>
                </w:tcPr>
                <w:p w14:paraId="2E4DAD65">
                  <w:pPr>
                    <w:pStyle w:val="6"/>
                    <w:spacing w:before="81" w:line="219" w:lineRule="auto"/>
                    <w:ind w:left="69"/>
                    <w:rPr>
                      <w:sz w:val="18"/>
                      <w:szCs w:val="18"/>
                    </w:rPr>
                  </w:pPr>
                  <w:r>
                    <w:rPr>
                      <w:spacing w:val="-1"/>
                      <w:sz w:val="18"/>
                      <w:szCs w:val="18"/>
                    </w:rPr>
                    <w:t>地下堆场卸料粉尘：喷雾、三面及顶部设围挡</w:t>
                  </w:r>
                </w:p>
              </w:tc>
              <w:tc>
                <w:tcPr>
                  <w:tcW w:w="848" w:type="dxa"/>
                  <w:vAlign w:val="top"/>
                </w:tcPr>
                <w:p w14:paraId="6CFA43E6">
                  <w:pPr>
                    <w:spacing w:before="117"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14:paraId="73A807FC">
                  <w:pPr>
                    <w:pStyle w:val="6"/>
                    <w:spacing w:before="85" w:line="215" w:lineRule="auto"/>
                    <w:ind w:left="218"/>
                    <w:rPr>
                      <w:sz w:val="18"/>
                      <w:szCs w:val="18"/>
                    </w:rPr>
                  </w:pPr>
                  <w:r>
                    <w:rPr>
                      <w:spacing w:val="-4"/>
                      <w:sz w:val="18"/>
                      <w:szCs w:val="18"/>
                    </w:rPr>
                    <w:t>新建</w:t>
                  </w:r>
                </w:p>
              </w:tc>
            </w:tr>
            <w:tr w14:paraId="684C2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0DC7CF10">
                  <w:pPr>
                    <w:rPr>
                      <w:rFonts w:ascii="Arial"/>
                      <w:sz w:val="21"/>
                    </w:rPr>
                  </w:pPr>
                </w:p>
              </w:tc>
              <w:tc>
                <w:tcPr>
                  <w:tcW w:w="5567" w:type="dxa"/>
                  <w:vAlign w:val="top"/>
                </w:tcPr>
                <w:p w14:paraId="52BEBA59">
                  <w:pPr>
                    <w:pStyle w:val="6"/>
                    <w:spacing w:before="71" w:line="248" w:lineRule="auto"/>
                    <w:ind w:left="70" w:right="99" w:hanging="1"/>
                    <w:rPr>
                      <w:sz w:val="18"/>
                      <w:szCs w:val="18"/>
                    </w:rPr>
                  </w:pPr>
                  <w:r>
                    <w:rPr>
                      <w:sz w:val="18"/>
                      <w:szCs w:val="18"/>
                    </w:rPr>
                    <w:t>地下堆场破碎筛分及上料粉尘：采用密闭型生产</w:t>
                  </w:r>
                  <w:r>
                    <w:rPr>
                      <w:spacing w:val="-1"/>
                      <w:sz w:val="18"/>
                      <w:szCs w:val="18"/>
                    </w:rPr>
                    <w:t>设备，配套除尘器收</w:t>
                  </w:r>
                  <w:r>
                    <w:rPr>
                      <w:sz w:val="18"/>
                      <w:szCs w:val="18"/>
                    </w:rPr>
                    <w:t xml:space="preserve"> </w:t>
                  </w:r>
                  <w:r>
                    <w:rPr>
                      <w:spacing w:val="-1"/>
                      <w:sz w:val="18"/>
                      <w:szCs w:val="18"/>
                    </w:rPr>
                    <w:t>尘处理，料斗采取三面围挡，喷雾降尘；地下堆场设喷雾降尘</w:t>
                  </w:r>
                </w:p>
              </w:tc>
              <w:tc>
                <w:tcPr>
                  <w:tcW w:w="848" w:type="dxa"/>
                  <w:vAlign w:val="top"/>
                </w:tcPr>
                <w:p w14:paraId="67D3F64F">
                  <w:pPr>
                    <w:spacing w:before="246"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64" w:type="dxa"/>
                  <w:vAlign w:val="top"/>
                </w:tcPr>
                <w:p w14:paraId="3AE1D533">
                  <w:pPr>
                    <w:pStyle w:val="6"/>
                    <w:spacing w:before="217" w:line="220" w:lineRule="auto"/>
                    <w:ind w:left="218"/>
                    <w:rPr>
                      <w:sz w:val="18"/>
                      <w:szCs w:val="18"/>
                    </w:rPr>
                  </w:pPr>
                  <w:r>
                    <w:rPr>
                      <w:spacing w:val="-4"/>
                      <w:sz w:val="18"/>
                      <w:szCs w:val="18"/>
                    </w:rPr>
                    <w:t>新建</w:t>
                  </w:r>
                </w:p>
              </w:tc>
            </w:tr>
            <w:tr w14:paraId="1FD3B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45957604">
                  <w:pPr>
                    <w:rPr>
                      <w:rFonts w:ascii="Arial"/>
                      <w:sz w:val="21"/>
                    </w:rPr>
                  </w:pPr>
                </w:p>
              </w:tc>
              <w:tc>
                <w:tcPr>
                  <w:tcW w:w="5567" w:type="dxa"/>
                  <w:vAlign w:val="top"/>
                </w:tcPr>
                <w:p w14:paraId="00A6A83E">
                  <w:pPr>
                    <w:pStyle w:val="6"/>
                    <w:spacing w:before="69" w:line="249" w:lineRule="auto"/>
                    <w:ind w:left="69" w:right="61" w:firstLine="1"/>
                    <w:rPr>
                      <w:sz w:val="18"/>
                      <w:szCs w:val="18"/>
                    </w:rPr>
                  </w:pPr>
                  <w:r>
                    <w:rPr>
                      <w:spacing w:val="-3"/>
                      <w:sz w:val="18"/>
                      <w:szCs w:val="18"/>
                    </w:rPr>
                    <w:t>车间筒仓粉尘：每个筒仓仓顶设除尘器收尘处理。共计</w:t>
                  </w:r>
                  <w:r>
                    <w:rPr>
                      <w:spacing w:val="-11"/>
                      <w:sz w:val="18"/>
                      <w:szCs w:val="18"/>
                    </w:rPr>
                    <w:t xml:space="preserve"> </w:t>
                  </w:r>
                  <w:r>
                    <w:rPr>
                      <w:rFonts w:ascii="Times New Roman" w:hAnsi="Times New Roman" w:eastAsia="Times New Roman" w:cs="Times New Roman"/>
                      <w:spacing w:val="-3"/>
                      <w:sz w:val="18"/>
                      <w:szCs w:val="18"/>
                    </w:rPr>
                    <w:t xml:space="preserve">13 </w:t>
                  </w:r>
                  <w:r>
                    <w:rPr>
                      <w:spacing w:val="-3"/>
                      <w:sz w:val="18"/>
                      <w:szCs w:val="18"/>
                    </w:rPr>
                    <w:t>个仓顶除尘</w:t>
                  </w:r>
                  <w:r>
                    <w:rPr>
                      <w:sz w:val="18"/>
                      <w:szCs w:val="18"/>
                    </w:rPr>
                    <w:t xml:space="preserve"> 器</w:t>
                  </w:r>
                </w:p>
              </w:tc>
              <w:tc>
                <w:tcPr>
                  <w:tcW w:w="848" w:type="dxa"/>
                  <w:vAlign w:val="top"/>
                </w:tcPr>
                <w:p w14:paraId="1CA99A50">
                  <w:pPr>
                    <w:spacing w:before="247"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16.0</w:t>
                  </w:r>
                </w:p>
              </w:tc>
              <w:tc>
                <w:tcPr>
                  <w:tcW w:w="764" w:type="dxa"/>
                  <w:vAlign w:val="top"/>
                </w:tcPr>
                <w:p w14:paraId="356822E5">
                  <w:pPr>
                    <w:pStyle w:val="6"/>
                    <w:spacing w:before="216" w:line="220" w:lineRule="auto"/>
                    <w:ind w:left="218"/>
                    <w:rPr>
                      <w:sz w:val="18"/>
                      <w:szCs w:val="18"/>
                    </w:rPr>
                  </w:pPr>
                  <w:r>
                    <w:rPr>
                      <w:spacing w:val="-4"/>
                      <w:sz w:val="18"/>
                      <w:szCs w:val="18"/>
                    </w:rPr>
                    <w:t>新建</w:t>
                  </w:r>
                </w:p>
              </w:tc>
            </w:tr>
            <w:tr w14:paraId="46D27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69D56405">
                  <w:pPr>
                    <w:rPr>
                      <w:rFonts w:ascii="Arial"/>
                      <w:sz w:val="21"/>
                    </w:rPr>
                  </w:pPr>
                </w:p>
              </w:tc>
              <w:tc>
                <w:tcPr>
                  <w:tcW w:w="5567" w:type="dxa"/>
                  <w:vAlign w:val="top"/>
                </w:tcPr>
                <w:p w14:paraId="195DF2C9">
                  <w:pPr>
                    <w:pStyle w:val="6"/>
                    <w:spacing w:before="71" w:line="248" w:lineRule="auto"/>
                    <w:ind w:left="68" w:right="17"/>
                    <w:rPr>
                      <w:sz w:val="18"/>
                      <w:szCs w:val="18"/>
                    </w:rPr>
                  </w:pPr>
                  <w:r>
                    <w:rPr>
                      <w:spacing w:val="-5"/>
                      <w:sz w:val="18"/>
                      <w:szCs w:val="18"/>
                    </w:rPr>
                    <w:t>浸漆烤漆废气：采取负压收集，设“</w:t>
                  </w:r>
                  <w:r>
                    <w:rPr>
                      <w:rFonts w:ascii="Times New Roman" w:hAnsi="Times New Roman" w:eastAsia="Times New Roman" w:cs="Times New Roman"/>
                      <w:spacing w:val="-5"/>
                      <w:sz w:val="18"/>
                      <w:szCs w:val="18"/>
                    </w:rPr>
                    <w:t xml:space="preserve">UV </w:t>
                  </w:r>
                  <w:r>
                    <w:rPr>
                      <w:spacing w:val="-5"/>
                      <w:sz w:val="18"/>
                      <w:szCs w:val="18"/>
                    </w:rPr>
                    <w:t>光解</w:t>
                  </w:r>
                  <w:r>
                    <w:rPr>
                      <w:rFonts w:ascii="Times New Roman" w:hAnsi="Times New Roman" w:eastAsia="Times New Roman" w:cs="Times New Roman"/>
                      <w:spacing w:val="-6"/>
                      <w:sz w:val="18"/>
                      <w:szCs w:val="18"/>
                    </w:rPr>
                    <w:t>+</w:t>
                  </w:r>
                  <w:r>
                    <w:rPr>
                      <w:spacing w:val="-6"/>
                      <w:sz w:val="18"/>
                      <w:szCs w:val="18"/>
                    </w:rPr>
                    <w:t>两级活性炭吸附</w:t>
                  </w:r>
                  <w:r>
                    <w:rPr>
                      <w:spacing w:val="-66"/>
                      <w:sz w:val="18"/>
                      <w:szCs w:val="18"/>
                    </w:rPr>
                    <w:t xml:space="preserve"> </w:t>
                  </w:r>
                  <w:r>
                    <w:rPr>
                      <w:spacing w:val="-6"/>
                      <w:sz w:val="18"/>
                      <w:szCs w:val="18"/>
                    </w:rPr>
                    <w:t>”装置，</w:t>
                  </w:r>
                  <w:r>
                    <w:rPr>
                      <w:sz w:val="18"/>
                      <w:szCs w:val="18"/>
                    </w:rPr>
                    <w:t xml:space="preserve"> </w:t>
                  </w:r>
                  <w:r>
                    <w:rPr>
                      <w:spacing w:val="-3"/>
                      <w:sz w:val="18"/>
                      <w:szCs w:val="18"/>
                    </w:rPr>
                    <w:t>废气经收集处理后引至</w:t>
                  </w:r>
                  <w:r>
                    <w:rPr>
                      <w:spacing w:val="-20"/>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根</w:t>
                  </w:r>
                  <w:r>
                    <w:rPr>
                      <w:spacing w:val="-23"/>
                      <w:sz w:val="18"/>
                      <w:szCs w:val="18"/>
                    </w:rPr>
                    <w:t xml:space="preserve"> </w:t>
                  </w:r>
                  <w:r>
                    <w:rPr>
                      <w:rFonts w:ascii="Times New Roman" w:hAnsi="Times New Roman" w:eastAsia="Times New Roman" w:cs="Times New Roman"/>
                      <w:spacing w:val="-3"/>
                      <w:sz w:val="18"/>
                      <w:szCs w:val="18"/>
                    </w:rPr>
                    <w:t>15m</w:t>
                  </w:r>
                  <w:r>
                    <w:rPr>
                      <w:rFonts w:ascii="Times New Roman" w:hAnsi="Times New Roman" w:eastAsia="Times New Roman" w:cs="Times New Roman"/>
                      <w:spacing w:val="12"/>
                      <w:sz w:val="18"/>
                      <w:szCs w:val="18"/>
                    </w:rPr>
                    <w:t xml:space="preserve"> </w:t>
                  </w:r>
                  <w:r>
                    <w:rPr>
                      <w:spacing w:val="-3"/>
                      <w:sz w:val="18"/>
                      <w:szCs w:val="18"/>
                    </w:rPr>
                    <w:t>高排气筒排放</w:t>
                  </w:r>
                </w:p>
              </w:tc>
              <w:tc>
                <w:tcPr>
                  <w:tcW w:w="848" w:type="dxa"/>
                  <w:vAlign w:val="top"/>
                </w:tcPr>
                <w:p w14:paraId="4E6F3903">
                  <w:pPr>
                    <w:spacing w:before="246"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12.0</w:t>
                  </w:r>
                </w:p>
              </w:tc>
              <w:tc>
                <w:tcPr>
                  <w:tcW w:w="764" w:type="dxa"/>
                  <w:vAlign w:val="top"/>
                </w:tcPr>
                <w:p w14:paraId="31440D4A">
                  <w:pPr>
                    <w:pStyle w:val="6"/>
                    <w:spacing w:before="217" w:line="220" w:lineRule="auto"/>
                    <w:ind w:left="218"/>
                    <w:rPr>
                      <w:sz w:val="18"/>
                      <w:szCs w:val="18"/>
                    </w:rPr>
                  </w:pPr>
                  <w:r>
                    <w:rPr>
                      <w:spacing w:val="-4"/>
                      <w:sz w:val="18"/>
                      <w:szCs w:val="18"/>
                    </w:rPr>
                    <w:t>新建</w:t>
                  </w:r>
                </w:p>
              </w:tc>
            </w:tr>
            <w:tr w14:paraId="5C45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162FDBCB">
                  <w:pPr>
                    <w:rPr>
                      <w:rFonts w:ascii="Arial"/>
                      <w:sz w:val="21"/>
                    </w:rPr>
                  </w:pPr>
                </w:p>
              </w:tc>
              <w:tc>
                <w:tcPr>
                  <w:tcW w:w="5567" w:type="dxa"/>
                  <w:vAlign w:val="top"/>
                </w:tcPr>
                <w:p w14:paraId="23582360">
                  <w:pPr>
                    <w:pStyle w:val="6"/>
                    <w:spacing w:before="69" w:line="249" w:lineRule="auto"/>
                    <w:ind w:left="82" w:right="99" w:hanging="15"/>
                    <w:rPr>
                      <w:sz w:val="18"/>
                      <w:szCs w:val="18"/>
                    </w:rPr>
                  </w:pPr>
                  <w:r>
                    <w:rPr>
                      <w:sz w:val="18"/>
                      <w:szCs w:val="18"/>
                    </w:rPr>
                    <w:t>钢筋切割机粉尘：设专用加工车间、切割机配除尘器</w:t>
                  </w:r>
                  <w:r>
                    <w:rPr>
                      <w:spacing w:val="-1"/>
                      <w:sz w:val="18"/>
                      <w:szCs w:val="18"/>
                    </w:rPr>
                    <w:t>、利用封闭式车</w:t>
                  </w:r>
                  <w:r>
                    <w:rPr>
                      <w:sz w:val="18"/>
                      <w:szCs w:val="18"/>
                    </w:rPr>
                    <w:t xml:space="preserve"> </w:t>
                  </w:r>
                  <w:r>
                    <w:rPr>
                      <w:spacing w:val="-3"/>
                      <w:sz w:val="18"/>
                      <w:szCs w:val="18"/>
                    </w:rPr>
                    <w:t>间控制无组织粉尘</w:t>
                  </w:r>
                </w:p>
              </w:tc>
              <w:tc>
                <w:tcPr>
                  <w:tcW w:w="848" w:type="dxa"/>
                  <w:vAlign w:val="top"/>
                </w:tcPr>
                <w:p w14:paraId="05C4CBD7">
                  <w:pPr>
                    <w:spacing w:before="247"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64" w:type="dxa"/>
                  <w:vAlign w:val="top"/>
                </w:tcPr>
                <w:p w14:paraId="7BDD38B5">
                  <w:pPr>
                    <w:pStyle w:val="6"/>
                    <w:spacing w:before="216" w:line="220" w:lineRule="auto"/>
                    <w:ind w:left="218"/>
                    <w:rPr>
                      <w:sz w:val="18"/>
                      <w:szCs w:val="18"/>
                    </w:rPr>
                  </w:pPr>
                  <w:r>
                    <w:rPr>
                      <w:spacing w:val="-4"/>
                      <w:sz w:val="18"/>
                      <w:szCs w:val="18"/>
                    </w:rPr>
                    <w:t>新建</w:t>
                  </w:r>
                </w:p>
              </w:tc>
            </w:tr>
            <w:tr w14:paraId="1BF1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48BDB8AA">
                  <w:pPr>
                    <w:rPr>
                      <w:rFonts w:ascii="Arial"/>
                      <w:sz w:val="21"/>
                    </w:rPr>
                  </w:pPr>
                </w:p>
              </w:tc>
              <w:tc>
                <w:tcPr>
                  <w:tcW w:w="5567" w:type="dxa"/>
                  <w:vAlign w:val="top"/>
                </w:tcPr>
                <w:p w14:paraId="60BF2047">
                  <w:pPr>
                    <w:pStyle w:val="6"/>
                    <w:spacing w:before="71" w:line="248" w:lineRule="auto"/>
                    <w:ind w:left="69" w:right="99" w:hanging="2"/>
                    <w:rPr>
                      <w:sz w:val="18"/>
                      <w:szCs w:val="18"/>
                    </w:rPr>
                  </w:pPr>
                  <w:r>
                    <w:rPr>
                      <w:sz w:val="18"/>
                      <w:szCs w:val="18"/>
                    </w:rPr>
                    <w:t>碰焊机粉尘：设专用加工车间，设焊烟净化器、利用</w:t>
                  </w:r>
                  <w:r>
                    <w:rPr>
                      <w:spacing w:val="-1"/>
                      <w:sz w:val="18"/>
                      <w:szCs w:val="18"/>
                    </w:rPr>
                    <w:t>封闭式车间控制</w:t>
                  </w:r>
                  <w:r>
                    <w:rPr>
                      <w:sz w:val="18"/>
                      <w:szCs w:val="18"/>
                    </w:rPr>
                    <w:t xml:space="preserve"> </w:t>
                  </w:r>
                  <w:r>
                    <w:rPr>
                      <w:spacing w:val="-2"/>
                      <w:sz w:val="18"/>
                      <w:szCs w:val="18"/>
                    </w:rPr>
                    <w:t>无组织粉尘</w:t>
                  </w:r>
                </w:p>
              </w:tc>
              <w:tc>
                <w:tcPr>
                  <w:tcW w:w="848" w:type="dxa"/>
                  <w:vAlign w:val="top"/>
                </w:tcPr>
                <w:p w14:paraId="3A9BB70B">
                  <w:pPr>
                    <w:spacing w:before="246"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64" w:type="dxa"/>
                  <w:vAlign w:val="top"/>
                </w:tcPr>
                <w:p w14:paraId="0C76CF62">
                  <w:pPr>
                    <w:pStyle w:val="6"/>
                    <w:spacing w:before="217" w:line="220" w:lineRule="auto"/>
                    <w:ind w:left="218"/>
                    <w:rPr>
                      <w:sz w:val="18"/>
                      <w:szCs w:val="18"/>
                    </w:rPr>
                  </w:pPr>
                  <w:r>
                    <w:rPr>
                      <w:spacing w:val="-4"/>
                      <w:sz w:val="18"/>
                      <w:szCs w:val="18"/>
                    </w:rPr>
                    <w:t>新建</w:t>
                  </w:r>
                </w:p>
              </w:tc>
            </w:tr>
            <w:tr w14:paraId="25ABD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1CA54D36">
                  <w:pPr>
                    <w:rPr>
                      <w:rFonts w:ascii="Arial"/>
                      <w:sz w:val="21"/>
                    </w:rPr>
                  </w:pPr>
                </w:p>
              </w:tc>
              <w:tc>
                <w:tcPr>
                  <w:tcW w:w="5567" w:type="dxa"/>
                  <w:vAlign w:val="top"/>
                </w:tcPr>
                <w:p w14:paraId="7D8C5689">
                  <w:pPr>
                    <w:pStyle w:val="6"/>
                    <w:spacing w:before="69" w:line="249" w:lineRule="auto"/>
                    <w:ind w:left="71" w:right="99" w:hanging="2"/>
                    <w:rPr>
                      <w:sz w:val="18"/>
                      <w:szCs w:val="18"/>
                    </w:rPr>
                  </w:pPr>
                  <w:r>
                    <w:rPr>
                      <w:sz w:val="18"/>
                      <w:szCs w:val="18"/>
                    </w:rPr>
                    <w:t>球磨筛分、搅拌机及成品仓粉尘：各个环节均单</w:t>
                  </w:r>
                  <w:r>
                    <w:rPr>
                      <w:spacing w:val="-1"/>
                      <w:sz w:val="18"/>
                      <w:szCs w:val="18"/>
                    </w:rPr>
                    <w:t>独配备除尘器收尘处</w:t>
                  </w:r>
                  <w:r>
                    <w:rPr>
                      <w:sz w:val="18"/>
                      <w:szCs w:val="18"/>
                    </w:rPr>
                    <w:t xml:space="preserve"> </w:t>
                  </w:r>
                  <w:r>
                    <w:rPr>
                      <w:spacing w:val="-3"/>
                      <w:sz w:val="18"/>
                      <w:szCs w:val="18"/>
                    </w:rPr>
                    <w:t>理后，三股废气经同一根</w:t>
                  </w:r>
                  <w:r>
                    <w:rPr>
                      <w:spacing w:val="-7"/>
                      <w:sz w:val="18"/>
                      <w:szCs w:val="18"/>
                    </w:rPr>
                    <w:t xml:space="preserve"> </w:t>
                  </w:r>
                  <w:r>
                    <w:rPr>
                      <w:rFonts w:ascii="Times New Roman" w:hAnsi="Times New Roman" w:eastAsia="Times New Roman" w:cs="Times New Roman"/>
                      <w:spacing w:val="-3"/>
                      <w:sz w:val="18"/>
                      <w:szCs w:val="18"/>
                    </w:rPr>
                    <w:t>15m</w:t>
                  </w:r>
                  <w:r>
                    <w:rPr>
                      <w:rFonts w:ascii="Times New Roman" w:hAnsi="Times New Roman" w:eastAsia="Times New Roman" w:cs="Times New Roman"/>
                      <w:spacing w:val="12"/>
                      <w:sz w:val="18"/>
                      <w:szCs w:val="18"/>
                    </w:rPr>
                    <w:t xml:space="preserve"> </w:t>
                  </w:r>
                  <w:r>
                    <w:rPr>
                      <w:spacing w:val="-3"/>
                      <w:sz w:val="18"/>
                      <w:szCs w:val="18"/>
                    </w:rPr>
                    <w:t>高排气筒排放</w:t>
                  </w:r>
                </w:p>
              </w:tc>
              <w:tc>
                <w:tcPr>
                  <w:tcW w:w="848" w:type="dxa"/>
                  <w:vAlign w:val="top"/>
                </w:tcPr>
                <w:p w14:paraId="7048531F">
                  <w:pPr>
                    <w:spacing w:before="247"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764" w:type="dxa"/>
                  <w:vAlign w:val="top"/>
                </w:tcPr>
                <w:p w14:paraId="22901AE1">
                  <w:pPr>
                    <w:pStyle w:val="6"/>
                    <w:spacing w:before="216" w:line="220" w:lineRule="auto"/>
                    <w:ind w:left="218"/>
                    <w:rPr>
                      <w:sz w:val="18"/>
                      <w:szCs w:val="18"/>
                    </w:rPr>
                  </w:pPr>
                  <w:r>
                    <w:rPr>
                      <w:spacing w:val="-4"/>
                      <w:sz w:val="18"/>
                      <w:szCs w:val="18"/>
                    </w:rPr>
                    <w:t>新建</w:t>
                  </w:r>
                </w:p>
              </w:tc>
            </w:tr>
            <w:tr w14:paraId="52D9E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491194C5">
                  <w:pPr>
                    <w:rPr>
                      <w:rFonts w:ascii="Arial"/>
                      <w:sz w:val="21"/>
                    </w:rPr>
                  </w:pPr>
                </w:p>
              </w:tc>
              <w:tc>
                <w:tcPr>
                  <w:tcW w:w="5567" w:type="dxa"/>
                  <w:vAlign w:val="top"/>
                </w:tcPr>
                <w:p w14:paraId="06FC1519">
                  <w:pPr>
                    <w:pStyle w:val="6"/>
                    <w:spacing w:before="71" w:line="248" w:lineRule="auto"/>
                    <w:ind w:left="68" w:right="99"/>
                    <w:rPr>
                      <w:sz w:val="18"/>
                      <w:szCs w:val="18"/>
                    </w:rPr>
                  </w:pPr>
                  <w:r>
                    <w:rPr>
                      <w:sz w:val="18"/>
                      <w:szCs w:val="18"/>
                    </w:rPr>
                    <w:t>黄沙烘干废气：采用密闭型设备，在进出料口设收</w:t>
                  </w:r>
                  <w:r>
                    <w:rPr>
                      <w:spacing w:val="-1"/>
                      <w:sz w:val="18"/>
                      <w:szCs w:val="18"/>
                    </w:rPr>
                    <w:t>尘装置，引至除尘</w:t>
                  </w:r>
                  <w:r>
                    <w:rPr>
                      <w:sz w:val="18"/>
                      <w:szCs w:val="18"/>
                    </w:rPr>
                    <w:t xml:space="preserve"> </w:t>
                  </w:r>
                  <w:r>
                    <w:rPr>
                      <w:spacing w:val="-3"/>
                      <w:sz w:val="18"/>
                      <w:szCs w:val="18"/>
                    </w:rPr>
                    <w:t>器处理</w:t>
                  </w:r>
                </w:p>
              </w:tc>
              <w:tc>
                <w:tcPr>
                  <w:tcW w:w="848" w:type="dxa"/>
                  <w:vAlign w:val="top"/>
                </w:tcPr>
                <w:p w14:paraId="0289A8A1">
                  <w:pPr>
                    <w:spacing w:before="246"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64" w:type="dxa"/>
                  <w:vAlign w:val="top"/>
                </w:tcPr>
                <w:p w14:paraId="53F585D4">
                  <w:pPr>
                    <w:pStyle w:val="6"/>
                    <w:spacing w:before="217" w:line="220" w:lineRule="auto"/>
                    <w:ind w:left="218"/>
                    <w:rPr>
                      <w:sz w:val="18"/>
                      <w:szCs w:val="18"/>
                    </w:rPr>
                  </w:pPr>
                  <w:r>
                    <w:rPr>
                      <w:spacing w:val="-4"/>
                      <w:sz w:val="18"/>
                      <w:szCs w:val="18"/>
                    </w:rPr>
                    <w:t>新建</w:t>
                  </w:r>
                </w:p>
              </w:tc>
            </w:tr>
            <w:tr w14:paraId="0143B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718203ED">
                  <w:pPr>
                    <w:rPr>
                      <w:rFonts w:ascii="Arial"/>
                      <w:sz w:val="21"/>
                    </w:rPr>
                  </w:pPr>
                </w:p>
              </w:tc>
              <w:tc>
                <w:tcPr>
                  <w:tcW w:w="5567" w:type="dxa"/>
                  <w:vAlign w:val="top"/>
                </w:tcPr>
                <w:p w14:paraId="037E333F">
                  <w:pPr>
                    <w:pStyle w:val="6"/>
                    <w:spacing w:before="69" w:line="249" w:lineRule="auto"/>
                    <w:ind w:left="89" w:right="17" w:hanging="15"/>
                    <w:rPr>
                      <w:sz w:val="18"/>
                      <w:szCs w:val="18"/>
                    </w:rPr>
                  </w:pPr>
                  <w:r>
                    <w:rPr>
                      <w:spacing w:val="-5"/>
                      <w:sz w:val="18"/>
                      <w:szCs w:val="18"/>
                    </w:rPr>
                    <w:t>小料上料粉尘：是专用小料平台，陪小料仓（</w:t>
                  </w:r>
                  <w:r>
                    <w:rPr>
                      <w:rFonts w:ascii="Times New Roman" w:hAnsi="Times New Roman" w:eastAsia="Times New Roman" w:cs="Times New Roman"/>
                      <w:spacing w:val="-5"/>
                      <w:sz w:val="18"/>
                      <w:szCs w:val="18"/>
                    </w:rPr>
                    <w:t>0.5m</w:t>
                  </w:r>
                  <w:r>
                    <w:rPr>
                      <w:rFonts w:ascii="Times New Roman" w:hAnsi="Times New Roman" w:eastAsia="Times New Roman" w:cs="Times New Roman"/>
                      <w:spacing w:val="-5"/>
                      <w:position w:val="5"/>
                      <w:sz w:val="11"/>
                      <w:szCs w:val="11"/>
                    </w:rPr>
                    <w:t>3</w:t>
                  </w:r>
                  <w:r>
                    <w:rPr>
                      <w:spacing w:val="-5"/>
                      <w:sz w:val="18"/>
                      <w:szCs w:val="18"/>
                    </w:rPr>
                    <w:t>）和螺旋输送装置，</w:t>
                  </w:r>
                  <w:r>
                    <w:rPr>
                      <w:sz w:val="18"/>
                      <w:szCs w:val="18"/>
                    </w:rPr>
                    <w:t xml:space="preserve"> </w:t>
                  </w:r>
                  <w:r>
                    <w:rPr>
                      <w:spacing w:val="-3"/>
                      <w:sz w:val="18"/>
                      <w:szCs w:val="18"/>
                    </w:rPr>
                    <w:t>以及脉冲除尘器收尘处理</w:t>
                  </w:r>
                </w:p>
              </w:tc>
              <w:tc>
                <w:tcPr>
                  <w:tcW w:w="848" w:type="dxa"/>
                  <w:vAlign w:val="top"/>
                </w:tcPr>
                <w:p w14:paraId="2F49D92F">
                  <w:pPr>
                    <w:spacing w:before="247"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14:paraId="2F67DBAB">
                  <w:pPr>
                    <w:pStyle w:val="6"/>
                    <w:spacing w:before="216" w:line="220" w:lineRule="auto"/>
                    <w:ind w:left="218"/>
                    <w:rPr>
                      <w:sz w:val="18"/>
                      <w:szCs w:val="18"/>
                    </w:rPr>
                  </w:pPr>
                  <w:r>
                    <w:rPr>
                      <w:spacing w:val="-4"/>
                      <w:sz w:val="18"/>
                      <w:szCs w:val="18"/>
                    </w:rPr>
                    <w:t>新建</w:t>
                  </w:r>
                </w:p>
              </w:tc>
            </w:tr>
            <w:tr w14:paraId="75359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14102079">
                  <w:pPr>
                    <w:rPr>
                      <w:rFonts w:ascii="Arial"/>
                      <w:sz w:val="21"/>
                    </w:rPr>
                  </w:pPr>
                </w:p>
              </w:tc>
              <w:tc>
                <w:tcPr>
                  <w:tcW w:w="5567" w:type="dxa"/>
                  <w:vAlign w:val="top"/>
                </w:tcPr>
                <w:p w14:paraId="5272B5F0">
                  <w:pPr>
                    <w:pStyle w:val="6"/>
                    <w:spacing w:before="71" w:line="248" w:lineRule="auto"/>
                    <w:ind w:left="84" w:right="99" w:hanging="16"/>
                    <w:rPr>
                      <w:sz w:val="18"/>
                      <w:szCs w:val="18"/>
                    </w:rPr>
                  </w:pPr>
                  <w:r>
                    <w:rPr>
                      <w:sz w:val="18"/>
                      <w:szCs w:val="18"/>
                    </w:rPr>
                    <w:t>干混砂浆车间无组织粉尘：利用封闭式车间阻挡粉</w:t>
                  </w:r>
                  <w:r>
                    <w:rPr>
                      <w:spacing w:val="-1"/>
                      <w:sz w:val="18"/>
                      <w:szCs w:val="18"/>
                    </w:rPr>
                    <w:t>尘外逸，在车间进</w:t>
                  </w:r>
                  <w:r>
                    <w:rPr>
                      <w:sz w:val="18"/>
                      <w:szCs w:val="18"/>
                    </w:rPr>
                    <w:t xml:space="preserve"> </w:t>
                  </w:r>
                  <w:r>
                    <w:rPr>
                      <w:spacing w:val="-2"/>
                      <w:sz w:val="18"/>
                      <w:szCs w:val="18"/>
                    </w:rPr>
                    <w:t>出大门口设喷雾雾帘，降低粉尘逸散</w:t>
                  </w:r>
                </w:p>
              </w:tc>
              <w:tc>
                <w:tcPr>
                  <w:tcW w:w="848" w:type="dxa"/>
                  <w:vAlign w:val="top"/>
                </w:tcPr>
                <w:p w14:paraId="22B9EE21">
                  <w:pPr>
                    <w:spacing w:before="246"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64" w:type="dxa"/>
                  <w:vAlign w:val="top"/>
                </w:tcPr>
                <w:p w14:paraId="540973AC">
                  <w:pPr>
                    <w:pStyle w:val="6"/>
                    <w:spacing w:before="217" w:line="220" w:lineRule="auto"/>
                    <w:ind w:left="218"/>
                    <w:rPr>
                      <w:sz w:val="18"/>
                      <w:szCs w:val="18"/>
                    </w:rPr>
                  </w:pPr>
                  <w:r>
                    <w:rPr>
                      <w:spacing w:val="-4"/>
                      <w:sz w:val="18"/>
                      <w:szCs w:val="18"/>
                    </w:rPr>
                    <w:t>新建</w:t>
                  </w:r>
                </w:p>
              </w:tc>
            </w:tr>
            <w:tr w14:paraId="5EDF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6B5F6A07">
                  <w:pPr>
                    <w:rPr>
                      <w:rFonts w:ascii="Arial"/>
                      <w:sz w:val="21"/>
                    </w:rPr>
                  </w:pPr>
                </w:p>
              </w:tc>
              <w:tc>
                <w:tcPr>
                  <w:tcW w:w="5567" w:type="dxa"/>
                  <w:vAlign w:val="top"/>
                </w:tcPr>
                <w:p w14:paraId="147ABC97">
                  <w:pPr>
                    <w:pStyle w:val="6"/>
                    <w:spacing w:before="69" w:line="249" w:lineRule="auto"/>
                    <w:ind w:left="69" w:right="140"/>
                    <w:rPr>
                      <w:sz w:val="18"/>
                      <w:szCs w:val="18"/>
                    </w:rPr>
                  </w:pPr>
                  <w:r>
                    <w:rPr>
                      <w:spacing w:val="-1"/>
                      <w:sz w:val="18"/>
                      <w:szCs w:val="18"/>
                    </w:rPr>
                    <w:t>燃气锅炉废气：设低氮燃烧器，废气经</w:t>
                  </w:r>
                  <w:r>
                    <w:rPr>
                      <w:spacing w:val="-24"/>
                      <w:sz w:val="18"/>
                      <w:szCs w:val="18"/>
                    </w:rPr>
                    <w:t xml:space="preserve"> </w:t>
                  </w:r>
                  <w:r>
                    <w:rPr>
                      <w:rFonts w:ascii="Times New Roman" w:hAnsi="Times New Roman" w:eastAsia="Times New Roman" w:cs="Times New Roman"/>
                      <w:spacing w:val="-1"/>
                      <w:sz w:val="18"/>
                      <w:szCs w:val="18"/>
                    </w:rPr>
                    <w:t xml:space="preserve">8m </w:t>
                  </w:r>
                  <w:r>
                    <w:rPr>
                      <w:spacing w:val="-1"/>
                      <w:sz w:val="18"/>
                      <w:szCs w:val="18"/>
                    </w:rPr>
                    <w:t>高排气筒引至锅炉房屋顶</w:t>
                  </w:r>
                  <w:r>
                    <w:rPr>
                      <w:sz w:val="18"/>
                      <w:szCs w:val="18"/>
                    </w:rPr>
                    <w:t xml:space="preserve"> </w:t>
                  </w:r>
                  <w:r>
                    <w:rPr>
                      <w:spacing w:val="-4"/>
                      <w:sz w:val="18"/>
                      <w:szCs w:val="18"/>
                    </w:rPr>
                    <w:t>排放</w:t>
                  </w:r>
                </w:p>
              </w:tc>
              <w:tc>
                <w:tcPr>
                  <w:tcW w:w="848" w:type="dxa"/>
                  <w:vAlign w:val="top"/>
                </w:tcPr>
                <w:p w14:paraId="42238ECA">
                  <w:pPr>
                    <w:spacing w:before="247"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14:paraId="3C4897EA">
                  <w:pPr>
                    <w:pStyle w:val="6"/>
                    <w:spacing w:before="216" w:line="220" w:lineRule="auto"/>
                    <w:ind w:left="218"/>
                    <w:rPr>
                      <w:sz w:val="18"/>
                      <w:szCs w:val="18"/>
                    </w:rPr>
                  </w:pPr>
                  <w:r>
                    <w:rPr>
                      <w:spacing w:val="-4"/>
                      <w:sz w:val="18"/>
                      <w:szCs w:val="18"/>
                    </w:rPr>
                    <w:t>新建</w:t>
                  </w:r>
                </w:p>
              </w:tc>
            </w:tr>
            <w:tr w14:paraId="1C4B6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tcBorders>
                  <w:vAlign w:val="top"/>
                </w:tcPr>
                <w:p w14:paraId="325780FC">
                  <w:pPr>
                    <w:rPr>
                      <w:rFonts w:ascii="Arial"/>
                      <w:sz w:val="21"/>
                    </w:rPr>
                  </w:pPr>
                </w:p>
              </w:tc>
              <w:tc>
                <w:tcPr>
                  <w:tcW w:w="5567" w:type="dxa"/>
                  <w:vAlign w:val="top"/>
                </w:tcPr>
                <w:p w14:paraId="3088EB78">
                  <w:pPr>
                    <w:pStyle w:val="6"/>
                    <w:spacing w:before="71" w:line="248" w:lineRule="auto"/>
                    <w:ind w:left="68" w:right="99"/>
                    <w:rPr>
                      <w:sz w:val="18"/>
                      <w:szCs w:val="18"/>
                    </w:rPr>
                  </w:pPr>
                  <w:r>
                    <w:rPr>
                      <w:sz w:val="18"/>
                      <w:szCs w:val="18"/>
                    </w:rPr>
                    <w:t>运输车辆扬尘：厂区转道路地面硬化处理，运输</w:t>
                  </w:r>
                  <w:r>
                    <w:rPr>
                      <w:spacing w:val="-1"/>
                      <w:sz w:val="18"/>
                      <w:szCs w:val="18"/>
                    </w:rPr>
                    <w:t>车辆进出口设车辆冲</w:t>
                  </w:r>
                  <w:r>
                    <w:rPr>
                      <w:sz w:val="18"/>
                      <w:szCs w:val="18"/>
                    </w:rPr>
                    <w:t xml:space="preserve"> </w:t>
                  </w:r>
                  <w:r>
                    <w:rPr>
                      <w:spacing w:val="-3"/>
                      <w:sz w:val="18"/>
                      <w:szCs w:val="18"/>
                    </w:rPr>
                    <w:t>洗设施</w:t>
                  </w:r>
                </w:p>
              </w:tc>
              <w:tc>
                <w:tcPr>
                  <w:tcW w:w="848" w:type="dxa"/>
                  <w:vAlign w:val="top"/>
                </w:tcPr>
                <w:p w14:paraId="63163980">
                  <w:pPr>
                    <w:spacing w:before="246"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764" w:type="dxa"/>
                  <w:vAlign w:val="top"/>
                </w:tcPr>
                <w:p w14:paraId="05270D57">
                  <w:pPr>
                    <w:pStyle w:val="6"/>
                    <w:spacing w:before="217" w:line="220" w:lineRule="auto"/>
                    <w:ind w:left="218"/>
                    <w:rPr>
                      <w:sz w:val="18"/>
                      <w:szCs w:val="18"/>
                    </w:rPr>
                  </w:pPr>
                  <w:r>
                    <w:rPr>
                      <w:spacing w:val="-4"/>
                      <w:sz w:val="18"/>
                      <w:szCs w:val="18"/>
                    </w:rPr>
                    <w:t>新建</w:t>
                  </w:r>
                </w:p>
              </w:tc>
            </w:tr>
            <w:tr w14:paraId="4C17B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5" w:type="dxa"/>
                  <w:vMerge w:val="restart"/>
                  <w:tcBorders>
                    <w:bottom w:val="nil"/>
                  </w:tcBorders>
                  <w:vAlign w:val="top"/>
                </w:tcPr>
                <w:p w14:paraId="7C6BF971">
                  <w:pPr>
                    <w:spacing w:line="245" w:lineRule="auto"/>
                    <w:rPr>
                      <w:rFonts w:ascii="Arial"/>
                      <w:sz w:val="21"/>
                    </w:rPr>
                  </w:pPr>
                </w:p>
                <w:p w14:paraId="26F6A2D1">
                  <w:pPr>
                    <w:spacing w:line="246" w:lineRule="auto"/>
                    <w:rPr>
                      <w:rFonts w:ascii="Arial"/>
                      <w:sz w:val="21"/>
                    </w:rPr>
                  </w:pPr>
                </w:p>
                <w:p w14:paraId="4BD2E9B3">
                  <w:pPr>
                    <w:spacing w:line="246" w:lineRule="auto"/>
                    <w:rPr>
                      <w:rFonts w:ascii="Arial"/>
                      <w:sz w:val="21"/>
                    </w:rPr>
                  </w:pPr>
                </w:p>
                <w:p w14:paraId="060DB5FF">
                  <w:pPr>
                    <w:pStyle w:val="6"/>
                    <w:spacing w:before="59" w:line="297" w:lineRule="auto"/>
                    <w:ind w:left="181" w:right="160" w:hanging="4"/>
                    <w:rPr>
                      <w:sz w:val="18"/>
                      <w:szCs w:val="18"/>
                    </w:rPr>
                  </w:pPr>
                  <w:r>
                    <w:rPr>
                      <w:spacing w:val="-10"/>
                      <w:sz w:val="18"/>
                      <w:szCs w:val="18"/>
                    </w:rPr>
                    <w:t>废水</w:t>
                  </w:r>
                  <w:r>
                    <w:rPr>
                      <w:sz w:val="18"/>
                      <w:szCs w:val="18"/>
                    </w:rPr>
                    <w:t xml:space="preserve"> </w:t>
                  </w:r>
                  <w:r>
                    <w:rPr>
                      <w:spacing w:val="-12"/>
                      <w:sz w:val="18"/>
                      <w:szCs w:val="18"/>
                    </w:rPr>
                    <w:t>处理</w:t>
                  </w:r>
                </w:p>
              </w:tc>
              <w:tc>
                <w:tcPr>
                  <w:tcW w:w="5567" w:type="dxa"/>
                  <w:vAlign w:val="top"/>
                </w:tcPr>
                <w:p w14:paraId="4CF417BA">
                  <w:pPr>
                    <w:pStyle w:val="6"/>
                    <w:spacing w:before="68" w:line="262" w:lineRule="auto"/>
                    <w:ind w:left="68" w:right="17" w:firstLine="2"/>
                    <w:jc w:val="both"/>
                    <w:rPr>
                      <w:sz w:val="18"/>
                      <w:szCs w:val="18"/>
                    </w:rPr>
                  </w:pPr>
                  <w:r>
                    <w:rPr>
                      <w:spacing w:val="-4"/>
                      <w:sz w:val="18"/>
                      <w:szCs w:val="18"/>
                    </w:rPr>
                    <w:t>生产废水：主要为切割废料冲洗废水、地面冲洗废水以及蒸汽冷凝水，</w:t>
                  </w:r>
                  <w:r>
                    <w:rPr>
                      <w:spacing w:val="16"/>
                      <w:sz w:val="18"/>
                      <w:szCs w:val="18"/>
                    </w:rPr>
                    <w:t xml:space="preserve"> </w:t>
                  </w:r>
                  <w:r>
                    <w:rPr>
                      <w:spacing w:val="-1"/>
                      <w:sz w:val="18"/>
                      <w:szCs w:val="18"/>
                    </w:rPr>
                    <w:t>设废水收集管沟，引至砌块车间的</w:t>
                  </w:r>
                  <w:r>
                    <w:rPr>
                      <w:spacing w:val="-39"/>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个废浆池（单个容积</w:t>
                  </w:r>
                  <w:r>
                    <w:rPr>
                      <w:spacing w:val="-36"/>
                      <w:sz w:val="18"/>
                      <w:szCs w:val="18"/>
                    </w:rPr>
                    <w:t xml:space="preserve"> </w:t>
                  </w:r>
                  <w:r>
                    <w:rPr>
                      <w:rFonts w:ascii="Times New Roman" w:hAnsi="Times New Roman" w:eastAsia="Times New Roman" w:cs="Times New Roman"/>
                      <w:spacing w:val="-1"/>
                      <w:sz w:val="18"/>
                      <w:szCs w:val="18"/>
                    </w:rPr>
                    <w:t>50m</w:t>
                  </w:r>
                  <w:r>
                    <w:rPr>
                      <w:rFonts w:ascii="Times New Roman" w:hAnsi="Times New Roman" w:eastAsia="Times New Roman" w:cs="Times New Roman"/>
                      <w:spacing w:val="-1"/>
                      <w:position w:val="6"/>
                      <w:sz w:val="11"/>
                      <w:szCs w:val="11"/>
                    </w:rPr>
                    <w:t>3</w:t>
                  </w:r>
                  <w:r>
                    <w:rPr>
                      <w:spacing w:val="-39"/>
                      <w:sz w:val="18"/>
                      <w:szCs w:val="18"/>
                    </w:rPr>
                    <w:t>），</w:t>
                  </w:r>
                  <w:r>
                    <w:rPr>
                      <w:spacing w:val="-1"/>
                      <w:sz w:val="18"/>
                      <w:szCs w:val="18"/>
                    </w:rPr>
                    <w:t>经</w:t>
                  </w:r>
                  <w:r>
                    <w:rPr>
                      <w:sz w:val="18"/>
                      <w:szCs w:val="18"/>
                    </w:rPr>
                    <w:t xml:space="preserve">  </w:t>
                  </w:r>
                  <w:r>
                    <w:rPr>
                      <w:spacing w:val="-1"/>
                      <w:sz w:val="18"/>
                      <w:szCs w:val="18"/>
                    </w:rPr>
                    <w:t>搅拌器搅拌打散后，泵至球磨机湿法研磨环节回用不外排</w:t>
                  </w:r>
                </w:p>
              </w:tc>
              <w:tc>
                <w:tcPr>
                  <w:tcW w:w="848" w:type="dxa"/>
                  <w:vAlign w:val="top"/>
                </w:tcPr>
                <w:p w14:paraId="1F67234C">
                  <w:pPr>
                    <w:spacing w:line="332" w:lineRule="auto"/>
                    <w:rPr>
                      <w:rFonts w:ascii="Arial"/>
                      <w:sz w:val="21"/>
                    </w:rPr>
                  </w:pPr>
                </w:p>
                <w:p w14:paraId="1B164CDA">
                  <w:pPr>
                    <w:spacing w:before="52"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w:t>
                  </w:r>
                </w:p>
              </w:tc>
              <w:tc>
                <w:tcPr>
                  <w:tcW w:w="764" w:type="dxa"/>
                  <w:vAlign w:val="top"/>
                </w:tcPr>
                <w:p w14:paraId="71ABA1A7">
                  <w:pPr>
                    <w:spacing w:line="295" w:lineRule="auto"/>
                    <w:rPr>
                      <w:rFonts w:ascii="Arial"/>
                      <w:sz w:val="21"/>
                    </w:rPr>
                  </w:pPr>
                </w:p>
                <w:p w14:paraId="4C33B09F">
                  <w:pPr>
                    <w:pStyle w:val="6"/>
                    <w:spacing w:before="58" w:line="220" w:lineRule="auto"/>
                    <w:ind w:left="218"/>
                    <w:rPr>
                      <w:sz w:val="18"/>
                      <w:szCs w:val="18"/>
                    </w:rPr>
                  </w:pPr>
                  <w:r>
                    <w:rPr>
                      <w:spacing w:val="-4"/>
                      <w:sz w:val="18"/>
                      <w:szCs w:val="18"/>
                    </w:rPr>
                    <w:t>新建</w:t>
                  </w:r>
                </w:p>
              </w:tc>
            </w:tr>
            <w:tr w14:paraId="0BC8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14:paraId="45351105">
                  <w:pPr>
                    <w:rPr>
                      <w:rFonts w:ascii="Arial"/>
                      <w:sz w:val="21"/>
                    </w:rPr>
                  </w:pPr>
                </w:p>
              </w:tc>
              <w:tc>
                <w:tcPr>
                  <w:tcW w:w="5567" w:type="dxa"/>
                  <w:vAlign w:val="top"/>
                </w:tcPr>
                <w:p w14:paraId="7E74F77D">
                  <w:pPr>
                    <w:pStyle w:val="6"/>
                    <w:spacing w:before="69" w:line="249" w:lineRule="auto"/>
                    <w:ind w:left="68" w:right="61" w:firstLine="2"/>
                    <w:rPr>
                      <w:sz w:val="18"/>
                      <w:szCs w:val="18"/>
                    </w:rPr>
                  </w:pPr>
                  <w:r>
                    <w:rPr>
                      <w:spacing w:val="-1"/>
                      <w:sz w:val="18"/>
                      <w:szCs w:val="18"/>
                    </w:rPr>
                    <w:t>生活污水：利用厂区已建化粪池（130m</w:t>
                  </w:r>
                  <w:r>
                    <w:rPr>
                      <w:spacing w:val="-1"/>
                      <w:position w:val="9"/>
                      <w:sz w:val="8"/>
                      <w:szCs w:val="8"/>
                    </w:rPr>
                    <w:t>3</w:t>
                  </w:r>
                  <w:r>
                    <w:rPr>
                      <w:spacing w:val="-13"/>
                      <w:position w:val="9"/>
                      <w:sz w:val="8"/>
                      <w:szCs w:val="8"/>
                    </w:rPr>
                    <w:t xml:space="preserve"> </w:t>
                  </w:r>
                  <w:r>
                    <w:rPr>
                      <w:spacing w:val="-1"/>
                      <w:sz w:val="18"/>
                      <w:szCs w:val="18"/>
                    </w:rPr>
                    <w:t>）收集处理后，</w:t>
                  </w:r>
                  <w:r>
                    <w:rPr>
                      <w:spacing w:val="-2"/>
                      <w:sz w:val="18"/>
                      <w:szCs w:val="18"/>
                    </w:rPr>
                    <w:t>定期委托专业</w:t>
                  </w:r>
                  <w:r>
                    <w:rPr>
                      <w:sz w:val="18"/>
                      <w:szCs w:val="18"/>
                    </w:rPr>
                    <w:t xml:space="preserve"> </w:t>
                  </w:r>
                  <w:r>
                    <w:rPr>
                      <w:spacing w:val="-1"/>
                      <w:sz w:val="18"/>
                      <w:szCs w:val="18"/>
                    </w:rPr>
                    <w:t>机构拉运至东岳场镇污水处理厂处理后达标排入双龙河</w:t>
                  </w:r>
                </w:p>
              </w:tc>
              <w:tc>
                <w:tcPr>
                  <w:tcW w:w="848" w:type="dxa"/>
                  <w:vAlign w:val="top"/>
                </w:tcPr>
                <w:p w14:paraId="2B46084A">
                  <w:pPr>
                    <w:spacing w:before="243" w:line="192" w:lineRule="auto"/>
                    <w:ind w:left="3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4" w:type="dxa"/>
                  <w:vAlign w:val="top"/>
                </w:tcPr>
                <w:p w14:paraId="7B249024">
                  <w:pPr>
                    <w:pStyle w:val="6"/>
                    <w:spacing w:before="215" w:line="220" w:lineRule="auto"/>
                    <w:ind w:left="218"/>
                    <w:rPr>
                      <w:sz w:val="18"/>
                      <w:szCs w:val="18"/>
                    </w:rPr>
                  </w:pPr>
                  <w:r>
                    <w:rPr>
                      <w:spacing w:val="-4"/>
                      <w:sz w:val="18"/>
                      <w:szCs w:val="18"/>
                    </w:rPr>
                    <w:t>新建</w:t>
                  </w:r>
                </w:p>
              </w:tc>
            </w:tr>
            <w:tr w14:paraId="0880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85" w:type="dxa"/>
                  <w:vMerge w:val="continue"/>
                  <w:tcBorders>
                    <w:top w:val="nil"/>
                    <w:bottom w:val="nil"/>
                  </w:tcBorders>
                  <w:vAlign w:val="top"/>
                </w:tcPr>
                <w:p w14:paraId="4FD8D4C3">
                  <w:pPr>
                    <w:rPr>
                      <w:rFonts w:ascii="Arial"/>
                      <w:sz w:val="21"/>
                    </w:rPr>
                  </w:pPr>
                </w:p>
              </w:tc>
              <w:tc>
                <w:tcPr>
                  <w:tcW w:w="5567" w:type="dxa"/>
                  <w:vAlign w:val="top"/>
                </w:tcPr>
                <w:p w14:paraId="501D0FD4">
                  <w:pPr>
                    <w:pStyle w:val="6"/>
                    <w:spacing w:before="80" w:line="219" w:lineRule="auto"/>
                    <w:ind w:left="70"/>
                    <w:rPr>
                      <w:sz w:val="18"/>
                      <w:szCs w:val="18"/>
                    </w:rPr>
                  </w:pPr>
                  <w:r>
                    <w:rPr>
                      <w:spacing w:val="-1"/>
                      <w:sz w:val="18"/>
                      <w:szCs w:val="18"/>
                    </w:rPr>
                    <w:t>车辆冲洗废水：冲洗设施旁设废水沉淀池（15m</w:t>
                  </w:r>
                  <w:r>
                    <w:rPr>
                      <w:spacing w:val="-1"/>
                      <w:position w:val="9"/>
                      <w:sz w:val="8"/>
                      <w:szCs w:val="8"/>
                    </w:rPr>
                    <w:t>3</w:t>
                  </w:r>
                  <w:r>
                    <w:rPr>
                      <w:spacing w:val="-37"/>
                      <w:sz w:val="18"/>
                      <w:szCs w:val="18"/>
                    </w:rPr>
                    <w:t>），</w:t>
                  </w:r>
                  <w:r>
                    <w:rPr>
                      <w:spacing w:val="-1"/>
                      <w:sz w:val="18"/>
                      <w:szCs w:val="18"/>
                    </w:rPr>
                    <w:t>处理后回用不外排</w:t>
                  </w:r>
                </w:p>
              </w:tc>
              <w:tc>
                <w:tcPr>
                  <w:tcW w:w="848" w:type="dxa"/>
                  <w:vAlign w:val="top"/>
                </w:tcPr>
                <w:p w14:paraId="1B26CDB7">
                  <w:pPr>
                    <w:spacing w:before="116"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764" w:type="dxa"/>
                  <w:vAlign w:val="top"/>
                </w:tcPr>
                <w:p w14:paraId="5514D182">
                  <w:pPr>
                    <w:pStyle w:val="6"/>
                    <w:spacing w:before="87" w:line="213" w:lineRule="auto"/>
                    <w:ind w:left="218"/>
                    <w:rPr>
                      <w:sz w:val="18"/>
                      <w:szCs w:val="18"/>
                    </w:rPr>
                  </w:pPr>
                  <w:r>
                    <w:rPr>
                      <w:spacing w:val="-4"/>
                      <w:sz w:val="18"/>
                      <w:szCs w:val="18"/>
                    </w:rPr>
                    <w:t>新建</w:t>
                  </w:r>
                </w:p>
              </w:tc>
            </w:tr>
            <w:tr w14:paraId="3F25B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85" w:type="dxa"/>
                  <w:vMerge w:val="continue"/>
                  <w:tcBorders>
                    <w:top w:val="nil"/>
                    <w:bottom w:val="nil"/>
                  </w:tcBorders>
                  <w:vAlign w:val="top"/>
                </w:tcPr>
                <w:p w14:paraId="22355BA8">
                  <w:pPr>
                    <w:rPr>
                      <w:rFonts w:ascii="Arial"/>
                      <w:sz w:val="21"/>
                    </w:rPr>
                  </w:pPr>
                </w:p>
              </w:tc>
              <w:tc>
                <w:tcPr>
                  <w:tcW w:w="5567" w:type="dxa"/>
                  <w:tcBorders>
                    <w:bottom w:val="nil"/>
                  </w:tcBorders>
                  <w:vAlign w:val="top"/>
                </w:tcPr>
                <w:p w14:paraId="513FDDE8">
                  <w:pPr>
                    <w:pStyle w:val="6"/>
                    <w:spacing w:before="79" w:line="219" w:lineRule="auto"/>
                    <w:ind w:left="76"/>
                    <w:rPr>
                      <w:sz w:val="18"/>
                      <w:szCs w:val="18"/>
                    </w:rPr>
                  </w:pPr>
                  <w:r>
                    <w:rPr>
                      <w:spacing w:val="-1"/>
                      <w:sz w:val="18"/>
                      <w:szCs w:val="18"/>
                    </w:rPr>
                    <w:t>雨水：项目厂区建设有雨水沟，接入附近雨水沟</w:t>
                  </w:r>
                </w:p>
              </w:tc>
              <w:tc>
                <w:tcPr>
                  <w:tcW w:w="848" w:type="dxa"/>
                  <w:tcBorders>
                    <w:bottom w:val="nil"/>
                  </w:tcBorders>
                  <w:vAlign w:val="top"/>
                </w:tcPr>
                <w:p w14:paraId="25530474">
                  <w:pPr>
                    <w:spacing w:before="112" w:line="192" w:lineRule="auto"/>
                    <w:ind w:left="3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4" w:type="dxa"/>
                  <w:tcBorders>
                    <w:bottom w:val="nil"/>
                  </w:tcBorders>
                  <w:vAlign w:val="top"/>
                </w:tcPr>
                <w:p w14:paraId="36184676">
                  <w:pPr>
                    <w:pStyle w:val="6"/>
                    <w:spacing w:before="87" w:line="215" w:lineRule="auto"/>
                    <w:ind w:left="134"/>
                    <w:rPr>
                      <w:sz w:val="18"/>
                      <w:szCs w:val="18"/>
                    </w:rPr>
                  </w:pPr>
                  <w:r>
                    <w:rPr>
                      <w:spacing w:val="-7"/>
                      <w:sz w:val="18"/>
                      <w:szCs w:val="18"/>
                    </w:rPr>
                    <w:t>计入工</w:t>
                  </w:r>
                </w:p>
              </w:tc>
            </w:tr>
          </w:tbl>
          <w:p w14:paraId="1CB02042">
            <w:pPr>
              <w:spacing w:line="98" w:lineRule="auto"/>
              <w:rPr>
                <w:rFonts w:ascii="Arial"/>
                <w:sz w:val="2"/>
              </w:rPr>
            </w:pPr>
          </w:p>
        </w:tc>
      </w:tr>
    </w:tbl>
    <w:p w14:paraId="3068DAB0">
      <w:pPr>
        <w:pStyle w:val="2"/>
      </w:pPr>
    </w:p>
    <w:p w14:paraId="37B1906C">
      <w:pPr>
        <w:sectPr>
          <w:footerReference r:id="rId86" w:type="default"/>
          <w:pgSz w:w="11907" w:h="16840"/>
          <w:pgMar w:top="1431" w:right="1490" w:bottom="1260" w:left="1489" w:header="0" w:footer="1080" w:gutter="0"/>
          <w:cols w:space="720" w:num="1"/>
        </w:sectPr>
      </w:pPr>
    </w:p>
    <w:p w14:paraId="3C964671">
      <w:pPr>
        <w:spacing w:before="2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35"/>
        <w:gridCol w:w="680"/>
        <w:gridCol w:w="5561"/>
        <w:gridCol w:w="847"/>
        <w:gridCol w:w="759"/>
        <w:gridCol w:w="145"/>
      </w:tblGrid>
      <w:tr w14:paraId="7D4AA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5" w:type="dxa"/>
            <w:vMerge w:val="restart"/>
            <w:tcBorders>
              <w:left w:val="single" w:color="000000" w:sz="6" w:space="0"/>
              <w:bottom w:val="nil"/>
            </w:tcBorders>
            <w:vAlign w:val="top"/>
          </w:tcPr>
          <w:p w14:paraId="0E37CE70">
            <w:pPr>
              <w:rPr>
                <w:rFonts w:ascii="Arial"/>
                <w:sz w:val="21"/>
              </w:rPr>
            </w:pPr>
          </w:p>
        </w:tc>
        <w:tc>
          <w:tcPr>
            <w:tcW w:w="135" w:type="dxa"/>
            <w:vMerge w:val="restart"/>
            <w:tcBorders>
              <w:bottom w:val="nil"/>
            </w:tcBorders>
            <w:vAlign w:val="top"/>
          </w:tcPr>
          <w:p w14:paraId="4008715A">
            <w:pPr>
              <w:rPr>
                <w:rFonts w:ascii="Arial"/>
                <w:sz w:val="21"/>
              </w:rPr>
            </w:pPr>
          </w:p>
        </w:tc>
        <w:tc>
          <w:tcPr>
            <w:tcW w:w="680" w:type="dxa"/>
            <w:vAlign w:val="top"/>
          </w:tcPr>
          <w:p w14:paraId="03FF342E">
            <w:pPr>
              <w:rPr>
                <w:rFonts w:ascii="Arial"/>
                <w:sz w:val="21"/>
              </w:rPr>
            </w:pPr>
          </w:p>
        </w:tc>
        <w:tc>
          <w:tcPr>
            <w:tcW w:w="5561" w:type="dxa"/>
            <w:vAlign w:val="top"/>
          </w:tcPr>
          <w:p w14:paraId="63772686">
            <w:pPr>
              <w:rPr>
                <w:rFonts w:ascii="Arial"/>
                <w:sz w:val="21"/>
              </w:rPr>
            </w:pPr>
          </w:p>
        </w:tc>
        <w:tc>
          <w:tcPr>
            <w:tcW w:w="847" w:type="dxa"/>
            <w:vAlign w:val="top"/>
          </w:tcPr>
          <w:p w14:paraId="46CD9892">
            <w:pPr>
              <w:rPr>
                <w:rFonts w:ascii="Arial"/>
                <w:sz w:val="21"/>
              </w:rPr>
            </w:pPr>
          </w:p>
        </w:tc>
        <w:tc>
          <w:tcPr>
            <w:tcW w:w="759" w:type="dxa"/>
            <w:vAlign w:val="top"/>
          </w:tcPr>
          <w:p w14:paraId="3EA3E22A">
            <w:pPr>
              <w:pStyle w:val="6"/>
              <w:spacing w:before="101" w:line="213" w:lineRule="auto"/>
              <w:ind w:left="137"/>
              <w:rPr>
                <w:sz w:val="18"/>
                <w:szCs w:val="18"/>
              </w:rPr>
            </w:pPr>
            <w:r>
              <w:rPr>
                <w:spacing w:val="-7"/>
                <w:sz w:val="18"/>
                <w:szCs w:val="18"/>
              </w:rPr>
              <w:t>程投资</w:t>
            </w:r>
          </w:p>
        </w:tc>
        <w:tc>
          <w:tcPr>
            <w:tcW w:w="145" w:type="dxa"/>
            <w:vMerge w:val="restart"/>
            <w:tcBorders>
              <w:bottom w:val="nil"/>
              <w:right w:val="single" w:color="000000" w:sz="6" w:space="0"/>
            </w:tcBorders>
            <w:vAlign w:val="top"/>
          </w:tcPr>
          <w:p w14:paraId="309377DD">
            <w:pPr>
              <w:rPr>
                <w:rFonts w:ascii="Arial"/>
                <w:sz w:val="21"/>
              </w:rPr>
            </w:pPr>
          </w:p>
        </w:tc>
      </w:tr>
      <w:tr w14:paraId="37F1E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785" w:type="dxa"/>
            <w:vMerge w:val="continue"/>
            <w:tcBorders>
              <w:top w:val="nil"/>
              <w:left w:val="single" w:color="000000" w:sz="6" w:space="0"/>
              <w:bottom w:val="nil"/>
            </w:tcBorders>
            <w:vAlign w:val="top"/>
          </w:tcPr>
          <w:p w14:paraId="5230C614">
            <w:pPr>
              <w:rPr>
                <w:rFonts w:ascii="Arial"/>
                <w:sz w:val="21"/>
              </w:rPr>
            </w:pPr>
          </w:p>
        </w:tc>
        <w:tc>
          <w:tcPr>
            <w:tcW w:w="135" w:type="dxa"/>
            <w:vMerge w:val="continue"/>
            <w:tcBorders>
              <w:top w:val="nil"/>
              <w:bottom w:val="nil"/>
            </w:tcBorders>
            <w:vAlign w:val="top"/>
          </w:tcPr>
          <w:p w14:paraId="54FF8060">
            <w:pPr>
              <w:rPr>
                <w:rFonts w:ascii="Arial"/>
                <w:sz w:val="21"/>
              </w:rPr>
            </w:pPr>
          </w:p>
        </w:tc>
        <w:tc>
          <w:tcPr>
            <w:tcW w:w="680" w:type="dxa"/>
            <w:vAlign w:val="top"/>
          </w:tcPr>
          <w:p w14:paraId="6EBB09C3">
            <w:pPr>
              <w:pStyle w:val="6"/>
              <w:spacing w:before="206" w:line="295" w:lineRule="auto"/>
              <w:ind w:left="180" w:right="163" w:hanging="2"/>
              <w:rPr>
                <w:sz w:val="18"/>
                <w:szCs w:val="18"/>
              </w:rPr>
            </w:pPr>
            <w:r>
              <w:rPr>
                <w:spacing w:val="-14"/>
                <w:sz w:val="18"/>
                <w:szCs w:val="18"/>
              </w:rPr>
              <w:t>噪声</w:t>
            </w:r>
            <w:r>
              <w:rPr>
                <w:sz w:val="18"/>
                <w:szCs w:val="18"/>
              </w:rPr>
              <w:t xml:space="preserve"> </w:t>
            </w:r>
            <w:r>
              <w:rPr>
                <w:spacing w:val="-16"/>
                <w:sz w:val="18"/>
                <w:szCs w:val="18"/>
              </w:rPr>
              <w:t>防治</w:t>
            </w:r>
          </w:p>
        </w:tc>
        <w:tc>
          <w:tcPr>
            <w:tcW w:w="5561" w:type="dxa"/>
            <w:vAlign w:val="top"/>
          </w:tcPr>
          <w:p w14:paraId="0691C102">
            <w:pPr>
              <w:pStyle w:val="6"/>
              <w:spacing w:before="71" w:line="260" w:lineRule="auto"/>
              <w:ind w:left="66" w:right="97" w:hanging="1"/>
              <w:jc w:val="both"/>
              <w:rPr>
                <w:sz w:val="18"/>
                <w:szCs w:val="18"/>
              </w:rPr>
            </w:pPr>
            <w:r>
              <w:rPr>
                <w:sz w:val="18"/>
                <w:szCs w:val="18"/>
              </w:rPr>
              <w:t>选用环保型低噪声设备、安装时采取基础减振、建</w:t>
            </w:r>
            <w:r>
              <w:rPr>
                <w:spacing w:val="-1"/>
                <w:sz w:val="18"/>
                <w:szCs w:val="18"/>
              </w:rPr>
              <w:t>筑隔声；设地下式</w:t>
            </w:r>
            <w:r>
              <w:rPr>
                <w:sz w:val="18"/>
                <w:szCs w:val="18"/>
              </w:rPr>
              <w:t xml:space="preserve"> 原料堆场，颚破机、筛分机安装在地下，建筑隔</w:t>
            </w:r>
            <w:r>
              <w:rPr>
                <w:spacing w:val="-1"/>
                <w:sz w:val="18"/>
                <w:szCs w:val="18"/>
              </w:rPr>
              <w:t>声；加强设备的维护</w:t>
            </w:r>
            <w:r>
              <w:rPr>
                <w:sz w:val="18"/>
                <w:szCs w:val="18"/>
              </w:rPr>
              <w:t xml:space="preserve"> 保养；优化布局，尽量远离厂房边界；合理安排</w:t>
            </w:r>
            <w:r>
              <w:rPr>
                <w:spacing w:val="-1"/>
                <w:sz w:val="18"/>
                <w:szCs w:val="18"/>
              </w:rPr>
              <w:t>生产及运输作业时间</w:t>
            </w:r>
          </w:p>
        </w:tc>
        <w:tc>
          <w:tcPr>
            <w:tcW w:w="847" w:type="dxa"/>
            <w:vAlign w:val="top"/>
          </w:tcPr>
          <w:p w14:paraId="071D53DA">
            <w:pPr>
              <w:spacing w:line="333" w:lineRule="auto"/>
              <w:rPr>
                <w:rFonts w:ascii="Arial"/>
                <w:sz w:val="21"/>
              </w:rPr>
            </w:pPr>
          </w:p>
          <w:p w14:paraId="12D380DA">
            <w:pPr>
              <w:spacing w:before="51"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759" w:type="dxa"/>
            <w:vAlign w:val="top"/>
          </w:tcPr>
          <w:p w14:paraId="1ECF6C8E">
            <w:pPr>
              <w:spacing w:line="297" w:lineRule="auto"/>
              <w:rPr>
                <w:rFonts w:ascii="Arial"/>
                <w:sz w:val="21"/>
              </w:rPr>
            </w:pPr>
          </w:p>
          <w:p w14:paraId="63B921FF">
            <w:pPr>
              <w:pStyle w:val="6"/>
              <w:spacing w:before="59" w:line="220" w:lineRule="auto"/>
              <w:ind w:left="222"/>
              <w:rPr>
                <w:sz w:val="18"/>
                <w:szCs w:val="18"/>
              </w:rPr>
            </w:pPr>
            <w:r>
              <w:rPr>
                <w:spacing w:val="-4"/>
                <w:sz w:val="18"/>
                <w:szCs w:val="18"/>
              </w:rPr>
              <w:t>新建</w:t>
            </w:r>
          </w:p>
        </w:tc>
        <w:tc>
          <w:tcPr>
            <w:tcW w:w="145" w:type="dxa"/>
            <w:vMerge w:val="continue"/>
            <w:tcBorders>
              <w:top w:val="nil"/>
              <w:bottom w:val="nil"/>
              <w:right w:val="single" w:color="000000" w:sz="6" w:space="0"/>
            </w:tcBorders>
            <w:vAlign w:val="top"/>
          </w:tcPr>
          <w:p w14:paraId="754645FC">
            <w:pPr>
              <w:rPr>
                <w:rFonts w:ascii="Arial"/>
                <w:sz w:val="21"/>
              </w:rPr>
            </w:pPr>
          </w:p>
        </w:tc>
      </w:tr>
      <w:tr w14:paraId="772D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785" w:type="dxa"/>
            <w:vMerge w:val="continue"/>
            <w:tcBorders>
              <w:top w:val="nil"/>
              <w:left w:val="single" w:color="000000" w:sz="6" w:space="0"/>
              <w:bottom w:val="nil"/>
            </w:tcBorders>
            <w:vAlign w:val="top"/>
          </w:tcPr>
          <w:p w14:paraId="2D5EB61D">
            <w:pPr>
              <w:rPr>
                <w:rFonts w:ascii="Arial"/>
                <w:sz w:val="21"/>
              </w:rPr>
            </w:pPr>
          </w:p>
        </w:tc>
        <w:tc>
          <w:tcPr>
            <w:tcW w:w="135" w:type="dxa"/>
            <w:vMerge w:val="continue"/>
            <w:tcBorders>
              <w:top w:val="nil"/>
              <w:bottom w:val="nil"/>
            </w:tcBorders>
            <w:vAlign w:val="top"/>
          </w:tcPr>
          <w:p w14:paraId="3E0440BD">
            <w:pPr>
              <w:rPr>
                <w:rFonts w:ascii="Arial"/>
                <w:sz w:val="21"/>
              </w:rPr>
            </w:pPr>
          </w:p>
        </w:tc>
        <w:tc>
          <w:tcPr>
            <w:tcW w:w="680" w:type="dxa"/>
            <w:vMerge w:val="restart"/>
            <w:tcBorders>
              <w:bottom w:val="nil"/>
            </w:tcBorders>
            <w:vAlign w:val="top"/>
          </w:tcPr>
          <w:p w14:paraId="32431490">
            <w:pPr>
              <w:spacing w:line="289" w:lineRule="auto"/>
              <w:rPr>
                <w:rFonts w:ascii="Arial"/>
                <w:sz w:val="21"/>
              </w:rPr>
            </w:pPr>
          </w:p>
          <w:p w14:paraId="79386A6D">
            <w:pPr>
              <w:spacing w:line="289" w:lineRule="auto"/>
              <w:rPr>
                <w:rFonts w:ascii="Arial"/>
                <w:sz w:val="21"/>
              </w:rPr>
            </w:pPr>
          </w:p>
          <w:p w14:paraId="737E18EC">
            <w:pPr>
              <w:spacing w:line="290" w:lineRule="auto"/>
              <w:rPr>
                <w:rFonts w:ascii="Arial"/>
                <w:sz w:val="21"/>
              </w:rPr>
            </w:pPr>
          </w:p>
          <w:p w14:paraId="0DEC8F8A">
            <w:pPr>
              <w:spacing w:line="290" w:lineRule="auto"/>
              <w:rPr>
                <w:rFonts w:ascii="Arial"/>
                <w:sz w:val="21"/>
              </w:rPr>
            </w:pPr>
          </w:p>
          <w:p w14:paraId="48AD2726">
            <w:pPr>
              <w:pStyle w:val="6"/>
              <w:spacing w:before="58" w:line="297" w:lineRule="auto"/>
              <w:ind w:left="173" w:right="163" w:firstLine="11"/>
              <w:rPr>
                <w:sz w:val="18"/>
                <w:szCs w:val="18"/>
              </w:rPr>
            </w:pPr>
            <w:r>
              <w:rPr>
                <w:spacing w:val="-18"/>
                <w:sz w:val="18"/>
                <w:szCs w:val="18"/>
              </w:rPr>
              <w:t>固废</w:t>
            </w:r>
            <w:r>
              <w:rPr>
                <w:sz w:val="18"/>
                <w:szCs w:val="18"/>
              </w:rPr>
              <w:t xml:space="preserve"> </w:t>
            </w:r>
            <w:r>
              <w:rPr>
                <w:spacing w:val="-12"/>
                <w:sz w:val="18"/>
                <w:szCs w:val="18"/>
              </w:rPr>
              <w:t>处置</w:t>
            </w:r>
          </w:p>
        </w:tc>
        <w:tc>
          <w:tcPr>
            <w:tcW w:w="5561" w:type="dxa"/>
            <w:vAlign w:val="top"/>
          </w:tcPr>
          <w:p w14:paraId="3852A50D">
            <w:pPr>
              <w:pStyle w:val="6"/>
              <w:spacing w:before="93" w:line="256" w:lineRule="auto"/>
              <w:ind w:left="72" w:right="14" w:hanging="7"/>
              <w:rPr>
                <w:sz w:val="18"/>
                <w:szCs w:val="18"/>
              </w:rPr>
            </w:pPr>
            <w:r>
              <w:rPr>
                <w:spacing w:val="-4"/>
                <w:sz w:val="18"/>
                <w:szCs w:val="18"/>
              </w:rPr>
              <w:t>切割废料、不合格产品、运板机清扫固废、收尘灰等：属于一般固废，</w:t>
            </w:r>
            <w:r>
              <w:rPr>
                <w:spacing w:val="18"/>
                <w:sz w:val="18"/>
                <w:szCs w:val="18"/>
              </w:rPr>
              <w:t xml:space="preserve"> </w:t>
            </w:r>
            <w:r>
              <w:rPr>
                <w:spacing w:val="-2"/>
                <w:sz w:val="18"/>
                <w:szCs w:val="18"/>
              </w:rPr>
              <w:t>收集后及时返回生产线回用</w:t>
            </w:r>
          </w:p>
        </w:tc>
        <w:tc>
          <w:tcPr>
            <w:tcW w:w="847" w:type="dxa"/>
            <w:vAlign w:val="top"/>
          </w:tcPr>
          <w:p w14:paraId="33F19C4C">
            <w:pPr>
              <w:spacing w:before="266" w:line="192" w:lineRule="auto"/>
              <w:ind w:left="3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4BCB8798">
            <w:pPr>
              <w:pStyle w:val="6"/>
              <w:spacing w:before="89" w:line="258" w:lineRule="auto"/>
              <w:ind w:left="140" w:right="107" w:hanging="2"/>
              <w:rPr>
                <w:sz w:val="18"/>
                <w:szCs w:val="18"/>
              </w:rPr>
            </w:pPr>
            <w:r>
              <w:rPr>
                <w:spacing w:val="-11"/>
                <w:sz w:val="18"/>
                <w:szCs w:val="18"/>
              </w:rPr>
              <w:t>计入运</w:t>
            </w:r>
            <w:r>
              <w:rPr>
                <w:sz w:val="18"/>
                <w:szCs w:val="18"/>
              </w:rPr>
              <w:t xml:space="preserve"> </w:t>
            </w:r>
            <w:r>
              <w:rPr>
                <w:spacing w:val="-12"/>
                <w:sz w:val="18"/>
                <w:szCs w:val="18"/>
              </w:rPr>
              <w:t>行费用</w:t>
            </w:r>
          </w:p>
        </w:tc>
        <w:tc>
          <w:tcPr>
            <w:tcW w:w="145" w:type="dxa"/>
            <w:vMerge w:val="continue"/>
            <w:tcBorders>
              <w:top w:val="nil"/>
              <w:bottom w:val="nil"/>
              <w:right w:val="single" w:color="000000" w:sz="6" w:space="0"/>
            </w:tcBorders>
            <w:vAlign w:val="top"/>
          </w:tcPr>
          <w:p w14:paraId="2872B284">
            <w:pPr>
              <w:rPr>
                <w:rFonts w:ascii="Arial"/>
                <w:sz w:val="21"/>
              </w:rPr>
            </w:pPr>
          </w:p>
        </w:tc>
      </w:tr>
      <w:tr w14:paraId="4A59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2" w:hRule="atLeast"/>
        </w:trPr>
        <w:tc>
          <w:tcPr>
            <w:tcW w:w="785" w:type="dxa"/>
            <w:vMerge w:val="continue"/>
            <w:tcBorders>
              <w:top w:val="nil"/>
              <w:left w:val="single" w:color="000000" w:sz="6" w:space="0"/>
              <w:bottom w:val="nil"/>
            </w:tcBorders>
            <w:vAlign w:val="top"/>
          </w:tcPr>
          <w:p w14:paraId="3BB6C948">
            <w:pPr>
              <w:rPr>
                <w:rFonts w:ascii="Arial"/>
                <w:sz w:val="21"/>
              </w:rPr>
            </w:pPr>
          </w:p>
        </w:tc>
        <w:tc>
          <w:tcPr>
            <w:tcW w:w="135" w:type="dxa"/>
            <w:vMerge w:val="continue"/>
            <w:tcBorders>
              <w:top w:val="nil"/>
              <w:bottom w:val="nil"/>
            </w:tcBorders>
            <w:vAlign w:val="top"/>
          </w:tcPr>
          <w:p w14:paraId="15A45313">
            <w:pPr>
              <w:rPr>
                <w:rFonts w:ascii="Arial"/>
                <w:sz w:val="21"/>
              </w:rPr>
            </w:pPr>
          </w:p>
        </w:tc>
        <w:tc>
          <w:tcPr>
            <w:tcW w:w="680" w:type="dxa"/>
            <w:vMerge w:val="continue"/>
            <w:tcBorders>
              <w:top w:val="nil"/>
              <w:bottom w:val="nil"/>
            </w:tcBorders>
            <w:vAlign w:val="top"/>
          </w:tcPr>
          <w:p w14:paraId="1630DED7">
            <w:pPr>
              <w:rPr>
                <w:rFonts w:ascii="Arial"/>
                <w:sz w:val="21"/>
              </w:rPr>
            </w:pPr>
          </w:p>
        </w:tc>
        <w:tc>
          <w:tcPr>
            <w:tcW w:w="5561" w:type="dxa"/>
            <w:vAlign w:val="top"/>
          </w:tcPr>
          <w:p w14:paraId="43780CE4">
            <w:pPr>
              <w:pStyle w:val="6"/>
              <w:spacing w:before="78" w:line="265" w:lineRule="auto"/>
              <w:ind w:left="65" w:right="97"/>
              <w:rPr>
                <w:sz w:val="18"/>
                <w:szCs w:val="18"/>
              </w:rPr>
            </w:pPr>
            <w:r>
              <w:rPr>
                <w:sz w:val="18"/>
                <w:szCs w:val="18"/>
              </w:rPr>
              <w:t>废脱模剂桶等一般固废：包括废脱模剂桶、废包装</w:t>
            </w:r>
            <w:r>
              <w:rPr>
                <w:spacing w:val="-1"/>
                <w:sz w:val="18"/>
                <w:szCs w:val="18"/>
              </w:rPr>
              <w:t>材料、废钢筋节、</w:t>
            </w:r>
            <w:r>
              <w:rPr>
                <w:sz w:val="18"/>
                <w:szCs w:val="18"/>
              </w:rPr>
              <w:t xml:space="preserve"> 废水性漆桶、漆渣、废离子树脂等，及时收集后在</w:t>
            </w:r>
            <w:r>
              <w:rPr>
                <w:spacing w:val="-1"/>
                <w:sz w:val="18"/>
                <w:szCs w:val="18"/>
              </w:rPr>
              <w:t>厂区固定收集点堆</w:t>
            </w:r>
            <w:r>
              <w:rPr>
                <w:sz w:val="18"/>
                <w:szCs w:val="18"/>
              </w:rPr>
              <w:t xml:space="preserve"> 放或者物资库存放，外售废品回收站、由厂家回收</w:t>
            </w:r>
            <w:r>
              <w:rPr>
                <w:spacing w:val="-1"/>
                <w:sz w:val="18"/>
                <w:szCs w:val="18"/>
              </w:rPr>
              <w:t>处置或专业机构收</w:t>
            </w:r>
            <w:r>
              <w:rPr>
                <w:sz w:val="18"/>
                <w:szCs w:val="18"/>
              </w:rPr>
              <w:t xml:space="preserve"> </w:t>
            </w:r>
            <w:r>
              <w:rPr>
                <w:spacing w:val="-3"/>
                <w:sz w:val="18"/>
                <w:szCs w:val="18"/>
              </w:rPr>
              <w:t>集处置</w:t>
            </w:r>
          </w:p>
        </w:tc>
        <w:tc>
          <w:tcPr>
            <w:tcW w:w="847" w:type="dxa"/>
            <w:vAlign w:val="top"/>
          </w:tcPr>
          <w:p w14:paraId="3EA054E3">
            <w:pPr>
              <w:spacing w:line="474" w:lineRule="auto"/>
              <w:rPr>
                <w:rFonts w:ascii="Arial"/>
                <w:sz w:val="21"/>
              </w:rPr>
            </w:pPr>
          </w:p>
          <w:p w14:paraId="7679283F">
            <w:pPr>
              <w:spacing w:before="52" w:line="192" w:lineRule="auto"/>
              <w:ind w:left="3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19E567AD">
            <w:pPr>
              <w:spacing w:line="440" w:lineRule="auto"/>
              <w:rPr>
                <w:rFonts w:ascii="Arial"/>
                <w:sz w:val="21"/>
              </w:rPr>
            </w:pPr>
          </w:p>
          <w:p w14:paraId="5D617B76">
            <w:pPr>
              <w:pStyle w:val="6"/>
              <w:spacing w:before="59" w:line="221" w:lineRule="auto"/>
              <w:ind w:left="222"/>
              <w:rPr>
                <w:sz w:val="18"/>
                <w:szCs w:val="18"/>
              </w:rPr>
            </w:pPr>
            <w:r>
              <w:rPr>
                <w:spacing w:val="-4"/>
                <w:sz w:val="18"/>
                <w:szCs w:val="18"/>
              </w:rPr>
              <w:t>利旧</w:t>
            </w:r>
          </w:p>
        </w:tc>
        <w:tc>
          <w:tcPr>
            <w:tcW w:w="145" w:type="dxa"/>
            <w:vMerge w:val="continue"/>
            <w:tcBorders>
              <w:top w:val="nil"/>
              <w:bottom w:val="nil"/>
              <w:right w:val="single" w:color="000000" w:sz="6" w:space="0"/>
            </w:tcBorders>
            <w:vAlign w:val="top"/>
          </w:tcPr>
          <w:p w14:paraId="45616C90">
            <w:pPr>
              <w:rPr>
                <w:rFonts w:ascii="Arial"/>
                <w:sz w:val="21"/>
              </w:rPr>
            </w:pPr>
          </w:p>
        </w:tc>
      </w:tr>
      <w:tr w14:paraId="4A72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785" w:type="dxa"/>
            <w:vMerge w:val="continue"/>
            <w:tcBorders>
              <w:top w:val="nil"/>
              <w:left w:val="single" w:color="000000" w:sz="6" w:space="0"/>
              <w:bottom w:val="nil"/>
            </w:tcBorders>
            <w:vAlign w:val="top"/>
          </w:tcPr>
          <w:p w14:paraId="1BE6DDCC">
            <w:pPr>
              <w:rPr>
                <w:rFonts w:ascii="Arial"/>
                <w:sz w:val="21"/>
              </w:rPr>
            </w:pPr>
          </w:p>
        </w:tc>
        <w:tc>
          <w:tcPr>
            <w:tcW w:w="135" w:type="dxa"/>
            <w:vMerge w:val="continue"/>
            <w:tcBorders>
              <w:top w:val="nil"/>
              <w:bottom w:val="nil"/>
            </w:tcBorders>
            <w:vAlign w:val="top"/>
          </w:tcPr>
          <w:p w14:paraId="5F79B9B8">
            <w:pPr>
              <w:rPr>
                <w:rFonts w:ascii="Arial"/>
                <w:sz w:val="21"/>
              </w:rPr>
            </w:pPr>
          </w:p>
        </w:tc>
        <w:tc>
          <w:tcPr>
            <w:tcW w:w="680" w:type="dxa"/>
            <w:vMerge w:val="continue"/>
            <w:tcBorders>
              <w:top w:val="nil"/>
              <w:bottom w:val="nil"/>
            </w:tcBorders>
            <w:vAlign w:val="top"/>
          </w:tcPr>
          <w:p w14:paraId="6F3B2B74">
            <w:pPr>
              <w:rPr>
                <w:rFonts w:ascii="Arial"/>
                <w:sz w:val="21"/>
              </w:rPr>
            </w:pPr>
          </w:p>
        </w:tc>
        <w:tc>
          <w:tcPr>
            <w:tcW w:w="5561" w:type="dxa"/>
            <w:vAlign w:val="top"/>
          </w:tcPr>
          <w:p w14:paraId="06FAF718">
            <w:pPr>
              <w:pStyle w:val="6"/>
              <w:spacing w:before="79" w:line="243" w:lineRule="auto"/>
              <w:ind w:left="79" w:right="97" w:hanging="11"/>
              <w:rPr>
                <w:sz w:val="18"/>
                <w:szCs w:val="18"/>
              </w:rPr>
            </w:pPr>
            <w:r>
              <w:rPr>
                <w:spacing w:val="-1"/>
                <w:sz w:val="18"/>
                <w:szCs w:val="18"/>
              </w:rPr>
              <w:t>危险废：包括废机油、废机油桶、废</w:t>
            </w:r>
            <w:r>
              <w:rPr>
                <w:spacing w:val="-27"/>
                <w:sz w:val="18"/>
                <w:szCs w:val="18"/>
              </w:rPr>
              <w:t xml:space="preserve"> </w:t>
            </w:r>
            <w:r>
              <w:rPr>
                <w:rFonts w:ascii="Times New Roman" w:hAnsi="Times New Roman" w:eastAsia="Times New Roman" w:cs="Times New Roman"/>
                <w:spacing w:val="-1"/>
                <w:sz w:val="18"/>
                <w:szCs w:val="18"/>
              </w:rPr>
              <w:t xml:space="preserve">UV </w:t>
            </w:r>
            <w:r>
              <w:rPr>
                <w:spacing w:val="-1"/>
                <w:sz w:val="18"/>
                <w:szCs w:val="18"/>
              </w:rPr>
              <w:t>灯管、废活性炭等，利用厂</w:t>
            </w:r>
            <w:r>
              <w:rPr>
                <w:sz w:val="18"/>
                <w:szCs w:val="18"/>
              </w:rPr>
              <w:t xml:space="preserve"> </w:t>
            </w:r>
            <w:r>
              <w:rPr>
                <w:spacing w:val="-1"/>
                <w:sz w:val="18"/>
                <w:szCs w:val="18"/>
              </w:rPr>
              <w:t>区现有危废间收集暂存，委托有资质的单位回收处置，建立危废台账</w:t>
            </w:r>
          </w:p>
        </w:tc>
        <w:tc>
          <w:tcPr>
            <w:tcW w:w="847" w:type="dxa"/>
            <w:vAlign w:val="top"/>
          </w:tcPr>
          <w:p w14:paraId="0545A17F">
            <w:pPr>
              <w:spacing w:before="251" w:line="192" w:lineRule="auto"/>
              <w:ind w:left="3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24D8216E">
            <w:pPr>
              <w:pStyle w:val="6"/>
              <w:spacing w:before="226" w:line="221" w:lineRule="auto"/>
              <w:ind w:left="222"/>
              <w:rPr>
                <w:sz w:val="18"/>
                <w:szCs w:val="18"/>
              </w:rPr>
            </w:pPr>
            <w:r>
              <w:rPr>
                <w:spacing w:val="-4"/>
                <w:sz w:val="18"/>
                <w:szCs w:val="18"/>
              </w:rPr>
              <w:t>利旧</w:t>
            </w:r>
          </w:p>
        </w:tc>
        <w:tc>
          <w:tcPr>
            <w:tcW w:w="145" w:type="dxa"/>
            <w:vMerge w:val="continue"/>
            <w:tcBorders>
              <w:top w:val="nil"/>
              <w:bottom w:val="nil"/>
              <w:right w:val="single" w:color="000000" w:sz="6" w:space="0"/>
            </w:tcBorders>
            <w:vAlign w:val="top"/>
          </w:tcPr>
          <w:p w14:paraId="319B485C">
            <w:pPr>
              <w:rPr>
                <w:rFonts w:ascii="Arial"/>
                <w:sz w:val="21"/>
              </w:rPr>
            </w:pPr>
          </w:p>
        </w:tc>
      </w:tr>
      <w:tr w14:paraId="6EF7D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5" w:type="dxa"/>
            <w:vMerge w:val="continue"/>
            <w:tcBorders>
              <w:top w:val="nil"/>
              <w:left w:val="single" w:color="000000" w:sz="6" w:space="0"/>
              <w:bottom w:val="nil"/>
            </w:tcBorders>
            <w:vAlign w:val="top"/>
          </w:tcPr>
          <w:p w14:paraId="4BDFA0B8">
            <w:pPr>
              <w:rPr>
                <w:rFonts w:ascii="Arial"/>
                <w:sz w:val="21"/>
              </w:rPr>
            </w:pPr>
          </w:p>
        </w:tc>
        <w:tc>
          <w:tcPr>
            <w:tcW w:w="135" w:type="dxa"/>
            <w:vMerge w:val="continue"/>
            <w:tcBorders>
              <w:top w:val="nil"/>
              <w:bottom w:val="nil"/>
            </w:tcBorders>
            <w:vAlign w:val="top"/>
          </w:tcPr>
          <w:p w14:paraId="0D68CDE4">
            <w:pPr>
              <w:rPr>
                <w:rFonts w:ascii="Arial"/>
                <w:sz w:val="21"/>
              </w:rPr>
            </w:pPr>
          </w:p>
        </w:tc>
        <w:tc>
          <w:tcPr>
            <w:tcW w:w="680" w:type="dxa"/>
            <w:vMerge w:val="continue"/>
            <w:tcBorders>
              <w:top w:val="nil"/>
            </w:tcBorders>
            <w:vAlign w:val="top"/>
          </w:tcPr>
          <w:p w14:paraId="1AC9F60F">
            <w:pPr>
              <w:rPr>
                <w:rFonts w:ascii="Arial"/>
                <w:sz w:val="21"/>
              </w:rPr>
            </w:pPr>
          </w:p>
        </w:tc>
        <w:tc>
          <w:tcPr>
            <w:tcW w:w="5561" w:type="dxa"/>
            <w:vAlign w:val="top"/>
          </w:tcPr>
          <w:p w14:paraId="10BB318A">
            <w:pPr>
              <w:pStyle w:val="6"/>
              <w:spacing w:before="81" w:line="242" w:lineRule="auto"/>
              <w:ind w:left="66" w:right="97" w:firstLine="1"/>
              <w:rPr>
                <w:sz w:val="18"/>
                <w:szCs w:val="18"/>
              </w:rPr>
            </w:pPr>
            <w:r>
              <w:rPr>
                <w:sz w:val="18"/>
                <w:szCs w:val="18"/>
              </w:rPr>
              <w:t>生活垃圾：袋装收集后运至附近场镇生活垃圾</w:t>
            </w:r>
            <w:r>
              <w:rPr>
                <w:spacing w:val="-1"/>
                <w:sz w:val="18"/>
                <w:szCs w:val="18"/>
              </w:rPr>
              <w:t>收集点，由环卫负责清</w:t>
            </w:r>
            <w:r>
              <w:rPr>
                <w:sz w:val="18"/>
                <w:szCs w:val="18"/>
              </w:rPr>
              <w:t xml:space="preserve"> 运</w:t>
            </w:r>
          </w:p>
        </w:tc>
        <w:tc>
          <w:tcPr>
            <w:tcW w:w="847" w:type="dxa"/>
            <w:vAlign w:val="top"/>
          </w:tcPr>
          <w:p w14:paraId="67FAAE64">
            <w:pPr>
              <w:spacing w:before="258"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759" w:type="dxa"/>
            <w:vAlign w:val="top"/>
          </w:tcPr>
          <w:p w14:paraId="43F01CB7">
            <w:pPr>
              <w:pStyle w:val="6"/>
              <w:spacing w:before="227" w:line="220" w:lineRule="auto"/>
              <w:ind w:left="222"/>
              <w:rPr>
                <w:sz w:val="18"/>
                <w:szCs w:val="18"/>
              </w:rPr>
            </w:pPr>
            <w:r>
              <w:rPr>
                <w:spacing w:val="-4"/>
                <w:sz w:val="18"/>
                <w:szCs w:val="18"/>
              </w:rPr>
              <w:t>新建</w:t>
            </w:r>
          </w:p>
        </w:tc>
        <w:tc>
          <w:tcPr>
            <w:tcW w:w="145" w:type="dxa"/>
            <w:vMerge w:val="continue"/>
            <w:tcBorders>
              <w:top w:val="nil"/>
              <w:bottom w:val="nil"/>
              <w:right w:val="single" w:color="000000" w:sz="6" w:space="0"/>
            </w:tcBorders>
            <w:vAlign w:val="top"/>
          </w:tcPr>
          <w:p w14:paraId="4B9672F9">
            <w:pPr>
              <w:rPr>
                <w:rFonts w:ascii="Arial"/>
                <w:sz w:val="21"/>
              </w:rPr>
            </w:pPr>
          </w:p>
        </w:tc>
      </w:tr>
      <w:tr w14:paraId="21C8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785" w:type="dxa"/>
            <w:vMerge w:val="continue"/>
            <w:tcBorders>
              <w:top w:val="nil"/>
              <w:left w:val="single" w:color="000000" w:sz="6" w:space="0"/>
              <w:bottom w:val="nil"/>
            </w:tcBorders>
            <w:vAlign w:val="top"/>
          </w:tcPr>
          <w:p w14:paraId="3CC82148">
            <w:pPr>
              <w:rPr>
                <w:rFonts w:ascii="Arial"/>
                <w:sz w:val="21"/>
              </w:rPr>
            </w:pPr>
          </w:p>
        </w:tc>
        <w:tc>
          <w:tcPr>
            <w:tcW w:w="135" w:type="dxa"/>
            <w:vMerge w:val="continue"/>
            <w:tcBorders>
              <w:top w:val="nil"/>
              <w:bottom w:val="nil"/>
            </w:tcBorders>
            <w:vAlign w:val="top"/>
          </w:tcPr>
          <w:p w14:paraId="7DC021F8">
            <w:pPr>
              <w:rPr>
                <w:rFonts w:ascii="Arial"/>
                <w:sz w:val="21"/>
              </w:rPr>
            </w:pPr>
          </w:p>
        </w:tc>
        <w:tc>
          <w:tcPr>
            <w:tcW w:w="6241" w:type="dxa"/>
            <w:gridSpan w:val="2"/>
            <w:vAlign w:val="top"/>
          </w:tcPr>
          <w:p w14:paraId="425F4106">
            <w:pPr>
              <w:pStyle w:val="6"/>
              <w:spacing w:before="98" w:line="201" w:lineRule="auto"/>
              <w:ind w:left="2877"/>
              <w:rPr>
                <w:sz w:val="18"/>
                <w:szCs w:val="18"/>
              </w:rPr>
            </w:pPr>
            <w:r>
              <w:rPr>
                <w:spacing w:val="-4"/>
                <w:sz w:val="18"/>
                <w:szCs w:val="18"/>
              </w:rPr>
              <w:t>合</w:t>
            </w:r>
            <w:r>
              <w:rPr>
                <w:spacing w:val="61"/>
                <w:sz w:val="18"/>
                <w:szCs w:val="18"/>
              </w:rPr>
              <w:t xml:space="preserve"> </w:t>
            </w:r>
            <w:r>
              <w:rPr>
                <w:spacing w:val="-4"/>
                <w:sz w:val="18"/>
                <w:szCs w:val="18"/>
              </w:rPr>
              <w:t>计</w:t>
            </w:r>
          </w:p>
        </w:tc>
        <w:tc>
          <w:tcPr>
            <w:tcW w:w="847" w:type="dxa"/>
            <w:vAlign w:val="top"/>
          </w:tcPr>
          <w:p w14:paraId="5153D229">
            <w:pPr>
              <w:spacing w:before="129"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121.5</w:t>
            </w:r>
          </w:p>
        </w:tc>
        <w:tc>
          <w:tcPr>
            <w:tcW w:w="759" w:type="dxa"/>
            <w:vAlign w:val="top"/>
          </w:tcPr>
          <w:p w14:paraId="748F12A6">
            <w:pPr>
              <w:spacing w:before="129"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1.46%</w:t>
            </w:r>
          </w:p>
        </w:tc>
        <w:tc>
          <w:tcPr>
            <w:tcW w:w="145" w:type="dxa"/>
            <w:vMerge w:val="continue"/>
            <w:tcBorders>
              <w:top w:val="nil"/>
              <w:bottom w:val="nil"/>
              <w:right w:val="single" w:color="000000" w:sz="6" w:space="0"/>
            </w:tcBorders>
            <w:vAlign w:val="top"/>
          </w:tcPr>
          <w:p w14:paraId="73A8FFFD">
            <w:pPr>
              <w:rPr>
                <w:rFonts w:ascii="Arial"/>
                <w:sz w:val="21"/>
              </w:rPr>
            </w:pPr>
          </w:p>
        </w:tc>
      </w:tr>
      <w:tr w14:paraId="7B96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85" w:type="dxa"/>
            <w:vMerge w:val="continue"/>
            <w:tcBorders>
              <w:top w:val="nil"/>
              <w:left w:val="single" w:color="000000" w:sz="6" w:space="0"/>
              <w:bottom w:val="single" w:color="000000" w:sz="6" w:space="0"/>
            </w:tcBorders>
            <w:vAlign w:val="top"/>
          </w:tcPr>
          <w:p w14:paraId="7BE21062">
            <w:pPr>
              <w:rPr>
                <w:rFonts w:ascii="Arial"/>
                <w:sz w:val="21"/>
              </w:rPr>
            </w:pPr>
          </w:p>
        </w:tc>
        <w:tc>
          <w:tcPr>
            <w:tcW w:w="8127" w:type="dxa"/>
            <w:gridSpan w:val="6"/>
            <w:tcBorders>
              <w:bottom w:val="single" w:color="000000" w:sz="6" w:space="0"/>
              <w:right w:val="single" w:color="000000" w:sz="6" w:space="0"/>
            </w:tcBorders>
            <w:vAlign w:val="top"/>
          </w:tcPr>
          <w:p w14:paraId="2BAEC02F">
            <w:pPr>
              <w:rPr>
                <w:rFonts w:ascii="Arial"/>
                <w:sz w:val="21"/>
              </w:rPr>
            </w:pPr>
          </w:p>
        </w:tc>
      </w:tr>
    </w:tbl>
    <w:p w14:paraId="3C676A72">
      <w:pPr>
        <w:pStyle w:val="2"/>
      </w:pPr>
    </w:p>
    <w:p w14:paraId="1A8A561E">
      <w:pPr>
        <w:sectPr>
          <w:footerReference r:id="rId87" w:type="default"/>
          <w:pgSz w:w="11907" w:h="16840"/>
          <w:pgMar w:top="1431" w:right="1490" w:bottom="1260" w:left="1489" w:header="0" w:footer="1080" w:gutter="0"/>
          <w:cols w:space="720" w:num="1"/>
        </w:sectPr>
      </w:pPr>
    </w:p>
    <w:p w14:paraId="0AE973E4">
      <w:pPr>
        <w:pStyle w:val="2"/>
        <w:spacing w:line="246" w:lineRule="auto"/>
      </w:pPr>
    </w:p>
    <w:p w14:paraId="3FE366DA">
      <w:pPr>
        <w:pStyle w:val="2"/>
        <w:spacing w:line="247" w:lineRule="auto"/>
      </w:pPr>
    </w:p>
    <w:p w14:paraId="5B94D7AA">
      <w:pPr>
        <w:spacing w:before="98" w:line="221" w:lineRule="auto"/>
        <w:ind w:left="2333"/>
        <w:outlineLvl w:val="1"/>
        <w:rPr>
          <w:rFonts w:ascii="黑体" w:hAnsi="黑体" w:eastAsia="黑体" w:cs="黑体"/>
          <w:sz w:val="30"/>
          <w:szCs w:val="30"/>
        </w:rPr>
      </w:pPr>
      <w:r>
        <w:rPr>
          <w:rFonts w:ascii="黑体" w:hAnsi="黑体" w:eastAsia="黑体" w:cs="黑体"/>
          <w:spacing w:val="-2"/>
          <w:sz w:val="30"/>
          <w:szCs w:val="30"/>
        </w:rPr>
        <w:t>五、环境保护措施监督检查清单</w:t>
      </w:r>
    </w:p>
    <w:p w14:paraId="7400B008">
      <w:pPr>
        <w:spacing w:before="23"/>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1C63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5" w:type="dxa"/>
            <w:tcBorders>
              <w:top w:val="single" w:color="000000" w:sz="6" w:space="0"/>
              <w:left w:val="single" w:color="000000" w:sz="6" w:space="0"/>
              <w:tl2br w:val="single" w:color="000000" w:sz="4" w:space="0"/>
            </w:tcBorders>
            <w:vAlign w:val="top"/>
          </w:tcPr>
          <w:p w14:paraId="649B9FD0">
            <w:pPr>
              <w:pStyle w:val="6"/>
              <w:spacing w:before="144" w:line="228" w:lineRule="auto"/>
              <w:ind w:left="959"/>
              <w:rPr>
                <w:sz w:val="20"/>
                <w:szCs w:val="20"/>
              </w:rPr>
            </w:pPr>
            <w:r>
              <w:rPr>
                <w:spacing w:val="-8"/>
                <w:sz w:val="20"/>
                <w:szCs w:val="20"/>
              </w:rPr>
              <w:t>内容</w:t>
            </w:r>
          </w:p>
          <w:p w14:paraId="5B1A234D">
            <w:pPr>
              <w:pStyle w:val="6"/>
              <w:spacing w:before="153" w:line="228" w:lineRule="auto"/>
              <w:ind w:left="94"/>
              <w:rPr>
                <w:sz w:val="20"/>
                <w:szCs w:val="20"/>
              </w:rPr>
            </w:pPr>
            <w:r>
              <w:rPr>
                <w:spacing w:val="4"/>
                <w:sz w:val="20"/>
                <w:szCs w:val="20"/>
              </w:rPr>
              <w:t>要素</w:t>
            </w:r>
          </w:p>
        </w:tc>
        <w:tc>
          <w:tcPr>
            <w:tcW w:w="1599" w:type="dxa"/>
            <w:tcBorders>
              <w:top w:val="single" w:color="000000" w:sz="6" w:space="0"/>
            </w:tcBorders>
            <w:vAlign w:val="top"/>
          </w:tcPr>
          <w:p w14:paraId="4A82F551">
            <w:pPr>
              <w:pStyle w:val="6"/>
              <w:spacing w:before="144" w:line="302" w:lineRule="auto"/>
              <w:ind w:left="213" w:right="171" w:hanging="76"/>
              <w:rPr>
                <w:sz w:val="20"/>
                <w:szCs w:val="20"/>
              </w:rPr>
            </w:pPr>
            <w:r>
              <w:rPr>
                <w:spacing w:val="2"/>
                <w:sz w:val="20"/>
                <w:szCs w:val="20"/>
              </w:rPr>
              <w:t>排放口</w:t>
            </w:r>
            <w:r>
              <w:rPr>
                <w:rFonts w:ascii="Times New Roman" w:hAnsi="Times New Roman" w:eastAsia="Times New Roman" w:cs="Times New Roman"/>
                <w:spacing w:val="2"/>
                <w:sz w:val="20"/>
                <w:szCs w:val="20"/>
              </w:rPr>
              <w:t>(</w:t>
            </w:r>
            <w:r>
              <w:rPr>
                <w:spacing w:val="2"/>
                <w:sz w:val="20"/>
                <w:szCs w:val="20"/>
              </w:rPr>
              <w:t xml:space="preserve">编号、 </w:t>
            </w:r>
            <w:r>
              <w:rPr>
                <w:spacing w:val="6"/>
                <w:sz w:val="20"/>
                <w:szCs w:val="20"/>
              </w:rPr>
              <w:t>名称</w:t>
            </w:r>
            <w:r>
              <w:rPr>
                <w:rFonts w:ascii="Times New Roman" w:hAnsi="Times New Roman" w:eastAsia="Times New Roman" w:cs="Times New Roman"/>
                <w:spacing w:val="6"/>
                <w:sz w:val="20"/>
                <w:szCs w:val="20"/>
              </w:rPr>
              <w:t>)/</w:t>
            </w:r>
            <w:r>
              <w:rPr>
                <w:spacing w:val="6"/>
                <w:sz w:val="20"/>
                <w:szCs w:val="20"/>
              </w:rPr>
              <w:t>污染源</w:t>
            </w:r>
          </w:p>
        </w:tc>
        <w:tc>
          <w:tcPr>
            <w:tcW w:w="1274" w:type="dxa"/>
            <w:tcBorders>
              <w:top w:val="single" w:color="000000" w:sz="6" w:space="0"/>
            </w:tcBorders>
            <w:vAlign w:val="top"/>
          </w:tcPr>
          <w:p w14:paraId="36074C70">
            <w:pPr>
              <w:spacing w:line="279" w:lineRule="auto"/>
              <w:rPr>
                <w:rFonts w:ascii="Arial"/>
                <w:sz w:val="21"/>
              </w:rPr>
            </w:pPr>
          </w:p>
          <w:p w14:paraId="48A7CA14">
            <w:pPr>
              <w:pStyle w:val="6"/>
              <w:spacing w:before="65" w:line="228" w:lineRule="auto"/>
              <w:ind w:left="117"/>
              <w:rPr>
                <w:sz w:val="20"/>
                <w:szCs w:val="20"/>
              </w:rPr>
            </w:pPr>
            <w:r>
              <w:rPr>
                <w:spacing w:val="7"/>
                <w:sz w:val="20"/>
                <w:szCs w:val="20"/>
              </w:rPr>
              <w:t>污染物项目</w:t>
            </w:r>
          </w:p>
        </w:tc>
        <w:tc>
          <w:tcPr>
            <w:tcW w:w="2150" w:type="dxa"/>
            <w:tcBorders>
              <w:top w:val="single" w:color="000000" w:sz="6" w:space="0"/>
            </w:tcBorders>
            <w:vAlign w:val="top"/>
          </w:tcPr>
          <w:p w14:paraId="19FD6609">
            <w:pPr>
              <w:spacing w:line="243" w:lineRule="auto"/>
              <w:rPr>
                <w:rFonts w:ascii="Arial"/>
                <w:sz w:val="21"/>
              </w:rPr>
            </w:pPr>
          </w:p>
          <w:p w14:paraId="2E016F6C">
            <w:pPr>
              <w:pStyle w:val="6"/>
              <w:spacing w:before="65" w:line="228" w:lineRule="auto"/>
              <w:ind w:left="451"/>
              <w:rPr>
                <w:sz w:val="20"/>
                <w:szCs w:val="20"/>
              </w:rPr>
            </w:pPr>
            <w:r>
              <w:rPr>
                <w:spacing w:val="8"/>
                <w:sz w:val="20"/>
                <w:szCs w:val="20"/>
              </w:rPr>
              <w:t>环境保护措施</w:t>
            </w:r>
          </w:p>
        </w:tc>
        <w:tc>
          <w:tcPr>
            <w:tcW w:w="1996" w:type="dxa"/>
            <w:tcBorders>
              <w:top w:val="single" w:color="000000" w:sz="6" w:space="0"/>
              <w:right w:val="single" w:color="000000" w:sz="6" w:space="0"/>
            </w:tcBorders>
            <w:vAlign w:val="top"/>
          </w:tcPr>
          <w:p w14:paraId="72FE90CF">
            <w:pPr>
              <w:spacing w:line="243" w:lineRule="auto"/>
              <w:rPr>
                <w:rFonts w:ascii="Arial"/>
                <w:sz w:val="21"/>
              </w:rPr>
            </w:pPr>
          </w:p>
          <w:p w14:paraId="2DC605E1">
            <w:pPr>
              <w:pStyle w:val="6"/>
              <w:spacing w:before="65" w:line="228" w:lineRule="auto"/>
              <w:ind w:left="584"/>
              <w:rPr>
                <w:sz w:val="20"/>
                <w:szCs w:val="20"/>
              </w:rPr>
            </w:pPr>
            <w:r>
              <w:rPr>
                <w:spacing w:val="7"/>
                <w:sz w:val="20"/>
                <w:szCs w:val="20"/>
              </w:rPr>
              <w:t>执行标准</w:t>
            </w:r>
          </w:p>
        </w:tc>
      </w:tr>
      <w:tr w14:paraId="7627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85" w:type="dxa"/>
            <w:vMerge w:val="restart"/>
            <w:tcBorders>
              <w:left w:val="single" w:color="000000" w:sz="6" w:space="0"/>
              <w:bottom w:val="nil"/>
            </w:tcBorders>
            <w:vAlign w:val="top"/>
          </w:tcPr>
          <w:p w14:paraId="22880AF6">
            <w:pPr>
              <w:spacing w:line="243" w:lineRule="auto"/>
              <w:rPr>
                <w:rFonts w:ascii="Arial"/>
                <w:sz w:val="21"/>
              </w:rPr>
            </w:pPr>
          </w:p>
          <w:p w14:paraId="38B2C11E">
            <w:pPr>
              <w:spacing w:line="243" w:lineRule="auto"/>
              <w:rPr>
                <w:rFonts w:ascii="Arial"/>
                <w:sz w:val="21"/>
              </w:rPr>
            </w:pPr>
          </w:p>
          <w:p w14:paraId="62ACEAD1">
            <w:pPr>
              <w:spacing w:line="243" w:lineRule="auto"/>
              <w:rPr>
                <w:rFonts w:ascii="Arial"/>
                <w:sz w:val="21"/>
              </w:rPr>
            </w:pPr>
          </w:p>
          <w:p w14:paraId="7A812849">
            <w:pPr>
              <w:spacing w:line="243" w:lineRule="auto"/>
              <w:rPr>
                <w:rFonts w:ascii="Arial"/>
                <w:sz w:val="21"/>
              </w:rPr>
            </w:pPr>
          </w:p>
          <w:p w14:paraId="5212EE84">
            <w:pPr>
              <w:spacing w:line="244" w:lineRule="auto"/>
              <w:rPr>
                <w:rFonts w:ascii="Arial"/>
                <w:sz w:val="21"/>
              </w:rPr>
            </w:pPr>
          </w:p>
          <w:p w14:paraId="388F1B8A">
            <w:pPr>
              <w:spacing w:line="244" w:lineRule="auto"/>
              <w:rPr>
                <w:rFonts w:ascii="Arial"/>
                <w:sz w:val="21"/>
              </w:rPr>
            </w:pPr>
          </w:p>
          <w:p w14:paraId="7D5457C1">
            <w:pPr>
              <w:spacing w:line="244" w:lineRule="auto"/>
              <w:rPr>
                <w:rFonts w:ascii="Arial"/>
                <w:sz w:val="21"/>
              </w:rPr>
            </w:pPr>
          </w:p>
          <w:p w14:paraId="356BD1ED">
            <w:pPr>
              <w:spacing w:line="244" w:lineRule="auto"/>
              <w:rPr>
                <w:rFonts w:ascii="Arial"/>
                <w:sz w:val="21"/>
              </w:rPr>
            </w:pPr>
          </w:p>
          <w:p w14:paraId="51DE8A2D">
            <w:pPr>
              <w:spacing w:line="244" w:lineRule="auto"/>
              <w:rPr>
                <w:rFonts w:ascii="Arial"/>
                <w:sz w:val="21"/>
              </w:rPr>
            </w:pPr>
          </w:p>
          <w:p w14:paraId="72E8A009">
            <w:pPr>
              <w:spacing w:line="244" w:lineRule="auto"/>
              <w:rPr>
                <w:rFonts w:ascii="Arial"/>
                <w:sz w:val="21"/>
              </w:rPr>
            </w:pPr>
          </w:p>
          <w:p w14:paraId="425410F4">
            <w:pPr>
              <w:spacing w:line="244" w:lineRule="auto"/>
              <w:rPr>
                <w:rFonts w:ascii="Arial"/>
                <w:sz w:val="21"/>
              </w:rPr>
            </w:pPr>
          </w:p>
          <w:p w14:paraId="0E2F53FB">
            <w:pPr>
              <w:spacing w:line="244" w:lineRule="auto"/>
              <w:rPr>
                <w:rFonts w:ascii="Arial"/>
                <w:sz w:val="21"/>
              </w:rPr>
            </w:pPr>
          </w:p>
          <w:p w14:paraId="23CF41EA">
            <w:pPr>
              <w:spacing w:line="244" w:lineRule="auto"/>
              <w:rPr>
                <w:rFonts w:ascii="Arial"/>
                <w:sz w:val="21"/>
              </w:rPr>
            </w:pPr>
          </w:p>
          <w:p w14:paraId="04F33D13">
            <w:pPr>
              <w:spacing w:line="244" w:lineRule="auto"/>
              <w:rPr>
                <w:rFonts w:ascii="Arial"/>
                <w:sz w:val="21"/>
              </w:rPr>
            </w:pPr>
          </w:p>
          <w:p w14:paraId="580A8F6E">
            <w:pPr>
              <w:spacing w:line="244" w:lineRule="auto"/>
              <w:rPr>
                <w:rFonts w:ascii="Arial"/>
                <w:sz w:val="21"/>
              </w:rPr>
            </w:pPr>
          </w:p>
          <w:p w14:paraId="5FA8F517">
            <w:pPr>
              <w:spacing w:line="244" w:lineRule="auto"/>
              <w:rPr>
                <w:rFonts w:ascii="Arial"/>
                <w:sz w:val="21"/>
              </w:rPr>
            </w:pPr>
          </w:p>
          <w:p w14:paraId="5688D4EA">
            <w:pPr>
              <w:spacing w:line="244" w:lineRule="auto"/>
              <w:rPr>
                <w:rFonts w:ascii="Arial"/>
                <w:sz w:val="21"/>
              </w:rPr>
            </w:pPr>
          </w:p>
          <w:p w14:paraId="7E351984">
            <w:pPr>
              <w:spacing w:line="244" w:lineRule="auto"/>
              <w:rPr>
                <w:rFonts w:ascii="Arial"/>
                <w:sz w:val="21"/>
              </w:rPr>
            </w:pPr>
          </w:p>
          <w:p w14:paraId="1B76014C">
            <w:pPr>
              <w:spacing w:line="244" w:lineRule="auto"/>
              <w:rPr>
                <w:rFonts w:ascii="Arial"/>
                <w:sz w:val="21"/>
              </w:rPr>
            </w:pPr>
          </w:p>
          <w:p w14:paraId="1D1797A9">
            <w:pPr>
              <w:spacing w:line="244" w:lineRule="auto"/>
              <w:rPr>
                <w:rFonts w:ascii="Arial"/>
                <w:sz w:val="21"/>
              </w:rPr>
            </w:pPr>
          </w:p>
          <w:p w14:paraId="3B9175AD">
            <w:pPr>
              <w:spacing w:line="244" w:lineRule="auto"/>
              <w:rPr>
                <w:rFonts w:ascii="Arial"/>
                <w:sz w:val="21"/>
              </w:rPr>
            </w:pPr>
          </w:p>
          <w:p w14:paraId="1A592D08">
            <w:pPr>
              <w:spacing w:line="244" w:lineRule="auto"/>
              <w:rPr>
                <w:rFonts w:ascii="Arial"/>
                <w:sz w:val="21"/>
              </w:rPr>
            </w:pPr>
          </w:p>
          <w:p w14:paraId="575BADC2">
            <w:pPr>
              <w:spacing w:line="244" w:lineRule="auto"/>
              <w:rPr>
                <w:rFonts w:ascii="Arial"/>
                <w:sz w:val="21"/>
              </w:rPr>
            </w:pPr>
          </w:p>
          <w:p w14:paraId="34C44C33">
            <w:pPr>
              <w:pStyle w:val="6"/>
              <w:spacing w:before="65" w:line="228" w:lineRule="auto"/>
              <w:ind w:left="473"/>
              <w:rPr>
                <w:sz w:val="20"/>
                <w:szCs w:val="20"/>
              </w:rPr>
            </w:pPr>
            <w:r>
              <w:rPr>
                <w:spacing w:val="6"/>
                <w:sz w:val="20"/>
                <w:szCs w:val="20"/>
              </w:rPr>
              <w:t>大气环境</w:t>
            </w:r>
          </w:p>
        </w:tc>
        <w:tc>
          <w:tcPr>
            <w:tcW w:w="1599" w:type="dxa"/>
            <w:vAlign w:val="top"/>
          </w:tcPr>
          <w:p w14:paraId="344F930C">
            <w:pPr>
              <w:spacing w:line="303" w:lineRule="auto"/>
              <w:rPr>
                <w:rFonts w:ascii="Arial"/>
                <w:sz w:val="21"/>
              </w:rPr>
            </w:pPr>
          </w:p>
          <w:p w14:paraId="2085AD06">
            <w:pPr>
              <w:pStyle w:val="6"/>
              <w:spacing w:before="65" w:line="228" w:lineRule="auto"/>
              <w:ind w:left="381"/>
              <w:rPr>
                <w:sz w:val="20"/>
                <w:szCs w:val="20"/>
              </w:rPr>
            </w:pPr>
            <w:r>
              <w:rPr>
                <w:spacing w:val="7"/>
                <w:sz w:val="20"/>
                <w:szCs w:val="20"/>
              </w:rPr>
              <w:t>施工现场</w:t>
            </w:r>
          </w:p>
        </w:tc>
        <w:tc>
          <w:tcPr>
            <w:tcW w:w="1274" w:type="dxa"/>
            <w:vAlign w:val="top"/>
          </w:tcPr>
          <w:p w14:paraId="49548715">
            <w:pPr>
              <w:spacing w:line="302" w:lineRule="auto"/>
              <w:rPr>
                <w:rFonts w:ascii="Arial"/>
                <w:sz w:val="21"/>
              </w:rPr>
            </w:pPr>
          </w:p>
          <w:p w14:paraId="52905D64">
            <w:pPr>
              <w:pStyle w:val="6"/>
              <w:spacing w:before="65" w:line="230" w:lineRule="auto"/>
              <w:ind w:left="220"/>
              <w:rPr>
                <w:sz w:val="20"/>
                <w:szCs w:val="20"/>
              </w:rPr>
            </w:pPr>
            <w:r>
              <w:rPr>
                <w:spacing w:val="7"/>
                <w:sz w:val="20"/>
                <w:szCs w:val="20"/>
              </w:rPr>
              <w:t>施工扬尘</w:t>
            </w:r>
          </w:p>
        </w:tc>
        <w:tc>
          <w:tcPr>
            <w:tcW w:w="2150" w:type="dxa"/>
            <w:vAlign w:val="top"/>
          </w:tcPr>
          <w:p w14:paraId="5353C291">
            <w:pPr>
              <w:pStyle w:val="6"/>
              <w:spacing w:before="216" w:line="242" w:lineRule="auto"/>
              <w:ind w:left="104" w:right="218" w:hanging="8"/>
              <w:rPr>
                <w:sz w:val="20"/>
                <w:szCs w:val="20"/>
              </w:rPr>
            </w:pPr>
            <w:r>
              <w:rPr>
                <w:spacing w:val="3"/>
                <w:sz w:val="20"/>
                <w:szCs w:val="20"/>
              </w:rPr>
              <w:t>运输车辆覆盖篷布，</w:t>
            </w:r>
            <w:r>
              <w:rPr>
                <w:spacing w:val="1"/>
                <w:sz w:val="20"/>
                <w:szCs w:val="20"/>
              </w:rPr>
              <w:t xml:space="preserve"> </w:t>
            </w:r>
            <w:r>
              <w:rPr>
                <w:spacing w:val="5"/>
                <w:sz w:val="20"/>
                <w:szCs w:val="20"/>
              </w:rPr>
              <w:t>喷雾降尘</w:t>
            </w:r>
          </w:p>
        </w:tc>
        <w:tc>
          <w:tcPr>
            <w:tcW w:w="1996" w:type="dxa"/>
            <w:tcBorders>
              <w:right w:val="single" w:color="000000" w:sz="6" w:space="0"/>
            </w:tcBorders>
            <w:vAlign w:val="top"/>
          </w:tcPr>
          <w:p w14:paraId="67F214A4">
            <w:pPr>
              <w:pStyle w:val="6"/>
              <w:spacing w:before="62" w:line="228" w:lineRule="auto"/>
              <w:ind w:left="169"/>
              <w:rPr>
                <w:sz w:val="20"/>
                <w:szCs w:val="20"/>
              </w:rPr>
            </w:pPr>
            <w:r>
              <w:rPr>
                <w:spacing w:val="8"/>
                <w:sz w:val="20"/>
                <w:szCs w:val="20"/>
              </w:rPr>
              <w:t>《四川省施工场地</w:t>
            </w:r>
          </w:p>
          <w:p w14:paraId="4842B304">
            <w:pPr>
              <w:pStyle w:val="6"/>
              <w:spacing w:before="54" w:line="245" w:lineRule="auto"/>
              <w:ind w:left="109" w:right="81" w:firstLine="212"/>
              <w:rPr>
                <w:sz w:val="20"/>
                <w:szCs w:val="20"/>
              </w:rPr>
            </w:pPr>
            <w:r>
              <w:rPr>
                <w:spacing w:val="7"/>
                <w:sz w:val="20"/>
                <w:szCs w:val="20"/>
              </w:rPr>
              <w:t>扬尘排放标准》</w:t>
            </w:r>
            <w:r>
              <w:rPr>
                <w:sz w:val="20"/>
                <w:szCs w:val="20"/>
              </w:rPr>
              <w:t xml:space="preserve">  </w:t>
            </w:r>
            <w:r>
              <w:rPr>
                <w:spacing w:val="3"/>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3"/>
                <w:sz w:val="20"/>
                <w:szCs w:val="20"/>
              </w:rPr>
              <w:t>512682-2020</w:t>
            </w:r>
            <w:r>
              <w:rPr>
                <w:spacing w:val="3"/>
                <w:sz w:val="20"/>
                <w:szCs w:val="20"/>
              </w:rPr>
              <w:t>）</w:t>
            </w:r>
          </w:p>
        </w:tc>
      </w:tr>
      <w:tr w14:paraId="5B21F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85" w:type="dxa"/>
            <w:vMerge w:val="continue"/>
            <w:tcBorders>
              <w:top w:val="nil"/>
              <w:left w:val="single" w:color="000000" w:sz="6" w:space="0"/>
              <w:bottom w:val="nil"/>
            </w:tcBorders>
            <w:vAlign w:val="top"/>
          </w:tcPr>
          <w:p w14:paraId="7E699810">
            <w:pPr>
              <w:rPr>
                <w:rFonts w:ascii="Arial"/>
                <w:sz w:val="21"/>
              </w:rPr>
            </w:pPr>
          </w:p>
        </w:tc>
        <w:tc>
          <w:tcPr>
            <w:tcW w:w="1599" w:type="dxa"/>
            <w:vAlign w:val="top"/>
          </w:tcPr>
          <w:p w14:paraId="112C14F9">
            <w:pPr>
              <w:spacing w:line="307" w:lineRule="auto"/>
              <w:rPr>
                <w:rFonts w:ascii="Arial"/>
                <w:sz w:val="21"/>
              </w:rPr>
            </w:pPr>
          </w:p>
          <w:p w14:paraId="004977A8">
            <w:pPr>
              <w:pStyle w:val="6"/>
              <w:spacing w:before="65" w:line="228" w:lineRule="auto"/>
              <w:ind w:left="380"/>
              <w:rPr>
                <w:sz w:val="20"/>
                <w:szCs w:val="20"/>
              </w:rPr>
            </w:pPr>
            <w:r>
              <w:rPr>
                <w:spacing w:val="7"/>
                <w:sz w:val="20"/>
                <w:szCs w:val="20"/>
              </w:rPr>
              <w:t>钢筋切割</w:t>
            </w:r>
          </w:p>
        </w:tc>
        <w:tc>
          <w:tcPr>
            <w:tcW w:w="1274" w:type="dxa"/>
            <w:vAlign w:val="top"/>
          </w:tcPr>
          <w:p w14:paraId="7DFA0754">
            <w:pPr>
              <w:spacing w:line="307" w:lineRule="auto"/>
              <w:rPr>
                <w:rFonts w:ascii="Arial"/>
                <w:sz w:val="21"/>
              </w:rPr>
            </w:pPr>
          </w:p>
          <w:p w14:paraId="2A373E48">
            <w:pPr>
              <w:pStyle w:val="6"/>
              <w:spacing w:before="65" w:line="228" w:lineRule="auto"/>
              <w:ind w:left="431"/>
              <w:rPr>
                <w:sz w:val="20"/>
                <w:szCs w:val="20"/>
              </w:rPr>
            </w:pPr>
            <w:r>
              <w:rPr>
                <w:spacing w:val="5"/>
                <w:sz w:val="20"/>
                <w:szCs w:val="20"/>
              </w:rPr>
              <w:t>粉尘</w:t>
            </w:r>
          </w:p>
        </w:tc>
        <w:tc>
          <w:tcPr>
            <w:tcW w:w="2150" w:type="dxa"/>
            <w:vAlign w:val="top"/>
          </w:tcPr>
          <w:p w14:paraId="085DC289">
            <w:pPr>
              <w:pStyle w:val="6"/>
              <w:spacing w:before="14" w:line="222" w:lineRule="auto"/>
              <w:ind w:left="140"/>
              <w:rPr>
                <w:sz w:val="20"/>
                <w:szCs w:val="20"/>
              </w:rPr>
            </w:pPr>
            <w:r>
              <w:rPr>
                <w:spacing w:val="8"/>
                <w:sz w:val="20"/>
                <w:szCs w:val="20"/>
              </w:rPr>
              <w:t>设专用加工车间、切</w:t>
            </w:r>
          </w:p>
          <w:p w14:paraId="187902FA">
            <w:pPr>
              <w:pStyle w:val="6"/>
              <w:spacing w:line="221" w:lineRule="auto"/>
              <w:ind w:left="139"/>
              <w:rPr>
                <w:sz w:val="20"/>
                <w:szCs w:val="20"/>
              </w:rPr>
            </w:pPr>
            <w:r>
              <w:rPr>
                <w:spacing w:val="8"/>
                <w:sz w:val="20"/>
                <w:szCs w:val="20"/>
              </w:rPr>
              <w:t>割机配除尘器、利用</w:t>
            </w:r>
          </w:p>
          <w:p w14:paraId="0619828F">
            <w:pPr>
              <w:pStyle w:val="6"/>
              <w:spacing w:line="221" w:lineRule="auto"/>
              <w:ind w:left="136"/>
              <w:rPr>
                <w:sz w:val="20"/>
                <w:szCs w:val="20"/>
              </w:rPr>
            </w:pPr>
            <w:r>
              <w:rPr>
                <w:spacing w:val="9"/>
                <w:sz w:val="20"/>
                <w:szCs w:val="20"/>
              </w:rPr>
              <w:t>封闭式车间控制无组</w:t>
            </w:r>
          </w:p>
          <w:p w14:paraId="2F5F01DA">
            <w:pPr>
              <w:pStyle w:val="6"/>
              <w:spacing w:line="202" w:lineRule="auto"/>
              <w:ind w:left="772"/>
              <w:rPr>
                <w:sz w:val="20"/>
                <w:szCs w:val="20"/>
              </w:rPr>
            </w:pPr>
            <w:r>
              <w:rPr>
                <w:spacing w:val="5"/>
                <w:sz w:val="20"/>
                <w:szCs w:val="20"/>
              </w:rPr>
              <w:t>织粉尘</w:t>
            </w:r>
          </w:p>
        </w:tc>
        <w:tc>
          <w:tcPr>
            <w:tcW w:w="1996" w:type="dxa"/>
            <w:vMerge w:val="restart"/>
            <w:tcBorders>
              <w:bottom w:val="nil"/>
              <w:right w:val="single" w:color="000000" w:sz="6" w:space="0"/>
            </w:tcBorders>
            <w:vAlign w:val="top"/>
          </w:tcPr>
          <w:p w14:paraId="3A325D2B">
            <w:pPr>
              <w:spacing w:line="253" w:lineRule="auto"/>
              <w:rPr>
                <w:rFonts w:ascii="Arial"/>
                <w:sz w:val="21"/>
              </w:rPr>
            </w:pPr>
          </w:p>
          <w:p w14:paraId="58178024">
            <w:pPr>
              <w:spacing w:line="254" w:lineRule="auto"/>
              <w:rPr>
                <w:rFonts w:ascii="Arial"/>
                <w:sz w:val="21"/>
              </w:rPr>
            </w:pPr>
          </w:p>
          <w:p w14:paraId="62AD16E7">
            <w:pPr>
              <w:pStyle w:val="6"/>
              <w:spacing w:before="65" w:line="263" w:lineRule="auto"/>
              <w:ind w:left="478" w:right="152" w:hanging="309"/>
              <w:rPr>
                <w:sz w:val="20"/>
                <w:szCs w:val="20"/>
              </w:rPr>
            </w:pPr>
            <w:r>
              <w:rPr>
                <w:spacing w:val="8"/>
                <w:sz w:val="20"/>
                <w:szCs w:val="20"/>
              </w:rPr>
              <w:t>《大气污染物综合</w:t>
            </w:r>
            <w:r>
              <w:rPr>
                <w:sz w:val="20"/>
                <w:szCs w:val="20"/>
              </w:rPr>
              <w:t xml:space="preserve"> </w:t>
            </w:r>
            <w:r>
              <w:rPr>
                <w:spacing w:val="5"/>
                <w:sz w:val="20"/>
                <w:szCs w:val="20"/>
              </w:rPr>
              <w:t>排放标准》</w:t>
            </w:r>
          </w:p>
          <w:p w14:paraId="0AEF3C99">
            <w:pPr>
              <w:spacing w:before="62" w:line="201"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16297-1996)</w:t>
            </w:r>
          </w:p>
        </w:tc>
      </w:tr>
      <w:tr w14:paraId="5341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85" w:type="dxa"/>
            <w:vMerge w:val="continue"/>
            <w:tcBorders>
              <w:top w:val="nil"/>
              <w:left w:val="single" w:color="000000" w:sz="6" w:space="0"/>
              <w:bottom w:val="nil"/>
            </w:tcBorders>
            <w:vAlign w:val="top"/>
          </w:tcPr>
          <w:p w14:paraId="41755043">
            <w:pPr>
              <w:rPr>
                <w:rFonts w:ascii="Arial"/>
                <w:sz w:val="21"/>
              </w:rPr>
            </w:pPr>
          </w:p>
        </w:tc>
        <w:tc>
          <w:tcPr>
            <w:tcW w:w="1599" w:type="dxa"/>
            <w:vAlign w:val="top"/>
          </w:tcPr>
          <w:p w14:paraId="4389D0EC">
            <w:pPr>
              <w:spacing w:line="308" w:lineRule="auto"/>
              <w:rPr>
                <w:rFonts w:ascii="Arial"/>
                <w:sz w:val="21"/>
              </w:rPr>
            </w:pPr>
          </w:p>
          <w:p w14:paraId="1BED0086">
            <w:pPr>
              <w:pStyle w:val="6"/>
              <w:spacing w:before="65" w:line="228" w:lineRule="auto"/>
              <w:ind w:left="380"/>
              <w:rPr>
                <w:sz w:val="20"/>
                <w:szCs w:val="20"/>
              </w:rPr>
            </w:pPr>
            <w:r>
              <w:rPr>
                <w:spacing w:val="7"/>
                <w:sz w:val="20"/>
                <w:szCs w:val="20"/>
              </w:rPr>
              <w:t>钢筋焊接</w:t>
            </w:r>
          </w:p>
        </w:tc>
        <w:tc>
          <w:tcPr>
            <w:tcW w:w="1274" w:type="dxa"/>
            <w:vAlign w:val="top"/>
          </w:tcPr>
          <w:p w14:paraId="10957196">
            <w:pPr>
              <w:spacing w:line="308" w:lineRule="auto"/>
              <w:rPr>
                <w:rFonts w:ascii="Arial"/>
                <w:sz w:val="21"/>
              </w:rPr>
            </w:pPr>
          </w:p>
          <w:p w14:paraId="1FF4A4FA">
            <w:pPr>
              <w:pStyle w:val="6"/>
              <w:spacing w:before="65" w:line="229" w:lineRule="auto"/>
              <w:ind w:left="433"/>
              <w:rPr>
                <w:sz w:val="20"/>
                <w:szCs w:val="20"/>
              </w:rPr>
            </w:pPr>
            <w:r>
              <w:rPr>
                <w:spacing w:val="4"/>
                <w:sz w:val="20"/>
                <w:szCs w:val="20"/>
              </w:rPr>
              <w:t>烟尘</w:t>
            </w:r>
          </w:p>
        </w:tc>
        <w:tc>
          <w:tcPr>
            <w:tcW w:w="2150" w:type="dxa"/>
            <w:vAlign w:val="top"/>
          </w:tcPr>
          <w:p w14:paraId="4638D108">
            <w:pPr>
              <w:pStyle w:val="6"/>
              <w:spacing w:before="15" w:line="222" w:lineRule="auto"/>
              <w:ind w:left="140"/>
              <w:rPr>
                <w:sz w:val="20"/>
                <w:szCs w:val="20"/>
              </w:rPr>
            </w:pPr>
            <w:r>
              <w:rPr>
                <w:spacing w:val="8"/>
                <w:sz w:val="20"/>
                <w:szCs w:val="20"/>
              </w:rPr>
              <w:t>设专用加工车间、配</w:t>
            </w:r>
          </w:p>
          <w:p w14:paraId="35B54A5F">
            <w:pPr>
              <w:pStyle w:val="6"/>
              <w:spacing w:line="221" w:lineRule="auto"/>
              <w:ind w:left="138"/>
              <w:rPr>
                <w:sz w:val="20"/>
                <w:szCs w:val="20"/>
              </w:rPr>
            </w:pPr>
            <w:r>
              <w:rPr>
                <w:spacing w:val="8"/>
                <w:sz w:val="20"/>
                <w:szCs w:val="20"/>
              </w:rPr>
              <w:t>焊烟净化器、利用封</w:t>
            </w:r>
          </w:p>
          <w:p w14:paraId="7B368451">
            <w:pPr>
              <w:pStyle w:val="6"/>
              <w:spacing w:line="221" w:lineRule="auto"/>
              <w:ind w:left="158"/>
              <w:rPr>
                <w:sz w:val="20"/>
                <w:szCs w:val="20"/>
              </w:rPr>
            </w:pPr>
            <w:r>
              <w:rPr>
                <w:spacing w:val="6"/>
                <w:sz w:val="20"/>
                <w:szCs w:val="20"/>
              </w:rPr>
              <w:t>闭式车间控制无组织</w:t>
            </w:r>
          </w:p>
          <w:p w14:paraId="3800425C">
            <w:pPr>
              <w:pStyle w:val="6"/>
              <w:spacing w:line="201" w:lineRule="auto"/>
              <w:ind w:left="871"/>
              <w:rPr>
                <w:sz w:val="20"/>
                <w:szCs w:val="20"/>
              </w:rPr>
            </w:pPr>
            <w:r>
              <w:rPr>
                <w:spacing w:val="5"/>
                <w:sz w:val="20"/>
                <w:szCs w:val="20"/>
              </w:rPr>
              <w:t>粉尘</w:t>
            </w:r>
          </w:p>
        </w:tc>
        <w:tc>
          <w:tcPr>
            <w:tcW w:w="1996" w:type="dxa"/>
            <w:vMerge w:val="continue"/>
            <w:tcBorders>
              <w:top w:val="nil"/>
              <w:right w:val="single" w:color="000000" w:sz="6" w:space="0"/>
            </w:tcBorders>
            <w:vAlign w:val="top"/>
          </w:tcPr>
          <w:p w14:paraId="35101A99">
            <w:pPr>
              <w:rPr>
                <w:rFonts w:ascii="Arial"/>
                <w:sz w:val="21"/>
              </w:rPr>
            </w:pPr>
          </w:p>
        </w:tc>
      </w:tr>
      <w:tr w14:paraId="6160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continue"/>
            <w:tcBorders>
              <w:top w:val="nil"/>
              <w:left w:val="single" w:color="000000" w:sz="6" w:space="0"/>
              <w:bottom w:val="nil"/>
            </w:tcBorders>
            <w:vAlign w:val="top"/>
          </w:tcPr>
          <w:p w14:paraId="2391957E">
            <w:pPr>
              <w:rPr>
                <w:rFonts w:ascii="Arial"/>
                <w:sz w:val="21"/>
              </w:rPr>
            </w:pPr>
          </w:p>
        </w:tc>
        <w:tc>
          <w:tcPr>
            <w:tcW w:w="1599" w:type="dxa"/>
            <w:vAlign w:val="top"/>
          </w:tcPr>
          <w:p w14:paraId="7E6CF901">
            <w:pPr>
              <w:spacing w:line="428" w:lineRule="auto"/>
              <w:rPr>
                <w:rFonts w:ascii="Arial"/>
                <w:sz w:val="21"/>
              </w:rPr>
            </w:pPr>
          </w:p>
          <w:p w14:paraId="5B621A7A">
            <w:pPr>
              <w:pStyle w:val="6"/>
              <w:spacing w:before="65" w:line="228" w:lineRule="auto"/>
              <w:ind w:left="382"/>
              <w:rPr>
                <w:sz w:val="20"/>
                <w:szCs w:val="20"/>
              </w:rPr>
            </w:pPr>
            <w:r>
              <w:rPr>
                <w:spacing w:val="7"/>
                <w:sz w:val="20"/>
                <w:szCs w:val="20"/>
              </w:rPr>
              <w:t>浸漆烤漆</w:t>
            </w:r>
          </w:p>
        </w:tc>
        <w:tc>
          <w:tcPr>
            <w:tcW w:w="1274" w:type="dxa"/>
            <w:vAlign w:val="top"/>
          </w:tcPr>
          <w:p w14:paraId="41675762">
            <w:pPr>
              <w:spacing w:line="471" w:lineRule="auto"/>
              <w:rPr>
                <w:rFonts w:ascii="Arial"/>
                <w:sz w:val="21"/>
              </w:rPr>
            </w:pPr>
          </w:p>
          <w:p w14:paraId="75100DE5">
            <w:pPr>
              <w:spacing w:before="58" w:line="202" w:lineRule="auto"/>
              <w:ind w:left="387"/>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VOC</w:t>
            </w:r>
            <w:r>
              <w:rPr>
                <w:rFonts w:ascii="Times New Roman" w:hAnsi="Times New Roman" w:eastAsia="Times New Roman" w:cs="Times New Roman"/>
                <w:spacing w:val="5"/>
                <w:position w:val="-1"/>
                <w:sz w:val="13"/>
                <w:szCs w:val="13"/>
              </w:rPr>
              <w:t>s</w:t>
            </w:r>
          </w:p>
        </w:tc>
        <w:tc>
          <w:tcPr>
            <w:tcW w:w="2150" w:type="dxa"/>
            <w:vAlign w:val="top"/>
          </w:tcPr>
          <w:p w14:paraId="383F4CE3">
            <w:pPr>
              <w:pStyle w:val="6"/>
              <w:spacing w:before="135" w:line="222" w:lineRule="auto"/>
              <w:ind w:left="104"/>
              <w:rPr>
                <w:sz w:val="20"/>
                <w:szCs w:val="20"/>
              </w:rPr>
            </w:pPr>
            <w:r>
              <w:rPr>
                <w:spacing w:val="1"/>
                <w:sz w:val="20"/>
                <w:szCs w:val="20"/>
              </w:rPr>
              <w:t>负压收集，设“</w:t>
            </w:r>
            <w:r>
              <w:rPr>
                <w:rFonts w:ascii="Times New Roman" w:hAnsi="Times New Roman" w:eastAsia="Times New Roman" w:cs="Times New Roman"/>
                <w:sz w:val="20"/>
                <w:szCs w:val="20"/>
              </w:rPr>
              <w:t>UV</w:t>
            </w:r>
            <w:r>
              <w:rPr>
                <w:rFonts w:ascii="Times New Roman" w:hAnsi="Times New Roman" w:eastAsia="Times New Roman" w:cs="Times New Roman"/>
                <w:spacing w:val="1"/>
                <w:sz w:val="20"/>
                <w:szCs w:val="20"/>
              </w:rPr>
              <w:t xml:space="preserve"> </w:t>
            </w:r>
            <w:r>
              <w:rPr>
                <w:spacing w:val="1"/>
                <w:sz w:val="20"/>
                <w:szCs w:val="20"/>
              </w:rPr>
              <w:t>光</w:t>
            </w:r>
          </w:p>
          <w:p w14:paraId="0F04C73F">
            <w:pPr>
              <w:pStyle w:val="6"/>
              <w:spacing w:line="221" w:lineRule="auto"/>
              <w:jc w:val="right"/>
              <w:rPr>
                <w:sz w:val="20"/>
                <w:szCs w:val="20"/>
              </w:rPr>
            </w:pPr>
            <w:r>
              <w:rPr>
                <w:spacing w:val="10"/>
                <w:sz w:val="20"/>
                <w:szCs w:val="20"/>
              </w:rPr>
              <w:t>解</w:t>
            </w:r>
            <w:r>
              <w:rPr>
                <w:rFonts w:ascii="Times New Roman" w:hAnsi="Times New Roman" w:eastAsia="Times New Roman" w:cs="Times New Roman"/>
                <w:spacing w:val="10"/>
                <w:sz w:val="20"/>
                <w:szCs w:val="20"/>
              </w:rPr>
              <w:t>+</w:t>
            </w:r>
            <w:r>
              <w:rPr>
                <w:spacing w:val="10"/>
                <w:sz w:val="20"/>
                <w:szCs w:val="20"/>
              </w:rPr>
              <w:t>两级活性炭吸附</w:t>
            </w:r>
            <w:r>
              <w:rPr>
                <w:spacing w:val="-65"/>
                <w:sz w:val="20"/>
                <w:szCs w:val="20"/>
              </w:rPr>
              <w:t xml:space="preserve"> </w:t>
            </w:r>
            <w:r>
              <w:rPr>
                <w:spacing w:val="10"/>
                <w:sz w:val="20"/>
                <w:szCs w:val="20"/>
              </w:rPr>
              <w:t>”</w:t>
            </w:r>
          </w:p>
          <w:p w14:paraId="56FB0118">
            <w:pPr>
              <w:pStyle w:val="6"/>
              <w:spacing w:line="221" w:lineRule="auto"/>
              <w:ind w:left="144"/>
              <w:rPr>
                <w:rFonts w:ascii="Times New Roman" w:hAnsi="Times New Roman" w:eastAsia="Times New Roman" w:cs="Times New Roman"/>
                <w:sz w:val="20"/>
                <w:szCs w:val="20"/>
              </w:rPr>
            </w:pPr>
            <w:r>
              <w:rPr>
                <w:spacing w:val="5"/>
                <w:sz w:val="20"/>
                <w:szCs w:val="20"/>
              </w:rPr>
              <w:t>处理，经</w:t>
            </w:r>
            <w:r>
              <w:rPr>
                <w:spacing w:val="-18"/>
                <w:sz w:val="20"/>
                <w:szCs w:val="20"/>
              </w:rPr>
              <w:t xml:space="preserve"> </w:t>
            </w:r>
            <w:r>
              <w:rPr>
                <w:rFonts w:ascii="Times New Roman" w:hAnsi="Times New Roman" w:eastAsia="Times New Roman" w:cs="Times New Roman"/>
                <w:spacing w:val="5"/>
                <w:sz w:val="20"/>
                <w:szCs w:val="20"/>
              </w:rPr>
              <w:t>15</w:t>
            </w:r>
            <w:r>
              <w:rPr>
                <w:rFonts w:ascii="Times New Roman" w:hAnsi="Times New Roman" w:eastAsia="Times New Roman" w:cs="Times New Roman"/>
                <w:sz w:val="20"/>
                <w:szCs w:val="20"/>
              </w:rPr>
              <w:t>mDA</w:t>
            </w:r>
            <w:r>
              <w:rPr>
                <w:rFonts w:ascii="Times New Roman" w:hAnsi="Times New Roman" w:eastAsia="Times New Roman" w:cs="Times New Roman"/>
                <w:spacing w:val="5"/>
                <w:sz w:val="20"/>
                <w:szCs w:val="20"/>
              </w:rPr>
              <w:t>001</w:t>
            </w:r>
          </w:p>
          <w:p w14:paraId="0611A926">
            <w:pPr>
              <w:pStyle w:val="6"/>
              <w:spacing w:line="227" w:lineRule="auto"/>
              <w:ind w:left="557"/>
              <w:rPr>
                <w:sz w:val="20"/>
                <w:szCs w:val="20"/>
              </w:rPr>
            </w:pPr>
            <w:r>
              <w:rPr>
                <w:spacing w:val="8"/>
                <w:sz w:val="20"/>
                <w:szCs w:val="20"/>
              </w:rPr>
              <w:t>排气筒排放</w:t>
            </w:r>
          </w:p>
        </w:tc>
        <w:tc>
          <w:tcPr>
            <w:tcW w:w="1996" w:type="dxa"/>
            <w:tcBorders>
              <w:right w:val="single" w:color="000000" w:sz="6" w:space="0"/>
            </w:tcBorders>
            <w:vAlign w:val="top"/>
          </w:tcPr>
          <w:p w14:paraId="1FA07CDE">
            <w:pPr>
              <w:pStyle w:val="6"/>
              <w:spacing w:before="63" w:line="228" w:lineRule="auto"/>
              <w:ind w:left="169"/>
              <w:rPr>
                <w:sz w:val="20"/>
                <w:szCs w:val="20"/>
              </w:rPr>
            </w:pPr>
            <w:r>
              <w:rPr>
                <w:spacing w:val="8"/>
                <w:sz w:val="20"/>
                <w:szCs w:val="20"/>
              </w:rPr>
              <w:t>《四川省固定污染</w:t>
            </w:r>
          </w:p>
          <w:p w14:paraId="305E815F">
            <w:pPr>
              <w:pStyle w:val="6"/>
              <w:spacing w:before="53" w:line="227" w:lineRule="auto"/>
              <w:ind w:left="163"/>
              <w:rPr>
                <w:sz w:val="20"/>
                <w:szCs w:val="20"/>
              </w:rPr>
            </w:pPr>
            <w:r>
              <w:rPr>
                <w:spacing w:val="8"/>
                <w:sz w:val="20"/>
                <w:szCs w:val="20"/>
              </w:rPr>
              <w:t>源大气挥发性有机</w:t>
            </w:r>
          </w:p>
          <w:p w14:paraId="283290F4">
            <w:pPr>
              <w:pStyle w:val="6"/>
              <w:spacing w:before="54" w:line="228" w:lineRule="auto"/>
              <w:ind w:left="99"/>
              <w:rPr>
                <w:rFonts w:ascii="Times New Roman" w:hAnsi="Times New Roman" w:eastAsia="Times New Roman" w:cs="Times New Roman"/>
                <w:sz w:val="20"/>
                <w:szCs w:val="20"/>
              </w:rPr>
            </w:pPr>
            <w:r>
              <w:rPr>
                <w:spacing w:val="-8"/>
                <w:sz w:val="20"/>
                <w:szCs w:val="20"/>
              </w:rPr>
              <w:t>物排放标准》（</w:t>
            </w:r>
            <w:r>
              <w:rPr>
                <w:rFonts w:ascii="Times New Roman" w:hAnsi="Times New Roman" w:eastAsia="Times New Roman" w:cs="Times New Roman"/>
                <w:spacing w:val="-8"/>
                <w:sz w:val="20"/>
                <w:szCs w:val="20"/>
              </w:rPr>
              <w:t>DB51</w:t>
            </w:r>
          </w:p>
          <w:p w14:paraId="0AE52A79">
            <w:pPr>
              <w:pStyle w:val="6"/>
              <w:spacing w:before="52" w:line="212" w:lineRule="auto"/>
              <w:ind w:left="384"/>
              <w:rPr>
                <w:sz w:val="20"/>
                <w:szCs w:val="20"/>
              </w:rPr>
            </w:pPr>
            <w:r>
              <w:rPr>
                <w:spacing w:val="-1"/>
                <w:sz w:val="20"/>
                <w:szCs w:val="20"/>
              </w:rPr>
              <w:t>∕</w:t>
            </w:r>
            <w:r>
              <w:rPr>
                <w:rFonts w:ascii="Times New Roman" w:hAnsi="Times New Roman" w:eastAsia="Times New Roman" w:cs="Times New Roman"/>
                <w:spacing w:val="-1"/>
                <w:sz w:val="20"/>
                <w:szCs w:val="20"/>
              </w:rPr>
              <w:t>2377-2017</w:t>
            </w:r>
            <w:r>
              <w:rPr>
                <w:spacing w:val="-1"/>
                <w:sz w:val="20"/>
                <w:szCs w:val="20"/>
              </w:rPr>
              <w:t>）</w:t>
            </w:r>
          </w:p>
        </w:tc>
      </w:tr>
      <w:tr w14:paraId="1D5D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785" w:type="dxa"/>
            <w:vMerge w:val="continue"/>
            <w:tcBorders>
              <w:top w:val="nil"/>
              <w:left w:val="single" w:color="000000" w:sz="6" w:space="0"/>
              <w:bottom w:val="nil"/>
            </w:tcBorders>
            <w:vAlign w:val="top"/>
          </w:tcPr>
          <w:p w14:paraId="0F222BBA">
            <w:pPr>
              <w:rPr>
                <w:rFonts w:ascii="Arial"/>
                <w:sz w:val="21"/>
              </w:rPr>
            </w:pPr>
          </w:p>
        </w:tc>
        <w:tc>
          <w:tcPr>
            <w:tcW w:w="1599" w:type="dxa"/>
            <w:vAlign w:val="top"/>
          </w:tcPr>
          <w:p w14:paraId="118D33CC">
            <w:pPr>
              <w:pStyle w:val="6"/>
              <w:spacing w:before="142" w:line="228" w:lineRule="auto"/>
              <w:ind w:left="173"/>
              <w:rPr>
                <w:sz w:val="20"/>
                <w:szCs w:val="20"/>
              </w:rPr>
            </w:pPr>
            <w:r>
              <w:rPr>
                <w:spacing w:val="7"/>
                <w:sz w:val="20"/>
                <w:szCs w:val="20"/>
              </w:rPr>
              <w:t>建筑垃圾卸料</w:t>
            </w:r>
          </w:p>
        </w:tc>
        <w:tc>
          <w:tcPr>
            <w:tcW w:w="1274" w:type="dxa"/>
            <w:vAlign w:val="top"/>
          </w:tcPr>
          <w:p w14:paraId="1CAE96F9">
            <w:pPr>
              <w:pStyle w:val="6"/>
              <w:spacing w:before="141" w:line="228" w:lineRule="auto"/>
              <w:ind w:left="431"/>
              <w:rPr>
                <w:sz w:val="20"/>
                <w:szCs w:val="20"/>
              </w:rPr>
            </w:pPr>
            <w:r>
              <w:rPr>
                <w:spacing w:val="5"/>
                <w:sz w:val="20"/>
                <w:szCs w:val="20"/>
              </w:rPr>
              <w:t>粉尘</w:t>
            </w:r>
          </w:p>
        </w:tc>
        <w:tc>
          <w:tcPr>
            <w:tcW w:w="2150" w:type="dxa"/>
            <w:vAlign w:val="top"/>
          </w:tcPr>
          <w:p w14:paraId="2796EB76">
            <w:pPr>
              <w:pStyle w:val="6"/>
              <w:spacing w:before="22" w:line="212" w:lineRule="auto"/>
              <w:ind w:left="890" w:right="126" w:hanging="745"/>
              <w:rPr>
                <w:sz w:val="20"/>
                <w:szCs w:val="20"/>
              </w:rPr>
            </w:pPr>
            <w:r>
              <w:rPr>
                <w:spacing w:val="8"/>
                <w:sz w:val="20"/>
                <w:szCs w:val="20"/>
              </w:rPr>
              <w:t>喷雾、三面及顶部设</w:t>
            </w:r>
            <w:r>
              <w:rPr>
                <w:sz w:val="20"/>
                <w:szCs w:val="20"/>
              </w:rPr>
              <w:t xml:space="preserve"> </w:t>
            </w:r>
            <w:r>
              <w:rPr>
                <w:spacing w:val="-5"/>
                <w:sz w:val="20"/>
                <w:szCs w:val="20"/>
              </w:rPr>
              <w:t>围挡</w:t>
            </w:r>
          </w:p>
        </w:tc>
        <w:tc>
          <w:tcPr>
            <w:tcW w:w="1996" w:type="dxa"/>
            <w:vMerge w:val="restart"/>
            <w:tcBorders>
              <w:bottom w:val="nil"/>
              <w:right w:val="single" w:color="000000" w:sz="6" w:space="0"/>
            </w:tcBorders>
            <w:vAlign w:val="top"/>
          </w:tcPr>
          <w:p w14:paraId="7673B16F">
            <w:pPr>
              <w:rPr>
                <w:rFonts w:ascii="Arial"/>
                <w:sz w:val="21"/>
              </w:rPr>
            </w:pPr>
          </w:p>
          <w:p w14:paraId="3E37945A">
            <w:pPr>
              <w:rPr>
                <w:rFonts w:ascii="Arial"/>
                <w:sz w:val="21"/>
              </w:rPr>
            </w:pPr>
          </w:p>
          <w:p w14:paraId="65ADA5FC">
            <w:pPr>
              <w:rPr>
                <w:rFonts w:ascii="Arial"/>
                <w:sz w:val="21"/>
              </w:rPr>
            </w:pPr>
          </w:p>
          <w:p w14:paraId="5C5F2901">
            <w:pPr>
              <w:rPr>
                <w:rFonts w:ascii="Arial"/>
                <w:sz w:val="21"/>
              </w:rPr>
            </w:pPr>
          </w:p>
          <w:p w14:paraId="6FBBEF5F">
            <w:pPr>
              <w:rPr>
                <w:rFonts w:ascii="Arial"/>
                <w:sz w:val="21"/>
              </w:rPr>
            </w:pPr>
          </w:p>
          <w:p w14:paraId="37D00D75">
            <w:pPr>
              <w:spacing w:line="241" w:lineRule="auto"/>
              <w:rPr>
                <w:rFonts w:ascii="Arial"/>
                <w:sz w:val="21"/>
              </w:rPr>
            </w:pPr>
          </w:p>
          <w:p w14:paraId="0F4E2176">
            <w:pPr>
              <w:spacing w:line="241" w:lineRule="auto"/>
              <w:rPr>
                <w:rFonts w:ascii="Arial"/>
                <w:sz w:val="21"/>
              </w:rPr>
            </w:pPr>
          </w:p>
          <w:p w14:paraId="0C0BA020">
            <w:pPr>
              <w:spacing w:line="241" w:lineRule="auto"/>
              <w:rPr>
                <w:rFonts w:ascii="Arial"/>
                <w:sz w:val="21"/>
              </w:rPr>
            </w:pPr>
          </w:p>
          <w:p w14:paraId="438E2DE8">
            <w:pPr>
              <w:spacing w:line="241" w:lineRule="auto"/>
              <w:rPr>
                <w:rFonts w:ascii="Arial"/>
                <w:sz w:val="21"/>
              </w:rPr>
            </w:pPr>
          </w:p>
          <w:p w14:paraId="2910D58E">
            <w:pPr>
              <w:spacing w:line="241" w:lineRule="auto"/>
              <w:rPr>
                <w:rFonts w:ascii="Arial"/>
                <w:sz w:val="21"/>
              </w:rPr>
            </w:pPr>
          </w:p>
          <w:p w14:paraId="072929C4">
            <w:pPr>
              <w:spacing w:line="241" w:lineRule="auto"/>
              <w:rPr>
                <w:rFonts w:ascii="Arial"/>
                <w:sz w:val="21"/>
              </w:rPr>
            </w:pPr>
          </w:p>
          <w:p w14:paraId="6136A7E7">
            <w:pPr>
              <w:spacing w:line="241" w:lineRule="auto"/>
              <w:rPr>
                <w:rFonts w:ascii="Arial"/>
                <w:sz w:val="21"/>
              </w:rPr>
            </w:pPr>
          </w:p>
          <w:p w14:paraId="49FF113E">
            <w:pPr>
              <w:spacing w:line="241" w:lineRule="auto"/>
              <w:rPr>
                <w:rFonts w:ascii="Arial"/>
                <w:sz w:val="21"/>
              </w:rPr>
            </w:pPr>
          </w:p>
          <w:p w14:paraId="33882A20">
            <w:pPr>
              <w:pStyle w:val="6"/>
              <w:spacing w:before="65" w:line="228" w:lineRule="auto"/>
              <w:ind w:left="169"/>
              <w:rPr>
                <w:sz w:val="20"/>
                <w:szCs w:val="20"/>
              </w:rPr>
            </w:pPr>
            <w:r>
              <w:rPr>
                <w:spacing w:val="8"/>
                <w:sz w:val="20"/>
                <w:szCs w:val="20"/>
              </w:rPr>
              <w:t>《四川省水泥工业</w:t>
            </w:r>
          </w:p>
          <w:p w14:paraId="438A7AC5">
            <w:pPr>
              <w:pStyle w:val="6"/>
              <w:spacing w:before="53" w:line="228" w:lineRule="auto"/>
              <w:ind w:left="166"/>
              <w:rPr>
                <w:sz w:val="20"/>
                <w:szCs w:val="20"/>
              </w:rPr>
            </w:pPr>
            <w:r>
              <w:rPr>
                <w:spacing w:val="8"/>
                <w:sz w:val="20"/>
                <w:szCs w:val="20"/>
              </w:rPr>
              <w:t>大气污染物排放标</w:t>
            </w:r>
          </w:p>
          <w:p w14:paraId="5D1B27D4">
            <w:pPr>
              <w:pStyle w:val="6"/>
              <w:spacing w:before="52" w:line="229" w:lineRule="auto"/>
              <w:ind w:left="847"/>
              <w:rPr>
                <w:sz w:val="20"/>
                <w:szCs w:val="20"/>
              </w:rPr>
            </w:pPr>
            <w:r>
              <w:rPr>
                <w:spacing w:val="-1"/>
                <w:sz w:val="20"/>
                <w:szCs w:val="20"/>
              </w:rPr>
              <w:t>准》</w:t>
            </w:r>
          </w:p>
          <w:p w14:paraId="7B2143C1">
            <w:pPr>
              <w:pStyle w:val="6"/>
              <w:spacing w:before="52"/>
              <w:ind w:right="13"/>
              <w:jc w:val="right"/>
              <w:rPr>
                <w:sz w:val="20"/>
                <w:szCs w:val="20"/>
              </w:rPr>
            </w:pP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51/2864-2021</w:t>
            </w:r>
            <w:r>
              <w:rPr>
                <w:spacing w:val="4"/>
                <w:sz w:val="20"/>
                <w:szCs w:val="20"/>
              </w:rPr>
              <w:t>）</w:t>
            </w:r>
          </w:p>
        </w:tc>
      </w:tr>
      <w:tr w14:paraId="4EBBD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85" w:type="dxa"/>
            <w:vMerge w:val="continue"/>
            <w:tcBorders>
              <w:top w:val="nil"/>
              <w:left w:val="single" w:color="000000" w:sz="6" w:space="0"/>
              <w:bottom w:val="nil"/>
            </w:tcBorders>
            <w:vAlign w:val="top"/>
          </w:tcPr>
          <w:p w14:paraId="49ABC0AB">
            <w:pPr>
              <w:rPr>
                <w:rFonts w:ascii="Arial"/>
                <w:sz w:val="21"/>
              </w:rPr>
            </w:pPr>
          </w:p>
        </w:tc>
        <w:tc>
          <w:tcPr>
            <w:tcW w:w="1599" w:type="dxa"/>
            <w:vAlign w:val="top"/>
          </w:tcPr>
          <w:p w14:paraId="08A97435">
            <w:pPr>
              <w:pStyle w:val="6"/>
              <w:spacing w:before="138" w:line="225" w:lineRule="auto"/>
              <w:ind w:left="592" w:right="173" w:hanging="419"/>
              <w:rPr>
                <w:sz w:val="20"/>
                <w:szCs w:val="20"/>
              </w:rPr>
            </w:pPr>
            <w:r>
              <w:rPr>
                <w:spacing w:val="7"/>
                <w:sz w:val="20"/>
                <w:szCs w:val="20"/>
              </w:rPr>
              <w:t>建筑垃圾破碎</w:t>
            </w:r>
            <w:r>
              <w:rPr>
                <w:spacing w:val="4"/>
                <w:sz w:val="20"/>
                <w:szCs w:val="20"/>
              </w:rPr>
              <w:t xml:space="preserve"> </w:t>
            </w:r>
            <w:r>
              <w:rPr>
                <w:spacing w:val="3"/>
                <w:sz w:val="20"/>
                <w:szCs w:val="20"/>
              </w:rPr>
              <w:t>筛分</w:t>
            </w:r>
          </w:p>
        </w:tc>
        <w:tc>
          <w:tcPr>
            <w:tcW w:w="1274" w:type="dxa"/>
            <w:vAlign w:val="top"/>
          </w:tcPr>
          <w:p w14:paraId="0DF4362C">
            <w:pPr>
              <w:pStyle w:val="6"/>
              <w:spacing w:before="258" w:line="228" w:lineRule="auto"/>
              <w:ind w:left="431"/>
              <w:rPr>
                <w:sz w:val="20"/>
                <w:szCs w:val="20"/>
              </w:rPr>
            </w:pPr>
            <w:r>
              <w:rPr>
                <w:spacing w:val="5"/>
                <w:sz w:val="20"/>
                <w:szCs w:val="20"/>
              </w:rPr>
              <w:t>粉尘</w:t>
            </w:r>
          </w:p>
        </w:tc>
        <w:tc>
          <w:tcPr>
            <w:tcW w:w="2150" w:type="dxa"/>
            <w:vAlign w:val="top"/>
          </w:tcPr>
          <w:p w14:paraId="5108B632">
            <w:pPr>
              <w:pStyle w:val="6"/>
              <w:spacing w:before="18" w:line="222" w:lineRule="auto"/>
              <w:ind w:left="138"/>
              <w:rPr>
                <w:sz w:val="20"/>
                <w:szCs w:val="20"/>
              </w:rPr>
            </w:pPr>
            <w:r>
              <w:rPr>
                <w:spacing w:val="8"/>
                <w:sz w:val="20"/>
                <w:szCs w:val="20"/>
              </w:rPr>
              <w:t>密闭型设备、设除尘</w:t>
            </w:r>
          </w:p>
          <w:p w14:paraId="085E0866">
            <w:pPr>
              <w:pStyle w:val="6"/>
              <w:spacing w:line="221" w:lineRule="auto"/>
              <w:ind w:left="137"/>
              <w:rPr>
                <w:sz w:val="20"/>
                <w:szCs w:val="20"/>
              </w:rPr>
            </w:pPr>
            <w:r>
              <w:rPr>
                <w:spacing w:val="8"/>
                <w:sz w:val="20"/>
                <w:szCs w:val="20"/>
              </w:rPr>
              <w:t>器收尘、地下堆场喷</w:t>
            </w:r>
          </w:p>
          <w:p w14:paraId="34F92727">
            <w:pPr>
              <w:pStyle w:val="6"/>
              <w:spacing w:line="198" w:lineRule="auto"/>
              <w:ind w:left="770"/>
              <w:rPr>
                <w:sz w:val="20"/>
                <w:szCs w:val="20"/>
              </w:rPr>
            </w:pPr>
            <w:r>
              <w:rPr>
                <w:spacing w:val="6"/>
                <w:sz w:val="20"/>
                <w:szCs w:val="20"/>
              </w:rPr>
              <w:t>雾降尘</w:t>
            </w:r>
          </w:p>
        </w:tc>
        <w:tc>
          <w:tcPr>
            <w:tcW w:w="1996" w:type="dxa"/>
            <w:vMerge w:val="continue"/>
            <w:tcBorders>
              <w:top w:val="nil"/>
              <w:bottom w:val="nil"/>
              <w:right w:val="single" w:color="000000" w:sz="6" w:space="0"/>
            </w:tcBorders>
            <w:vAlign w:val="top"/>
          </w:tcPr>
          <w:p w14:paraId="73066A6F">
            <w:pPr>
              <w:rPr>
                <w:rFonts w:ascii="Arial"/>
                <w:sz w:val="21"/>
              </w:rPr>
            </w:pPr>
          </w:p>
        </w:tc>
      </w:tr>
      <w:tr w14:paraId="6591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85" w:type="dxa"/>
            <w:vMerge w:val="continue"/>
            <w:tcBorders>
              <w:top w:val="nil"/>
              <w:left w:val="single" w:color="000000" w:sz="6" w:space="0"/>
              <w:bottom w:val="nil"/>
            </w:tcBorders>
            <w:vAlign w:val="top"/>
          </w:tcPr>
          <w:p w14:paraId="166D3C4E">
            <w:pPr>
              <w:rPr>
                <w:rFonts w:ascii="Arial"/>
                <w:sz w:val="21"/>
              </w:rPr>
            </w:pPr>
          </w:p>
        </w:tc>
        <w:tc>
          <w:tcPr>
            <w:tcW w:w="1599" w:type="dxa"/>
            <w:vAlign w:val="top"/>
          </w:tcPr>
          <w:p w14:paraId="7EDE2675">
            <w:pPr>
              <w:pStyle w:val="6"/>
              <w:spacing w:before="60" w:line="225" w:lineRule="auto"/>
              <w:ind w:left="592" w:right="173" w:hanging="421"/>
              <w:rPr>
                <w:sz w:val="20"/>
                <w:szCs w:val="20"/>
              </w:rPr>
            </w:pPr>
            <w:r>
              <w:rPr>
                <w:spacing w:val="8"/>
                <w:sz w:val="20"/>
                <w:szCs w:val="20"/>
              </w:rPr>
              <w:t>地下堆场铲车</w:t>
            </w:r>
            <w:r>
              <w:rPr>
                <w:sz w:val="20"/>
                <w:szCs w:val="20"/>
              </w:rPr>
              <w:t xml:space="preserve"> </w:t>
            </w:r>
            <w:r>
              <w:rPr>
                <w:spacing w:val="3"/>
                <w:sz w:val="20"/>
                <w:szCs w:val="20"/>
              </w:rPr>
              <w:t>上料</w:t>
            </w:r>
          </w:p>
        </w:tc>
        <w:tc>
          <w:tcPr>
            <w:tcW w:w="1274" w:type="dxa"/>
            <w:vAlign w:val="top"/>
          </w:tcPr>
          <w:p w14:paraId="06A28BDD">
            <w:pPr>
              <w:pStyle w:val="6"/>
              <w:spacing w:before="180" w:line="228" w:lineRule="auto"/>
              <w:ind w:left="431"/>
              <w:rPr>
                <w:sz w:val="20"/>
                <w:szCs w:val="20"/>
              </w:rPr>
            </w:pPr>
            <w:r>
              <w:rPr>
                <w:spacing w:val="5"/>
                <w:sz w:val="20"/>
                <w:szCs w:val="20"/>
              </w:rPr>
              <w:t>粉尘</w:t>
            </w:r>
          </w:p>
        </w:tc>
        <w:tc>
          <w:tcPr>
            <w:tcW w:w="2150" w:type="dxa"/>
            <w:vAlign w:val="top"/>
          </w:tcPr>
          <w:p w14:paraId="4CBAE838">
            <w:pPr>
              <w:pStyle w:val="6"/>
              <w:spacing w:before="51" w:line="232" w:lineRule="auto"/>
              <w:ind w:left="73" w:right="59" w:hanging="1"/>
              <w:rPr>
                <w:sz w:val="20"/>
                <w:szCs w:val="20"/>
              </w:rPr>
            </w:pPr>
            <w:r>
              <w:rPr>
                <w:spacing w:val="1"/>
                <w:sz w:val="20"/>
                <w:szCs w:val="20"/>
              </w:rPr>
              <w:t xml:space="preserve">料斗三面围挡、喷雾降 </w:t>
            </w:r>
            <w:r>
              <w:rPr>
                <w:sz w:val="20"/>
                <w:szCs w:val="20"/>
              </w:rPr>
              <w:t>尘</w:t>
            </w:r>
          </w:p>
        </w:tc>
        <w:tc>
          <w:tcPr>
            <w:tcW w:w="1996" w:type="dxa"/>
            <w:vMerge w:val="continue"/>
            <w:tcBorders>
              <w:top w:val="nil"/>
              <w:bottom w:val="nil"/>
              <w:right w:val="single" w:color="000000" w:sz="6" w:space="0"/>
            </w:tcBorders>
            <w:vAlign w:val="top"/>
          </w:tcPr>
          <w:p w14:paraId="05865DA6">
            <w:pPr>
              <w:rPr>
                <w:rFonts w:ascii="Arial"/>
                <w:sz w:val="21"/>
              </w:rPr>
            </w:pPr>
          </w:p>
        </w:tc>
      </w:tr>
      <w:tr w14:paraId="4902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85" w:type="dxa"/>
            <w:vMerge w:val="continue"/>
            <w:tcBorders>
              <w:top w:val="nil"/>
              <w:left w:val="single" w:color="000000" w:sz="6" w:space="0"/>
              <w:bottom w:val="nil"/>
            </w:tcBorders>
            <w:vAlign w:val="top"/>
          </w:tcPr>
          <w:p w14:paraId="24649C2C">
            <w:pPr>
              <w:rPr>
                <w:rFonts w:ascii="Arial"/>
                <w:sz w:val="21"/>
              </w:rPr>
            </w:pPr>
          </w:p>
        </w:tc>
        <w:tc>
          <w:tcPr>
            <w:tcW w:w="1599" w:type="dxa"/>
            <w:vAlign w:val="top"/>
          </w:tcPr>
          <w:p w14:paraId="1C433621">
            <w:pPr>
              <w:pStyle w:val="6"/>
              <w:spacing w:before="179" w:line="228" w:lineRule="auto"/>
              <w:ind w:left="381"/>
              <w:rPr>
                <w:sz w:val="20"/>
                <w:szCs w:val="20"/>
              </w:rPr>
            </w:pPr>
            <w:r>
              <w:rPr>
                <w:spacing w:val="7"/>
                <w:sz w:val="20"/>
                <w:szCs w:val="20"/>
              </w:rPr>
              <w:t>粉料筒仓</w:t>
            </w:r>
          </w:p>
        </w:tc>
        <w:tc>
          <w:tcPr>
            <w:tcW w:w="1274" w:type="dxa"/>
            <w:vAlign w:val="top"/>
          </w:tcPr>
          <w:p w14:paraId="2982B997">
            <w:pPr>
              <w:pStyle w:val="6"/>
              <w:spacing w:before="179" w:line="228" w:lineRule="auto"/>
              <w:ind w:left="431"/>
              <w:rPr>
                <w:sz w:val="20"/>
                <w:szCs w:val="20"/>
              </w:rPr>
            </w:pPr>
            <w:r>
              <w:rPr>
                <w:spacing w:val="5"/>
                <w:sz w:val="20"/>
                <w:szCs w:val="20"/>
              </w:rPr>
              <w:t>粉尘</w:t>
            </w:r>
          </w:p>
        </w:tc>
        <w:tc>
          <w:tcPr>
            <w:tcW w:w="2150" w:type="dxa"/>
            <w:vAlign w:val="top"/>
          </w:tcPr>
          <w:p w14:paraId="2FCC2912">
            <w:pPr>
              <w:pStyle w:val="6"/>
              <w:spacing w:before="53" w:line="231" w:lineRule="auto"/>
              <w:ind w:left="73" w:right="191" w:hanging="1"/>
              <w:rPr>
                <w:sz w:val="20"/>
                <w:szCs w:val="20"/>
              </w:rPr>
            </w:pPr>
            <w:r>
              <w:rPr>
                <w:spacing w:val="8"/>
                <w:sz w:val="20"/>
                <w:szCs w:val="20"/>
              </w:rPr>
              <w:t>每个筒仓均设仓顶除</w:t>
            </w:r>
            <w:r>
              <w:rPr>
                <w:spacing w:val="7"/>
                <w:sz w:val="20"/>
                <w:szCs w:val="20"/>
              </w:rPr>
              <w:t xml:space="preserve"> </w:t>
            </w:r>
            <w:r>
              <w:rPr>
                <w:spacing w:val="3"/>
                <w:sz w:val="20"/>
                <w:szCs w:val="20"/>
              </w:rPr>
              <w:t>尘器</w:t>
            </w:r>
          </w:p>
        </w:tc>
        <w:tc>
          <w:tcPr>
            <w:tcW w:w="1996" w:type="dxa"/>
            <w:vMerge w:val="continue"/>
            <w:tcBorders>
              <w:top w:val="nil"/>
              <w:bottom w:val="nil"/>
              <w:right w:val="single" w:color="000000" w:sz="6" w:space="0"/>
            </w:tcBorders>
            <w:vAlign w:val="top"/>
          </w:tcPr>
          <w:p w14:paraId="17AE2644">
            <w:pPr>
              <w:rPr>
                <w:rFonts w:ascii="Arial"/>
                <w:sz w:val="21"/>
              </w:rPr>
            </w:pPr>
          </w:p>
        </w:tc>
      </w:tr>
      <w:tr w14:paraId="0ADE1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85" w:type="dxa"/>
            <w:vMerge w:val="continue"/>
            <w:tcBorders>
              <w:top w:val="nil"/>
              <w:left w:val="single" w:color="000000" w:sz="6" w:space="0"/>
              <w:bottom w:val="nil"/>
            </w:tcBorders>
            <w:vAlign w:val="top"/>
          </w:tcPr>
          <w:p w14:paraId="0BBF07BB">
            <w:pPr>
              <w:rPr>
                <w:rFonts w:ascii="Arial"/>
                <w:sz w:val="21"/>
              </w:rPr>
            </w:pPr>
          </w:p>
        </w:tc>
        <w:tc>
          <w:tcPr>
            <w:tcW w:w="1599" w:type="dxa"/>
            <w:vAlign w:val="top"/>
          </w:tcPr>
          <w:p w14:paraId="6AB0936B">
            <w:pPr>
              <w:pStyle w:val="6"/>
              <w:spacing w:before="261" w:line="228" w:lineRule="auto"/>
              <w:ind w:left="385"/>
              <w:rPr>
                <w:sz w:val="20"/>
                <w:szCs w:val="20"/>
              </w:rPr>
            </w:pPr>
            <w:r>
              <w:rPr>
                <w:spacing w:val="6"/>
                <w:sz w:val="20"/>
                <w:szCs w:val="20"/>
              </w:rPr>
              <w:t>混合搅拌</w:t>
            </w:r>
          </w:p>
        </w:tc>
        <w:tc>
          <w:tcPr>
            <w:tcW w:w="1274" w:type="dxa"/>
            <w:vAlign w:val="top"/>
          </w:tcPr>
          <w:p w14:paraId="4BD99C58">
            <w:pPr>
              <w:pStyle w:val="6"/>
              <w:spacing w:before="261" w:line="228" w:lineRule="auto"/>
              <w:ind w:left="431"/>
              <w:rPr>
                <w:sz w:val="20"/>
                <w:szCs w:val="20"/>
              </w:rPr>
            </w:pPr>
            <w:r>
              <w:rPr>
                <w:spacing w:val="5"/>
                <w:sz w:val="20"/>
                <w:szCs w:val="20"/>
              </w:rPr>
              <w:t>粉尘</w:t>
            </w:r>
          </w:p>
        </w:tc>
        <w:tc>
          <w:tcPr>
            <w:tcW w:w="2150" w:type="dxa"/>
            <w:vAlign w:val="top"/>
          </w:tcPr>
          <w:p w14:paraId="101D1C29">
            <w:pPr>
              <w:pStyle w:val="6"/>
              <w:spacing w:before="20" w:line="222" w:lineRule="auto"/>
              <w:ind w:left="115" w:right="105" w:firstLine="25"/>
              <w:rPr>
                <w:sz w:val="20"/>
                <w:szCs w:val="20"/>
              </w:rPr>
            </w:pPr>
            <w:r>
              <w:rPr>
                <w:spacing w:val="10"/>
                <w:sz w:val="20"/>
                <w:szCs w:val="20"/>
              </w:rPr>
              <w:t>设除尘器收集处理，</w:t>
            </w:r>
            <w:r>
              <w:rPr>
                <w:spacing w:val="2"/>
                <w:sz w:val="20"/>
                <w:szCs w:val="20"/>
              </w:rPr>
              <w:t xml:space="preserve"> </w:t>
            </w:r>
            <w:r>
              <w:rPr>
                <w:spacing w:val="5"/>
                <w:sz w:val="20"/>
                <w:szCs w:val="20"/>
              </w:rPr>
              <w:t>经</w:t>
            </w:r>
            <w:r>
              <w:rPr>
                <w:spacing w:val="-21"/>
                <w:sz w:val="20"/>
                <w:szCs w:val="20"/>
              </w:rPr>
              <w:t xml:space="preserve"> </w:t>
            </w:r>
            <w:r>
              <w:rPr>
                <w:rFonts w:ascii="Times New Roman" w:hAnsi="Times New Roman" w:eastAsia="Times New Roman" w:cs="Times New Roman"/>
                <w:spacing w:val="5"/>
                <w:sz w:val="20"/>
                <w:szCs w:val="20"/>
              </w:rPr>
              <w:t>15</w:t>
            </w:r>
            <w:r>
              <w:rPr>
                <w:rFonts w:ascii="Times New Roman" w:hAnsi="Times New Roman" w:eastAsia="Times New Roman" w:cs="Times New Roman"/>
                <w:sz w:val="20"/>
                <w:szCs w:val="20"/>
              </w:rPr>
              <w:t>mDA</w:t>
            </w:r>
            <w:r>
              <w:rPr>
                <w:rFonts w:ascii="Times New Roman" w:hAnsi="Times New Roman" w:eastAsia="Times New Roman" w:cs="Times New Roman"/>
                <w:spacing w:val="5"/>
                <w:sz w:val="20"/>
                <w:szCs w:val="20"/>
              </w:rPr>
              <w:t xml:space="preserve">002 </w:t>
            </w:r>
            <w:r>
              <w:rPr>
                <w:spacing w:val="5"/>
                <w:sz w:val="20"/>
                <w:szCs w:val="20"/>
              </w:rPr>
              <w:t>排气筒</w:t>
            </w:r>
          </w:p>
          <w:p w14:paraId="2C874DA0">
            <w:pPr>
              <w:pStyle w:val="6"/>
              <w:spacing w:line="196" w:lineRule="auto"/>
              <w:ind w:left="871"/>
              <w:rPr>
                <w:sz w:val="20"/>
                <w:szCs w:val="20"/>
              </w:rPr>
            </w:pPr>
            <w:r>
              <w:rPr>
                <w:spacing w:val="4"/>
                <w:sz w:val="20"/>
                <w:szCs w:val="20"/>
              </w:rPr>
              <w:t>排放</w:t>
            </w:r>
          </w:p>
        </w:tc>
        <w:tc>
          <w:tcPr>
            <w:tcW w:w="1996" w:type="dxa"/>
            <w:vMerge w:val="continue"/>
            <w:tcBorders>
              <w:top w:val="nil"/>
              <w:bottom w:val="nil"/>
              <w:right w:val="single" w:color="000000" w:sz="6" w:space="0"/>
            </w:tcBorders>
            <w:vAlign w:val="top"/>
          </w:tcPr>
          <w:p w14:paraId="2954466F">
            <w:pPr>
              <w:rPr>
                <w:rFonts w:ascii="Arial"/>
                <w:sz w:val="21"/>
              </w:rPr>
            </w:pPr>
          </w:p>
        </w:tc>
      </w:tr>
      <w:tr w14:paraId="3ED1A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85" w:type="dxa"/>
            <w:vMerge w:val="continue"/>
            <w:tcBorders>
              <w:top w:val="nil"/>
              <w:left w:val="single" w:color="000000" w:sz="6" w:space="0"/>
              <w:bottom w:val="nil"/>
            </w:tcBorders>
            <w:vAlign w:val="top"/>
          </w:tcPr>
          <w:p w14:paraId="109A9384">
            <w:pPr>
              <w:rPr>
                <w:rFonts w:ascii="Arial"/>
                <w:sz w:val="21"/>
              </w:rPr>
            </w:pPr>
          </w:p>
        </w:tc>
        <w:tc>
          <w:tcPr>
            <w:tcW w:w="1599" w:type="dxa"/>
            <w:vAlign w:val="top"/>
          </w:tcPr>
          <w:p w14:paraId="3160CC1C">
            <w:pPr>
              <w:pStyle w:val="6"/>
              <w:spacing w:before="142" w:line="225" w:lineRule="auto"/>
              <w:ind w:left="170" w:right="173" w:firstLine="1"/>
              <w:rPr>
                <w:sz w:val="20"/>
                <w:szCs w:val="20"/>
              </w:rPr>
            </w:pPr>
            <w:r>
              <w:rPr>
                <w:spacing w:val="8"/>
                <w:sz w:val="20"/>
                <w:szCs w:val="20"/>
              </w:rPr>
              <w:t>气动放料成品</w:t>
            </w:r>
            <w:r>
              <w:rPr>
                <w:sz w:val="20"/>
                <w:szCs w:val="20"/>
              </w:rPr>
              <w:t xml:space="preserve"> </w:t>
            </w:r>
            <w:r>
              <w:rPr>
                <w:spacing w:val="8"/>
                <w:sz w:val="20"/>
                <w:szCs w:val="20"/>
              </w:rPr>
              <w:t>仓，袋装包装</w:t>
            </w:r>
          </w:p>
        </w:tc>
        <w:tc>
          <w:tcPr>
            <w:tcW w:w="1274" w:type="dxa"/>
            <w:vAlign w:val="top"/>
          </w:tcPr>
          <w:p w14:paraId="1C045A70">
            <w:pPr>
              <w:pStyle w:val="6"/>
              <w:spacing w:before="261" w:line="228" w:lineRule="auto"/>
              <w:ind w:left="431"/>
              <w:rPr>
                <w:sz w:val="20"/>
                <w:szCs w:val="20"/>
              </w:rPr>
            </w:pPr>
            <w:r>
              <w:rPr>
                <w:spacing w:val="5"/>
                <w:sz w:val="20"/>
                <w:szCs w:val="20"/>
              </w:rPr>
              <w:t>粉尘</w:t>
            </w:r>
          </w:p>
        </w:tc>
        <w:tc>
          <w:tcPr>
            <w:tcW w:w="2150" w:type="dxa"/>
            <w:vAlign w:val="top"/>
          </w:tcPr>
          <w:p w14:paraId="6A148EF6">
            <w:pPr>
              <w:pStyle w:val="6"/>
              <w:spacing w:before="21" w:line="222" w:lineRule="auto"/>
              <w:ind w:left="115" w:right="105" w:firstLine="25"/>
              <w:rPr>
                <w:sz w:val="20"/>
                <w:szCs w:val="20"/>
              </w:rPr>
            </w:pPr>
            <w:r>
              <w:rPr>
                <w:spacing w:val="10"/>
                <w:sz w:val="20"/>
                <w:szCs w:val="20"/>
              </w:rPr>
              <w:t>设除尘器收集处理，</w:t>
            </w:r>
            <w:r>
              <w:rPr>
                <w:spacing w:val="2"/>
                <w:sz w:val="20"/>
                <w:szCs w:val="20"/>
              </w:rPr>
              <w:t xml:space="preserve"> </w:t>
            </w:r>
            <w:r>
              <w:rPr>
                <w:spacing w:val="5"/>
                <w:sz w:val="20"/>
                <w:szCs w:val="20"/>
              </w:rPr>
              <w:t>经</w:t>
            </w:r>
            <w:r>
              <w:rPr>
                <w:spacing w:val="-21"/>
                <w:sz w:val="20"/>
                <w:szCs w:val="20"/>
              </w:rPr>
              <w:t xml:space="preserve"> </w:t>
            </w:r>
            <w:r>
              <w:rPr>
                <w:rFonts w:ascii="Times New Roman" w:hAnsi="Times New Roman" w:eastAsia="Times New Roman" w:cs="Times New Roman"/>
                <w:spacing w:val="5"/>
                <w:sz w:val="20"/>
                <w:szCs w:val="20"/>
              </w:rPr>
              <w:t>15</w:t>
            </w:r>
            <w:r>
              <w:rPr>
                <w:rFonts w:ascii="Times New Roman" w:hAnsi="Times New Roman" w:eastAsia="Times New Roman" w:cs="Times New Roman"/>
                <w:sz w:val="20"/>
                <w:szCs w:val="20"/>
              </w:rPr>
              <w:t>mDA</w:t>
            </w:r>
            <w:r>
              <w:rPr>
                <w:rFonts w:ascii="Times New Roman" w:hAnsi="Times New Roman" w:eastAsia="Times New Roman" w:cs="Times New Roman"/>
                <w:spacing w:val="5"/>
                <w:sz w:val="20"/>
                <w:szCs w:val="20"/>
              </w:rPr>
              <w:t xml:space="preserve">002 </w:t>
            </w:r>
            <w:r>
              <w:rPr>
                <w:spacing w:val="5"/>
                <w:sz w:val="20"/>
                <w:szCs w:val="20"/>
              </w:rPr>
              <w:t>排气筒</w:t>
            </w:r>
          </w:p>
          <w:p w14:paraId="022518AA">
            <w:pPr>
              <w:pStyle w:val="6"/>
              <w:spacing w:line="195" w:lineRule="auto"/>
              <w:ind w:left="871"/>
              <w:rPr>
                <w:sz w:val="20"/>
                <w:szCs w:val="20"/>
              </w:rPr>
            </w:pPr>
            <w:r>
              <w:rPr>
                <w:spacing w:val="4"/>
                <w:sz w:val="20"/>
                <w:szCs w:val="20"/>
              </w:rPr>
              <w:t>排放</w:t>
            </w:r>
          </w:p>
        </w:tc>
        <w:tc>
          <w:tcPr>
            <w:tcW w:w="1996" w:type="dxa"/>
            <w:vMerge w:val="continue"/>
            <w:tcBorders>
              <w:top w:val="nil"/>
              <w:bottom w:val="nil"/>
              <w:right w:val="single" w:color="000000" w:sz="6" w:space="0"/>
            </w:tcBorders>
            <w:vAlign w:val="top"/>
          </w:tcPr>
          <w:p w14:paraId="163C5CEF">
            <w:pPr>
              <w:rPr>
                <w:rFonts w:ascii="Arial"/>
                <w:sz w:val="21"/>
              </w:rPr>
            </w:pPr>
          </w:p>
        </w:tc>
      </w:tr>
      <w:tr w14:paraId="3BD1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continue"/>
            <w:tcBorders>
              <w:top w:val="nil"/>
              <w:left w:val="single" w:color="000000" w:sz="6" w:space="0"/>
              <w:bottom w:val="nil"/>
            </w:tcBorders>
            <w:vAlign w:val="top"/>
          </w:tcPr>
          <w:p w14:paraId="62C8B203">
            <w:pPr>
              <w:rPr>
                <w:rFonts w:ascii="Arial"/>
                <w:sz w:val="21"/>
              </w:rPr>
            </w:pPr>
          </w:p>
        </w:tc>
        <w:tc>
          <w:tcPr>
            <w:tcW w:w="1599" w:type="dxa"/>
            <w:vAlign w:val="top"/>
          </w:tcPr>
          <w:p w14:paraId="7A4969B6">
            <w:pPr>
              <w:spacing w:line="282" w:lineRule="auto"/>
              <w:rPr>
                <w:rFonts w:ascii="Arial"/>
                <w:sz w:val="21"/>
              </w:rPr>
            </w:pPr>
          </w:p>
          <w:p w14:paraId="64FC593D">
            <w:pPr>
              <w:pStyle w:val="6"/>
              <w:spacing w:before="65" w:line="227" w:lineRule="auto"/>
              <w:ind w:left="92"/>
              <w:rPr>
                <w:sz w:val="20"/>
                <w:szCs w:val="20"/>
              </w:rPr>
            </w:pPr>
            <w:r>
              <w:rPr>
                <w:spacing w:val="1"/>
                <w:sz w:val="20"/>
                <w:szCs w:val="20"/>
              </w:rPr>
              <w:t>球磨机、筛分机</w:t>
            </w:r>
          </w:p>
        </w:tc>
        <w:tc>
          <w:tcPr>
            <w:tcW w:w="1274" w:type="dxa"/>
            <w:vAlign w:val="top"/>
          </w:tcPr>
          <w:p w14:paraId="3797C14B">
            <w:pPr>
              <w:spacing w:line="255" w:lineRule="auto"/>
              <w:rPr>
                <w:rFonts w:ascii="Arial"/>
                <w:sz w:val="21"/>
              </w:rPr>
            </w:pPr>
          </w:p>
          <w:p w14:paraId="5889D56B">
            <w:pPr>
              <w:pStyle w:val="6"/>
              <w:spacing w:before="65" w:line="228" w:lineRule="auto"/>
              <w:ind w:left="431"/>
              <w:rPr>
                <w:sz w:val="20"/>
                <w:szCs w:val="20"/>
              </w:rPr>
            </w:pPr>
            <w:r>
              <w:rPr>
                <w:spacing w:val="5"/>
                <w:sz w:val="20"/>
                <w:szCs w:val="20"/>
              </w:rPr>
              <w:t>粉尘</w:t>
            </w:r>
          </w:p>
        </w:tc>
        <w:tc>
          <w:tcPr>
            <w:tcW w:w="2150" w:type="dxa"/>
            <w:vAlign w:val="top"/>
          </w:tcPr>
          <w:p w14:paraId="02127220">
            <w:pPr>
              <w:pStyle w:val="6"/>
              <w:spacing w:before="57" w:line="239" w:lineRule="auto"/>
              <w:ind w:left="72" w:right="59" w:firstLine="3"/>
              <w:rPr>
                <w:sz w:val="20"/>
                <w:szCs w:val="20"/>
              </w:rPr>
            </w:pPr>
            <w:r>
              <w:rPr>
                <w:sz w:val="20"/>
                <w:szCs w:val="20"/>
              </w:rPr>
              <w:t>设除尘器收集处理，经</w:t>
            </w:r>
            <w:r>
              <w:rPr>
                <w:spacing w:val="8"/>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mDA</w:t>
            </w:r>
            <w:r>
              <w:rPr>
                <w:rFonts w:ascii="Times New Roman" w:hAnsi="Times New Roman" w:eastAsia="Times New Roman" w:cs="Times New Roman"/>
                <w:spacing w:val="7"/>
                <w:sz w:val="20"/>
                <w:szCs w:val="20"/>
              </w:rPr>
              <w:t xml:space="preserve">002 </w:t>
            </w:r>
            <w:r>
              <w:rPr>
                <w:spacing w:val="7"/>
                <w:sz w:val="20"/>
                <w:szCs w:val="20"/>
              </w:rPr>
              <w:t>排气筒排</w:t>
            </w:r>
            <w:r>
              <w:rPr>
                <w:spacing w:val="4"/>
                <w:sz w:val="20"/>
                <w:szCs w:val="20"/>
              </w:rPr>
              <w:t xml:space="preserve">  </w:t>
            </w:r>
            <w:r>
              <w:rPr>
                <w:sz w:val="20"/>
                <w:szCs w:val="20"/>
              </w:rPr>
              <w:t>放</w:t>
            </w:r>
          </w:p>
        </w:tc>
        <w:tc>
          <w:tcPr>
            <w:tcW w:w="1996" w:type="dxa"/>
            <w:vMerge w:val="continue"/>
            <w:tcBorders>
              <w:top w:val="nil"/>
              <w:bottom w:val="nil"/>
              <w:right w:val="single" w:color="000000" w:sz="6" w:space="0"/>
            </w:tcBorders>
            <w:vAlign w:val="top"/>
          </w:tcPr>
          <w:p w14:paraId="345ACC53">
            <w:pPr>
              <w:rPr>
                <w:rFonts w:ascii="Arial"/>
                <w:sz w:val="21"/>
              </w:rPr>
            </w:pPr>
          </w:p>
        </w:tc>
      </w:tr>
      <w:tr w14:paraId="79F4E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continue"/>
            <w:tcBorders>
              <w:top w:val="nil"/>
              <w:left w:val="single" w:color="000000" w:sz="6" w:space="0"/>
              <w:bottom w:val="nil"/>
            </w:tcBorders>
            <w:vAlign w:val="top"/>
          </w:tcPr>
          <w:p w14:paraId="5FC3D030">
            <w:pPr>
              <w:rPr>
                <w:rFonts w:ascii="Arial"/>
                <w:sz w:val="21"/>
              </w:rPr>
            </w:pPr>
          </w:p>
        </w:tc>
        <w:tc>
          <w:tcPr>
            <w:tcW w:w="1599" w:type="dxa"/>
            <w:vAlign w:val="top"/>
          </w:tcPr>
          <w:p w14:paraId="46CEC066">
            <w:pPr>
              <w:spacing w:line="285" w:lineRule="auto"/>
              <w:rPr>
                <w:rFonts w:ascii="Arial"/>
                <w:sz w:val="21"/>
              </w:rPr>
            </w:pPr>
          </w:p>
          <w:p w14:paraId="7AE5C8F9">
            <w:pPr>
              <w:pStyle w:val="6"/>
              <w:spacing w:before="65" w:line="227" w:lineRule="auto"/>
              <w:ind w:left="381"/>
              <w:rPr>
                <w:sz w:val="20"/>
                <w:szCs w:val="20"/>
              </w:rPr>
            </w:pPr>
            <w:r>
              <w:rPr>
                <w:spacing w:val="7"/>
                <w:sz w:val="20"/>
                <w:szCs w:val="20"/>
              </w:rPr>
              <w:t>黄沙烘干</w:t>
            </w:r>
          </w:p>
        </w:tc>
        <w:tc>
          <w:tcPr>
            <w:tcW w:w="1274" w:type="dxa"/>
            <w:vAlign w:val="top"/>
          </w:tcPr>
          <w:p w14:paraId="61A832A6">
            <w:pPr>
              <w:spacing w:line="256" w:lineRule="auto"/>
              <w:rPr>
                <w:rFonts w:ascii="Arial"/>
                <w:sz w:val="21"/>
              </w:rPr>
            </w:pPr>
          </w:p>
          <w:p w14:paraId="4A9A7A47">
            <w:pPr>
              <w:pStyle w:val="6"/>
              <w:spacing w:before="65" w:line="228" w:lineRule="auto"/>
              <w:ind w:left="431"/>
              <w:rPr>
                <w:sz w:val="20"/>
                <w:szCs w:val="20"/>
              </w:rPr>
            </w:pPr>
            <w:r>
              <w:rPr>
                <w:spacing w:val="5"/>
                <w:sz w:val="20"/>
                <w:szCs w:val="20"/>
              </w:rPr>
              <w:t>粉尘</w:t>
            </w:r>
          </w:p>
        </w:tc>
        <w:tc>
          <w:tcPr>
            <w:tcW w:w="2150" w:type="dxa"/>
            <w:vAlign w:val="top"/>
          </w:tcPr>
          <w:p w14:paraId="27297015">
            <w:pPr>
              <w:pStyle w:val="6"/>
              <w:spacing w:before="57" w:line="239" w:lineRule="auto"/>
              <w:ind w:left="73" w:right="59" w:hanging="2"/>
              <w:jc w:val="both"/>
              <w:rPr>
                <w:sz w:val="20"/>
                <w:szCs w:val="20"/>
              </w:rPr>
            </w:pPr>
            <w:r>
              <w:rPr>
                <w:spacing w:val="1"/>
                <w:sz w:val="20"/>
                <w:szCs w:val="20"/>
              </w:rPr>
              <w:t>采用密闭型设备，在进</w:t>
            </w:r>
            <w:r>
              <w:rPr>
                <w:sz w:val="20"/>
                <w:szCs w:val="20"/>
              </w:rPr>
              <w:t xml:space="preserve"> </w:t>
            </w:r>
            <w:r>
              <w:rPr>
                <w:spacing w:val="1"/>
                <w:sz w:val="20"/>
                <w:szCs w:val="20"/>
              </w:rPr>
              <w:t>出料口设收尘装置，引</w:t>
            </w:r>
            <w:r>
              <w:rPr>
                <w:sz w:val="20"/>
                <w:szCs w:val="20"/>
              </w:rPr>
              <w:t xml:space="preserve"> </w:t>
            </w:r>
            <w:r>
              <w:rPr>
                <w:spacing w:val="7"/>
                <w:sz w:val="20"/>
                <w:szCs w:val="20"/>
              </w:rPr>
              <w:t>至除尘器处理</w:t>
            </w:r>
          </w:p>
        </w:tc>
        <w:tc>
          <w:tcPr>
            <w:tcW w:w="1996" w:type="dxa"/>
            <w:vMerge w:val="continue"/>
            <w:tcBorders>
              <w:top w:val="nil"/>
              <w:bottom w:val="nil"/>
              <w:right w:val="single" w:color="000000" w:sz="6" w:space="0"/>
            </w:tcBorders>
            <w:vAlign w:val="top"/>
          </w:tcPr>
          <w:p w14:paraId="6D663F16">
            <w:pPr>
              <w:rPr>
                <w:rFonts w:ascii="Arial"/>
                <w:sz w:val="21"/>
              </w:rPr>
            </w:pPr>
          </w:p>
        </w:tc>
      </w:tr>
      <w:tr w14:paraId="0316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85" w:type="dxa"/>
            <w:vMerge w:val="continue"/>
            <w:tcBorders>
              <w:top w:val="nil"/>
              <w:left w:val="single" w:color="000000" w:sz="6" w:space="0"/>
              <w:bottom w:val="nil"/>
            </w:tcBorders>
            <w:vAlign w:val="top"/>
          </w:tcPr>
          <w:p w14:paraId="72B16E09">
            <w:pPr>
              <w:rPr>
                <w:rFonts w:ascii="Arial"/>
                <w:sz w:val="21"/>
              </w:rPr>
            </w:pPr>
          </w:p>
        </w:tc>
        <w:tc>
          <w:tcPr>
            <w:tcW w:w="1599" w:type="dxa"/>
            <w:vAlign w:val="top"/>
          </w:tcPr>
          <w:p w14:paraId="4DBFE23C">
            <w:pPr>
              <w:spacing w:line="424" w:lineRule="auto"/>
              <w:rPr>
                <w:rFonts w:ascii="Arial"/>
                <w:sz w:val="21"/>
              </w:rPr>
            </w:pPr>
          </w:p>
          <w:p w14:paraId="2808EDE9">
            <w:pPr>
              <w:pStyle w:val="6"/>
              <w:spacing w:before="65" w:line="228" w:lineRule="auto"/>
              <w:ind w:left="388"/>
              <w:rPr>
                <w:sz w:val="20"/>
                <w:szCs w:val="20"/>
              </w:rPr>
            </w:pPr>
            <w:r>
              <w:rPr>
                <w:spacing w:val="5"/>
                <w:sz w:val="20"/>
                <w:szCs w:val="20"/>
              </w:rPr>
              <w:t>小料上料</w:t>
            </w:r>
          </w:p>
        </w:tc>
        <w:tc>
          <w:tcPr>
            <w:tcW w:w="1274" w:type="dxa"/>
            <w:vAlign w:val="top"/>
          </w:tcPr>
          <w:p w14:paraId="3AAC4AFA">
            <w:pPr>
              <w:spacing w:line="397" w:lineRule="auto"/>
              <w:rPr>
                <w:rFonts w:ascii="Arial"/>
                <w:sz w:val="21"/>
              </w:rPr>
            </w:pPr>
          </w:p>
          <w:p w14:paraId="1DCDB93D">
            <w:pPr>
              <w:pStyle w:val="6"/>
              <w:spacing w:before="65" w:line="228" w:lineRule="auto"/>
              <w:ind w:left="431"/>
              <w:rPr>
                <w:sz w:val="20"/>
                <w:szCs w:val="20"/>
              </w:rPr>
            </w:pPr>
            <w:r>
              <w:rPr>
                <w:spacing w:val="5"/>
                <w:sz w:val="20"/>
                <w:szCs w:val="20"/>
              </w:rPr>
              <w:t>粉尘</w:t>
            </w:r>
          </w:p>
        </w:tc>
        <w:tc>
          <w:tcPr>
            <w:tcW w:w="2150" w:type="dxa"/>
            <w:vAlign w:val="top"/>
          </w:tcPr>
          <w:p w14:paraId="5F222DAD">
            <w:pPr>
              <w:pStyle w:val="6"/>
              <w:spacing w:before="56" w:line="244" w:lineRule="auto"/>
              <w:ind w:left="71" w:right="59" w:firstLine="4"/>
              <w:jc w:val="both"/>
              <w:rPr>
                <w:sz w:val="20"/>
                <w:szCs w:val="20"/>
              </w:rPr>
            </w:pPr>
            <w:r>
              <w:rPr>
                <w:sz w:val="20"/>
                <w:szCs w:val="20"/>
              </w:rPr>
              <w:t>设专用小料平台，配小</w:t>
            </w:r>
            <w:r>
              <w:rPr>
                <w:spacing w:val="6"/>
                <w:sz w:val="20"/>
                <w:szCs w:val="20"/>
              </w:rPr>
              <w:t xml:space="preserve"> </w:t>
            </w:r>
            <w:r>
              <w:rPr>
                <w:spacing w:val="3"/>
                <w:sz w:val="20"/>
                <w:szCs w:val="20"/>
              </w:rPr>
              <w:t>料仓（</w:t>
            </w:r>
            <w:r>
              <w:rPr>
                <w:rFonts w:ascii="Times New Roman" w:hAnsi="Times New Roman" w:eastAsia="Times New Roman" w:cs="Times New Roman"/>
                <w:spacing w:val="3"/>
                <w:sz w:val="20"/>
                <w:szCs w:val="20"/>
              </w:rPr>
              <w:t>0.5m</w:t>
            </w:r>
            <w:r>
              <w:rPr>
                <w:rFonts w:ascii="Times New Roman" w:hAnsi="Times New Roman" w:eastAsia="Times New Roman" w:cs="Times New Roman"/>
                <w:spacing w:val="3"/>
                <w:position w:val="6"/>
                <w:sz w:val="13"/>
                <w:szCs w:val="13"/>
              </w:rPr>
              <w:t xml:space="preserve">3 </w:t>
            </w:r>
            <w:r>
              <w:rPr>
                <w:spacing w:val="3"/>
                <w:sz w:val="20"/>
                <w:szCs w:val="20"/>
              </w:rPr>
              <w:t>）和螺旋</w:t>
            </w:r>
            <w:r>
              <w:rPr>
                <w:spacing w:val="8"/>
                <w:sz w:val="20"/>
                <w:szCs w:val="20"/>
              </w:rPr>
              <w:t xml:space="preserve"> </w:t>
            </w:r>
            <w:r>
              <w:rPr>
                <w:spacing w:val="1"/>
                <w:sz w:val="20"/>
                <w:szCs w:val="20"/>
              </w:rPr>
              <w:t>输送装置，以及脉冲除</w:t>
            </w:r>
            <w:r>
              <w:rPr>
                <w:spacing w:val="2"/>
                <w:sz w:val="20"/>
                <w:szCs w:val="20"/>
              </w:rPr>
              <w:t xml:space="preserve"> </w:t>
            </w:r>
            <w:r>
              <w:rPr>
                <w:spacing w:val="8"/>
                <w:sz w:val="20"/>
                <w:szCs w:val="20"/>
              </w:rPr>
              <w:t>尘器收尘处理</w:t>
            </w:r>
          </w:p>
        </w:tc>
        <w:tc>
          <w:tcPr>
            <w:tcW w:w="1996" w:type="dxa"/>
            <w:vMerge w:val="continue"/>
            <w:tcBorders>
              <w:top w:val="nil"/>
              <w:bottom w:val="nil"/>
              <w:right w:val="single" w:color="000000" w:sz="6" w:space="0"/>
            </w:tcBorders>
            <w:vAlign w:val="top"/>
          </w:tcPr>
          <w:p w14:paraId="73F543CD">
            <w:pPr>
              <w:rPr>
                <w:rFonts w:ascii="Arial"/>
                <w:sz w:val="21"/>
              </w:rPr>
            </w:pPr>
          </w:p>
        </w:tc>
      </w:tr>
      <w:tr w14:paraId="214A8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85" w:type="dxa"/>
            <w:vMerge w:val="continue"/>
            <w:tcBorders>
              <w:top w:val="nil"/>
              <w:left w:val="single" w:color="000000" w:sz="6" w:space="0"/>
              <w:bottom w:val="single" w:color="000000" w:sz="6" w:space="0"/>
            </w:tcBorders>
            <w:vAlign w:val="top"/>
          </w:tcPr>
          <w:p w14:paraId="0B1FF309">
            <w:pPr>
              <w:rPr>
                <w:rFonts w:ascii="Arial"/>
                <w:sz w:val="21"/>
              </w:rPr>
            </w:pPr>
          </w:p>
        </w:tc>
        <w:tc>
          <w:tcPr>
            <w:tcW w:w="1599" w:type="dxa"/>
            <w:tcBorders>
              <w:bottom w:val="single" w:color="000000" w:sz="6" w:space="0"/>
            </w:tcBorders>
            <w:vAlign w:val="top"/>
          </w:tcPr>
          <w:p w14:paraId="30A50FDE">
            <w:pPr>
              <w:spacing w:line="287" w:lineRule="auto"/>
              <w:rPr>
                <w:rFonts w:ascii="Arial"/>
                <w:sz w:val="21"/>
              </w:rPr>
            </w:pPr>
          </w:p>
          <w:p w14:paraId="07CF9D8B">
            <w:pPr>
              <w:pStyle w:val="6"/>
              <w:spacing w:before="65" w:line="227" w:lineRule="auto"/>
              <w:ind w:left="170"/>
              <w:rPr>
                <w:sz w:val="20"/>
                <w:szCs w:val="20"/>
              </w:rPr>
            </w:pPr>
            <w:r>
              <w:rPr>
                <w:spacing w:val="8"/>
                <w:sz w:val="20"/>
                <w:szCs w:val="20"/>
              </w:rPr>
              <w:t>干混砂浆车间</w:t>
            </w:r>
          </w:p>
        </w:tc>
        <w:tc>
          <w:tcPr>
            <w:tcW w:w="1274" w:type="dxa"/>
            <w:vAlign w:val="top"/>
          </w:tcPr>
          <w:p w14:paraId="6F1AAEF3">
            <w:pPr>
              <w:spacing w:line="258" w:lineRule="auto"/>
              <w:rPr>
                <w:rFonts w:ascii="Arial"/>
                <w:sz w:val="21"/>
              </w:rPr>
            </w:pPr>
          </w:p>
          <w:p w14:paraId="5F91603B">
            <w:pPr>
              <w:pStyle w:val="6"/>
              <w:spacing w:before="65" w:line="228" w:lineRule="auto"/>
              <w:ind w:left="431"/>
              <w:rPr>
                <w:sz w:val="20"/>
                <w:szCs w:val="20"/>
              </w:rPr>
            </w:pPr>
            <w:r>
              <w:rPr>
                <w:spacing w:val="5"/>
                <w:sz w:val="20"/>
                <w:szCs w:val="20"/>
              </w:rPr>
              <w:t>粉尘</w:t>
            </w:r>
          </w:p>
        </w:tc>
        <w:tc>
          <w:tcPr>
            <w:tcW w:w="2150" w:type="dxa"/>
            <w:vAlign w:val="top"/>
          </w:tcPr>
          <w:p w14:paraId="7AEB48BE">
            <w:pPr>
              <w:pStyle w:val="6"/>
              <w:spacing w:before="59" w:line="242" w:lineRule="auto"/>
              <w:ind w:left="73" w:right="61"/>
              <w:rPr>
                <w:sz w:val="20"/>
                <w:szCs w:val="20"/>
              </w:rPr>
            </w:pPr>
            <w:r>
              <w:rPr>
                <w:spacing w:val="8"/>
                <w:sz w:val="20"/>
                <w:szCs w:val="20"/>
              </w:rPr>
              <w:t>利用封闭式车间阻挡</w:t>
            </w:r>
            <w:r>
              <w:rPr>
                <w:spacing w:val="3"/>
                <w:sz w:val="20"/>
                <w:szCs w:val="20"/>
              </w:rPr>
              <w:t xml:space="preserve">  </w:t>
            </w:r>
            <w:r>
              <w:rPr>
                <w:sz w:val="20"/>
                <w:szCs w:val="20"/>
              </w:rPr>
              <w:t>无组织粉尘外逸，在车</w:t>
            </w:r>
            <w:r>
              <w:rPr>
                <w:spacing w:val="7"/>
                <w:sz w:val="20"/>
                <w:szCs w:val="20"/>
              </w:rPr>
              <w:t xml:space="preserve"> </w:t>
            </w:r>
            <w:r>
              <w:rPr>
                <w:spacing w:val="8"/>
                <w:sz w:val="20"/>
                <w:szCs w:val="20"/>
              </w:rPr>
              <w:t>间进出大门口设喷雾</w:t>
            </w:r>
          </w:p>
        </w:tc>
        <w:tc>
          <w:tcPr>
            <w:tcW w:w="1996" w:type="dxa"/>
            <w:vMerge w:val="continue"/>
            <w:tcBorders>
              <w:top w:val="nil"/>
              <w:bottom w:val="single" w:color="000000" w:sz="6" w:space="0"/>
              <w:right w:val="single" w:color="000000" w:sz="6" w:space="0"/>
            </w:tcBorders>
            <w:vAlign w:val="top"/>
          </w:tcPr>
          <w:p w14:paraId="7E4FB01A">
            <w:pPr>
              <w:rPr>
                <w:rFonts w:ascii="Arial"/>
                <w:sz w:val="21"/>
              </w:rPr>
            </w:pPr>
          </w:p>
        </w:tc>
      </w:tr>
    </w:tbl>
    <w:p w14:paraId="3447E823">
      <w:pPr>
        <w:pStyle w:val="2"/>
      </w:pPr>
    </w:p>
    <w:p w14:paraId="5EDC116A">
      <w:pPr>
        <w:sectPr>
          <w:footerReference r:id="rId88" w:type="default"/>
          <w:pgSz w:w="11906" w:h="16839"/>
          <w:pgMar w:top="1431" w:right="1543" w:bottom="1260" w:left="1537" w:header="0" w:footer="1080" w:gutter="0"/>
          <w:cols w:space="720" w:num="1"/>
        </w:sectPr>
      </w:pPr>
    </w:p>
    <w:p w14:paraId="4D10DE9D">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3C3EE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785" w:type="dxa"/>
            <w:vMerge w:val="restart"/>
            <w:tcBorders>
              <w:top w:val="single" w:color="000000" w:sz="6" w:space="0"/>
              <w:left w:val="single" w:color="000000" w:sz="6" w:space="0"/>
              <w:bottom w:val="nil"/>
            </w:tcBorders>
            <w:vAlign w:val="top"/>
          </w:tcPr>
          <w:p w14:paraId="68A165A5">
            <w:pPr>
              <w:rPr>
                <w:rFonts w:ascii="Arial"/>
                <w:sz w:val="21"/>
              </w:rPr>
            </w:pPr>
          </w:p>
        </w:tc>
        <w:tc>
          <w:tcPr>
            <w:tcW w:w="1599" w:type="dxa"/>
            <w:vAlign w:val="top"/>
          </w:tcPr>
          <w:p w14:paraId="01A98306">
            <w:pPr>
              <w:rPr>
                <w:rFonts w:ascii="Arial"/>
                <w:sz w:val="21"/>
              </w:rPr>
            </w:pPr>
          </w:p>
        </w:tc>
        <w:tc>
          <w:tcPr>
            <w:tcW w:w="1274" w:type="dxa"/>
            <w:vAlign w:val="top"/>
          </w:tcPr>
          <w:p w14:paraId="4367A88D">
            <w:pPr>
              <w:rPr>
                <w:rFonts w:ascii="Arial"/>
                <w:sz w:val="21"/>
              </w:rPr>
            </w:pPr>
          </w:p>
        </w:tc>
        <w:tc>
          <w:tcPr>
            <w:tcW w:w="2150" w:type="dxa"/>
            <w:vAlign w:val="top"/>
          </w:tcPr>
          <w:p w14:paraId="14FEB085">
            <w:pPr>
              <w:pStyle w:val="6"/>
              <w:spacing w:before="39" w:line="228" w:lineRule="auto"/>
              <w:ind w:left="74"/>
              <w:rPr>
                <w:sz w:val="20"/>
                <w:szCs w:val="20"/>
              </w:rPr>
            </w:pPr>
            <w:r>
              <w:rPr>
                <w:spacing w:val="8"/>
                <w:sz w:val="20"/>
                <w:szCs w:val="20"/>
              </w:rPr>
              <w:t>雾帘，降低粉尘逸散</w:t>
            </w:r>
          </w:p>
        </w:tc>
        <w:tc>
          <w:tcPr>
            <w:tcW w:w="1996" w:type="dxa"/>
            <w:vMerge w:val="restart"/>
            <w:tcBorders>
              <w:top w:val="single" w:color="000000" w:sz="6" w:space="0"/>
              <w:bottom w:val="nil"/>
              <w:right w:val="single" w:color="000000" w:sz="6" w:space="0"/>
            </w:tcBorders>
            <w:vAlign w:val="top"/>
          </w:tcPr>
          <w:p w14:paraId="584D9792">
            <w:pPr>
              <w:rPr>
                <w:rFonts w:ascii="Arial"/>
                <w:sz w:val="21"/>
              </w:rPr>
            </w:pPr>
          </w:p>
        </w:tc>
      </w:tr>
      <w:tr w14:paraId="440D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1785" w:type="dxa"/>
            <w:vMerge w:val="continue"/>
            <w:tcBorders>
              <w:top w:val="nil"/>
              <w:left w:val="single" w:color="000000" w:sz="6" w:space="0"/>
              <w:bottom w:val="nil"/>
            </w:tcBorders>
            <w:vAlign w:val="top"/>
          </w:tcPr>
          <w:p w14:paraId="2C0EFD64">
            <w:pPr>
              <w:rPr>
                <w:rFonts w:ascii="Arial"/>
                <w:sz w:val="21"/>
              </w:rPr>
            </w:pPr>
          </w:p>
        </w:tc>
        <w:tc>
          <w:tcPr>
            <w:tcW w:w="1599" w:type="dxa"/>
            <w:vAlign w:val="top"/>
          </w:tcPr>
          <w:p w14:paraId="2B068289">
            <w:pPr>
              <w:spacing w:line="272" w:lineRule="auto"/>
              <w:rPr>
                <w:rFonts w:ascii="Arial"/>
                <w:sz w:val="21"/>
              </w:rPr>
            </w:pPr>
          </w:p>
          <w:p w14:paraId="0F1C7E55">
            <w:pPr>
              <w:pStyle w:val="6"/>
              <w:spacing w:before="65" w:line="228" w:lineRule="auto"/>
              <w:ind w:left="382"/>
              <w:rPr>
                <w:sz w:val="20"/>
                <w:szCs w:val="20"/>
              </w:rPr>
            </w:pPr>
            <w:r>
              <w:rPr>
                <w:spacing w:val="7"/>
                <w:sz w:val="20"/>
                <w:szCs w:val="20"/>
              </w:rPr>
              <w:t>运输车辆</w:t>
            </w:r>
          </w:p>
        </w:tc>
        <w:tc>
          <w:tcPr>
            <w:tcW w:w="1274" w:type="dxa"/>
            <w:vAlign w:val="top"/>
          </w:tcPr>
          <w:p w14:paraId="50942AEB">
            <w:pPr>
              <w:spacing w:line="246" w:lineRule="auto"/>
              <w:rPr>
                <w:rFonts w:ascii="Arial"/>
                <w:sz w:val="21"/>
              </w:rPr>
            </w:pPr>
          </w:p>
          <w:p w14:paraId="19F52414">
            <w:pPr>
              <w:pStyle w:val="6"/>
              <w:spacing w:before="65" w:line="230" w:lineRule="auto"/>
              <w:ind w:left="431"/>
              <w:rPr>
                <w:sz w:val="20"/>
                <w:szCs w:val="20"/>
              </w:rPr>
            </w:pPr>
            <w:r>
              <w:rPr>
                <w:spacing w:val="5"/>
                <w:sz w:val="20"/>
                <w:szCs w:val="20"/>
              </w:rPr>
              <w:t>扬尘</w:t>
            </w:r>
          </w:p>
        </w:tc>
        <w:tc>
          <w:tcPr>
            <w:tcW w:w="2150" w:type="dxa"/>
            <w:vAlign w:val="top"/>
          </w:tcPr>
          <w:p w14:paraId="2C824E43">
            <w:pPr>
              <w:pStyle w:val="6"/>
              <w:spacing w:before="45" w:line="243" w:lineRule="auto"/>
              <w:ind w:left="75" w:right="59"/>
              <w:rPr>
                <w:sz w:val="20"/>
                <w:szCs w:val="20"/>
              </w:rPr>
            </w:pPr>
            <w:r>
              <w:rPr>
                <w:spacing w:val="8"/>
                <w:sz w:val="20"/>
                <w:szCs w:val="20"/>
              </w:rPr>
              <w:t>厂区转道路地面硬化</w:t>
            </w:r>
            <w:r>
              <w:rPr>
                <w:spacing w:val="2"/>
                <w:sz w:val="20"/>
                <w:szCs w:val="20"/>
              </w:rPr>
              <w:t xml:space="preserve">  </w:t>
            </w:r>
            <w:r>
              <w:rPr>
                <w:sz w:val="20"/>
                <w:szCs w:val="20"/>
              </w:rPr>
              <w:t>处理，运输车辆进出口</w:t>
            </w:r>
            <w:r>
              <w:rPr>
                <w:spacing w:val="8"/>
                <w:sz w:val="20"/>
                <w:szCs w:val="20"/>
              </w:rPr>
              <w:t xml:space="preserve"> 设车辆冲洗设施</w:t>
            </w:r>
          </w:p>
        </w:tc>
        <w:tc>
          <w:tcPr>
            <w:tcW w:w="1996" w:type="dxa"/>
            <w:vMerge w:val="continue"/>
            <w:tcBorders>
              <w:top w:val="nil"/>
              <w:right w:val="single" w:color="000000" w:sz="6" w:space="0"/>
            </w:tcBorders>
            <w:vAlign w:val="top"/>
          </w:tcPr>
          <w:p w14:paraId="4080C3F9">
            <w:pPr>
              <w:rPr>
                <w:rFonts w:ascii="Arial"/>
                <w:sz w:val="21"/>
              </w:rPr>
            </w:pPr>
          </w:p>
        </w:tc>
      </w:tr>
      <w:tr w14:paraId="742A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785" w:type="dxa"/>
            <w:vMerge w:val="continue"/>
            <w:tcBorders>
              <w:top w:val="nil"/>
              <w:left w:val="single" w:color="000000" w:sz="6" w:space="0"/>
            </w:tcBorders>
            <w:vAlign w:val="top"/>
          </w:tcPr>
          <w:p w14:paraId="136AF25A">
            <w:pPr>
              <w:rPr>
                <w:rFonts w:ascii="Arial"/>
                <w:sz w:val="21"/>
              </w:rPr>
            </w:pPr>
          </w:p>
        </w:tc>
        <w:tc>
          <w:tcPr>
            <w:tcW w:w="1599" w:type="dxa"/>
            <w:vAlign w:val="top"/>
          </w:tcPr>
          <w:p w14:paraId="11F6412F">
            <w:pPr>
              <w:spacing w:line="303" w:lineRule="auto"/>
              <w:rPr>
                <w:rFonts w:ascii="Arial"/>
                <w:sz w:val="21"/>
              </w:rPr>
            </w:pPr>
          </w:p>
          <w:p w14:paraId="2E1DDE2E">
            <w:pPr>
              <w:pStyle w:val="6"/>
              <w:spacing w:before="65" w:line="228" w:lineRule="auto"/>
              <w:ind w:left="383"/>
              <w:rPr>
                <w:sz w:val="20"/>
                <w:szCs w:val="20"/>
              </w:rPr>
            </w:pPr>
            <w:r>
              <w:rPr>
                <w:spacing w:val="7"/>
                <w:sz w:val="20"/>
                <w:szCs w:val="20"/>
              </w:rPr>
              <w:t>燃气锅炉</w:t>
            </w:r>
          </w:p>
        </w:tc>
        <w:tc>
          <w:tcPr>
            <w:tcW w:w="1274" w:type="dxa"/>
            <w:vAlign w:val="top"/>
          </w:tcPr>
          <w:p w14:paraId="7E0DC2EB">
            <w:pPr>
              <w:pStyle w:val="6"/>
              <w:spacing w:before="204" w:line="300" w:lineRule="auto"/>
              <w:ind w:left="187" w:right="176" w:firstLine="32"/>
              <w:rPr>
                <w:rFonts w:ascii="Times New Roman" w:hAnsi="Times New Roman" w:eastAsia="Times New Roman" w:cs="Times New Roman"/>
                <w:sz w:val="13"/>
                <w:szCs w:val="13"/>
              </w:rPr>
            </w:pPr>
            <w:r>
              <w:rPr>
                <w:spacing w:val="11"/>
                <w:sz w:val="20"/>
                <w:szCs w:val="20"/>
              </w:rPr>
              <w:t>颗粒物、</w:t>
            </w:r>
            <w:r>
              <w:rPr>
                <w:sz w:val="20"/>
                <w:szCs w:val="20"/>
              </w:rPr>
              <w:t xml:space="preserve"> </w:t>
            </w:r>
            <w:r>
              <w:rPr>
                <w:rFonts w:ascii="Times New Roman" w:hAnsi="Times New Roman" w:eastAsia="Times New Roman" w:cs="Times New Roman"/>
                <w:sz w:val="20"/>
                <w:szCs w:val="20"/>
              </w:rPr>
              <w:t>SO</w:t>
            </w:r>
            <w:r>
              <w:rPr>
                <w:rFonts w:ascii="Times New Roman" w:hAnsi="Times New Roman" w:eastAsia="Times New Roman" w:cs="Times New Roman"/>
                <w:spacing w:val="4"/>
                <w:position w:val="-1"/>
                <w:sz w:val="13"/>
                <w:szCs w:val="13"/>
              </w:rPr>
              <w:t>2</w:t>
            </w:r>
            <w:r>
              <w:rPr>
                <w:rFonts w:ascii="Times New Roman" w:hAnsi="Times New Roman" w:eastAsia="Times New Roman" w:cs="Times New Roman"/>
                <w:spacing w:val="-12"/>
                <w:position w:val="-1"/>
                <w:sz w:val="13"/>
                <w:szCs w:val="13"/>
              </w:rPr>
              <w:t xml:space="preserve"> </w:t>
            </w:r>
            <w:r>
              <w:rPr>
                <w:spacing w:val="4"/>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p>
        </w:tc>
        <w:tc>
          <w:tcPr>
            <w:tcW w:w="2150" w:type="dxa"/>
            <w:vAlign w:val="top"/>
          </w:tcPr>
          <w:p w14:paraId="23435BC7">
            <w:pPr>
              <w:pStyle w:val="6"/>
              <w:spacing w:before="76" w:line="248" w:lineRule="auto"/>
              <w:ind w:left="73" w:right="59" w:firstLine="2"/>
              <w:jc w:val="both"/>
              <w:rPr>
                <w:sz w:val="20"/>
                <w:szCs w:val="20"/>
              </w:rPr>
            </w:pPr>
            <w:r>
              <w:rPr>
                <w:sz w:val="20"/>
                <w:szCs w:val="20"/>
              </w:rPr>
              <w:t>设低氮燃烧器，废气经</w:t>
            </w:r>
            <w:r>
              <w:rPr>
                <w:spacing w:val="8"/>
                <w:sz w:val="20"/>
                <w:szCs w:val="20"/>
              </w:rPr>
              <w:t xml:space="preserve"> </w:t>
            </w:r>
            <w:r>
              <w:rPr>
                <w:rFonts w:ascii="Times New Roman" w:hAnsi="Times New Roman" w:eastAsia="Times New Roman" w:cs="Times New Roman"/>
                <w:spacing w:val="7"/>
                <w:sz w:val="20"/>
                <w:szCs w:val="20"/>
              </w:rPr>
              <w:t xml:space="preserve">8m </w:t>
            </w:r>
            <w:r>
              <w:rPr>
                <w:spacing w:val="7"/>
                <w:sz w:val="20"/>
                <w:szCs w:val="20"/>
              </w:rPr>
              <w:t>高排气筒引至锅炉</w:t>
            </w:r>
            <w:r>
              <w:rPr>
                <w:spacing w:val="4"/>
                <w:sz w:val="20"/>
                <w:szCs w:val="20"/>
              </w:rPr>
              <w:t xml:space="preserve"> </w:t>
            </w:r>
            <w:r>
              <w:rPr>
                <w:spacing w:val="7"/>
                <w:sz w:val="20"/>
                <w:szCs w:val="20"/>
              </w:rPr>
              <w:t>房屋顶排放</w:t>
            </w:r>
          </w:p>
        </w:tc>
        <w:tc>
          <w:tcPr>
            <w:tcW w:w="1996" w:type="dxa"/>
            <w:tcBorders>
              <w:right w:val="single" w:color="000000" w:sz="6" w:space="0"/>
            </w:tcBorders>
            <w:vAlign w:val="top"/>
          </w:tcPr>
          <w:p w14:paraId="15560417">
            <w:pPr>
              <w:pStyle w:val="6"/>
              <w:spacing w:before="59" w:line="257" w:lineRule="auto"/>
              <w:ind w:left="223" w:right="152" w:hanging="54"/>
              <w:rPr>
                <w:rFonts w:ascii="Times New Roman" w:hAnsi="Times New Roman" w:eastAsia="Times New Roman" w:cs="Times New Roman"/>
                <w:sz w:val="20"/>
                <w:szCs w:val="20"/>
              </w:rPr>
            </w:pPr>
            <w:r>
              <w:rPr>
                <w:spacing w:val="8"/>
                <w:sz w:val="20"/>
                <w:szCs w:val="20"/>
              </w:rPr>
              <w:t>《锅炉大气污染物</w:t>
            </w:r>
            <w:r>
              <w:rPr>
                <w:sz w:val="20"/>
                <w:szCs w:val="20"/>
              </w:rPr>
              <w:t xml:space="preserve"> </w:t>
            </w:r>
            <w:r>
              <w:rPr>
                <w:spacing w:val="2"/>
                <w:sz w:val="20"/>
                <w:szCs w:val="20"/>
              </w:rPr>
              <w:t>排放标准》（</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3"/>
                <w:sz w:val="20"/>
                <w:szCs w:val="20"/>
              </w:rPr>
              <w:t>13271-2014</w:t>
            </w:r>
            <w:r>
              <w:rPr>
                <w:spacing w:val="3"/>
                <w:sz w:val="20"/>
                <w:szCs w:val="20"/>
              </w:rPr>
              <w:t>）表</w:t>
            </w:r>
            <w:r>
              <w:rPr>
                <w:spacing w:val="-35"/>
                <w:sz w:val="20"/>
                <w:szCs w:val="20"/>
              </w:rPr>
              <w:t xml:space="preserve"> </w:t>
            </w:r>
            <w:r>
              <w:rPr>
                <w:rFonts w:ascii="Times New Roman" w:hAnsi="Times New Roman" w:eastAsia="Times New Roman" w:cs="Times New Roman"/>
                <w:spacing w:val="3"/>
                <w:sz w:val="20"/>
                <w:szCs w:val="20"/>
              </w:rPr>
              <w:t>3</w:t>
            </w:r>
          </w:p>
        </w:tc>
      </w:tr>
      <w:tr w14:paraId="53B4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785" w:type="dxa"/>
            <w:vMerge w:val="restart"/>
            <w:tcBorders>
              <w:left w:val="single" w:color="000000" w:sz="6" w:space="0"/>
              <w:bottom w:val="nil"/>
            </w:tcBorders>
            <w:vAlign w:val="top"/>
          </w:tcPr>
          <w:p w14:paraId="18F6613A">
            <w:pPr>
              <w:spacing w:line="241" w:lineRule="auto"/>
              <w:rPr>
                <w:rFonts w:ascii="Arial"/>
                <w:sz w:val="21"/>
              </w:rPr>
            </w:pPr>
          </w:p>
          <w:p w14:paraId="58670575">
            <w:pPr>
              <w:spacing w:line="241" w:lineRule="auto"/>
              <w:rPr>
                <w:rFonts w:ascii="Arial"/>
                <w:sz w:val="21"/>
              </w:rPr>
            </w:pPr>
          </w:p>
          <w:p w14:paraId="18B39182">
            <w:pPr>
              <w:spacing w:line="242" w:lineRule="auto"/>
              <w:rPr>
                <w:rFonts w:ascii="Arial"/>
                <w:sz w:val="21"/>
              </w:rPr>
            </w:pPr>
          </w:p>
          <w:p w14:paraId="6F702756">
            <w:pPr>
              <w:spacing w:line="242" w:lineRule="auto"/>
              <w:rPr>
                <w:rFonts w:ascii="Arial"/>
                <w:sz w:val="21"/>
              </w:rPr>
            </w:pPr>
          </w:p>
          <w:p w14:paraId="42A35FBA">
            <w:pPr>
              <w:spacing w:line="242" w:lineRule="auto"/>
              <w:rPr>
                <w:rFonts w:ascii="Arial"/>
                <w:sz w:val="21"/>
              </w:rPr>
            </w:pPr>
          </w:p>
          <w:p w14:paraId="1E800A08">
            <w:pPr>
              <w:spacing w:line="242" w:lineRule="auto"/>
              <w:rPr>
                <w:rFonts w:ascii="Arial"/>
                <w:sz w:val="21"/>
              </w:rPr>
            </w:pPr>
          </w:p>
          <w:p w14:paraId="6EEF0790">
            <w:pPr>
              <w:spacing w:line="242" w:lineRule="auto"/>
              <w:rPr>
                <w:rFonts w:ascii="Arial"/>
                <w:sz w:val="21"/>
              </w:rPr>
            </w:pPr>
          </w:p>
          <w:p w14:paraId="7AA048E7">
            <w:pPr>
              <w:spacing w:line="242" w:lineRule="auto"/>
              <w:rPr>
                <w:rFonts w:ascii="Arial"/>
                <w:sz w:val="21"/>
              </w:rPr>
            </w:pPr>
          </w:p>
          <w:p w14:paraId="281B1427">
            <w:pPr>
              <w:spacing w:line="242" w:lineRule="auto"/>
              <w:rPr>
                <w:rFonts w:ascii="Arial"/>
                <w:sz w:val="21"/>
              </w:rPr>
            </w:pPr>
          </w:p>
          <w:p w14:paraId="42984823">
            <w:pPr>
              <w:spacing w:line="242" w:lineRule="auto"/>
              <w:rPr>
                <w:rFonts w:ascii="Arial"/>
                <w:sz w:val="21"/>
              </w:rPr>
            </w:pPr>
          </w:p>
          <w:p w14:paraId="059F79ED">
            <w:pPr>
              <w:pStyle w:val="6"/>
              <w:spacing w:before="65" w:line="228" w:lineRule="auto"/>
              <w:ind w:left="367"/>
              <w:rPr>
                <w:sz w:val="20"/>
                <w:szCs w:val="20"/>
              </w:rPr>
            </w:pPr>
            <w:r>
              <w:rPr>
                <w:spacing w:val="8"/>
                <w:sz w:val="20"/>
                <w:szCs w:val="20"/>
              </w:rPr>
              <w:t>地表水环境</w:t>
            </w:r>
          </w:p>
        </w:tc>
        <w:tc>
          <w:tcPr>
            <w:tcW w:w="1599" w:type="dxa"/>
            <w:vAlign w:val="top"/>
          </w:tcPr>
          <w:p w14:paraId="06A85750">
            <w:pPr>
              <w:spacing w:line="274" w:lineRule="auto"/>
              <w:rPr>
                <w:rFonts w:ascii="Arial"/>
                <w:sz w:val="21"/>
              </w:rPr>
            </w:pPr>
          </w:p>
          <w:p w14:paraId="10FB16E0">
            <w:pPr>
              <w:spacing w:line="275" w:lineRule="auto"/>
              <w:rPr>
                <w:rFonts w:ascii="Arial"/>
                <w:sz w:val="21"/>
              </w:rPr>
            </w:pPr>
          </w:p>
          <w:p w14:paraId="091DCC15">
            <w:pPr>
              <w:spacing w:line="275" w:lineRule="auto"/>
              <w:rPr>
                <w:rFonts w:ascii="Arial"/>
                <w:sz w:val="21"/>
              </w:rPr>
            </w:pPr>
          </w:p>
          <w:p w14:paraId="10DF4A3D">
            <w:pPr>
              <w:spacing w:line="275" w:lineRule="auto"/>
              <w:rPr>
                <w:rFonts w:ascii="Arial"/>
                <w:sz w:val="21"/>
              </w:rPr>
            </w:pPr>
          </w:p>
          <w:p w14:paraId="18B37D1A">
            <w:pPr>
              <w:pStyle w:val="6"/>
              <w:spacing w:before="65" w:line="228" w:lineRule="auto"/>
              <w:ind w:left="384"/>
              <w:rPr>
                <w:sz w:val="20"/>
                <w:szCs w:val="20"/>
              </w:rPr>
            </w:pPr>
            <w:r>
              <w:rPr>
                <w:spacing w:val="6"/>
                <w:sz w:val="20"/>
                <w:szCs w:val="20"/>
              </w:rPr>
              <w:t>生产废水</w:t>
            </w:r>
          </w:p>
        </w:tc>
        <w:tc>
          <w:tcPr>
            <w:tcW w:w="1274" w:type="dxa"/>
            <w:vAlign w:val="top"/>
          </w:tcPr>
          <w:p w14:paraId="3A2BEAD6">
            <w:pPr>
              <w:spacing w:line="285" w:lineRule="auto"/>
              <w:rPr>
                <w:rFonts w:ascii="Arial"/>
                <w:sz w:val="21"/>
              </w:rPr>
            </w:pPr>
          </w:p>
          <w:p w14:paraId="52386F9C">
            <w:pPr>
              <w:spacing w:line="285" w:lineRule="auto"/>
              <w:rPr>
                <w:rFonts w:ascii="Arial"/>
                <w:sz w:val="21"/>
              </w:rPr>
            </w:pPr>
          </w:p>
          <w:p w14:paraId="6F6F2984">
            <w:pPr>
              <w:spacing w:line="286" w:lineRule="auto"/>
              <w:rPr>
                <w:rFonts w:ascii="Arial"/>
                <w:sz w:val="21"/>
              </w:rPr>
            </w:pPr>
          </w:p>
          <w:p w14:paraId="5ED2DEEE">
            <w:pPr>
              <w:spacing w:line="286" w:lineRule="auto"/>
              <w:rPr>
                <w:rFonts w:ascii="Arial"/>
                <w:sz w:val="21"/>
              </w:rPr>
            </w:pPr>
          </w:p>
          <w:p w14:paraId="5BAF5262">
            <w:pPr>
              <w:spacing w:before="58" w:line="195"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150" w:type="dxa"/>
            <w:vAlign w:val="top"/>
          </w:tcPr>
          <w:p w14:paraId="469B5EAF">
            <w:pPr>
              <w:pStyle w:val="6"/>
              <w:spacing w:before="47" w:line="253" w:lineRule="auto"/>
              <w:ind w:left="71" w:right="59" w:firstLine="2"/>
              <w:rPr>
                <w:sz w:val="20"/>
                <w:szCs w:val="20"/>
              </w:rPr>
            </w:pPr>
            <w:r>
              <w:rPr>
                <w:spacing w:val="8"/>
                <w:sz w:val="20"/>
                <w:szCs w:val="20"/>
              </w:rPr>
              <w:t>主要为切割废料冲洗</w:t>
            </w:r>
            <w:r>
              <w:rPr>
                <w:spacing w:val="3"/>
                <w:sz w:val="20"/>
                <w:szCs w:val="20"/>
              </w:rPr>
              <w:t xml:space="preserve">  </w:t>
            </w:r>
            <w:r>
              <w:rPr>
                <w:spacing w:val="1"/>
                <w:sz w:val="20"/>
                <w:szCs w:val="20"/>
              </w:rPr>
              <w:t>废水、地面冲洗废水以</w:t>
            </w:r>
            <w:r>
              <w:rPr>
                <w:spacing w:val="2"/>
                <w:sz w:val="20"/>
                <w:szCs w:val="20"/>
              </w:rPr>
              <w:t xml:space="preserve"> </w:t>
            </w:r>
            <w:r>
              <w:rPr>
                <w:spacing w:val="1"/>
                <w:sz w:val="20"/>
                <w:szCs w:val="20"/>
              </w:rPr>
              <w:t>及蒸汽冷凝水，设废水</w:t>
            </w:r>
            <w:r>
              <w:rPr>
                <w:spacing w:val="2"/>
                <w:sz w:val="20"/>
                <w:szCs w:val="20"/>
              </w:rPr>
              <w:t xml:space="preserve"> </w:t>
            </w:r>
            <w:r>
              <w:rPr>
                <w:spacing w:val="1"/>
                <w:sz w:val="20"/>
                <w:szCs w:val="20"/>
              </w:rPr>
              <w:t>收集管沟，引至砌块车</w:t>
            </w:r>
            <w:r>
              <w:rPr>
                <w:spacing w:val="2"/>
                <w:sz w:val="20"/>
                <w:szCs w:val="20"/>
              </w:rPr>
              <w:t xml:space="preserve"> </w:t>
            </w:r>
            <w:r>
              <w:rPr>
                <w:sz w:val="20"/>
                <w:szCs w:val="20"/>
              </w:rPr>
              <w:t>间的</w:t>
            </w:r>
            <w:r>
              <w:rPr>
                <w:spacing w:val="-40"/>
                <w:sz w:val="20"/>
                <w:szCs w:val="20"/>
              </w:rPr>
              <w:t xml:space="preserve"> </w:t>
            </w:r>
            <w:r>
              <w:rPr>
                <w:rFonts w:ascii="Times New Roman" w:hAnsi="Times New Roman" w:eastAsia="Times New Roman" w:cs="Times New Roman"/>
                <w:sz w:val="20"/>
                <w:szCs w:val="20"/>
              </w:rPr>
              <w:t xml:space="preserve">2 </w:t>
            </w:r>
            <w:r>
              <w:rPr>
                <w:sz w:val="20"/>
                <w:szCs w:val="20"/>
              </w:rPr>
              <w:t xml:space="preserve">个废浆池（单个 </w:t>
            </w:r>
            <w:r>
              <w:rPr>
                <w:spacing w:val="5"/>
                <w:sz w:val="20"/>
                <w:szCs w:val="20"/>
              </w:rPr>
              <w:t>容积</w:t>
            </w:r>
            <w:r>
              <w:rPr>
                <w:spacing w:val="-35"/>
                <w:sz w:val="20"/>
                <w:szCs w:val="20"/>
              </w:rPr>
              <w:t xml:space="preserve"> </w:t>
            </w:r>
            <w:r>
              <w:rPr>
                <w:rFonts w:ascii="Times New Roman" w:hAnsi="Times New Roman" w:eastAsia="Times New Roman" w:cs="Times New Roman"/>
                <w:spacing w:val="5"/>
                <w:sz w:val="20"/>
                <w:szCs w:val="20"/>
              </w:rPr>
              <w:t>50m</w:t>
            </w:r>
            <w:r>
              <w:rPr>
                <w:rFonts w:ascii="Times New Roman" w:hAnsi="Times New Roman" w:eastAsia="Times New Roman" w:cs="Times New Roman"/>
                <w:spacing w:val="5"/>
                <w:position w:val="6"/>
                <w:sz w:val="13"/>
                <w:szCs w:val="13"/>
              </w:rPr>
              <w:t>3</w:t>
            </w:r>
            <w:r>
              <w:rPr>
                <w:spacing w:val="-49"/>
                <w:w w:val="93"/>
                <w:sz w:val="20"/>
                <w:szCs w:val="20"/>
              </w:rPr>
              <w:t>），</w:t>
            </w:r>
            <w:r>
              <w:rPr>
                <w:spacing w:val="5"/>
                <w:sz w:val="20"/>
                <w:szCs w:val="20"/>
              </w:rPr>
              <w:t>经搅拌器</w:t>
            </w:r>
            <w:r>
              <w:rPr>
                <w:sz w:val="20"/>
                <w:szCs w:val="20"/>
              </w:rPr>
              <w:t xml:space="preserve"> </w:t>
            </w:r>
            <w:r>
              <w:rPr>
                <w:spacing w:val="1"/>
                <w:sz w:val="20"/>
                <w:szCs w:val="20"/>
              </w:rPr>
              <w:t>搅拌打散后，泵至球磨</w:t>
            </w:r>
            <w:r>
              <w:rPr>
                <w:sz w:val="20"/>
                <w:szCs w:val="20"/>
              </w:rPr>
              <w:t xml:space="preserve"> </w:t>
            </w:r>
            <w:r>
              <w:rPr>
                <w:spacing w:val="9"/>
                <w:sz w:val="20"/>
                <w:szCs w:val="20"/>
              </w:rPr>
              <w:t>机湿法研磨环节回用</w:t>
            </w:r>
            <w:r>
              <w:rPr>
                <w:sz w:val="20"/>
                <w:szCs w:val="20"/>
              </w:rPr>
              <w:t xml:space="preserve">  </w:t>
            </w:r>
            <w:r>
              <w:rPr>
                <w:spacing w:val="7"/>
                <w:sz w:val="20"/>
                <w:szCs w:val="20"/>
              </w:rPr>
              <w:t>不外排</w:t>
            </w:r>
          </w:p>
        </w:tc>
        <w:tc>
          <w:tcPr>
            <w:tcW w:w="1996" w:type="dxa"/>
            <w:tcBorders>
              <w:right w:val="single" w:color="000000" w:sz="6" w:space="0"/>
            </w:tcBorders>
            <w:vAlign w:val="top"/>
          </w:tcPr>
          <w:p w14:paraId="5D21F5B1">
            <w:pPr>
              <w:spacing w:line="275" w:lineRule="auto"/>
              <w:rPr>
                <w:rFonts w:ascii="Arial"/>
                <w:sz w:val="21"/>
              </w:rPr>
            </w:pPr>
          </w:p>
          <w:p w14:paraId="1A6B9248">
            <w:pPr>
              <w:spacing w:line="275" w:lineRule="auto"/>
              <w:rPr>
                <w:rFonts w:ascii="Arial"/>
                <w:sz w:val="21"/>
              </w:rPr>
            </w:pPr>
          </w:p>
          <w:p w14:paraId="03AC2E68">
            <w:pPr>
              <w:spacing w:line="275" w:lineRule="auto"/>
              <w:rPr>
                <w:rFonts w:ascii="Arial"/>
                <w:sz w:val="21"/>
              </w:rPr>
            </w:pPr>
          </w:p>
          <w:p w14:paraId="26C3D127">
            <w:pPr>
              <w:spacing w:line="275" w:lineRule="auto"/>
              <w:rPr>
                <w:rFonts w:ascii="Arial"/>
                <w:sz w:val="21"/>
              </w:rPr>
            </w:pPr>
          </w:p>
          <w:p w14:paraId="0657B085">
            <w:pPr>
              <w:pStyle w:val="6"/>
              <w:spacing w:before="65" w:line="228" w:lineRule="auto"/>
              <w:ind w:left="693"/>
              <w:rPr>
                <w:sz w:val="20"/>
                <w:szCs w:val="20"/>
              </w:rPr>
            </w:pPr>
            <w:r>
              <w:rPr>
                <w:spacing w:val="5"/>
                <w:sz w:val="20"/>
                <w:szCs w:val="20"/>
              </w:rPr>
              <w:t>不外排</w:t>
            </w:r>
          </w:p>
        </w:tc>
      </w:tr>
      <w:tr w14:paraId="2244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785" w:type="dxa"/>
            <w:vMerge w:val="continue"/>
            <w:tcBorders>
              <w:top w:val="nil"/>
              <w:left w:val="single" w:color="000000" w:sz="6" w:space="0"/>
              <w:bottom w:val="nil"/>
            </w:tcBorders>
            <w:vAlign w:val="top"/>
          </w:tcPr>
          <w:p w14:paraId="1561D551">
            <w:pPr>
              <w:rPr>
                <w:rFonts w:ascii="Arial"/>
                <w:sz w:val="21"/>
              </w:rPr>
            </w:pPr>
          </w:p>
        </w:tc>
        <w:tc>
          <w:tcPr>
            <w:tcW w:w="1599" w:type="dxa"/>
            <w:vAlign w:val="top"/>
          </w:tcPr>
          <w:p w14:paraId="7BFBFF74">
            <w:pPr>
              <w:spacing w:line="305" w:lineRule="auto"/>
              <w:rPr>
                <w:rFonts w:ascii="Arial"/>
                <w:sz w:val="21"/>
              </w:rPr>
            </w:pPr>
          </w:p>
          <w:p w14:paraId="6542136C">
            <w:pPr>
              <w:pStyle w:val="6"/>
              <w:spacing w:before="65" w:line="228" w:lineRule="auto"/>
              <w:ind w:left="173"/>
              <w:rPr>
                <w:sz w:val="20"/>
                <w:szCs w:val="20"/>
              </w:rPr>
            </w:pPr>
            <w:r>
              <w:rPr>
                <w:spacing w:val="7"/>
                <w:sz w:val="20"/>
                <w:szCs w:val="20"/>
              </w:rPr>
              <w:t>车辆冲洗废水</w:t>
            </w:r>
          </w:p>
        </w:tc>
        <w:tc>
          <w:tcPr>
            <w:tcW w:w="1274" w:type="dxa"/>
            <w:vAlign w:val="top"/>
          </w:tcPr>
          <w:p w14:paraId="52FE40CE">
            <w:pPr>
              <w:spacing w:line="349" w:lineRule="auto"/>
              <w:rPr>
                <w:rFonts w:ascii="Arial"/>
                <w:sz w:val="21"/>
              </w:rPr>
            </w:pPr>
          </w:p>
          <w:p w14:paraId="09B0EEF5">
            <w:pPr>
              <w:spacing w:before="57" w:line="195"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150" w:type="dxa"/>
            <w:vAlign w:val="top"/>
          </w:tcPr>
          <w:p w14:paraId="110931D9">
            <w:pPr>
              <w:pStyle w:val="6"/>
              <w:spacing w:before="85" w:line="249" w:lineRule="auto"/>
              <w:ind w:left="74" w:right="141" w:hanging="1"/>
              <w:jc w:val="both"/>
              <w:rPr>
                <w:sz w:val="20"/>
                <w:szCs w:val="20"/>
              </w:rPr>
            </w:pPr>
            <w:r>
              <w:rPr>
                <w:spacing w:val="8"/>
                <w:sz w:val="20"/>
                <w:szCs w:val="20"/>
              </w:rPr>
              <w:t>冲洗设施旁设废水沉</w:t>
            </w:r>
            <w:r>
              <w:rPr>
                <w:spacing w:val="6"/>
                <w:sz w:val="20"/>
                <w:szCs w:val="20"/>
              </w:rPr>
              <w:t xml:space="preserve"> </w:t>
            </w:r>
            <w:r>
              <w:rPr>
                <w:spacing w:val="5"/>
                <w:sz w:val="20"/>
                <w:szCs w:val="20"/>
              </w:rPr>
              <w:t>淀池（15m</w:t>
            </w:r>
            <w:r>
              <w:rPr>
                <w:spacing w:val="5"/>
                <w:position w:val="10"/>
                <w:sz w:val="10"/>
                <w:szCs w:val="10"/>
              </w:rPr>
              <w:t>3</w:t>
            </w:r>
            <w:r>
              <w:rPr>
                <w:spacing w:val="-37"/>
                <w:sz w:val="20"/>
                <w:szCs w:val="20"/>
              </w:rPr>
              <w:t>），</w:t>
            </w:r>
            <w:r>
              <w:rPr>
                <w:spacing w:val="5"/>
                <w:sz w:val="20"/>
                <w:szCs w:val="20"/>
              </w:rPr>
              <w:t>处理后</w:t>
            </w:r>
            <w:r>
              <w:rPr>
                <w:spacing w:val="1"/>
                <w:sz w:val="20"/>
                <w:szCs w:val="20"/>
              </w:rPr>
              <w:t xml:space="preserve"> </w:t>
            </w:r>
            <w:r>
              <w:rPr>
                <w:spacing w:val="7"/>
                <w:sz w:val="20"/>
                <w:szCs w:val="20"/>
              </w:rPr>
              <w:t>回用不外排</w:t>
            </w:r>
          </w:p>
        </w:tc>
        <w:tc>
          <w:tcPr>
            <w:tcW w:w="1996" w:type="dxa"/>
            <w:tcBorders>
              <w:right w:val="single" w:color="000000" w:sz="6" w:space="0"/>
            </w:tcBorders>
            <w:vAlign w:val="top"/>
          </w:tcPr>
          <w:p w14:paraId="1F5E360D">
            <w:pPr>
              <w:spacing w:line="306" w:lineRule="auto"/>
              <w:rPr>
                <w:rFonts w:ascii="Arial"/>
                <w:sz w:val="21"/>
              </w:rPr>
            </w:pPr>
          </w:p>
          <w:p w14:paraId="40342191">
            <w:pPr>
              <w:pStyle w:val="6"/>
              <w:spacing w:before="65" w:line="228" w:lineRule="auto"/>
              <w:ind w:left="693"/>
              <w:rPr>
                <w:sz w:val="20"/>
                <w:szCs w:val="20"/>
              </w:rPr>
            </w:pPr>
            <w:r>
              <w:rPr>
                <w:spacing w:val="5"/>
                <w:sz w:val="20"/>
                <w:szCs w:val="20"/>
              </w:rPr>
              <w:t>不外排</w:t>
            </w:r>
          </w:p>
        </w:tc>
      </w:tr>
      <w:tr w14:paraId="28D88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785" w:type="dxa"/>
            <w:vMerge w:val="continue"/>
            <w:tcBorders>
              <w:top w:val="nil"/>
              <w:left w:val="single" w:color="000000" w:sz="6" w:space="0"/>
            </w:tcBorders>
            <w:vAlign w:val="top"/>
          </w:tcPr>
          <w:p w14:paraId="05A43D67">
            <w:pPr>
              <w:rPr>
                <w:rFonts w:ascii="Arial"/>
                <w:sz w:val="21"/>
              </w:rPr>
            </w:pPr>
          </w:p>
        </w:tc>
        <w:tc>
          <w:tcPr>
            <w:tcW w:w="1599" w:type="dxa"/>
            <w:vAlign w:val="top"/>
          </w:tcPr>
          <w:p w14:paraId="1B5EE7C8">
            <w:pPr>
              <w:spacing w:line="342" w:lineRule="auto"/>
              <w:rPr>
                <w:rFonts w:ascii="Arial"/>
                <w:sz w:val="21"/>
              </w:rPr>
            </w:pPr>
          </w:p>
          <w:p w14:paraId="7A544C3F">
            <w:pPr>
              <w:spacing w:line="342" w:lineRule="auto"/>
              <w:rPr>
                <w:rFonts w:ascii="Arial"/>
                <w:sz w:val="21"/>
              </w:rPr>
            </w:pPr>
          </w:p>
          <w:p w14:paraId="725742B1">
            <w:pPr>
              <w:pStyle w:val="6"/>
              <w:spacing w:before="65" w:line="228" w:lineRule="auto"/>
              <w:ind w:left="384"/>
              <w:rPr>
                <w:sz w:val="20"/>
                <w:szCs w:val="20"/>
              </w:rPr>
            </w:pPr>
            <w:r>
              <w:rPr>
                <w:spacing w:val="6"/>
                <w:sz w:val="20"/>
                <w:szCs w:val="20"/>
              </w:rPr>
              <w:t>生活污水</w:t>
            </w:r>
          </w:p>
        </w:tc>
        <w:tc>
          <w:tcPr>
            <w:tcW w:w="1274" w:type="dxa"/>
            <w:vAlign w:val="top"/>
          </w:tcPr>
          <w:p w14:paraId="49EA58BB">
            <w:pPr>
              <w:spacing w:line="272" w:lineRule="auto"/>
              <w:rPr>
                <w:rFonts w:ascii="Arial"/>
                <w:sz w:val="21"/>
              </w:rPr>
            </w:pPr>
          </w:p>
          <w:p w14:paraId="5565DB05">
            <w:pPr>
              <w:pStyle w:val="6"/>
              <w:spacing w:before="65" w:line="188" w:lineRule="auto"/>
              <w:ind w:left="85"/>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7"/>
                <w:sz w:val="20"/>
                <w:szCs w:val="20"/>
              </w:rPr>
              <w:t xml:space="preserve"> </w:t>
            </w:r>
            <w:r>
              <w:rPr>
                <w:spacing w:val="8"/>
                <w:sz w:val="20"/>
                <w:szCs w:val="20"/>
              </w:rPr>
              <w:t>、</w:t>
            </w:r>
            <w:r>
              <w:rPr>
                <w:rFonts w:ascii="Times New Roman" w:hAnsi="Times New Roman" w:eastAsia="Times New Roman" w:cs="Times New Roman"/>
                <w:sz w:val="20"/>
                <w:szCs w:val="20"/>
              </w:rPr>
              <w:t>COD</w:t>
            </w:r>
            <w:r>
              <w:rPr>
                <w:spacing w:val="8"/>
                <w:sz w:val="20"/>
                <w:szCs w:val="20"/>
              </w:rPr>
              <w:t>、</w:t>
            </w:r>
          </w:p>
          <w:p w14:paraId="69499D84">
            <w:pPr>
              <w:pStyle w:val="6"/>
              <w:spacing w:before="60" w:line="227" w:lineRule="auto"/>
              <w:jc w:val="right"/>
              <w:rPr>
                <w:sz w:val="20"/>
                <w:szCs w:val="20"/>
              </w:rPr>
            </w:pPr>
            <w:r>
              <w:rPr>
                <w:rFonts w:ascii="Times New Roman" w:hAnsi="Times New Roman" w:eastAsia="Times New Roman" w:cs="Times New Roman"/>
                <w:spacing w:val="-9"/>
                <w:sz w:val="20"/>
                <w:szCs w:val="20"/>
              </w:rPr>
              <w:t>BOD</w:t>
            </w:r>
            <w:r>
              <w:rPr>
                <w:spacing w:val="-9"/>
                <w:sz w:val="20"/>
                <w:szCs w:val="20"/>
              </w:rPr>
              <w:t>、氨氮、</w:t>
            </w:r>
          </w:p>
          <w:p w14:paraId="1118AA6E">
            <w:pPr>
              <w:pStyle w:val="6"/>
              <w:spacing w:before="54" w:line="262" w:lineRule="auto"/>
              <w:ind w:left="537" w:right="112" w:hanging="420"/>
              <w:rPr>
                <w:sz w:val="20"/>
                <w:szCs w:val="20"/>
              </w:rPr>
            </w:pPr>
            <w:r>
              <w:rPr>
                <w:spacing w:val="7"/>
                <w:sz w:val="20"/>
                <w:szCs w:val="20"/>
              </w:rPr>
              <w:t>粪大肠菌群</w:t>
            </w:r>
            <w:r>
              <w:rPr>
                <w:spacing w:val="3"/>
                <w:sz w:val="20"/>
                <w:szCs w:val="20"/>
              </w:rPr>
              <w:t xml:space="preserve"> </w:t>
            </w:r>
            <w:r>
              <w:rPr>
                <w:sz w:val="20"/>
                <w:szCs w:val="20"/>
              </w:rPr>
              <w:t>等</w:t>
            </w:r>
          </w:p>
        </w:tc>
        <w:tc>
          <w:tcPr>
            <w:tcW w:w="2150" w:type="dxa"/>
            <w:vAlign w:val="top"/>
          </w:tcPr>
          <w:p w14:paraId="469C7079">
            <w:pPr>
              <w:pStyle w:val="6"/>
              <w:spacing w:before="49" w:line="250" w:lineRule="auto"/>
              <w:ind w:left="72" w:right="7"/>
              <w:jc w:val="both"/>
              <w:rPr>
                <w:sz w:val="20"/>
                <w:szCs w:val="20"/>
              </w:rPr>
            </w:pPr>
            <w:r>
              <w:rPr>
                <w:spacing w:val="8"/>
                <w:sz w:val="20"/>
                <w:szCs w:val="20"/>
              </w:rPr>
              <w:t>利用厂区已建化粪池</w:t>
            </w:r>
            <w:r>
              <w:rPr>
                <w:spacing w:val="2"/>
                <w:sz w:val="20"/>
                <w:szCs w:val="20"/>
              </w:rPr>
              <w:t xml:space="preserve">   </w:t>
            </w:r>
            <w:r>
              <w:rPr>
                <w:spacing w:val="1"/>
                <w:sz w:val="20"/>
                <w:szCs w:val="20"/>
              </w:rPr>
              <w:t>（130m</w:t>
            </w:r>
            <w:r>
              <w:rPr>
                <w:spacing w:val="1"/>
                <w:position w:val="10"/>
                <w:sz w:val="10"/>
                <w:szCs w:val="10"/>
              </w:rPr>
              <w:t>3</w:t>
            </w:r>
            <w:r>
              <w:rPr>
                <w:spacing w:val="1"/>
                <w:sz w:val="20"/>
                <w:szCs w:val="20"/>
              </w:rPr>
              <w:t>）收集处理后，</w:t>
            </w:r>
            <w:r>
              <w:rPr>
                <w:sz w:val="20"/>
                <w:szCs w:val="20"/>
              </w:rPr>
              <w:t xml:space="preserve"> </w:t>
            </w:r>
            <w:r>
              <w:rPr>
                <w:spacing w:val="8"/>
                <w:sz w:val="20"/>
                <w:szCs w:val="20"/>
              </w:rPr>
              <w:t>定期委托专业机构拉</w:t>
            </w:r>
            <w:r>
              <w:rPr>
                <w:spacing w:val="2"/>
                <w:sz w:val="20"/>
                <w:szCs w:val="20"/>
              </w:rPr>
              <w:t xml:space="preserve">   </w:t>
            </w:r>
            <w:r>
              <w:rPr>
                <w:spacing w:val="8"/>
                <w:sz w:val="20"/>
                <w:szCs w:val="20"/>
              </w:rPr>
              <w:t>运至东岳场镇污水处</w:t>
            </w:r>
            <w:r>
              <w:rPr>
                <w:spacing w:val="2"/>
                <w:sz w:val="20"/>
                <w:szCs w:val="20"/>
              </w:rPr>
              <w:t xml:space="preserve">   </w:t>
            </w:r>
            <w:r>
              <w:rPr>
                <w:spacing w:val="8"/>
                <w:sz w:val="20"/>
                <w:szCs w:val="20"/>
              </w:rPr>
              <w:t>理厂处理后达标排入</w:t>
            </w:r>
            <w:r>
              <w:rPr>
                <w:spacing w:val="2"/>
                <w:sz w:val="20"/>
                <w:szCs w:val="20"/>
              </w:rPr>
              <w:t xml:space="preserve">   </w:t>
            </w:r>
            <w:r>
              <w:rPr>
                <w:spacing w:val="6"/>
                <w:sz w:val="20"/>
                <w:szCs w:val="20"/>
              </w:rPr>
              <w:t>双龙河</w:t>
            </w:r>
          </w:p>
        </w:tc>
        <w:tc>
          <w:tcPr>
            <w:tcW w:w="1996" w:type="dxa"/>
            <w:tcBorders>
              <w:right w:val="single" w:color="000000" w:sz="6" w:space="0"/>
            </w:tcBorders>
            <w:vAlign w:val="top"/>
          </w:tcPr>
          <w:p w14:paraId="70FE3392">
            <w:pPr>
              <w:spacing w:line="386" w:lineRule="auto"/>
              <w:rPr>
                <w:rFonts w:ascii="Arial"/>
                <w:sz w:val="21"/>
              </w:rPr>
            </w:pPr>
          </w:p>
          <w:p w14:paraId="37F31742">
            <w:pPr>
              <w:pStyle w:val="6"/>
              <w:spacing w:before="65" w:line="263" w:lineRule="auto"/>
              <w:ind w:left="101" w:firstLine="68"/>
              <w:rPr>
                <w:sz w:val="20"/>
                <w:szCs w:val="20"/>
              </w:rPr>
            </w:pPr>
            <w:r>
              <w:rPr>
                <w:spacing w:val="8"/>
                <w:sz w:val="20"/>
                <w:szCs w:val="20"/>
              </w:rPr>
              <w:t>《污水综合排放标</w:t>
            </w:r>
            <w:r>
              <w:rPr>
                <w:sz w:val="20"/>
                <w:szCs w:val="20"/>
              </w:rPr>
              <w:t xml:space="preserve">  </w:t>
            </w:r>
            <w:r>
              <w:rPr>
                <w:spacing w:val="-4"/>
                <w:sz w:val="20"/>
                <w:szCs w:val="20"/>
              </w:rPr>
              <w:t>准》（</w:t>
            </w:r>
            <w:r>
              <w:rPr>
                <w:rFonts w:ascii="Times New Roman" w:hAnsi="Times New Roman" w:eastAsia="Times New Roman" w:cs="Times New Roman"/>
                <w:spacing w:val="-4"/>
                <w:sz w:val="20"/>
                <w:szCs w:val="20"/>
              </w:rPr>
              <w:t>GB8979-1996</w:t>
            </w:r>
            <w:r>
              <w:rPr>
                <w:spacing w:val="-4"/>
                <w:sz w:val="20"/>
                <w:szCs w:val="20"/>
              </w:rPr>
              <w:t>）</w:t>
            </w:r>
          </w:p>
          <w:p w14:paraId="18AFE1A5">
            <w:pPr>
              <w:pStyle w:val="6"/>
              <w:spacing w:before="30" w:line="228" w:lineRule="auto"/>
              <w:ind w:left="584"/>
              <w:rPr>
                <w:sz w:val="20"/>
                <w:szCs w:val="20"/>
              </w:rPr>
            </w:pPr>
            <w:r>
              <w:rPr>
                <w:spacing w:val="7"/>
                <w:sz w:val="20"/>
                <w:szCs w:val="20"/>
              </w:rPr>
              <w:t>三级标准</w:t>
            </w:r>
          </w:p>
        </w:tc>
      </w:tr>
      <w:tr w14:paraId="6A610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785" w:type="dxa"/>
            <w:vMerge w:val="restart"/>
            <w:tcBorders>
              <w:left w:val="single" w:color="000000" w:sz="6" w:space="0"/>
              <w:bottom w:val="nil"/>
            </w:tcBorders>
            <w:vAlign w:val="top"/>
          </w:tcPr>
          <w:p w14:paraId="741BA439">
            <w:pPr>
              <w:spacing w:line="250" w:lineRule="auto"/>
              <w:rPr>
                <w:rFonts w:ascii="Arial"/>
                <w:sz w:val="21"/>
              </w:rPr>
            </w:pPr>
          </w:p>
          <w:p w14:paraId="1A1D21CA">
            <w:pPr>
              <w:spacing w:line="250" w:lineRule="auto"/>
              <w:rPr>
                <w:rFonts w:ascii="Arial"/>
                <w:sz w:val="21"/>
              </w:rPr>
            </w:pPr>
          </w:p>
          <w:p w14:paraId="6F21688A">
            <w:pPr>
              <w:spacing w:line="250" w:lineRule="auto"/>
              <w:rPr>
                <w:rFonts w:ascii="Arial"/>
                <w:sz w:val="21"/>
              </w:rPr>
            </w:pPr>
          </w:p>
          <w:p w14:paraId="1898041D">
            <w:pPr>
              <w:spacing w:line="250" w:lineRule="auto"/>
              <w:rPr>
                <w:rFonts w:ascii="Arial"/>
                <w:sz w:val="21"/>
              </w:rPr>
            </w:pPr>
          </w:p>
          <w:p w14:paraId="23CB7C16">
            <w:pPr>
              <w:spacing w:line="250" w:lineRule="auto"/>
              <w:rPr>
                <w:rFonts w:ascii="Arial"/>
                <w:sz w:val="21"/>
              </w:rPr>
            </w:pPr>
          </w:p>
          <w:p w14:paraId="022097BC">
            <w:pPr>
              <w:spacing w:line="251" w:lineRule="auto"/>
              <w:rPr>
                <w:rFonts w:ascii="Arial"/>
                <w:sz w:val="21"/>
              </w:rPr>
            </w:pPr>
          </w:p>
          <w:p w14:paraId="1264C871">
            <w:pPr>
              <w:spacing w:line="251" w:lineRule="auto"/>
              <w:rPr>
                <w:rFonts w:ascii="Arial"/>
                <w:sz w:val="21"/>
              </w:rPr>
            </w:pPr>
          </w:p>
          <w:p w14:paraId="42A643FD">
            <w:pPr>
              <w:pStyle w:val="6"/>
              <w:spacing w:before="65" w:line="228" w:lineRule="auto"/>
              <w:ind w:left="580"/>
              <w:rPr>
                <w:sz w:val="20"/>
                <w:szCs w:val="20"/>
              </w:rPr>
            </w:pPr>
            <w:r>
              <w:rPr>
                <w:spacing w:val="5"/>
                <w:sz w:val="20"/>
                <w:szCs w:val="20"/>
              </w:rPr>
              <w:t>声环境</w:t>
            </w:r>
          </w:p>
        </w:tc>
        <w:tc>
          <w:tcPr>
            <w:tcW w:w="1599" w:type="dxa"/>
            <w:vAlign w:val="top"/>
          </w:tcPr>
          <w:p w14:paraId="3160F06C">
            <w:pPr>
              <w:spacing w:line="297" w:lineRule="auto"/>
              <w:rPr>
                <w:rFonts w:ascii="Arial"/>
                <w:sz w:val="21"/>
              </w:rPr>
            </w:pPr>
          </w:p>
          <w:p w14:paraId="2CD42620">
            <w:pPr>
              <w:pStyle w:val="6"/>
              <w:spacing w:before="65" w:line="228" w:lineRule="auto"/>
              <w:ind w:left="381"/>
              <w:rPr>
                <w:sz w:val="20"/>
                <w:szCs w:val="20"/>
              </w:rPr>
            </w:pPr>
            <w:r>
              <w:rPr>
                <w:spacing w:val="7"/>
                <w:sz w:val="20"/>
                <w:szCs w:val="20"/>
              </w:rPr>
              <w:t>施工现场</w:t>
            </w:r>
          </w:p>
        </w:tc>
        <w:tc>
          <w:tcPr>
            <w:tcW w:w="1274" w:type="dxa"/>
            <w:vAlign w:val="top"/>
          </w:tcPr>
          <w:p w14:paraId="613E8642">
            <w:pPr>
              <w:pStyle w:val="6"/>
              <w:spacing w:before="214" w:line="263" w:lineRule="auto"/>
              <w:ind w:left="538" w:right="112" w:hanging="420"/>
              <w:rPr>
                <w:sz w:val="20"/>
                <w:szCs w:val="20"/>
              </w:rPr>
            </w:pPr>
            <w:r>
              <w:rPr>
                <w:spacing w:val="7"/>
                <w:sz w:val="20"/>
                <w:szCs w:val="20"/>
              </w:rPr>
              <w:t>设备安装噪</w:t>
            </w:r>
            <w:r>
              <w:rPr>
                <w:spacing w:val="1"/>
                <w:sz w:val="20"/>
                <w:szCs w:val="20"/>
              </w:rPr>
              <w:t xml:space="preserve"> </w:t>
            </w:r>
            <w:r>
              <w:rPr>
                <w:sz w:val="20"/>
                <w:szCs w:val="20"/>
              </w:rPr>
              <w:t>声</w:t>
            </w:r>
          </w:p>
        </w:tc>
        <w:tc>
          <w:tcPr>
            <w:tcW w:w="2150" w:type="dxa"/>
            <w:vAlign w:val="top"/>
          </w:tcPr>
          <w:p w14:paraId="3BDC6B70">
            <w:pPr>
              <w:pStyle w:val="6"/>
              <w:spacing w:before="215" w:line="262" w:lineRule="auto"/>
              <w:ind w:left="62" w:right="49" w:hanging="1"/>
              <w:rPr>
                <w:sz w:val="20"/>
                <w:szCs w:val="20"/>
              </w:rPr>
            </w:pPr>
            <w:r>
              <w:rPr>
                <w:spacing w:val="3"/>
                <w:sz w:val="20"/>
                <w:szCs w:val="20"/>
              </w:rPr>
              <w:t>尽量缩短工期、合理布</w:t>
            </w:r>
            <w:r>
              <w:rPr>
                <w:spacing w:val="2"/>
                <w:sz w:val="20"/>
                <w:szCs w:val="20"/>
              </w:rPr>
              <w:t xml:space="preserve"> </w:t>
            </w:r>
            <w:r>
              <w:rPr>
                <w:spacing w:val="8"/>
                <w:sz w:val="20"/>
                <w:szCs w:val="20"/>
              </w:rPr>
              <w:t>局设备、文明施工</w:t>
            </w:r>
          </w:p>
        </w:tc>
        <w:tc>
          <w:tcPr>
            <w:tcW w:w="1996" w:type="dxa"/>
            <w:tcBorders>
              <w:right w:val="single" w:color="000000" w:sz="6" w:space="0"/>
            </w:tcBorders>
            <w:vAlign w:val="top"/>
          </w:tcPr>
          <w:p w14:paraId="5B4541E9">
            <w:pPr>
              <w:pStyle w:val="6"/>
              <w:spacing w:before="62" w:line="256" w:lineRule="auto"/>
              <w:ind w:left="155" w:right="111" w:firstLine="14"/>
              <w:jc w:val="both"/>
              <w:rPr>
                <w:sz w:val="20"/>
                <w:szCs w:val="20"/>
              </w:rPr>
            </w:pPr>
            <w:r>
              <w:rPr>
                <w:spacing w:val="8"/>
                <w:sz w:val="20"/>
                <w:szCs w:val="20"/>
              </w:rPr>
              <w:t>《建筑施工场界环</w:t>
            </w:r>
            <w:r>
              <w:rPr>
                <w:sz w:val="20"/>
                <w:szCs w:val="20"/>
              </w:rPr>
              <w:t xml:space="preserve"> </w:t>
            </w:r>
            <w:r>
              <w:rPr>
                <w:spacing w:val="14"/>
                <w:sz w:val="20"/>
                <w:szCs w:val="20"/>
              </w:rPr>
              <w:t>境噪声排放限值》</w:t>
            </w:r>
            <w:r>
              <w:rPr>
                <w:spacing w:val="5"/>
                <w:sz w:val="20"/>
                <w:szCs w:val="20"/>
              </w:rPr>
              <w:t xml:space="preserve"> </w:t>
            </w: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12523-2011</w:t>
            </w:r>
            <w:r>
              <w:rPr>
                <w:spacing w:val="4"/>
                <w:sz w:val="20"/>
                <w:szCs w:val="20"/>
              </w:rPr>
              <w:t>）</w:t>
            </w:r>
          </w:p>
        </w:tc>
      </w:tr>
      <w:tr w14:paraId="5391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785" w:type="dxa"/>
            <w:vMerge w:val="continue"/>
            <w:tcBorders>
              <w:top w:val="nil"/>
              <w:left w:val="single" w:color="000000" w:sz="6" w:space="0"/>
            </w:tcBorders>
            <w:vAlign w:val="top"/>
          </w:tcPr>
          <w:p w14:paraId="4DDF0F90">
            <w:pPr>
              <w:rPr>
                <w:rFonts w:ascii="Arial"/>
                <w:sz w:val="21"/>
              </w:rPr>
            </w:pPr>
          </w:p>
        </w:tc>
        <w:tc>
          <w:tcPr>
            <w:tcW w:w="1599" w:type="dxa"/>
            <w:vAlign w:val="top"/>
          </w:tcPr>
          <w:p w14:paraId="1C6DE9FD">
            <w:pPr>
              <w:spacing w:line="249" w:lineRule="auto"/>
              <w:rPr>
                <w:rFonts w:ascii="Arial"/>
                <w:sz w:val="21"/>
              </w:rPr>
            </w:pPr>
          </w:p>
          <w:p w14:paraId="7C161904">
            <w:pPr>
              <w:spacing w:line="249" w:lineRule="auto"/>
              <w:rPr>
                <w:rFonts w:ascii="Arial"/>
                <w:sz w:val="21"/>
              </w:rPr>
            </w:pPr>
          </w:p>
          <w:p w14:paraId="0A4EC124">
            <w:pPr>
              <w:spacing w:line="249" w:lineRule="auto"/>
              <w:rPr>
                <w:rFonts w:ascii="Arial"/>
                <w:sz w:val="21"/>
              </w:rPr>
            </w:pPr>
          </w:p>
          <w:p w14:paraId="7B51175F">
            <w:pPr>
              <w:spacing w:line="249" w:lineRule="auto"/>
              <w:rPr>
                <w:rFonts w:ascii="Arial"/>
                <w:sz w:val="21"/>
              </w:rPr>
            </w:pPr>
          </w:p>
          <w:p w14:paraId="2C608755">
            <w:pPr>
              <w:pStyle w:val="6"/>
              <w:spacing w:before="65" w:line="243" w:lineRule="auto"/>
              <w:ind w:left="91" w:right="91" w:firstLine="1"/>
              <w:jc w:val="both"/>
              <w:rPr>
                <w:sz w:val="20"/>
                <w:szCs w:val="20"/>
              </w:rPr>
            </w:pPr>
            <w:r>
              <w:rPr>
                <w:spacing w:val="17"/>
                <w:sz w:val="20"/>
                <w:szCs w:val="20"/>
              </w:rPr>
              <w:t>颚破机</w:t>
            </w:r>
            <w:r>
              <w:rPr>
                <w:spacing w:val="-43"/>
                <w:sz w:val="20"/>
                <w:szCs w:val="20"/>
              </w:rPr>
              <w:t xml:space="preserve"> </w:t>
            </w:r>
            <w:r>
              <w:rPr>
                <w:spacing w:val="17"/>
                <w:sz w:val="20"/>
                <w:szCs w:val="20"/>
              </w:rPr>
              <w:t>、</w:t>
            </w:r>
            <w:r>
              <w:rPr>
                <w:spacing w:val="-51"/>
                <w:sz w:val="20"/>
                <w:szCs w:val="20"/>
              </w:rPr>
              <w:t xml:space="preserve"> </w:t>
            </w:r>
            <w:r>
              <w:rPr>
                <w:spacing w:val="17"/>
                <w:sz w:val="20"/>
                <w:szCs w:val="20"/>
              </w:rPr>
              <w:t>筛分</w:t>
            </w:r>
            <w:r>
              <w:rPr>
                <w:sz w:val="20"/>
                <w:szCs w:val="20"/>
              </w:rPr>
              <w:t xml:space="preserve"> </w:t>
            </w:r>
            <w:r>
              <w:rPr>
                <w:spacing w:val="1"/>
                <w:sz w:val="20"/>
                <w:szCs w:val="20"/>
              </w:rPr>
              <w:t>机、球磨机、蒸</w:t>
            </w:r>
            <w:r>
              <w:rPr>
                <w:spacing w:val="3"/>
                <w:sz w:val="20"/>
                <w:szCs w:val="20"/>
              </w:rPr>
              <w:t xml:space="preserve"> </w:t>
            </w:r>
            <w:r>
              <w:rPr>
                <w:spacing w:val="1"/>
                <w:sz w:val="20"/>
                <w:szCs w:val="20"/>
              </w:rPr>
              <w:t>压釜、搅拌机等</w:t>
            </w:r>
          </w:p>
        </w:tc>
        <w:tc>
          <w:tcPr>
            <w:tcW w:w="1274" w:type="dxa"/>
            <w:vAlign w:val="top"/>
          </w:tcPr>
          <w:p w14:paraId="49F4DE85">
            <w:pPr>
              <w:spacing w:line="256" w:lineRule="auto"/>
              <w:rPr>
                <w:rFonts w:ascii="Arial"/>
                <w:sz w:val="21"/>
              </w:rPr>
            </w:pPr>
          </w:p>
          <w:p w14:paraId="3FD9A539">
            <w:pPr>
              <w:spacing w:line="256" w:lineRule="auto"/>
              <w:rPr>
                <w:rFonts w:ascii="Arial"/>
                <w:sz w:val="21"/>
              </w:rPr>
            </w:pPr>
          </w:p>
          <w:p w14:paraId="1400C8A0">
            <w:pPr>
              <w:spacing w:line="256" w:lineRule="auto"/>
              <w:rPr>
                <w:rFonts w:ascii="Arial"/>
                <w:sz w:val="21"/>
              </w:rPr>
            </w:pPr>
          </w:p>
          <w:p w14:paraId="076D8017">
            <w:pPr>
              <w:spacing w:line="256" w:lineRule="auto"/>
              <w:rPr>
                <w:rFonts w:ascii="Arial"/>
                <w:sz w:val="21"/>
              </w:rPr>
            </w:pPr>
          </w:p>
          <w:p w14:paraId="7AEF6F16">
            <w:pPr>
              <w:spacing w:line="257" w:lineRule="auto"/>
              <w:rPr>
                <w:rFonts w:ascii="Arial"/>
                <w:sz w:val="21"/>
              </w:rPr>
            </w:pPr>
          </w:p>
          <w:p w14:paraId="3307082A">
            <w:pPr>
              <w:pStyle w:val="6"/>
              <w:spacing w:before="65" w:line="228" w:lineRule="auto"/>
              <w:ind w:left="224"/>
              <w:rPr>
                <w:sz w:val="20"/>
                <w:szCs w:val="20"/>
              </w:rPr>
            </w:pPr>
            <w:r>
              <w:rPr>
                <w:spacing w:val="6"/>
                <w:sz w:val="20"/>
                <w:szCs w:val="20"/>
              </w:rPr>
              <w:t>设备噪声</w:t>
            </w:r>
          </w:p>
        </w:tc>
        <w:tc>
          <w:tcPr>
            <w:tcW w:w="2150" w:type="dxa"/>
            <w:vAlign w:val="top"/>
          </w:tcPr>
          <w:p w14:paraId="0471B42B">
            <w:pPr>
              <w:pStyle w:val="6"/>
              <w:spacing w:before="45" w:line="254" w:lineRule="auto"/>
              <w:ind w:left="71" w:right="17"/>
              <w:rPr>
                <w:sz w:val="20"/>
                <w:szCs w:val="20"/>
              </w:rPr>
            </w:pPr>
            <w:r>
              <w:rPr>
                <w:spacing w:val="9"/>
                <w:sz w:val="20"/>
                <w:szCs w:val="20"/>
              </w:rPr>
              <w:t>选用环保型低噪声设</w:t>
            </w:r>
            <w:r>
              <w:rPr>
                <w:sz w:val="20"/>
                <w:szCs w:val="20"/>
              </w:rPr>
              <w:t xml:space="preserve">  </w:t>
            </w:r>
            <w:r>
              <w:rPr>
                <w:spacing w:val="1"/>
                <w:sz w:val="20"/>
                <w:szCs w:val="20"/>
              </w:rPr>
              <w:t>备、安装时采取基础减</w:t>
            </w:r>
            <w:r>
              <w:rPr>
                <w:sz w:val="20"/>
                <w:szCs w:val="20"/>
              </w:rPr>
              <w:t xml:space="preserve"> </w:t>
            </w:r>
            <w:r>
              <w:rPr>
                <w:spacing w:val="1"/>
                <w:sz w:val="20"/>
                <w:szCs w:val="20"/>
              </w:rPr>
              <w:t>振、建筑隔声；设地下</w:t>
            </w:r>
            <w:r>
              <w:rPr>
                <w:spacing w:val="2"/>
                <w:sz w:val="20"/>
                <w:szCs w:val="20"/>
              </w:rPr>
              <w:t xml:space="preserve"> </w:t>
            </w:r>
            <w:r>
              <w:rPr>
                <w:spacing w:val="5"/>
                <w:sz w:val="20"/>
                <w:szCs w:val="20"/>
              </w:rPr>
              <w:t>式原料堆场，颚破机、</w:t>
            </w:r>
            <w:r>
              <w:rPr>
                <w:spacing w:val="4"/>
                <w:sz w:val="20"/>
                <w:szCs w:val="20"/>
              </w:rPr>
              <w:t xml:space="preserve"> </w:t>
            </w:r>
            <w:r>
              <w:rPr>
                <w:spacing w:val="1"/>
                <w:sz w:val="20"/>
                <w:szCs w:val="20"/>
              </w:rPr>
              <w:t>筛分机安装在地下，建</w:t>
            </w:r>
            <w:r>
              <w:rPr>
                <w:spacing w:val="2"/>
                <w:sz w:val="20"/>
                <w:szCs w:val="20"/>
              </w:rPr>
              <w:t xml:space="preserve"> </w:t>
            </w:r>
            <w:r>
              <w:rPr>
                <w:spacing w:val="5"/>
                <w:sz w:val="20"/>
                <w:szCs w:val="20"/>
              </w:rPr>
              <w:t>筑隔声；</w:t>
            </w:r>
          </w:p>
          <w:p w14:paraId="68AFC3C1">
            <w:pPr>
              <w:pStyle w:val="6"/>
              <w:spacing w:before="46" w:line="261" w:lineRule="auto"/>
              <w:ind w:left="59" w:right="48"/>
              <w:jc w:val="both"/>
              <w:rPr>
                <w:sz w:val="20"/>
                <w:szCs w:val="20"/>
              </w:rPr>
            </w:pPr>
            <w:r>
              <w:rPr>
                <w:spacing w:val="3"/>
                <w:sz w:val="20"/>
                <w:szCs w:val="20"/>
              </w:rPr>
              <w:t>加强设备的维护保养；</w:t>
            </w:r>
            <w:r>
              <w:rPr>
                <w:spacing w:val="5"/>
                <w:sz w:val="20"/>
                <w:szCs w:val="20"/>
              </w:rPr>
              <w:t xml:space="preserve"> </w:t>
            </w:r>
            <w:r>
              <w:rPr>
                <w:spacing w:val="3"/>
                <w:sz w:val="20"/>
                <w:szCs w:val="20"/>
              </w:rPr>
              <w:t>优化布局，尽量远离厂</w:t>
            </w:r>
            <w:r>
              <w:rPr>
                <w:spacing w:val="4"/>
                <w:sz w:val="20"/>
                <w:szCs w:val="20"/>
              </w:rPr>
              <w:t xml:space="preserve"> </w:t>
            </w:r>
            <w:r>
              <w:rPr>
                <w:spacing w:val="3"/>
                <w:sz w:val="20"/>
                <w:szCs w:val="20"/>
              </w:rPr>
              <w:t>房边界；合理安排生产</w:t>
            </w:r>
            <w:r>
              <w:rPr>
                <w:spacing w:val="4"/>
                <w:sz w:val="20"/>
                <w:szCs w:val="20"/>
              </w:rPr>
              <w:t xml:space="preserve"> </w:t>
            </w:r>
            <w:r>
              <w:rPr>
                <w:spacing w:val="8"/>
                <w:sz w:val="20"/>
                <w:szCs w:val="20"/>
              </w:rPr>
              <w:t>及运输作业时间</w:t>
            </w:r>
          </w:p>
        </w:tc>
        <w:tc>
          <w:tcPr>
            <w:tcW w:w="1996" w:type="dxa"/>
            <w:tcBorders>
              <w:right w:val="single" w:color="000000" w:sz="6" w:space="0"/>
            </w:tcBorders>
            <w:vAlign w:val="top"/>
          </w:tcPr>
          <w:p w14:paraId="11214062">
            <w:pPr>
              <w:spacing w:line="277" w:lineRule="auto"/>
              <w:rPr>
                <w:rFonts w:ascii="Arial"/>
                <w:sz w:val="21"/>
              </w:rPr>
            </w:pPr>
          </w:p>
          <w:p w14:paraId="54B9C385">
            <w:pPr>
              <w:spacing w:line="278" w:lineRule="auto"/>
              <w:rPr>
                <w:rFonts w:ascii="Arial"/>
                <w:sz w:val="21"/>
              </w:rPr>
            </w:pPr>
          </w:p>
          <w:p w14:paraId="4E13D624">
            <w:pPr>
              <w:spacing w:line="278" w:lineRule="auto"/>
              <w:rPr>
                <w:rFonts w:ascii="Arial"/>
                <w:sz w:val="21"/>
              </w:rPr>
            </w:pPr>
          </w:p>
          <w:p w14:paraId="441A1292">
            <w:pPr>
              <w:pStyle w:val="6"/>
              <w:spacing w:before="65" w:line="271" w:lineRule="auto"/>
              <w:ind w:left="109" w:right="86" w:firstLine="59"/>
              <w:rPr>
                <w:rFonts w:ascii="Times New Roman" w:hAnsi="Times New Roman" w:eastAsia="Times New Roman" w:cs="Times New Roman"/>
                <w:sz w:val="20"/>
                <w:szCs w:val="20"/>
              </w:rPr>
            </w:pPr>
            <w:r>
              <w:rPr>
                <w:spacing w:val="8"/>
                <w:sz w:val="20"/>
                <w:szCs w:val="20"/>
              </w:rPr>
              <w:t>《工业企业厂界环</w:t>
            </w:r>
            <w:r>
              <w:rPr>
                <w:sz w:val="20"/>
                <w:szCs w:val="20"/>
              </w:rPr>
              <w:t xml:space="preserve"> </w:t>
            </w:r>
            <w:r>
              <w:rPr>
                <w:spacing w:val="20"/>
                <w:sz w:val="20"/>
                <w:szCs w:val="20"/>
              </w:rPr>
              <w:t>境噪声排放标准》</w:t>
            </w:r>
            <w:r>
              <w:rPr>
                <w:spacing w:val="3"/>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12348-2008</w:t>
            </w:r>
            <w:r>
              <w:rPr>
                <w:spacing w:val="3"/>
                <w:sz w:val="20"/>
                <w:szCs w:val="20"/>
              </w:rPr>
              <w:t>）</w:t>
            </w:r>
            <w:r>
              <w:rPr>
                <w:rFonts w:ascii="Times New Roman" w:hAnsi="Times New Roman" w:eastAsia="Times New Roman" w:cs="Times New Roman"/>
                <w:spacing w:val="3"/>
                <w:sz w:val="20"/>
                <w:szCs w:val="20"/>
              </w:rPr>
              <w:t>3</w:t>
            </w:r>
          </w:p>
          <w:p w14:paraId="0ED5CC18">
            <w:pPr>
              <w:pStyle w:val="6"/>
              <w:spacing w:before="18" w:line="228" w:lineRule="auto"/>
              <w:ind w:left="478"/>
              <w:rPr>
                <w:sz w:val="20"/>
                <w:szCs w:val="20"/>
              </w:rPr>
            </w:pPr>
            <w:r>
              <w:rPr>
                <w:spacing w:val="8"/>
                <w:sz w:val="20"/>
                <w:szCs w:val="20"/>
              </w:rPr>
              <w:t>类标准限值</w:t>
            </w:r>
          </w:p>
        </w:tc>
      </w:tr>
      <w:tr w14:paraId="337B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785" w:type="dxa"/>
            <w:tcBorders>
              <w:left w:val="single" w:color="000000" w:sz="6" w:space="0"/>
            </w:tcBorders>
            <w:vAlign w:val="top"/>
          </w:tcPr>
          <w:p w14:paraId="5C0E84C2">
            <w:pPr>
              <w:spacing w:line="358" w:lineRule="auto"/>
              <w:rPr>
                <w:rFonts w:ascii="Arial"/>
                <w:sz w:val="21"/>
              </w:rPr>
            </w:pPr>
          </w:p>
          <w:p w14:paraId="04E45B16">
            <w:pPr>
              <w:pStyle w:val="6"/>
              <w:spacing w:before="65" w:line="228" w:lineRule="auto"/>
              <w:ind w:left="495"/>
              <w:rPr>
                <w:sz w:val="20"/>
                <w:szCs w:val="20"/>
              </w:rPr>
            </w:pPr>
            <w:r>
              <w:rPr>
                <w:spacing w:val="1"/>
                <w:sz w:val="20"/>
                <w:szCs w:val="20"/>
              </w:rPr>
              <w:t>电磁辐射</w:t>
            </w:r>
          </w:p>
        </w:tc>
        <w:tc>
          <w:tcPr>
            <w:tcW w:w="1599" w:type="dxa"/>
            <w:vAlign w:val="top"/>
          </w:tcPr>
          <w:p w14:paraId="540A9249">
            <w:pPr>
              <w:spacing w:line="398" w:lineRule="auto"/>
              <w:rPr>
                <w:rFonts w:ascii="Arial"/>
                <w:sz w:val="21"/>
              </w:rPr>
            </w:pPr>
          </w:p>
          <w:p w14:paraId="09FA7103">
            <w:pPr>
              <w:spacing w:before="57" w:line="199"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vAlign w:val="top"/>
          </w:tcPr>
          <w:p w14:paraId="3FCFCA76">
            <w:pPr>
              <w:spacing w:line="398" w:lineRule="auto"/>
              <w:rPr>
                <w:rFonts w:ascii="Arial"/>
                <w:sz w:val="21"/>
              </w:rPr>
            </w:pPr>
          </w:p>
          <w:p w14:paraId="4EA69A96">
            <w:pPr>
              <w:spacing w:before="57" w:line="199"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50" w:type="dxa"/>
            <w:vAlign w:val="top"/>
          </w:tcPr>
          <w:p w14:paraId="1A76D60F">
            <w:pPr>
              <w:spacing w:line="374" w:lineRule="auto"/>
              <w:rPr>
                <w:rFonts w:ascii="Arial"/>
                <w:sz w:val="21"/>
              </w:rPr>
            </w:pPr>
          </w:p>
          <w:p w14:paraId="0F9D29C1">
            <w:pPr>
              <w:spacing w:before="58" w:line="199" w:lineRule="auto"/>
              <w:ind w:left="10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996" w:type="dxa"/>
            <w:tcBorders>
              <w:right w:val="single" w:color="000000" w:sz="6" w:space="0"/>
            </w:tcBorders>
            <w:vAlign w:val="top"/>
          </w:tcPr>
          <w:p w14:paraId="51FF5EA9">
            <w:pPr>
              <w:spacing w:line="374" w:lineRule="auto"/>
              <w:rPr>
                <w:rFonts w:ascii="Arial"/>
                <w:sz w:val="21"/>
              </w:rPr>
            </w:pPr>
          </w:p>
          <w:p w14:paraId="30F8A848">
            <w:pPr>
              <w:spacing w:before="58" w:line="199" w:lineRule="auto"/>
              <w:ind w:left="9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14:paraId="55CA8312">
      <w:pPr>
        <w:pStyle w:val="2"/>
      </w:pPr>
    </w:p>
    <w:p w14:paraId="0AE5936A">
      <w:pPr>
        <w:sectPr>
          <w:footerReference r:id="rId89" w:type="default"/>
          <w:pgSz w:w="11906" w:h="16839"/>
          <w:pgMar w:top="1431" w:right="1532" w:bottom="1260" w:left="1543" w:header="0" w:footer="1080" w:gutter="0"/>
          <w:cols w:space="720" w:num="1"/>
        </w:sectPr>
      </w:pPr>
    </w:p>
    <w:p w14:paraId="2C547EA3">
      <w:pPr>
        <w:spacing w:before="2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14:paraId="53334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7" w:hRule="atLeast"/>
        </w:trPr>
        <w:tc>
          <w:tcPr>
            <w:tcW w:w="1784" w:type="dxa"/>
            <w:tcBorders>
              <w:left w:val="single" w:color="000000" w:sz="6" w:space="0"/>
            </w:tcBorders>
            <w:vAlign w:val="top"/>
          </w:tcPr>
          <w:p w14:paraId="4C3EB21D">
            <w:pPr>
              <w:spacing w:line="247" w:lineRule="auto"/>
              <w:rPr>
                <w:rFonts w:ascii="Arial"/>
                <w:sz w:val="21"/>
              </w:rPr>
            </w:pPr>
          </w:p>
          <w:p w14:paraId="1F0FB810">
            <w:pPr>
              <w:spacing w:line="247" w:lineRule="auto"/>
              <w:rPr>
                <w:rFonts w:ascii="Arial"/>
                <w:sz w:val="21"/>
              </w:rPr>
            </w:pPr>
          </w:p>
          <w:p w14:paraId="03AB0938">
            <w:pPr>
              <w:spacing w:line="247" w:lineRule="auto"/>
              <w:rPr>
                <w:rFonts w:ascii="Arial"/>
                <w:sz w:val="21"/>
              </w:rPr>
            </w:pPr>
          </w:p>
          <w:p w14:paraId="50932829">
            <w:pPr>
              <w:spacing w:line="247" w:lineRule="auto"/>
              <w:rPr>
                <w:rFonts w:ascii="Arial"/>
                <w:sz w:val="21"/>
              </w:rPr>
            </w:pPr>
          </w:p>
          <w:p w14:paraId="4ED5E432">
            <w:pPr>
              <w:spacing w:line="247" w:lineRule="auto"/>
              <w:rPr>
                <w:rFonts w:ascii="Arial"/>
                <w:sz w:val="21"/>
              </w:rPr>
            </w:pPr>
          </w:p>
          <w:p w14:paraId="1B990480">
            <w:pPr>
              <w:spacing w:line="247" w:lineRule="auto"/>
              <w:rPr>
                <w:rFonts w:ascii="Arial"/>
                <w:sz w:val="21"/>
              </w:rPr>
            </w:pPr>
          </w:p>
          <w:p w14:paraId="23E3DD4A">
            <w:pPr>
              <w:spacing w:line="247" w:lineRule="auto"/>
              <w:rPr>
                <w:rFonts w:ascii="Arial"/>
                <w:sz w:val="21"/>
              </w:rPr>
            </w:pPr>
          </w:p>
          <w:p w14:paraId="4C004F99">
            <w:pPr>
              <w:spacing w:line="247" w:lineRule="auto"/>
              <w:rPr>
                <w:rFonts w:ascii="Arial"/>
                <w:sz w:val="21"/>
              </w:rPr>
            </w:pPr>
          </w:p>
          <w:p w14:paraId="64161B87">
            <w:pPr>
              <w:spacing w:line="247" w:lineRule="auto"/>
              <w:rPr>
                <w:rFonts w:ascii="Arial"/>
                <w:sz w:val="21"/>
              </w:rPr>
            </w:pPr>
          </w:p>
          <w:p w14:paraId="14715DCC">
            <w:pPr>
              <w:spacing w:line="248" w:lineRule="auto"/>
              <w:rPr>
                <w:rFonts w:ascii="Arial"/>
                <w:sz w:val="21"/>
              </w:rPr>
            </w:pPr>
          </w:p>
          <w:p w14:paraId="671939DE">
            <w:pPr>
              <w:spacing w:line="248" w:lineRule="auto"/>
              <w:rPr>
                <w:rFonts w:ascii="Arial"/>
                <w:sz w:val="21"/>
              </w:rPr>
            </w:pPr>
          </w:p>
          <w:p w14:paraId="6FAA3296">
            <w:pPr>
              <w:spacing w:line="248" w:lineRule="auto"/>
              <w:rPr>
                <w:rFonts w:ascii="Arial"/>
                <w:sz w:val="21"/>
              </w:rPr>
            </w:pPr>
          </w:p>
          <w:p w14:paraId="7C4880B4">
            <w:pPr>
              <w:spacing w:line="248" w:lineRule="auto"/>
              <w:rPr>
                <w:rFonts w:ascii="Arial"/>
                <w:sz w:val="21"/>
              </w:rPr>
            </w:pPr>
          </w:p>
          <w:p w14:paraId="252538D5">
            <w:pPr>
              <w:pStyle w:val="6"/>
              <w:spacing w:before="65" w:line="228" w:lineRule="auto"/>
              <w:ind w:left="488"/>
              <w:rPr>
                <w:sz w:val="20"/>
                <w:szCs w:val="20"/>
              </w:rPr>
            </w:pPr>
            <w:r>
              <w:rPr>
                <w:spacing w:val="2"/>
                <w:sz w:val="20"/>
                <w:szCs w:val="20"/>
              </w:rPr>
              <w:t>固体废物</w:t>
            </w:r>
          </w:p>
        </w:tc>
        <w:tc>
          <w:tcPr>
            <w:tcW w:w="7020" w:type="dxa"/>
            <w:tcBorders>
              <w:right w:val="single" w:color="000000" w:sz="6" w:space="0"/>
            </w:tcBorders>
            <w:vAlign w:val="top"/>
          </w:tcPr>
          <w:p w14:paraId="4082A66C">
            <w:pPr>
              <w:spacing w:before="146" w:line="232" w:lineRule="auto"/>
              <w:ind w:left="73"/>
              <w:rPr>
                <w:rFonts w:ascii="黑体" w:hAnsi="黑体" w:eastAsia="黑体" w:cs="黑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3"/>
                <w:sz w:val="20"/>
                <w:szCs w:val="20"/>
              </w:rPr>
              <w:t>、施工期</w:t>
            </w:r>
          </w:p>
          <w:p w14:paraId="3A5F2B28">
            <w:pPr>
              <w:pStyle w:val="6"/>
              <w:spacing w:before="146" w:line="227" w:lineRule="auto"/>
              <w:ind w:left="523"/>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）废弃建筑材料、废弃包装材料集中收集</w:t>
            </w:r>
            <w:r>
              <w:rPr>
                <w:spacing w:val="8"/>
                <w:sz w:val="20"/>
                <w:szCs w:val="20"/>
              </w:rPr>
              <w:t>外售至废品回收站。</w:t>
            </w:r>
          </w:p>
          <w:p w14:paraId="74C8BAF8">
            <w:pPr>
              <w:pStyle w:val="6"/>
              <w:spacing w:before="153" w:line="322" w:lineRule="auto"/>
              <w:ind w:left="97" w:right="30" w:firstLine="425"/>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）开挖产生的土石方或施工时的建筑垃圾，可及时在施工场地低洼</w:t>
            </w:r>
            <w:r>
              <w:rPr>
                <w:spacing w:val="4"/>
                <w:sz w:val="20"/>
                <w:szCs w:val="20"/>
              </w:rPr>
              <w:t xml:space="preserve"> </w:t>
            </w:r>
            <w:r>
              <w:rPr>
                <w:spacing w:val="7"/>
                <w:sz w:val="20"/>
                <w:szCs w:val="20"/>
              </w:rPr>
              <w:t>处回填，不能全部回填利用的，可作为一期工程的生产原料</w:t>
            </w:r>
            <w:r>
              <w:rPr>
                <w:spacing w:val="6"/>
                <w:sz w:val="20"/>
                <w:szCs w:val="20"/>
              </w:rPr>
              <w:t>。施工现场确需</w:t>
            </w:r>
            <w:r>
              <w:rPr>
                <w:sz w:val="20"/>
                <w:szCs w:val="20"/>
              </w:rPr>
              <w:t xml:space="preserve"> </w:t>
            </w:r>
            <w:r>
              <w:rPr>
                <w:spacing w:val="8"/>
                <w:sz w:val="20"/>
                <w:szCs w:val="20"/>
              </w:rPr>
              <w:t>临时堆放土石方，应采取防流失、防雨水冲刷等措施，避免造成泥沙漫流。</w:t>
            </w:r>
          </w:p>
          <w:p w14:paraId="118BAE4E">
            <w:pPr>
              <w:pStyle w:val="6"/>
              <w:spacing w:before="154" w:line="299" w:lineRule="auto"/>
              <w:ind w:left="95" w:right="101" w:firstLine="427"/>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）生活垃圾袋装收集后运至附近场镇生活垃圾集中收集点，由环卫</w:t>
            </w:r>
            <w:r>
              <w:rPr>
                <w:spacing w:val="4"/>
                <w:sz w:val="20"/>
                <w:szCs w:val="20"/>
              </w:rPr>
              <w:t xml:space="preserve"> </w:t>
            </w:r>
            <w:r>
              <w:rPr>
                <w:spacing w:val="6"/>
                <w:sz w:val="20"/>
                <w:szCs w:val="20"/>
              </w:rPr>
              <w:t>部门清运处置。</w:t>
            </w:r>
          </w:p>
          <w:p w14:paraId="7DDC4C1E">
            <w:pPr>
              <w:spacing w:before="152" w:line="231" w:lineRule="auto"/>
              <w:ind w:left="53"/>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、营运期</w:t>
            </w:r>
          </w:p>
          <w:p w14:paraId="51EB3BDF">
            <w:pPr>
              <w:pStyle w:val="6"/>
              <w:spacing w:before="149" w:line="299" w:lineRule="auto"/>
              <w:ind w:left="111" w:right="101" w:firstLine="412"/>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）切割废料、不合格产品、运板机清扫固废、收尘灰等：属于一般</w:t>
            </w:r>
            <w:r>
              <w:rPr>
                <w:spacing w:val="4"/>
                <w:sz w:val="20"/>
                <w:szCs w:val="20"/>
              </w:rPr>
              <w:t xml:space="preserve"> </w:t>
            </w:r>
            <w:r>
              <w:rPr>
                <w:spacing w:val="7"/>
                <w:sz w:val="20"/>
                <w:szCs w:val="20"/>
              </w:rPr>
              <w:t>固废，收集后及时返回生产线回用。</w:t>
            </w:r>
          </w:p>
          <w:p w14:paraId="6744B3FF">
            <w:pPr>
              <w:pStyle w:val="6"/>
              <w:spacing w:before="153" w:line="322" w:lineRule="auto"/>
              <w:ind w:left="93" w:right="30" w:firstLine="430"/>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）废脱模剂桶等一般固废：包括废脱模剂桶、废包装材料、废钢筋</w:t>
            </w:r>
            <w:r>
              <w:rPr>
                <w:spacing w:val="4"/>
                <w:sz w:val="20"/>
                <w:szCs w:val="20"/>
              </w:rPr>
              <w:t xml:space="preserve"> </w:t>
            </w:r>
            <w:r>
              <w:rPr>
                <w:spacing w:val="7"/>
                <w:sz w:val="20"/>
                <w:szCs w:val="20"/>
              </w:rPr>
              <w:t>节、废水性漆桶、漆渣、废离子树脂等，及时收集后在厂区固定收集</w:t>
            </w:r>
            <w:r>
              <w:rPr>
                <w:spacing w:val="6"/>
                <w:sz w:val="20"/>
                <w:szCs w:val="20"/>
              </w:rPr>
              <w:t>点堆放</w:t>
            </w:r>
            <w:r>
              <w:rPr>
                <w:sz w:val="20"/>
                <w:szCs w:val="20"/>
              </w:rPr>
              <w:t xml:space="preserve"> </w:t>
            </w:r>
            <w:r>
              <w:rPr>
                <w:spacing w:val="7"/>
                <w:sz w:val="20"/>
                <w:szCs w:val="20"/>
              </w:rPr>
              <w:t>或者物资库存放，外售废品回收站、</w:t>
            </w:r>
            <w:r>
              <w:rPr>
                <w:spacing w:val="-46"/>
                <w:sz w:val="20"/>
                <w:szCs w:val="20"/>
              </w:rPr>
              <w:t xml:space="preserve"> </w:t>
            </w:r>
            <w:r>
              <w:rPr>
                <w:spacing w:val="7"/>
                <w:sz w:val="20"/>
                <w:szCs w:val="20"/>
              </w:rPr>
              <w:t>由厂家回收处置或专业机构收集处置。</w:t>
            </w:r>
          </w:p>
          <w:p w14:paraId="31D31FD8">
            <w:pPr>
              <w:pStyle w:val="6"/>
              <w:spacing w:before="152" w:line="299" w:lineRule="auto"/>
              <w:ind w:left="94" w:right="30" w:firstLine="428"/>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）危险废物：包括废机油、废机油桶、废</w:t>
            </w:r>
            <w:r>
              <w:rPr>
                <w:rFonts w:ascii="Times New Roman" w:hAnsi="Times New Roman" w:eastAsia="Times New Roman" w:cs="Times New Roman"/>
                <w:sz w:val="20"/>
                <w:szCs w:val="20"/>
              </w:rPr>
              <w:t>UV</w:t>
            </w:r>
            <w:r>
              <w:rPr>
                <w:spacing w:val="7"/>
                <w:sz w:val="20"/>
                <w:szCs w:val="20"/>
              </w:rPr>
              <w:t>灯管、废活性炭等，利</w:t>
            </w:r>
            <w:r>
              <w:rPr>
                <w:sz w:val="20"/>
                <w:szCs w:val="20"/>
              </w:rPr>
              <w:t xml:space="preserve"> </w:t>
            </w:r>
            <w:r>
              <w:rPr>
                <w:spacing w:val="9"/>
                <w:sz w:val="20"/>
                <w:szCs w:val="20"/>
              </w:rPr>
              <w:t>用厂区现有危废间收集暂存，委托有资质的</w:t>
            </w:r>
            <w:r>
              <w:rPr>
                <w:spacing w:val="8"/>
                <w:sz w:val="20"/>
                <w:szCs w:val="20"/>
              </w:rPr>
              <w:t>单位回收处置，建立危废台账。</w:t>
            </w:r>
          </w:p>
          <w:p w14:paraId="44FE5505">
            <w:pPr>
              <w:pStyle w:val="6"/>
              <w:spacing w:before="154" w:line="298" w:lineRule="auto"/>
              <w:ind w:left="94" w:right="101" w:firstLine="428"/>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）生活垃圾：袋装收集后运至附近场镇生活垃圾集</w:t>
            </w:r>
            <w:r>
              <w:rPr>
                <w:spacing w:val="7"/>
                <w:sz w:val="20"/>
                <w:szCs w:val="20"/>
              </w:rPr>
              <w:t>中收集点，</w:t>
            </w:r>
            <w:r>
              <w:rPr>
                <w:spacing w:val="-58"/>
                <w:sz w:val="20"/>
                <w:szCs w:val="20"/>
              </w:rPr>
              <w:t xml:space="preserve"> </w:t>
            </w:r>
            <w:r>
              <w:rPr>
                <w:spacing w:val="7"/>
                <w:sz w:val="20"/>
                <w:szCs w:val="20"/>
              </w:rPr>
              <w:t>由环</w:t>
            </w:r>
            <w:r>
              <w:rPr>
                <w:sz w:val="20"/>
                <w:szCs w:val="20"/>
              </w:rPr>
              <w:t xml:space="preserve"> </w:t>
            </w:r>
            <w:r>
              <w:rPr>
                <w:spacing w:val="6"/>
                <w:sz w:val="20"/>
                <w:szCs w:val="20"/>
              </w:rPr>
              <w:t>卫负责清运。</w:t>
            </w:r>
          </w:p>
        </w:tc>
      </w:tr>
      <w:tr w14:paraId="6F2F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784" w:type="dxa"/>
            <w:tcBorders>
              <w:left w:val="single" w:color="000000" w:sz="6" w:space="0"/>
            </w:tcBorders>
            <w:vAlign w:val="top"/>
          </w:tcPr>
          <w:p w14:paraId="20B5A608">
            <w:pPr>
              <w:spacing w:line="280" w:lineRule="auto"/>
              <w:rPr>
                <w:rFonts w:ascii="Arial"/>
                <w:sz w:val="21"/>
              </w:rPr>
            </w:pPr>
          </w:p>
          <w:p w14:paraId="20F74B32">
            <w:pPr>
              <w:pStyle w:val="6"/>
              <w:spacing w:before="65"/>
              <w:ind w:left="262" w:right="262"/>
              <w:rPr>
                <w:sz w:val="20"/>
                <w:szCs w:val="20"/>
              </w:rPr>
            </w:pPr>
            <w:r>
              <w:rPr>
                <w:spacing w:val="8"/>
                <w:sz w:val="20"/>
                <w:szCs w:val="20"/>
              </w:rPr>
              <w:t>土壤及地下水</w:t>
            </w:r>
            <w:r>
              <w:rPr>
                <w:sz w:val="20"/>
                <w:szCs w:val="20"/>
              </w:rPr>
              <w:t xml:space="preserve"> </w:t>
            </w:r>
            <w:r>
              <w:rPr>
                <w:spacing w:val="7"/>
                <w:sz w:val="20"/>
                <w:szCs w:val="20"/>
              </w:rPr>
              <w:t>污染防治措施</w:t>
            </w:r>
          </w:p>
        </w:tc>
        <w:tc>
          <w:tcPr>
            <w:tcW w:w="7020" w:type="dxa"/>
            <w:tcBorders>
              <w:right w:val="single" w:color="000000" w:sz="6" w:space="0"/>
            </w:tcBorders>
            <w:vAlign w:val="top"/>
          </w:tcPr>
          <w:p w14:paraId="47631DED">
            <w:pPr>
              <w:spacing w:line="425" w:lineRule="auto"/>
              <w:rPr>
                <w:rFonts w:ascii="Arial"/>
                <w:sz w:val="21"/>
              </w:rPr>
            </w:pPr>
          </w:p>
          <w:p w14:paraId="639FD0D2">
            <w:pPr>
              <w:pStyle w:val="6"/>
              <w:spacing w:before="65" w:line="228" w:lineRule="auto"/>
              <w:ind w:left="478"/>
              <w:rPr>
                <w:sz w:val="20"/>
                <w:szCs w:val="20"/>
              </w:rPr>
            </w:pPr>
            <w:r>
              <w:rPr>
                <w:sz w:val="20"/>
                <w:szCs w:val="20"/>
              </w:rPr>
              <w:t>无</w:t>
            </w:r>
          </w:p>
        </w:tc>
      </w:tr>
      <w:tr w14:paraId="21828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784" w:type="dxa"/>
            <w:tcBorders>
              <w:left w:val="single" w:color="000000" w:sz="6" w:space="0"/>
            </w:tcBorders>
            <w:vAlign w:val="top"/>
          </w:tcPr>
          <w:p w14:paraId="65A8D8D0">
            <w:pPr>
              <w:spacing w:line="408" w:lineRule="auto"/>
              <w:rPr>
                <w:rFonts w:ascii="Arial"/>
                <w:sz w:val="21"/>
              </w:rPr>
            </w:pPr>
          </w:p>
          <w:p w14:paraId="0C81857A">
            <w:pPr>
              <w:pStyle w:val="6"/>
              <w:spacing w:before="65" w:line="228" w:lineRule="auto"/>
              <w:ind w:left="263"/>
              <w:rPr>
                <w:sz w:val="20"/>
                <w:szCs w:val="20"/>
              </w:rPr>
            </w:pPr>
            <w:r>
              <w:rPr>
                <w:spacing w:val="7"/>
                <w:sz w:val="20"/>
                <w:szCs w:val="20"/>
              </w:rPr>
              <w:t>生态保护措施</w:t>
            </w:r>
          </w:p>
        </w:tc>
        <w:tc>
          <w:tcPr>
            <w:tcW w:w="7020" w:type="dxa"/>
            <w:tcBorders>
              <w:right w:val="single" w:color="000000" w:sz="6" w:space="0"/>
            </w:tcBorders>
            <w:vAlign w:val="top"/>
          </w:tcPr>
          <w:p w14:paraId="64E049CB">
            <w:pPr>
              <w:spacing w:line="418" w:lineRule="auto"/>
              <w:rPr>
                <w:rFonts w:ascii="Arial"/>
                <w:sz w:val="21"/>
              </w:rPr>
            </w:pPr>
          </w:p>
          <w:p w14:paraId="10FE5796">
            <w:pPr>
              <w:pStyle w:val="6"/>
              <w:spacing w:before="65" w:line="228" w:lineRule="auto"/>
              <w:ind w:left="478"/>
              <w:rPr>
                <w:sz w:val="20"/>
                <w:szCs w:val="20"/>
              </w:rPr>
            </w:pPr>
            <w:r>
              <w:rPr>
                <w:sz w:val="20"/>
                <w:szCs w:val="20"/>
              </w:rPr>
              <w:t>无</w:t>
            </w:r>
          </w:p>
        </w:tc>
      </w:tr>
      <w:tr w14:paraId="55AC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trPr>
        <w:tc>
          <w:tcPr>
            <w:tcW w:w="1784" w:type="dxa"/>
            <w:tcBorders>
              <w:left w:val="single" w:color="000000" w:sz="6" w:space="0"/>
            </w:tcBorders>
            <w:vAlign w:val="top"/>
          </w:tcPr>
          <w:p w14:paraId="39B72F59">
            <w:pPr>
              <w:spacing w:line="241" w:lineRule="auto"/>
              <w:rPr>
                <w:rFonts w:ascii="Arial"/>
                <w:sz w:val="21"/>
              </w:rPr>
            </w:pPr>
          </w:p>
          <w:p w14:paraId="13AD4CC2">
            <w:pPr>
              <w:spacing w:line="241" w:lineRule="auto"/>
              <w:rPr>
                <w:rFonts w:ascii="Arial"/>
                <w:sz w:val="21"/>
              </w:rPr>
            </w:pPr>
          </w:p>
          <w:p w14:paraId="09F6ECBD">
            <w:pPr>
              <w:spacing w:line="241" w:lineRule="auto"/>
              <w:rPr>
                <w:rFonts w:ascii="Arial"/>
                <w:sz w:val="21"/>
              </w:rPr>
            </w:pPr>
          </w:p>
          <w:p w14:paraId="3FCE435A">
            <w:pPr>
              <w:spacing w:line="241" w:lineRule="auto"/>
              <w:rPr>
                <w:rFonts w:ascii="Arial"/>
                <w:sz w:val="21"/>
              </w:rPr>
            </w:pPr>
          </w:p>
          <w:p w14:paraId="61CB769E">
            <w:pPr>
              <w:spacing w:line="241" w:lineRule="auto"/>
              <w:rPr>
                <w:rFonts w:ascii="Arial"/>
                <w:sz w:val="21"/>
              </w:rPr>
            </w:pPr>
          </w:p>
          <w:p w14:paraId="7FE32897">
            <w:pPr>
              <w:spacing w:line="241" w:lineRule="auto"/>
              <w:rPr>
                <w:rFonts w:ascii="Arial"/>
                <w:sz w:val="21"/>
              </w:rPr>
            </w:pPr>
          </w:p>
          <w:p w14:paraId="488183B5">
            <w:pPr>
              <w:spacing w:line="241" w:lineRule="auto"/>
              <w:rPr>
                <w:rFonts w:ascii="Arial"/>
                <w:sz w:val="21"/>
              </w:rPr>
            </w:pPr>
          </w:p>
          <w:p w14:paraId="589DD642">
            <w:pPr>
              <w:pStyle w:val="6"/>
              <w:spacing w:before="65"/>
              <w:ind w:left="517" w:right="488" w:hanging="13"/>
              <w:rPr>
                <w:sz w:val="20"/>
                <w:szCs w:val="20"/>
              </w:rPr>
            </w:pPr>
            <w:r>
              <w:rPr>
                <w:spacing w:val="-5"/>
                <w:sz w:val="20"/>
                <w:szCs w:val="20"/>
              </w:rPr>
              <w:t>环境风险</w:t>
            </w:r>
            <w:r>
              <w:rPr>
                <w:sz w:val="20"/>
                <w:szCs w:val="20"/>
              </w:rPr>
              <w:t xml:space="preserve"> </w:t>
            </w:r>
            <w:r>
              <w:rPr>
                <w:spacing w:val="-8"/>
                <w:sz w:val="20"/>
                <w:szCs w:val="20"/>
              </w:rPr>
              <w:t>防范措施</w:t>
            </w:r>
          </w:p>
        </w:tc>
        <w:tc>
          <w:tcPr>
            <w:tcW w:w="7020" w:type="dxa"/>
            <w:tcBorders>
              <w:right w:val="single" w:color="000000" w:sz="6" w:space="0"/>
            </w:tcBorders>
            <w:vAlign w:val="top"/>
          </w:tcPr>
          <w:p w14:paraId="4B048A47">
            <w:pPr>
              <w:pStyle w:val="6"/>
              <w:spacing w:before="144" w:line="225" w:lineRule="auto"/>
              <w:ind w:left="529"/>
              <w:rPr>
                <w:sz w:val="20"/>
                <w:szCs w:val="20"/>
              </w:rPr>
            </w:pPr>
            <w:r>
              <w:rPr>
                <w:spacing w:val="9"/>
                <w:sz w:val="20"/>
                <w:szCs w:val="20"/>
              </w:rPr>
              <w:t>①根据调查，项目厂区现有危废暂存间已经采取防风、防雨、防渗、</w:t>
            </w:r>
          </w:p>
          <w:p w14:paraId="7A79D906">
            <w:pPr>
              <w:pStyle w:val="6"/>
              <w:spacing w:before="157" w:line="364" w:lineRule="auto"/>
              <w:ind w:left="109" w:right="104" w:firstLine="14"/>
              <w:rPr>
                <w:sz w:val="20"/>
                <w:szCs w:val="20"/>
              </w:rPr>
            </w:pPr>
            <w:r>
              <w:rPr>
                <w:spacing w:val="9"/>
                <w:sz w:val="20"/>
                <w:szCs w:val="20"/>
              </w:rPr>
              <w:t>防漏、防晒及防腐等环境污染防治措施。地面、裙角及围堰采用双层防渗</w:t>
            </w:r>
            <w:r>
              <w:rPr>
                <w:spacing w:val="3"/>
                <w:sz w:val="20"/>
                <w:szCs w:val="20"/>
              </w:rPr>
              <w:t xml:space="preserve">  </w:t>
            </w:r>
            <w:r>
              <w:rPr>
                <w:spacing w:val="6"/>
                <w:sz w:val="20"/>
                <w:szCs w:val="20"/>
              </w:rPr>
              <w:t>结构：厚度不小于</w:t>
            </w:r>
            <w:r>
              <w:rPr>
                <w:spacing w:val="-33"/>
                <w:sz w:val="20"/>
                <w:szCs w:val="20"/>
              </w:rPr>
              <w:t xml:space="preserve"> </w:t>
            </w:r>
            <w:r>
              <w:rPr>
                <w:rFonts w:ascii="Times New Roman" w:hAnsi="Times New Roman" w:eastAsia="Times New Roman" w:cs="Times New Roman"/>
                <w:spacing w:val="6"/>
                <w:sz w:val="20"/>
                <w:szCs w:val="20"/>
              </w:rPr>
              <w:t>30</w:t>
            </w:r>
            <w:r>
              <w:rPr>
                <w:rFonts w:ascii="Times New Roman" w:hAnsi="Times New Roman" w:eastAsia="Times New Roman" w:cs="Times New Roman"/>
                <w:sz w:val="20"/>
                <w:szCs w:val="20"/>
              </w:rPr>
              <w:t>cm</w:t>
            </w:r>
            <w:r>
              <w:rPr>
                <w:rFonts w:ascii="Times New Roman" w:hAnsi="Times New Roman" w:eastAsia="Times New Roman" w:cs="Times New Roman"/>
                <w:spacing w:val="26"/>
                <w:w w:val="101"/>
                <w:sz w:val="20"/>
                <w:szCs w:val="20"/>
              </w:rPr>
              <w:t xml:space="preserve"> </w:t>
            </w:r>
            <w:r>
              <w:rPr>
                <w:spacing w:val="6"/>
                <w:sz w:val="20"/>
                <w:szCs w:val="20"/>
              </w:rPr>
              <w:t>的混凝土</w:t>
            </w:r>
            <w:r>
              <w:rPr>
                <w:rFonts w:ascii="Times New Roman" w:hAnsi="Times New Roman" w:eastAsia="Times New Roman" w:cs="Times New Roman"/>
                <w:spacing w:val="6"/>
                <w:sz w:val="20"/>
                <w:szCs w:val="20"/>
              </w:rPr>
              <w:t>+2.0</w:t>
            </w:r>
            <w:r>
              <w:rPr>
                <w:rFonts w:ascii="Times New Roman" w:hAnsi="Times New Roman" w:eastAsia="Times New Roman" w:cs="Times New Roman"/>
                <w:sz w:val="20"/>
                <w:szCs w:val="20"/>
              </w:rPr>
              <w:t>mm</w:t>
            </w:r>
            <w:r>
              <w:rPr>
                <w:rFonts w:ascii="Times New Roman" w:hAnsi="Times New Roman" w:eastAsia="Times New Roman" w:cs="Times New Roman"/>
                <w:spacing w:val="16"/>
                <w:sz w:val="20"/>
                <w:szCs w:val="20"/>
              </w:rPr>
              <w:t xml:space="preserve"> </w:t>
            </w:r>
            <w:r>
              <w:rPr>
                <w:spacing w:val="6"/>
                <w:sz w:val="20"/>
                <w:szCs w:val="20"/>
              </w:rPr>
              <w:t>人工材料（</w:t>
            </w:r>
            <w:r>
              <w:rPr>
                <w:spacing w:val="5"/>
                <w:sz w:val="20"/>
                <w:szCs w:val="20"/>
              </w:rPr>
              <w:t>如高密度聚乙烯</w:t>
            </w:r>
            <w:r>
              <w:rPr>
                <w:spacing w:val="-53"/>
                <w:w w:val="99"/>
                <w:sz w:val="20"/>
                <w:szCs w:val="20"/>
              </w:rPr>
              <w:t>），</w:t>
            </w:r>
            <w:r>
              <w:rPr>
                <w:spacing w:val="5"/>
                <w:sz w:val="20"/>
                <w:szCs w:val="20"/>
              </w:rPr>
              <w:t>表</w:t>
            </w:r>
            <w:r>
              <w:rPr>
                <w:sz w:val="20"/>
                <w:szCs w:val="20"/>
              </w:rPr>
              <w:t xml:space="preserve"> </w:t>
            </w:r>
            <w:r>
              <w:rPr>
                <w:spacing w:val="7"/>
                <w:sz w:val="20"/>
                <w:szCs w:val="20"/>
              </w:rPr>
              <w:t>面刷环氧地坪做防腐处理，使渗透系数不大于</w:t>
            </w:r>
            <w:r>
              <w:rPr>
                <w:spacing w:val="-15"/>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7"/>
                <w:position w:val="6"/>
                <w:sz w:val="13"/>
                <w:szCs w:val="13"/>
              </w:rPr>
              <w:t>-10</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/s</w:t>
            </w:r>
            <w:r>
              <w:rPr>
                <w:rFonts w:ascii="Times New Roman" w:hAnsi="Times New Roman" w:eastAsia="Times New Roman" w:cs="Times New Roman"/>
                <w:spacing w:val="-22"/>
                <w:sz w:val="20"/>
                <w:szCs w:val="20"/>
              </w:rPr>
              <w:t xml:space="preserve"> </w:t>
            </w:r>
            <w:r>
              <w:rPr>
                <w:spacing w:val="7"/>
                <w:sz w:val="20"/>
                <w:szCs w:val="20"/>
              </w:rPr>
              <w:t>，能够满足重点防</w:t>
            </w:r>
            <w:r>
              <w:rPr>
                <w:sz w:val="20"/>
                <w:szCs w:val="20"/>
              </w:rPr>
              <w:t xml:space="preserve">  </w:t>
            </w:r>
            <w:r>
              <w:rPr>
                <w:spacing w:val="9"/>
                <w:sz w:val="20"/>
                <w:szCs w:val="20"/>
              </w:rPr>
              <w:t>渗区防渗要求。物资库地基为原土夯实，等效黏土防渗</w:t>
            </w:r>
            <w:r>
              <w:rPr>
                <w:spacing w:val="8"/>
                <w:sz w:val="20"/>
                <w:szCs w:val="20"/>
              </w:rPr>
              <w:t>达到</w:t>
            </w:r>
            <w:r>
              <w:rPr>
                <w:rFonts w:ascii="Times New Roman" w:hAnsi="Times New Roman" w:eastAsia="Times New Roman" w:cs="Times New Roman"/>
                <w:sz w:val="20"/>
                <w:szCs w:val="20"/>
              </w:rPr>
              <w:t>Mb</w:t>
            </w:r>
            <w:r>
              <w:rPr>
                <w:spacing w:val="8"/>
                <w:sz w:val="20"/>
                <w:szCs w:val="20"/>
              </w:rPr>
              <w:t>≥</w:t>
            </w:r>
            <w:r>
              <w:rPr>
                <w:rFonts w:ascii="Times New Roman" w:hAnsi="Times New Roman" w:eastAsia="Times New Roman" w:cs="Times New Roman"/>
                <w:spacing w:val="8"/>
                <w:sz w:val="20"/>
                <w:szCs w:val="20"/>
              </w:rPr>
              <w:t>1.5m</w:t>
            </w:r>
            <w:r>
              <w:rPr>
                <w:rFonts w:ascii="Times New Roman" w:hAnsi="Times New Roman" w:eastAsia="Times New Roman" w:cs="Times New Roman"/>
                <w:spacing w:val="-26"/>
                <w:sz w:val="20"/>
                <w:szCs w:val="20"/>
              </w:rPr>
              <w:t xml:space="preserve"> </w:t>
            </w:r>
            <w:r>
              <w:rPr>
                <w:spacing w:val="8"/>
                <w:sz w:val="20"/>
                <w:szCs w:val="20"/>
              </w:rPr>
              <w:t>，铺</w:t>
            </w:r>
            <w:r>
              <w:rPr>
                <w:sz w:val="20"/>
                <w:szCs w:val="20"/>
              </w:rPr>
              <w:t xml:space="preserve"> </w:t>
            </w:r>
            <w:r>
              <w:rPr>
                <w:spacing w:val="8"/>
                <w:sz w:val="20"/>
                <w:szCs w:val="20"/>
              </w:rPr>
              <w:t>砌砂石基层，采用防渗混凝土作面层，面层厚度不小于</w:t>
            </w:r>
            <w:r>
              <w:rPr>
                <w:spacing w:val="-20"/>
                <w:sz w:val="20"/>
                <w:szCs w:val="20"/>
              </w:rPr>
              <w:t xml:space="preserve"> </w:t>
            </w:r>
            <w:r>
              <w:rPr>
                <w:rFonts w:ascii="Times New Roman" w:hAnsi="Times New Roman" w:eastAsia="Times New Roman" w:cs="Times New Roman"/>
                <w:spacing w:val="8"/>
                <w:sz w:val="20"/>
                <w:szCs w:val="20"/>
              </w:rPr>
              <w:t>100</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spacing w:val="8"/>
                <w:sz w:val="20"/>
                <w:szCs w:val="20"/>
              </w:rPr>
              <w:t>，使地</w:t>
            </w:r>
            <w:r>
              <w:rPr>
                <w:spacing w:val="7"/>
                <w:sz w:val="20"/>
                <w:szCs w:val="20"/>
              </w:rPr>
              <w:t>面渗</w:t>
            </w:r>
            <w:r>
              <w:rPr>
                <w:sz w:val="20"/>
                <w:szCs w:val="20"/>
              </w:rPr>
              <w:t xml:space="preserve"> </w:t>
            </w:r>
            <w:r>
              <w:rPr>
                <w:spacing w:val="6"/>
                <w:sz w:val="20"/>
                <w:szCs w:val="20"/>
              </w:rPr>
              <w:t>透系数满足≤</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rFonts w:ascii="Times New Roman" w:hAnsi="Times New Roman" w:eastAsia="Times New Roman" w:cs="Times New Roman"/>
                <w:spacing w:val="42"/>
                <w:w w:val="101"/>
                <w:sz w:val="20"/>
                <w:szCs w:val="20"/>
              </w:rPr>
              <w:t xml:space="preserve"> </w:t>
            </w:r>
            <w:r>
              <w:rPr>
                <w:spacing w:val="6"/>
                <w:sz w:val="20"/>
                <w:szCs w:val="20"/>
              </w:rPr>
              <w:t>的要求。库房四周设置</w:t>
            </w:r>
            <w:r>
              <w:rPr>
                <w:spacing w:val="-40"/>
                <w:sz w:val="20"/>
                <w:szCs w:val="20"/>
              </w:rPr>
              <w:t xml:space="preserve"> </w:t>
            </w:r>
            <w:r>
              <w:rPr>
                <w:rFonts w:ascii="Times New Roman" w:hAnsi="Times New Roman" w:eastAsia="Times New Roman" w:cs="Times New Roman"/>
                <w:spacing w:val="6"/>
                <w:sz w:val="20"/>
                <w:szCs w:val="20"/>
              </w:rPr>
              <w:t>0.3m</w:t>
            </w:r>
            <w:r>
              <w:rPr>
                <w:rFonts w:ascii="Times New Roman" w:hAnsi="Times New Roman" w:eastAsia="Times New Roman" w:cs="Times New Roman"/>
                <w:spacing w:val="17"/>
                <w:w w:val="101"/>
                <w:sz w:val="20"/>
                <w:szCs w:val="20"/>
              </w:rPr>
              <w:t xml:space="preserve"> </w:t>
            </w:r>
            <w:r>
              <w:rPr>
                <w:spacing w:val="6"/>
                <w:sz w:val="20"/>
                <w:szCs w:val="20"/>
              </w:rPr>
              <w:t>高防渗围堰。</w:t>
            </w:r>
          </w:p>
          <w:p w14:paraId="68905A25">
            <w:pPr>
              <w:pStyle w:val="6"/>
              <w:spacing w:before="34" w:line="323" w:lineRule="auto"/>
              <w:ind w:left="109" w:right="104" w:firstLine="418"/>
              <w:rPr>
                <w:sz w:val="20"/>
                <w:szCs w:val="20"/>
              </w:rPr>
            </w:pPr>
            <w:r>
              <w:rPr>
                <w:spacing w:val="10"/>
                <w:sz w:val="20"/>
                <w:szCs w:val="20"/>
              </w:rPr>
              <w:t>②危废暂存间等易燃物质区域配备一定数量的</w:t>
            </w:r>
            <w:r>
              <w:rPr>
                <w:spacing w:val="9"/>
                <w:sz w:val="20"/>
                <w:szCs w:val="20"/>
              </w:rPr>
              <w:t>消防器材，预防火灾事</w:t>
            </w:r>
            <w:r>
              <w:rPr>
                <w:sz w:val="20"/>
                <w:szCs w:val="20"/>
              </w:rPr>
              <w:t xml:space="preserve">  </w:t>
            </w:r>
            <w:r>
              <w:rPr>
                <w:spacing w:val="6"/>
                <w:sz w:val="20"/>
                <w:szCs w:val="20"/>
              </w:rPr>
              <w:t>故发生。认真贯彻</w:t>
            </w:r>
            <w:r>
              <w:rPr>
                <w:rFonts w:ascii="Times New Roman" w:hAnsi="Times New Roman" w:eastAsia="Times New Roman" w:cs="Times New Roman"/>
                <w:spacing w:val="6"/>
                <w:sz w:val="20"/>
                <w:szCs w:val="20"/>
              </w:rPr>
              <w:t>“</w:t>
            </w:r>
            <w:r>
              <w:rPr>
                <w:spacing w:val="6"/>
                <w:sz w:val="20"/>
                <w:szCs w:val="20"/>
              </w:rPr>
              <w:t>安全第一，预防为主</w:t>
            </w:r>
            <w:r>
              <w:rPr>
                <w:rFonts w:ascii="Times New Roman" w:hAnsi="Times New Roman" w:eastAsia="Times New Roman" w:cs="Times New Roman"/>
                <w:spacing w:val="6"/>
                <w:sz w:val="20"/>
                <w:szCs w:val="20"/>
              </w:rPr>
              <w:t>”</w:t>
            </w:r>
            <w:r>
              <w:rPr>
                <w:spacing w:val="6"/>
                <w:sz w:val="20"/>
                <w:szCs w:val="20"/>
              </w:rPr>
              <w:t>的方针，安排专门的人员定期负责</w:t>
            </w:r>
            <w:r>
              <w:rPr>
                <w:spacing w:val="13"/>
                <w:sz w:val="20"/>
                <w:szCs w:val="20"/>
              </w:rPr>
              <w:t xml:space="preserve"> </w:t>
            </w:r>
            <w:r>
              <w:rPr>
                <w:spacing w:val="3"/>
                <w:sz w:val="20"/>
                <w:szCs w:val="20"/>
              </w:rPr>
              <w:t>检查。</w:t>
            </w:r>
          </w:p>
        </w:tc>
      </w:tr>
    </w:tbl>
    <w:p w14:paraId="19EDE9DC">
      <w:pPr>
        <w:pStyle w:val="2"/>
      </w:pPr>
    </w:p>
    <w:p w14:paraId="6A19553F">
      <w:pPr>
        <w:sectPr>
          <w:footerReference r:id="rId90" w:type="default"/>
          <w:pgSz w:w="11906" w:h="16839"/>
          <w:pgMar w:top="1431" w:right="1543" w:bottom="1260" w:left="1537" w:header="0" w:footer="1080" w:gutter="0"/>
          <w:cols w:space="720" w:num="1"/>
        </w:sectPr>
      </w:pPr>
    </w:p>
    <w:p w14:paraId="7B18E99D">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14:paraId="046E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6" w:hRule="atLeast"/>
        </w:trPr>
        <w:tc>
          <w:tcPr>
            <w:tcW w:w="1784" w:type="dxa"/>
            <w:tcBorders>
              <w:left w:val="single" w:color="000000" w:sz="6" w:space="0"/>
            </w:tcBorders>
            <w:vAlign w:val="top"/>
          </w:tcPr>
          <w:p w14:paraId="14FED6B7">
            <w:pPr>
              <w:rPr>
                <w:rFonts w:ascii="Arial"/>
                <w:sz w:val="21"/>
              </w:rPr>
            </w:pPr>
          </w:p>
        </w:tc>
        <w:tc>
          <w:tcPr>
            <w:tcW w:w="7020" w:type="dxa"/>
            <w:tcBorders>
              <w:right w:val="single" w:color="000000" w:sz="6" w:space="0"/>
            </w:tcBorders>
            <w:vAlign w:val="top"/>
          </w:tcPr>
          <w:p w14:paraId="263B90A9">
            <w:pPr>
              <w:pStyle w:val="6"/>
              <w:spacing w:before="145" w:line="334" w:lineRule="auto"/>
              <w:ind w:left="109" w:right="190" w:firstLine="419"/>
              <w:rPr>
                <w:sz w:val="20"/>
                <w:szCs w:val="20"/>
              </w:rPr>
            </w:pPr>
            <w:r>
              <w:rPr>
                <w:spacing w:val="10"/>
                <w:sz w:val="20"/>
                <w:szCs w:val="20"/>
              </w:rPr>
              <w:t>③设置专人看管，防止危废流失进入外环境。</w:t>
            </w:r>
            <w:r>
              <w:rPr>
                <w:spacing w:val="9"/>
                <w:sz w:val="20"/>
                <w:szCs w:val="20"/>
              </w:rPr>
              <w:t>暂存间设置警示标志，</w:t>
            </w:r>
            <w:r>
              <w:rPr>
                <w:sz w:val="20"/>
                <w:szCs w:val="20"/>
              </w:rPr>
              <w:t xml:space="preserve"> </w:t>
            </w:r>
            <w:r>
              <w:rPr>
                <w:spacing w:val="10"/>
                <w:sz w:val="20"/>
                <w:szCs w:val="20"/>
              </w:rPr>
              <w:t>无关人员不得入内，建立危废台账，加强危险废</w:t>
            </w:r>
            <w:r>
              <w:rPr>
                <w:spacing w:val="9"/>
                <w:sz w:val="20"/>
                <w:szCs w:val="20"/>
              </w:rPr>
              <w:t>物管理。严格控制厂区内</w:t>
            </w:r>
            <w:r>
              <w:rPr>
                <w:sz w:val="20"/>
                <w:szCs w:val="20"/>
              </w:rPr>
              <w:t xml:space="preserve"> </w:t>
            </w:r>
            <w:r>
              <w:rPr>
                <w:spacing w:val="10"/>
                <w:sz w:val="20"/>
                <w:szCs w:val="20"/>
              </w:rPr>
              <w:t>废油液等危险废物的储存量，达到一定量时立即</w:t>
            </w:r>
            <w:r>
              <w:rPr>
                <w:spacing w:val="9"/>
                <w:sz w:val="20"/>
                <w:szCs w:val="20"/>
              </w:rPr>
              <w:t>通知资质单位转移处置，</w:t>
            </w:r>
            <w:r>
              <w:rPr>
                <w:sz w:val="20"/>
                <w:szCs w:val="20"/>
              </w:rPr>
              <w:t xml:space="preserve"> </w:t>
            </w:r>
            <w:r>
              <w:rPr>
                <w:spacing w:val="9"/>
                <w:sz w:val="20"/>
                <w:szCs w:val="20"/>
              </w:rPr>
              <w:t>尽量避免长时间暂存。定期对厂区内的危废暂存间等进行检查、保养。</w:t>
            </w:r>
          </w:p>
          <w:p w14:paraId="171DEB7A">
            <w:pPr>
              <w:pStyle w:val="6"/>
              <w:spacing w:before="151" w:line="334" w:lineRule="auto"/>
              <w:ind w:left="109" w:right="33" w:firstLine="418"/>
              <w:rPr>
                <w:sz w:val="20"/>
                <w:szCs w:val="20"/>
              </w:rPr>
            </w:pPr>
            <w:r>
              <w:rPr>
                <w:spacing w:val="10"/>
                <w:sz w:val="20"/>
                <w:szCs w:val="20"/>
              </w:rPr>
              <w:t>④危废暂存间外设置明显的标识、标牌，严禁</w:t>
            </w:r>
            <w:r>
              <w:rPr>
                <w:spacing w:val="9"/>
                <w:sz w:val="20"/>
                <w:szCs w:val="20"/>
              </w:rPr>
              <w:t>烟火等。暂存间内分类</w:t>
            </w:r>
            <w:r>
              <w:rPr>
                <w:sz w:val="20"/>
                <w:szCs w:val="20"/>
              </w:rPr>
              <w:t xml:space="preserve">  </w:t>
            </w:r>
            <w:r>
              <w:rPr>
                <w:spacing w:val="10"/>
                <w:sz w:val="20"/>
                <w:szCs w:val="20"/>
              </w:rPr>
              <w:t>设置各类危废的储存区域，并设置明显标识。</w:t>
            </w:r>
            <w:r>
              <w:rPr>
                <w:spacing w:val="9"/>
                <w:sz w:val="20"/>
                <w:szCs w:val="20"/>
              </w:rPr>
              <w:t>厂区配备一定数量的消防器</w:t>
            </w:r>
            <w:r>
              <w:rPr>
                <w:sz w:val="20"/>
                <w:szCs w:val="20"/>
              </w:rPr>
              <w:t xml:space="preserve">  </w:t>
            </w:r>
            <w:r>
              <w:rPr>
                <w:spacing w:val="10"/>
                <w:sz w:val="20"/>
                <w:szCs w:val="20"/>
              </w:rPr>
              <w:t>具，按照当地消防部门的要求，落实消防措施</w:t>
            </w:r>
            <w:r>
              <w:rPr>
                <w:spacing w:val="9"/>
                <w:sz w:val="20"/>
                <w:szCs w:val="20"/>
              </w:rPr>
              <w:t>。生产过程应加强管控，严</w:t>
            </w:r>
            <w:r>
              <w:rPr>
                <w:sz w:val="20"/>
                <w:szCs w:val="20"/>
              </w:rPr>
              <w:t xml:space="preserve">  </w:t>
            </w:r>
            <w:r>
              <w:rPr>
                <w:spacing w:val="8"/>
                <w:sz w:val="20"/>
                <w:szCs w:val="20"/>
              </w:rPr>
              <w:t>禁烟火，降低火灾发生概率。同时，建立并落实火灾风险防范和应对措施。</w:t>
            </w:r>
          </w:p>
          <w:p w14:paraId="61369F23">
            <w:pPr>
              <w:pStyle w:val="6"/>
              <w:spacing w:before="153" w:line="299" w:lineRule="auto"/>
              <w:ind w:left="111" w:right="190" w:firstLine="416"/>
              <w:rPr>
                <w:sz w:val="20"/>
                <w:szCs w:val="20"/>
              </w:rPr>
            </w:pPr>
            <w:r>
              <w:rPr>
                <w:spacing w:val="10"/>
                <w:sz w:val="20"/>
                <w:szCs w:val="20"/>
              </w:rPr>
              <w:t>⑤选择合适的蒸压釜：要选择正规厂家生产的</w:t>
            </w:r>
            <w:r>
              <w:rPr>
                <w:spacing w:val="9"/>
                <w:sz w:val="20"/>
                <w:szCs w:val="20"/>
              </w:rPr>
              <w:t>蒸压釜，并按照工艺要</w:t>
            </w:r>
            <w:r>
              <w:rPr>
                <w:sz w:val="20"/>
                <w:szCs w:val="20"/>
              </w:rPr>
              <w:t xml:space="preserve"> </w:t>
            </w:r>
            <w:r>
              <w:rPr>
                <w:spacing w:val="9"/>
                <w:sz w:val="20"/>
                <w:szCs w:val="20"/>
              </w:rPr>
              <w:t>求进行选型，安装前要进行严格检测确保符合国家标准。</w:t>
            </w:r>
          </w:p>
          <w:p w14:paraId="1C006D16">
            <w:pPr>
              <w:pStyle w:val="6"/>
              <w:spacing w:before="152" w:line="355" w:lineRule="auto"/>
              <w:ind w:left="110" w:right="190" w:firstLine="419"/>
              <w:rPr>
                <w:sz w:val="20"/>
                <w:szCs w:val="20"/>
              </w:rPr>
            </w:pPr>
            <w:r>
              <w:rPr>
                <w:spacing w:val="9"/>
                <w:sz w:val="20"/>
                <w:szCs w:val="20"/>
              </w:rPr>
              <w:t>加强维护：蒸压釜使用一段时间后要定期对其进行检验、维修或更换</w:t>
            </w:r>
            <w:r>
              <w:rPr>
                <w:spacing w:val="18"/>
                <w:sz w:val="20"/>
                <w:szCs w:val="20"/>
              </w:rPr>
              <w:t xml:space="preserve"> </w:t>
            </w:r>
            <w:r>
              <w:rPr>
                <w:spacing w:val="9"/>
                <w:sz w:val="20"/>
                <w:szCs w:val="20"/>
              </w:rPr>
              <w:t>密封件等必要的维护保养操作，确保其正常运转，有效预防危害发生。</w:t>
            </w:r>
          </w:p>
          <w:p w14:paraId="2B45A4A4">
            <w:pPr>
              <w:pStyle w:val="6"/>
              <w:spacing w:before="32" w:line="359" w:lineRule="auto"/>
              <w:ind w:left="109" w:right="190" w:firstLine="428"/>
              <w:rPr>
                <w:sz w:val="20"/>
                <w:szCs w:val="20"/>
              </w:rPr>
            </w:pPr>
            <w:r>
              <w:rPr>
                <w:spacing w:val="9"/>
                <w:sz w:val="20"/>
                <w:szCs w:val="20"/>
              </w:rPr>
              <w:t>负责任的操作人员：蒸压釜需要专业技术人员来操作，要求操作人员</w:t>
            </w:r>
            <w:r>
              <w:rPr>
                <w:spacing w:val="10"/>
                <w:sz w:val="20"/>
                <w:szCs w:val="20"/>
              </w:rPr>
              <w:t xml:space="preserve"> 必须熟悉蒸压釜的工作原理、操作手册、规程和</w:t>
            </w:r>
            <w:r>
              <w:rPr>
                <w:spacing w:val="9"/>
                <w:sz w:val="20"/>
                <w:szCs w:val="20"/>
              </w:rPr>
              <w:t>安全注意事项，严格按照</w:t>
            </w:r>
            <w:r>
              <w:rPr>
                <w:sz w:val="20"/>
                <w:szCs w:val="20"/>
              </w:rPr>
              <w:t xml:space="preserve"> </w:t>
            </w:r>
            <w:r>
              <w:rPr>
                <w:spacing w:val="7"/>
                <w:sz w:val="20"/>
                <w:szCs w:val="20"/>
              </w:rPr>
              <w:t>操作规程进行操作。</w:t>
            </w:r>
          </w:p>
          <w:p w14:paraId="04F96A60">
            <w:pPr>
              <w:pStyle w:val="6"/>
              <w:spacing w:before="33" w:line="353" w:lineRule="auto"/>
              <w:ind w:left="112" w:right="190" w:firstLine="417"/>
              <w:rPr>
                <w:sz w:val="20"/>
                <w:szCs w:val="20"/>
              </w:rPr>
            </w:pPr>
            <w:r>
              <w:rPr>
                <w:spacing w:val="9"/>
                <w:sz w:val="20"/>
                <w:szCs w:val="20"/>
              </w:rPr>
              <w:t>注重安全标识：在蒸压釜附近要设置安全标识，对相关人员进行安全</w:t>
            </w:r>
            <w:r>
              <w:rPr>
                <w:spacing w:val="18"/>
                <w:sz w:val="20"/>
                <w:szCs w:val="20"/>
              </w:rPr>
              <w:t xml:space="preserve"> </w:t>
            </w:r>
            <w:r>
              <w:rPr>
                <w:spacing w:val="8"/>
                <w:sz w:val="20"/>
                <w:szCs w:val="20"/>
              </w:rPr>
              <w:t>教育和警示，减少人员误操作。</w:t>
            </w:r>
          </w:p>
          <w:p w14:paraId="6DF1D10F">
            <w:pPr>
              <w:pStyle w:val="6"/>
              <w:spacing w:before="33" w:line="355" w:lineRule="auto"/>
              <w:ind w:left="112" w:right="190" w:firstLine="422"/>
              <w:rPr>
                <w:sz w:val="20"/>
                <w:szCs w:val="20"/>
              </w:rPr>
            </w:pPr>
            <w:r>
              <w:rPr>
                <w:spacing w:val="9"/>
                <w:sz w:val="20"/>
                <w:szCs w:val="20"/>
              </w:rPr>
              <w:t>实行安全管理制度：企业应建立完善的安全管理制度和应急预案，对</w:t>
            </w:r>
            <w:r>
              <w:rPr>
                <w:spacing w:val="13"/>
                <w:sz w:val="20"/>
                <w:szCs w:val="20"/>
              </w:rPr>
              <w:t xml:space="preserve"> </w:t>
            </w:r>
            <w:r>
              <w:rPr>
                <w:spacing w:val="9"/>
                <w:sz w:val="20"/>
                <w:szCs w:val="20"/>
              </w:rPr>
              <w:t>蒸压釜的操作、安全防护等情况进行监督、检查和评估。</w:t>
            </w:r>
          </w:p>
          <w:p w14:paraId="2D21B88D">
            <w:pPr>
              <w:pStyle w:val="6"/>
              <w:spacing w:before="30" w:line="334" w:lineRule="auto"/>
              <w:ind w:left="110" w:right="104" w:firstLine="417"/>
              <w:rPr>
                <w:sz w:val="20"/>
                <w:szCs w:val="20"/>
              </w:rPr>
            </w:pPr>
            <w:r>
              <w:rPr>
                <w:spacing w:val="12"/>
                <w:sz w:val="20"/>
                <w:szCs w:val="20"/>
              </w:rPr>
              <w:t>⑥根据</w:t>
            </w:r>
            <w:r>
              <w:rPr>
                <w:rFonts w:hint="eastAsia"/>
                <w:spacing w:val="12"/>
                <w:sz w:val="20"/>
                <w:szCs w:val="20"/>
              </w:rPr>
              <w:t>《中华人民共和国固体废物污染环境防治法》</w:t>
            </w:r>
            <w:r>
              <w:rPr>
                <w:spacing w:val="12"/>
                <w:sz w:val="20"/>
                <w:szCs w:val="20"/>
              </w:rPr>
              <w:t>规定要求，产生的危</w:t>
            </w:r>
            <w:r>
              <w:rPr>
                <w:spacing w:val="16"/>
                <w:sz w:val="20"/>
                <w:szCs w:val="20"/>
              </w:rPr>
              <w:t xml:space="preserve"> </w:t>
            </w:r>
            <w:r>
              <w:rPr>
                <w:spacing w:val="12"/>
                <w:sz w:val="20"/>
                <w:szCs w:val="20"/>
              </w:rPr>
              <w:t>险废物应严格按照《四川省环境保护厅关于进一步规范危险废物省内转移</w:t>
            </w:r>
            <w:r>
              <w:rPr>
                <w:spacing w:val="9"/>
                <w:sz w:val="20"/>
                <w:szCs w:val="20"/>
              </w:rPr>
              <w:t xml:space="preserve"> </w:t>
            </w:r>
            <w:r>
              <w:rPr>
                <w:spacing w:val="5"/>
                <w:sz w:val="20"/>
                <w:szCs w:val="20"/>
              </w:rPr>
              <w:t>工作的通知》（川环函〔</w:t>
            </w:r>
            <w:r>
              <w:rPr>
                <w:rFonts w:ascii="Times New Roman" w:hAnsi="Times New Roman" w:eastAsia="Times New Roman" w:cs="Times New Roman"/>
                <w:spacing w:val="5"/>
                <w:sz w:val="20"/>
                <w:szCs w:val="20"/>
              </w:rPr>
              <w:t>2017</w:t>
            </w:r>
            <w:r>
              <w:rPr>
                <w:spacing w:val="5"/>
                <w:sz w:val="20"/>
                <w:szCs w:val="20"/>
              </w:rPr>
              <w:t>〕</w:t>
            </w:r>
            <w:r>
              <w:rPr>
                <w:rFonts w:ascii="Times New Roman" w:hAnsi="Times New Roman" w:eastAsia="Times New Roman" w:cs="Times New Roman"/>
                <w:spacing w:val="5"/>
                <w:sz w:val="20"/>
                <w:szCs w:val="20"/>
              </w:rPr>
              <w:t xml:space="preserve">710  </w:t>
            </w:r>
            <w:r>
              <w:rPr>
                <w:spacing w:val="5"/>
                <w:sz w:val="20"/>
                <w:szCs w:val="20"/>
              </w:rPr>
              <w:t>号）危险废物处置之前，厂内临时储存</w:t>
            </w:r>
            <w:r>
              <w:rPr>
                <w:spacing w:val="4"/>
                <w:sz w:val="20"/>
                <w:szCs w:val="20"/>
              </w:rPr>
              <w:t xml:space="preserve"> </w:t>
            </w:r>
            <w:r>
              <w:rPr>
                <w:spacing w:val="9"/>
                <w:sz w:val="20"/>
                <w:szCs w:val="20"/>
              </w:rPr>
              <w:t>和运输也应按照危险废物管理和处置相关要求进行。</w:t>
            </w:r>
          </w:p>
          <w:p w14:paraId="1AF6FF5A">
            <w:pPr>
              <w:pStyle w:val="6"/>
              <w:spacing w:before="153" w:line="334" w:lineRule="auto"/>
              <w:ind w:left="110" w:right="49" w:firstLine="417"/>
              <w:rPr>
                <w:sz w:val="20"/>
                <w:szCs w:val="20"/>
              </w:rPr>
            </w:pPr>
            <w:r>
              <w:rPr>
                <w:sz w:val="20"/>
                <w:szCs w:val="20"/>
              </w:rPr>
              <w:t>⑦按照《国家突发环境事件应急预案》（国办函〔</w:t>
            </w:r>
            <w:r>
              <w:rPr>
                <w:rFonts w:ascii="Times New Roman" w:hAnsi="Times New Roman" w:eastAsia="Times New Roman" w:cs="Times New Roman"/>
                <w:sz w:val="20"/>
                <w:szCs w:val="20"/>
              </w:rPr>
              <w:t>2014</w:t>
            </w:r>
            <w:r>
              <w:rPr>
                <w:sz w:val="20"/>
                <w:szCs w:val="20"/>
              </w:rPr>
              <w:t>〕</w:t>
            </w:r>
            <w:r>
              <w:rPr>
                <w:rFonts w:ascii="Times New Roman" w:hAnsi="Times New Roman" w:eastAsia="Times New Roman" w:cs="Times New Roman"/>
                <w:sz w:val="20"/>
                <w:szCs w:val="20"/>
              </w:rPr>
              <w:t>119</w:t>
            </w:r>
            <w:r>
              <w:rPr>
                <w:rFonts w:ascii="Times New Roman" w:hAnsi="Times New Roman" w:eastAsia="Times New Roman" w:cs="Times New Roman"/>
                <w:spacing w:val="26"/>
                <w:w w:val="101"/>
                <w:sz w:val="20"/>
                <w:szCs w:val="20"/>
              </w:rPr>
              <w:t xml:space="preserve"> </w:t>
            </w:r>
            <w:r>
              <w:rPr>
                <w:sz w:val="20"/>
                <w:szCs w:val="20"/>
              </w:rPr>
              <w:t xml:space="preserve">号）、地方 </w:t>
            </w:r>
            <w:r>
              <w:rPr>
                <w:spacing w:val="7"/>
                <w:sz w:val="20"/>
                <w:szCs w:val="20"/>
              </w:rPr>
              <w:t>和相关部门的要求，制定符合项目实际需要的应急预案，并定期组织演练，</w:t>
            </w:r>
            <w:r>
              <w:rPr>
                <w:spacing w:val="17"/>
                <w:sz w:val="20"/>
                <w:szCs w:val="20"/>
              </w:rPr>
              <w:t xml:space="preserve"> </w:t>
            </w:r>
            <w:r>
              <w:rPr>
                <w:spacing w:val="12"/>
                <w:sz w:val="20"/>
                <w:szCs w:val="20"/>
              </w:rPr>
              <w:t>一旦发生事故，迅速采取有效处理措施进行抢险修复，最大限度降低对周</w:t>
            </w:r>
            <w:r>
              <w:rPr>
                <w:spacing w:val="9"/>
                <w:sz w:val="20"/>
                <w:szCs w:val="20"/>
              </w:rPr>
              <w:t xml:space="preserve"> </w:t>
            </w:r>
            <w:r>
              <w:rPr>
                <w:spacing w:val="8"/>
                <w:sz w:val="20"/>
                <w:szCs w:val="20"/>
              </w:rPr>
              <w:t>围环境和人民生命财产的危害。</w:t>
            </w:r>
          </w:p>
        </w:tc>
      </w:tr>
      <w:tr w14:paraId="0C6E6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784" w:type="dxa"/>
            <w:tcBorders>
              <w:left w:val="single" w:color="000000" w:sz="6" w:space="0"/>
              <w:bottom w:val="single" w:color="000000" w:sz="6" w:space="0"/>
            </w:tcBorders>
            <w:vAlign w:val="top"/>
          </w:tcPr>
          <w:p w14:paraId="577357D5">
            <w:pPr>
              <w:pStyle w:val="6"/>
              <w:spacing w:before="210" w:line="239" w:lineRule="auto"/>
              <w:ind w:left="508" w:right="488" w:hanging="4"/>
              <w:rPr>
                <w:sz w:val="20"/>
                <w:szCs w:val="20"/>
              </w:rPr>
            </w:pPr>
            <w:r>
              <w:rPr>
                <w:spacing w:val="-5"/>
                <w:sz w:val="20"/>
                <w:szCs w:val="20"/>
              </w:rPr>
              <w:t>其他环境</w:t>
            </w:r>
            <w:r>
              <w:rPr>
                <w:sz w:val="20"/>
                <w:szCs w:val="20"/>
              </w:rPr>
              <w:t xml:space="preserve"> </w:t>
            </w:r>
            <w:r>
              <w:rPr>
                <w:spacing w:val="-6"/>
                <w:sz w:val="20"/>
                <w:szCs w:val="20"/>
              </w:rPr>
              <w:t>管理要求</w:t>
            </w:r>
          </w:p>
        </w:tc>
        <w:tc>
          <w:tcPr>
            <w:tcW w:w="7020" w:type="dxa"/>
            <w:tcBorders>
              <w:bottom w:val="single" w:color="000000" w:sz="6" w:space="0"/>
              <w:right w:val="single" w:color="000000" w:sz="6" w:space="0"/>
            </w:tcBorders>
            <w:vAlign w:val="top"/>
          </w:tcPr>
          <w:p w14:paraId="0051A774">
            <w:pPr>
              <w:spacing w:line="288" w:lineRule="auto"/>
              <w:rPr>
                <w:rFonts w:ascii="Arial"/>
                <w:sz w:val="21"/>
              </w:rPr>
            </w:pPr>
          </w:p>
          <w:p w14:paraId="659A3C3F">
            <w:pPr>
              <w:pStyle w:val="6"/>
              <w:spacing w:before="65" w:line="228" w:lineRule="auto"/>
              <w:ind w:left="478"/>
              <w:outlineLvl w:val="1"/>
              <w:rPr>
                <w:sz w:val="20"/>
                <w:szCs w:val="20"/>
              </w:rPr>
            </w:pPr>
            <w:r>
              <w:rPr>
                <w:sz w:val="20"/>
                <w:szCs w:val="20"/>
              </w:rPr>
              <w:t>无</w:t>
            </w:r>
          </w:p>
        </w:tc>
      </w:tr>
    </w:tbl>
    <w:p w14:paraId="110F3D4A">
      <w:pPr>
        <w:pStyle w:val="2"/>
      </w:pPr>
    </w:p>
    <w:p w14:paraId="1275754E">
      <w:pPr>
        <w:sectPr>
          <w:footerReference r:id="rId91" w:type="default"/>
          <w:pgSz w:w="11906" w:h="16839"/>
          <w:pgMar w:top="1431" w:right="1532" w:bottom="1260" w:left="1543" w:header="0" w:footer="1080" w:gutter="0"/>
          <w:cols w:space="720" w:num="1"/>
        </w:sectPr>
      </w:pPr>
    </w:p>
    <w:p w14:paraId="07A3BD68">
      <w:pPr>
        <w:pStyle w:val="2"/>
        <w:spacing w:line="246" w:lineRule="auto"/>
      </w:pPr>
    </w:p>
    <w:p w14:paraId="1B90D4C8">
      <w:pPr>
        <w:pStyle w:val="2"/>
        <w:spacing w:line="247" w:lineRule="auto"/>
      </w:pPr>
    </w:p>
    <w:p w14:paraId="65A2BA08">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14:paraId="72429BC6">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7832E0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30" w:hRule="atLeast"/>
        </w:trPr>
        <w:tc>
          <w:tcPr>
            <w:tcW w:w="8869" w:type="dxa"/>
            <w:vAlign w:val="top"/>
          </w:tcPr>
          <w:p w14:paraId="7B82CDC2">
            <w:pPr>
              <w:pStyle w:val="6"/>
              <w:spacing w:before="280" w:line="219" w:lineRule="auto"/>
              <w:ind w:left="596"/>
              <w:rPr>
                <w:sz w:val="24"/>
                <w:szCs w:val="24"/>
              </w:rPr>
            </w:pPr>
            <w:r>
              <w:rPr>
                <w:b/>
                <w:bCs/>
                <w:spacing w:val="-3"/>
                <w:sz w:val="24"/>
                <w:szCs w:val="24"/>
              </w:rPr>
              <w:t>四川鸿丙节能建材有限公司</w:t>
            </w:r>
            <w:r>
              <w:rPr>
                <w:rFonts w:ascii="Times New Roman" w:hAnsi="Times New Roman" w:eastAsia="Times New Roman" w:cs="Times New Roman"/>
                <w:b/>
                <w:bCs/>
                <w:spacing w:val="-3"/>
                <w:sz w:val="24"/>
                <w:szCs w:val="24"/>
              </w:rPr>
              <w:t>“</w:t>
            </w:r>
            <w:r>
              <w:rPr>
                <w:b/>
                <w:bCs/>
                <w:spacing w:val="-3"/>
                <w:sz w:val="24"/>
                <w:szCs w:val="24"/>
              </w:rPr>
              <w:t>绿色节能环保建材产业化项目</w:t>
            </w:r>
            <w:r>
              <w:rPr>
                <w:rFonts w:ascii="Times New Roman" w:hAnsi="Times New Roman" w:eastAsia="Times New Roman" w:cs="Times New Roman"/>
                <w:b/>
                <w:bCs/>
                <w:spacing w:val="-3"/>
                <w:sz w:val="24"/>
                <w:szCs w:val="24"/>
              </w:rPr>
              <w:t>”</w:t>
            </w:r>
            <w:r>
              <w:rPr>
                <w:b/>
                <w:bCs/>
                <w:spacing w:val="-3"/>
                <w:sz w:val="24"/>
                <w:szCs w:val="24"/>
              </w:rPr>
              <w:t>符合国家产业政</w:t>
            </w:r>
          </w:p>
          <w:p w14:paraId="40B0FCD9">
            <w:pPr>
              <w:pStyle w:val="6"/>
              <w:spacing w:before="179" w:line="353" w:lineRule="auto"/>
              <w:ind w:left="95" w:right="95"/>
              <w:rPr>
                <w:sz w:val="24"/>
                <w:szCs w:val="24"/>
              </w:rPr>
            </w:pPr>
            <w:r>
              <w:rPr>
                <w:b/>
                <w:bCs/>
                <w:spacing w:val="-2"/>
                <w:sz w:val="24"/>
                <w:szCs w:val="24"/>
              </w:rPr>
              <w:t>策，选址合理，周围无明显的环境制约因素，平面布置合理可行。本项目拟采取的</w:t>
            </w:r>
            <w:r>
              <w:rPr>
                <w:spacing w:val="2"/>
                <w:sz w:val="24"/>
                <w:szCs w:val="24"/>
              </w:rPr>
              <w:t xml:space="preserve"> </w:t>
            </w:r>
            <w:r>
              <w:rPr>
                <w:b/>
                <w:bCs/>
                <w:spacing w:val="-2"/>
                <w:sz w:val="24"/>
                <w:szCs w:val="24"/>
              </w:rPr>
              <w:t>各项污染防治措施可使污染物达综合利用或达标排放。建设单位只要严格落实本环</w:t>
            </w:r>
            <w:r>
              <w:rPr>
                <w:spacing w:val="3"/>
                <w:sz w:val="24"/>
                <w:szCs w:val="24"/>
              </w:rPr>
              <w:t xml:space="preserve"> </w:t>
            </w:r>
            <w:r>
              <w:rPr>
                <w:b/>
                <w:bCs/>
                <w:spacing w:val="-2"/>
                <w:sz w:val="24"/>
                <w:szCs w:val="24"/>
              </w:rPr>
              <w:t>境影响报告表提出的环保措施，能够最大限度地减轻项目建设对周围环境造成的影</w:t>
            </w:r>
            <w:r>
              <w:rPr>
                <w:spacing w:val="3"/>
                <w:sz w:val="24"/>
                <w:szCs w:val="24"/>
              </w:rPr>
              <w:t xml:space="preserve"> </w:t>
            </w:r>
            <w:r>
              <w:rPr>
                <w:b/>
                <w:bCs/>
                <w:spacing w:val="-2"/>
                <w:sz w:val="24"/>
                <w:szCs w:val="24"/>
              </w:rPr>
              <w:t>响。从环保角度论证，本项目在所选地址建设是可</w:t>
            </w:r>
            <w:r>
              <w:rPr>
                <w:b/>
                <w:bCs/>
                <w:spacing w:val="-3"/>
                <w:sz w:val="24"/>
                <w:szCs w:val="24"/>
              </w:rPr>
              <w:t>行的。</w:t>
            </w:r>
          </w:p>
        </w:tc>
      </w:tr>
    </w:tbl>
    <w:p w14:paraId="2DA25052">
      <w:pPr>
        <w:pStyle w:val="2"/>
      </w:pPr>
    </w:p>
    <w:p w14:paraId="4F82C4C5">
      <w:pPr>
        <w:sectPr>
          <w:footerReference r:id="rId92" w:type="default"/>
          <w:pgSz w:w="11906" w:h="16839"/>
          <w:pgMar w:top="1431" w:right="1511" w:bottom="1260" w:left="1510" w:header="0" w:footer="1080" w:gutter="0"/>
          <w:cols w:space="720" w:num="1"/>
        </w:sectPr>
      </w:pPr>
    </w:p>
    <w:p w14:paraId="257A8F25">
      <w:pPr>
        <w:spacing w:line="16835" w:lineRule="exact"/>
      </w:pPr>
    </w:p>
    <w:sectPr>
      <w:headerReference r:id="rId93" w:type="default"/>
      <w:footerReference r:id="rId94"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217D">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666C">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4389">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5C92">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8D1B">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DD0D">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5E81">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15</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9F5C">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8F1E">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17</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DAB4">
    <w:pPr>
      <w:spacing w:line="176" w:lineRule="auto"/>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D1FA">
    <w:pPr>
      <w:spacing w:line="176"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19</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601C">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28A7">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23A7">
    <w:pPr>
      <w:spacing w:line="176" w:lineRule="auto"/>
      <w:jc w:val="right"/>
      <w:outlineLvl w:val="2"/>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51CB">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2237">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EED9">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A60F">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B04C">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A694">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A6E7">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5A26">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8B3E6">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101B">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957D">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5834">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F181">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2B86">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A23F">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65E5">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9363">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4A81">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9395">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4D86">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CA6D">
    <w:pPr>
      <w:spacing w:line="176" w:lineRule="auto"/>
      <w:ind w:left="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0FC7">
    <w:pPr>
      <w:spacing w:line="175" w:lineRule="auto"/>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6"/>
        <w:sz w:val="19"/>
        <w:szCs w:val="19"/>
      </w:rPr>
      <w:t xml:space="preserve"> </w:t>
    </w:r>
    <w:r>
      <w:rPr>
        <w:rFonts w:ascii="Calibri" w:hAnsi="Calibri" w:eastAsia="Calibri" w:cs="Calibri"/>
        <w:spacing w:val="-1"/>
        <w:sz w:val="19"/>
        <w:szCs w:val="19"/>
      </w:rPr>
      <w:t>41</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C607">
    <w:pPr>
      <w:spacing w:line="176" w:lineRule="auto"/>
      <w:ind w:left="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CF78">
    <w:pPr>
      <w:spacing w:line="176" w:lineRule="auto"/>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6"/>
        <w:sz w:val="19"/>
        <w:szCs w:val="19"/>
      </w:rPr>
      <w:t xml:space="preserve"> </w:t>
    </w:r>
    <w:r>
      <w:rPr>
        <w:rFonts w:ascii="Calibri" w:hAnsi="Calibri" w:eastAsia="Calibri" w:cs="Calibri"/>
        <w:spacing w:val="-1"/>
        <w:sz w:val="19"/>
        <w:szCs w:val="19"/>
      </w:rPr>
      <w:t>43</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F35D">
    <w:pPr>
      <w:spacing w:line="174" w:lineRule="auto"/>
      <w:ind w:left="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8492">
    <w:pPr>
      <w:spacing w:line="174" w:lineRule="auto"/>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6"/>
        <w:sz w:val="19"/>
        <w:szCs w:val="19"/>
      </w:rPr>
      <w:t xml:space="preserve"> </w:t>
    </w:r>
    <w:r>
      <w:rPr>
        <w:rFonts w:ascii="Calibri" w:hAnsi="Calibri" w:eastAsia="Calibri" w:cs="Calibri"/>
        <w:spacing w:val="-1"/>
        <w:sz w:val="19"/>
        <w:szCs w:val="19"/>
      </w:rPr>
      <w:t>45</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FB3E">
    <w:pPr>
      <w:spacing w:line="176" w:lineRule="auto"/>
      <w:ind w:left="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EF6A">
    <w:pPr>
      <w:spacing w:line="174" w:lineRule="auto"/>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6"/>
        <w:sz w:val="19"/>
        <w:szCs w:val="19"/>
      </w:rPr>
      <w:t xml:space="preserve"> </w:t>
    </w:r>
    <w:r>
      <w:rPr>
        <w:rFonts w:ascii="Calibri" w:hAnsi="Calibri" w:eastAsia="Calibri" w:cs="Calibri"/>
        <w:spacing w:val="-1"/>
        <w:sz w:val="19"/>
        <w:szCs w:val="19"/>
      </w:rPr>
      <w:t>47</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835D">
    <w:pPr>
      <w:spacing w:line="176" w:lineRule="auto"/>
      <w:ind w:left="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4C7E">
    <w:pPr>
      <w:spacing w:line="176" w:lineRule="auto"/>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6"/>
        <w:sz w:val="19"/>
        <w:szCs w:val="19"/>
      </w:rPr>
      <w:t xml:space="preserve"> </w:t>
    </w:r>
    <w:r>
      <w:rPr>
        <w:rFonts w:ascii="Calibri" w:hAnsi="Calibri" w:eastAsia="Calibri" w:cs="Calibri"/>
        <w:spacing w:val="-1"/>
        <w:sz w:val="19"/>
        <w:szCs w:val="19"/>
      </w:rPr>
      <w:t>49</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7A66">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0BD9">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FCD0">
    <w:pPr>
      <w:spacing w:line="175"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337D3">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B32E">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66BA">
    <w:pPr>
      <w:spacing w:line="174"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6E1D">
    <w:pPr>
      <w:spacing w:line="174"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C80F">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BC70">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9946">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72D1">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8461">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ACD7">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5E1E1">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2D60">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0E18">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1187">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7615">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9834">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30E4">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8F1E">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13AA">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CFB1">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09C3">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3B4A">
    <w:pPr>
      <w:spacing w:line="175"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7DD7">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2508">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7CAB">
    <w:pPr>
      <w:spacing w:line="174"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328D">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D3AF">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ECC3">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F8AD">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A36D">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A937">
    <w:pPr>
      <w:spacing w:line="176" w:lineRule="auto"/>
      <w:ind w:left="28"/>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EAA2">
    <w:pPr>
      <w:spacing w:line="176"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80</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1948">
    <w:pPr>
      <w:spacing w:line="176" w:lineRule="auto"/>
      <w:ind w:left="8477"/>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81</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1B93">
    <w:pPr>
      <w:spacing w:line="176"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82</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1E43">
    <w:pPr>
      <w:spacing w:line="176" w:lineRule="auto"/>
      <w:ind w:left="8477"/>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83</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EA16">
    <w:pPr>
      <w:spacing w:line="176" w:lineRule="auto"/>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84</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EC1D">
    <w:pPr>
      <w:spacing w:line="176"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9"/>
        <w:sz w:val="19"/>
        <w:szCs w:val="19"/>
      </w:rPr>
      <w:t xml:space="preserve"> </w:t>
    </w:r>
    <w:r>
      <w:rPr>
        <w:rFonts w:ascii="Calibri" w:hAnsi="Calibri" w:eastAsia="Calibri" w:cs="Calibri"/>
        <w:spacing w:val="-2"/>
        <w:sz w:val="19"/>
        <w:szCs w:val="19"/>
      </w:rPr>
      <w:t>85</w:t>
    </w:r>
    <w:r>
      <w:rPr>
        <w:rFonts w:ascii="Calibri" w:hAnsi="Calibri" w:eastAsia="Calibri" w:cs="Calibri"/>
        <w:spacing w:val="10"/>
        <w:sz w:val="19"/>
        <w:szCs w:val="19"/>
      </w:rPr>
      <w:t xml:space="preserve"> </w:t>
    </w:r>
    <w:r>
      <w:rPr>
        <w:rFonts w:ascii="Calibri" w:hAnsi="Calibri" w:eastAsia="Calibri" w:cs="Calibri"/>
        <w:spacing w:val="-2"/>
        <w:sz w:val="19"/>
        <w:szCs w:val="19"/>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340C">
    <w:pPr>
      <w:spacing w:line="176" w:lineRule="auto"/>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86</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EBF5">
    <w:pPr>
      <w:spacing w:line="176"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9"/>
        <w:sz w:val="19"/>
        <w:szCs w:val="19"/>
      </w:rPr>
      <w:t xml:space="preserve"> </w:t>
    </w:r>
    <w:r>
      <w:rPr>
        <w:rFonts w:ascii="Calibri" w:hAnsi="Calibri" w:eastAsia="Calibri" w:cs="Calibri"/>
        <w:spacing w:val="-2"/>
        <w:sz w:val="19"/>
        <w:szCs w:val="19"/>
      </w:rPr>
      <w:t>87</w:t>
    </w:r>
    <w:r>
      <w:rPr>
        <w:rFonts w:ascii="Calibri" w:hAnsi="Calibri" w:eastAsia="Calibri" w:cs="Calibri"/>
        <w:spacing w:val="10"/>
        <w:sz w:val="19"/>
        <w:szCs w:val="19"/>
      </w:rPr>
      <w:t xml:space="preserve"> </w:t>
    </w:r>
    <w:r>
      <w:rPr>
        <w:rFonts w:ascii="Calibri" w:hAnsi="Calibri" w:eastAsia="Calibri" w:cs="Calibri"/>
        <w:spacing w:val="-2"/>
        <w:sz w:val="19"/>
        <w:szCs w:val="19"/>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1007">
    <w:pPr>
      <w:spacing w:line="176" w:lineRule="auto"/>
      <w:ind w:left="27"/>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88</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DEEC">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F3ED">
    <w:pPr>
      <w:spacing w:line="176" w:lineRule="auto"/>
      <w:ind w:right="15"/>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12"/>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51D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11C444E1"/>
    <w:rsid w:val="31581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png"/><Relationship Id="rId98" Type="http://schemas.openxmlformats.org/officeDocument/2006/relationships/image" Target="media/image3.jpeg"/><Relationship Id="rId97" Type="http://schemas.openxmlformats.org/officeDocument/2006/relationships/image" Target="media/image2.png"/><Relationship Id="rId96" Type="http://schemas.openxmlformats.org/officeDocument/2006/relationships/image" Target="media/image1.png"/><Relationship Id="rId95" Type="http://schemas.openxmlformats.org/officeDocument/2006/relationships/theme" Target="theme/theme1.xml"/><Relationship Id="rId94" Type="http://schemas.openxmlformats.org/officeDocument/2006/relationships/footer" Target="footer89.xml"/><Relationship Id="rId93" Type="http://schemas.openxmlformats.org/officeDocument/2006/relationships/header" Target="header1.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4" Type="http://schemas.openxmlformats.org/officeDocument/2006/relationships/fontTable" Target="fontTable.xml"/><Relationship Id="rId263" Type="http://schemas.openxmlformats.org/officeDocument/2006/relationships/customXml" Target="../customXml/item1.xml"/><Relationship Id="rId262" Type="http://schemas.openxmlformats.org/officeDocument/2006/relationships/image" Target="media/image167.png"/><Relationship Id="rId261" Type="http://schemas.openxmlformats.org/officeDocument/2006/relationships/image" Target="media/image166.png"/><Relationship Id="rId260" Type="http://schemas.openxmlformats.org/officeDocument/2006/relationships/image" Target="media/image165.png"/><Relationship Id="rId26" Type="http://schemas.openxmlformats.org/officeDocument/2006/relationships/footer" Target="footer22.xml"/><Relationship Id="rId259" Type="http://schemas.openxmlformats.org/officeDocument/2006/relationships/image" Target="media/image164.png"/><Relationship Id="rId258" Type="http://schemas.openxmlformats.org/officeDocument/2006/relationships/image" Target="media/image163.jpeg"/><Relationship Id="rId257" Type="http://schemas.openxmlformats.org/officeDocument/2006/relationships/image" Target="media/image162.jpeg"/><Relationship Id="rId256" Type="http://schemas.openxmlformats.org/officeDocument/2006/relationships/image" Target="media/image161.png"/><Relationship Id="rId255" Type="http://schemas.openxmlformats.org/officeDocument/2006/relationships/image" Target="media/image160.png"/><Relationship Id="rId254" Type="http://schemas.openxmlformats.org/officeDocument/2006/relationships/image" Target="media/image159.png"/><Relationship Id="rId253" Type="http://schemas.openxmlformats.org/officeDocument/2006/relationships/image" Target="media/image158.png"/><Relationship Id="rId252" Type="http://schemas.openxmlformats.org/officeDocument/2006/relationships/image" Target="media/image157.png"/><Relationship Id="rId251" Type="http://schemas.openxmlformats.org/officeDocument/2006/relationships/image" Target="media/image156.png"/><Relationship Id="rId250" Type="http://schemas.openxmlformats.org/officeDocument/2006/relationships/image" Target="media/image155.png"/><Relationship Id="rId25" Type="http://schemas.openxmlformats.org/officeDocument/2006/relationships/footer" Target="footer21.xml"/><Relationship Id="rId249" Type="http://schemas.openxmlformats.org/officeDocument/2006/relationships/image" Target="media/image154.png"/><Relationship Id="rId248" Type="http://schemas.openxmlformats.org/officeDocument/2006/relationships/image" Target="media/image153.png"/><Relationship Id="rId247" Type="http://schemas.openxmlformats.org/officeDocument/2006/relationships/image" Target="media/image152.png"/><Relationship Id="rId246" Type="http://schemas.openxmlformats.org/officeDocument/2006/relationships/image" Target="media/image151.png"/><Relationship Id="rId245" Type="http://schemas.openxmlformats.org/officeDocument/2006/relationships/image" Target="media/image150.png"/><Relationship Id="rId244" Type="http://schemas.openxmlformats.org/officeDocument/2006/relationships/image" Target="media/image149.png"/><Relationship Id="rId243" Type="http://schemas.openxmlformats.org/officeDocument/2006/relationships/image" Target="media/image148.png"/><Relationship Id="rId242" Type="http://schemas.openxmlformats.org/officeDocument/2006/relationships/image" Target="media/image147.png"/><Relationship Id="rId241" Type="http://schemas.openxmlformats.org/officeDocument/2006/relationships/image" Target="media/image146.png"/><Relationship Id="rId240" Type="http://schemas.openxmlformats.org/officeDocument/2006/relationships/image" Target="media/image145.png"/><Relationship Id="rId24" Type="http://schemas.openxmlformats.org/officeDocument/2006/relationships/footer" Target="footer20.xml"/><Relationship Id="rId239" Type="http://schemas.openxmlformats.org/officeDocument/2006/relationships/image" Target="media/image144.png"/><Relationship Id="rId238" Type="http://schemas.openxmlformats.org/officeDocument/2006/relationships/image" Target="media/image143.png"/><Relationship Id="rId237" Type="http://schemas.openxmlformats.org/officeDocument/2006/relationships/image" Target="media/image142.png"/><Relationship Id="rId236" Type="http://schemas.openxmlformats.org/officeDocument/2006/relationships/image" Target="media/image141.png"/><Relationship Id="rId235" Type="http://schemas.openxmlformats.org/officeDocument/2006/relationships/image" Target="media/image140.png"/><Relationship Id="rId234" Type="http://schemas.openxmlformats.org/officeDocument/2006/relationships/image" Target="media/image139.png"/><Relationship Id="rId233" Type="http://schemas.openxmlformats.org/officeDocument/2006/relationships/image" Target="media/image138.png"/><Relationship Id="rId232" Type="http://schemas.openxmlformats.org/officeDocument/2006/relationships/image" Target="media/image137.png"/><Relationship Id="rId231" Type="http://schemas.openxmlformats.org/officeDocument/2006/relationships/image" Target="media/image136.png"/><Relationship Id="rId230" Type="http://schemas.openxmlformats.org/officeDocument/2006/relationships/image" Target="media/image135.png"/><Relationship Id="rId23" Type="http://schemas.openxmlformats.org/officeDocument/2006/relationships/footer" Target="footer19.xml"/><Relationship Id="rId229" Type="http://schemas.openxmlformats.org/officeDocument/2006/relationships/image" Target="media/image134.png"/><Relationship Id="rId228" Type="http://schemas.openxmlformats.org/officeDocument/2006/relationships/image" Target="media/image133.png"/><Relationship Id="rId227" Type="http://schemas.openxmlformats.org/officeDocument/2006/relationships/image" Target="media/image132.png"/><Relationship Id="rId226" Type="http://schemas.openxmlformats.org/officeDocument/2006/relationships/image" Target="media/image131.png"/><Relationship Id="rId225" Type="http://schemas.openxmlformats.org/officeDocument/2006/relationships/image" Target="media/image130.png"/><Relationship Id="rId224" Type="http://schemas.openxmlformats.org/officeDocument/2006/relationships/image" Target="media/image129.png"/><Relationship Id="rId223" Type="http://schemas.openxmlformats.org/officeDocument/2006/relationships/image" Target="media/image128.png"/><Relationship Id="rId222" Type="http://schemas.openxmlformats.org/officeDocument/2006/relationships/image" Target="media/image127.png"/><Relationship Id="rId221" Type="http://schemas.openxmlformats.org/officeDocument/2006/relationships/image" Target="media/image126.png"/><Relationship Id="rId220" Type="http://schemas.openxmlformats.org/officeDocument/2006/relationships/image" Target="media/image125.png"/><Relationship Id="rId22" Type="http://schemas.openxmlformats.org/officeDocument/2006/relationships/footer" Target="footer18.xml"/><Relationship Id="rId219" Type="http://schemas.openxmlformats.org/officeDocument/2006/relationships/image" Target="media/image124.png"/><Relationship Id="rId218" Type="http://schemas.openxmlformats.org/officeDocument/2006/relationships/image" Target="media/image123.png"/><Relationship Id="rId217" Type="http://schemas.openxmlformats.org/officeDocument/2006/relationships/image" Target="media/image122.png"/><Relationship Id="rId216" Type="http://schemas.openxmlformats.org/officeDocument/2006/relationships/image" Target="media/image121.png"/><Relationship Id="rId215" Type="http://schemas.openxmlformats.org/officeDocument/2006/relationships/image" Target="media/image120.png"/><Relationship Id="rId214" Type="http://schemas.openxmlformats.org/officeDocument/2006/relationships/image" Target="media/image119.png"/><Relationship Id="rId213" Type="http://schemas.openxmlformats.org/officeDocument/2006/relationships/image" Target="media/image118.png"/><Relationship Id="rId212" Type="http://schemas.openxmlformats.org/officeDocument/2006/relationships/image" Target="media/image117.png"/><Relationship Id="rId211" Type="http://schemas.openxmlformats.org/officeDocument/2006/relationships/image" Target="media/image116.png"/><Relationship Id="rId210" Type="http://schemas.openxmlformats.org/officeDocument/2006/relationships/image" Target="media/image115.png"/><Relationship Id="rId21" Type="http://schemas.openxmlformats.org/officeDocument/2006/relationships/footer" Target="footer17.xml"/><Relationship Id="rId209" Type="http://schemas.openxmlformats.org/officeDocument/2006/relationships/image" Target="media/image114.png"/><Relationship Id="rId208" Type="http://schemas.openxmlformats.org/officeDocument/2006/relationships/image" Target="media/image113.png"/><Relationship Id="rId207" Type="http://schemas.openxmlformats.org/officeDocument/2006/relationships/image" Target="media/image112.png"/><Relationship Id="rId206" Type="http://schemas.openxmlformats.org/officeDocument/2006/relationships/image" Target="media/image111.png"/><Relationship Id="rId205" Type="http://schemas.openxmlformats.org/officeDocument/2006/relationships/image" Target="media/image110.png"/><Relationship Id="rId204" Type="http://schemas.openxmlformats.org/officeDocument/2006/relationships/image" Target="media/image109.png"/><Relationship Id="rId203" Type="http://schemas.openxmlformats.org/officeDocument/2006/relationships/image" Target="media/image108.png"/><Relationship Id="rId202" Type="http://schemas.openxmlformats.org/officeDocument/2006/relationships/image" Target="media/image107.png"/><Relationship Id="rId201" Type="http://schemas.openxmlformats.org/officeDocument/2006/relationships/image" Target="media/image106.png"/><Relationship Id="rId200" Type="http://schemas.openxmlformats.org/officeDocument/2006/relationships/image" Target="media/image105.png"/><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image" Target="media/image104.png"/><Relationship Id="rId198" Type="http://schemas.openxmlformats.org/officeDocument/2006/relationships/image" Target="media/image103.png"/><Relationship Id="rId197" Type="http://schemas.openxmlformats.org/officeDocument/2006/relationships/image" Target="media/image102.png"/><Relationship Id="rId196" Type="http://schemas.openxmlformats.org/officeDocument/2006/relationships/image" Target="media/image101.png"/><Relationship Id="rId195" Type="http://schemas.openxmlformats.org/officeDocument/2006/relationships/image" Target="media/image100.png"/><Relationship Id="rId194" Type="http://schemas.openxmlformats.org/officeDocument/2006/relationships/image" Target="media/image99.png"/><Relationship Id="rId193" Type="http://schemas.openxmlformats.org/officeDocument/2006/relationships/image" Target="media/image98.png"/><Relationship Id="rId192" Type="http://schemas.openxmlformats.org/officeDocument/2006/relationships/image" Target="media/image97.png"/><Relationship Id="rId191" Type="http://schemas.openxmlformats.org/officeDocument/2006/relationships/image" Target="media/image96.png"/><Relationship Id="rId190" Type="http://schemas.openxmlformats.org/officeDocument/2006/relationships/image" Target="media/image95.png"/><Relationship Id="rId19" Type="http://schemas.openxmlformats.org/officeDocument/2006/relationships/footer" Target="footer15.xml"/><Relationship Id="rId189" Type="http://schemas.openxmlformats.org/officeDocument/2006/relationships/image" Target="media/image94.png"/><Relationship Id="rId188" Type="http://schemas.openxmlformats.org/officeDocument/2006/relationships/image" Target="media/image93.png"/><Relationship Id="rId187" Type="http://schemas.openxmlformats.org/officeDocument/2006/relationships/image" Target="media/image92.png"/><Relationship Id="rId186" Type="http://schemas.openxmlformats.org/officeDocument/2006/relationships/image" Target="media/image91.png"/><Relationship Id="rId185" Type="http://schemas.openxmlformats.org/officeDocument/2006/relationships/image" Target="media/image90.png"/><Relationship Id="rId184" Type="http://schemas.openxmlformats.org/officeDocument/2006/relationships/image" Target="media/image89.png"/><Relationship Id="rId183" Type="http://schemas.openxmlformats.org/officeDocument/2006/relationships/image" Target="media/image88.png"/><Relationship Id="rId182" Type="http://schemas.openxmlformats.org/officeDocument/2006/relationships/image" Target="media/image87.png"/><Relationship Id="rId181" Type="http://schemas.openxmlformats.org/officeDocument/2006/relationships/image" Target="media/image86.png"/><Relationship Id="rId180" Type="http://schemas.openxmlformats.org/officeDocument/2006/relationships/image" Target="media/image85.png"/><Relationship Id="rId18" Type="http://schemas.openxmlformats.org/officeDocument/2006/relationships/footer" Target="footer14.xml"/><Relationship Id="rId179" Type="http://schemas.openxmlformats.org/officeDocument/2006/relationships/image" Target="media/image84.png"/><Relationship Id="rId178" Type="http://schemas.openxmlformats.org/officeDocument/2006/relationships/image" Target="media/image83.png"/><Relationship Id="rId177" Type="http://schemas.openxmlformats.org/officeDocument/2006/relationships/image" Target="media/image82.png"/><Relationship Id="rId176" Type="http://schemas.openxmlformats.org/officeDocument/2006/relationships/image" Target="media/image81.png"/><Relationship Id="rId175" Type="http://schemas.openxmlformats.org/officeDocument/2006/relationships/image" Target="media/image80.png"/><Relationship Id="rId174" Type="http://schemas.openxmlformats.org/officeDocument/2006/relationships/image" Target="media/image79.png"/><Relationship Id="rId173" Type="http://schemas.openxmlformats.org/officeDocument/2006/relationships/image" Target="media/image78.png"/><Relationship Id="rId172" Type="http://schemas.openxmlformats.org/officeDocument/2006/relationships/image" Target="media/image77.png"/><Relationship Id="rId171" Type="http://schemas.openxmlformats.org/officeDocument/2006/relationships/image" Target="media/image76.png"/><Relationship Id="rId170" Type="http://schemas.openxmlformats.org/officeDocument/2006/relationships/image" Target="media/image75.png"/><Relationship Id="rId17" Type="http://schemas.openxmlformats.org/officeDocument/2006/relationships/footer" Target="footer13.xml"/><Relationship Id="rId169" Type="http://schemas.openxmlformats.org/officeDocument/2006/relationships/image" Target="media/image74.png"/><Relationship Id="rId168" Type="http://schemas.openxmlformats.org/officeDocument/2006/relationships/image" Target="media/image73.png"/><Relationship Id="rId167" Type="http://schemas.openxmlformats.org/officeDocument/2006/relationships/image" Target="media/image72.png"/><Relationship Id="rId166" Type="http://schemas.openxmlformats.org/officeDocument/2006/relationships/image" Target="media/image71.png"/><Relationship Id="rId165" Type="http://schemas.openxmlformats.org/officeDocument/2006/relationships/image" Target="media/image70.png"/><Relationship Id="rId164" Type="http://schemas.openxmlformats.org/officeDocument/2006/relationships/image" Target="media/image69.png"/><Relationship Id="rId163" Type="http://schemas.openxmlformats.org/officeDocument/2006/relationships/image" Target="media/image68.png"/><Relationship Id="rId162" Type="http://schemas.openxmlformats.org/officeDocument/2006/relationships/image" Target="media/image67.png"/><Relationship Id="rId161" Type="http://schemas.openxmlformats.org/officeDocument/2006/relationships/image" Target="media/image66.png"/><Relationship Id="rId160" Type="http://schemas.openxmlformats.org/officeDocument/2006/relationships/image" Target="media/image65.png"/><Relationship Id="rId16" Type="http://schemas.openxmlformats.org/officeDocument/2006/relationships/footer" Target="footer12.xml"/><Relationship Id="rId159" Type="http://schemas.openxmlformats.org/officeDocument/2006/relationships/image" Target="media/image64.png"/><Relationship Id="rId158" Type="http://schemas.openxmlformats.org/officeDocument/2006/relationships/image" Target="media/image63.png"/><Relationship Id="rId157" Type="http://schemas.openxmlformats.org/officeDocument/2006/relationships/image" Target="media/image62.png"/><Relationship Id="rId156" Type="http://schemas.openxmlformats.org/officeDocument/2006/relationships/image" Target="media/image61.png"/><Relationship Id="rId155" Type="http://schemas.openxmlformats.org/officeDocument/2006/relationships/image" Target="media/image60.png"/><Relationship Id="rId154" Type="http://schemas.openxmlformats.org/officeDocument/2006/relationships/image" Target="media/image59.png"/><Relationship Id="rId153" Type="http://schemas.openxmlformats.org/officeDocument/2006/relationships/image" Target="media/image58.png"/><Relationship Id="rId152" Type="http://schemas.openxmlformats.org/officeDocument/2006/relationships/image" Target="media/image57.png"/><Relationship Id="rId151" Type="http://schemas.openxmlformats.org/officeDocument/2006/relationships/image" Target="media/image56.png"/><Relationship Id="rId150" Type="http://schemas.openxmlformats.org/officeDocument/2006/relationships/image" Target="media/image55.png"/><Relationship Id="rId15" Type="http://schemas.openxmlformats.org/officeDocument/2006/relationships/footer" Target="footer11.xml"/><Relationship Id="rId149" Type="http://schemas.openxmlformats.org/officeDocument/2006/relationships/image" Target="media/image54.png"/><Relationship Id="rId148" Type="http://schemas.openxmlformats.org/officeDocument/2006/relationships/image" Target="media/image53.png"/><Relationship Id="rId147" Type="http://schemas.openxmlformats.org/officeDocument/2006/relationships/image" Target="media/image52.png"/><Relationship Id="rId146" Type="http://schemas.openxmlformats.org/officeDocument/2006/relationships/image" Target="media/image51.png"/><Relationship Id="rId145" Type="http://schemas.openxmlformats.org/officeDocument/2006/relationships/image" Target="media/image50.png"/><Relationship Id="rId144" Type="http://schemas.openxmlformats.org/officeDocument/2006/relationships/image" Target="media/image49.png"/><Relationship Id="rId143" Type="http://schemas.openxmlformats.org/officeDocument/2006/relationships/image" Target="media/image48.png"/><Relationship Id="rId142" Type="http://schemas.openxmlformats.org/officeDocument/2006/relationships/image" Target="media/image47.png"/><Relationship Id="rId141" Type="http://schemas.openxmlformats.org/officeDocument/2006/relationships/image" Target="media/image46.png"/><Relationship Id="rId140" Type="http://schemas.openxmlformats.org/officeDocument/2006/relationships/image" Target="media/image45.png"/><Relationship Id="rId14" Type="http://schemas.openxmlformats.org/officeDocument/2006/relationships/footer" Target="footer10.xml"/><Relationship Id="rId139" Type="http://schemas.openxmlformats.org/officeDocument/2006/relationships/image" Target="media/image44.png"/><Relationship Id="rId138" Type="http://schemas.openxmlformats.org/officeDocument/2006/relationships/image" Target="media/image43.png"/><Relationship Id="rId137" Type="http://schemas.openxmlformats.org/officeDocument/2006/relationships/image" Target="media/image42.png"/><Relationship Id="rId136" Type="http://schemas.openxmlformats.org/officeDocument/2006/relationships/image" Target="media/image41.png"/><Relationship Id="rId135" Type="http://schemas.openxmlformats.org/officeDocument/2006/relationships/image" Target="media/image40.png"/><Relationship Id="rId134" Type="http://schemas.openxmlformats.org/officeDocument/2006/relationships/image" Target="media/image39.png"/><Relationship Id="rId133" Type="http://schemas.openxmlformats.org/officeDocument/2006/relationships/image" Target="media/image38.png"/><Relationship Id="rId132" Type="http://schemas.openxmlformats.org/officeDocument/2006/relationships/image" Target="media/image37.png"/><Relationship Id="rId131" Type="http://schemas.openxmlformats.org/officeDocument/2006/relationships/image" Target="media/image36.png"/><Relationship Id="rId130" Type="http://schemas.openxmlformats.org/officeDocument/2006/relationships/image" Target="media/image35.png"/><Relationship Id="rId13" Type="http://schemas.openxmlformats.org/officeDocument/2006/relationships/footer" Target="footer9.xml"/><Relationship Id="rId129" Type="http://schemas.openxmlformats.org/officeDocument/2006/relationships/image" Target="media/image34.png"/><Relationship Id="rId128" Type="http://schemas.openxmlformats.org/officeDocument/2006/relationships/image" Target="media/image33.png"/><Relationship Id="rId127" Type="http://schemas.openxmlformats.org/officeDocument/2006/relationships/image" Target="media/image32.png"/><Relationship Id="rId126" Type="http://schemas.openxmlformats.org/officeDocument/2006/relationships/image" Target="media/image31.png"/><Relationship Id="rId125" Type="http://schemas.openxmlformats.org/officeDocument/2006/relationships/image" Target="media/image30.png"/><Relationship Id="rId124" Type="http://schemas.openxmlformats.org/officeDocument/2006/relationships/image" Target="media/image29.png"/><Relationship Id="rId123" Type="http://schemas.openxmlformats.org/officeDocument/2006/relationships/image" Target="media/image28.png"/><Relationship Id="rId122" Type="http://schemas.openxmlformats.org/officeDocument/2006/relationships/image" Target="media/image27.png"/><Relationship Id="rId121" Type="http://schemas.openxmlformats.org/officeDocument/2006/relationships/image" Target="media/image26.png"/><Relationship Id="rId120" Type="http://schemas.openxmlformats.org/officeDocument/2006/relationships/image" Target="media/image25.png"/><Relationship Id="rId12" Type="http://schemas.openxmlformats.org/officeDocument/2006/relationships/footer" Target="footer8.xml"/><Relationship Id="rId119" Type="http://schemas.openxmlformats.org/officeDocument/2006/relationships/image" Target="media/image24.png"/><Relationship Id="rId118" Type="http://schemas.openxmlformats.org/officeDocument/2006/relationships/image" Target="media/image23.png"/><Relationship Id="rId117" Type="http://schemas.openxmlformats.org/officeDocument/2006/relationships/image" Target="media/image22.png"/><Relationship Id="rId116" Type="http://schemas.openxmlformats.org/officeDocument/2006/relationships/image" Target="media/image21.png"/><Relationship Id="rId115" Type="http://schemas.openxmlformats.org/officeDocument/2006/relationships/image" Target="media/image20.png"/><Relationship Id="rId114" Type="http://schemas.openxmlformats.org/officeDocument/2006/relationships/image" Target="media/image19.png"/><Relationship Id="rId113" Type="http://schemas.openxmlformats.org/officeDocument/2006/relationships/image" Target="media/image18.png"/><Relationship Id="rId112" Type="http://schemas.openxmlformats.org/officeDocument/2006/relationships/image" Target="media/image17.png"/><Relationship Id="rId111" Type="http://schemas.openxmlformats.org/officeDocument/2006/relationships/image" Target="media/image16.png"/><Relationship Id="rId110" Type="http://schemas.openxmlformats.org/officeDocument/2006/relationships/image" Target="media/image15.png"/><Relationship Id="rId11" Type="http://schemas.openxmlformats.org/officeDocument/2006/relationships/footer" Target="footer7.xml"/><Relationship Id="rId109" Type="http://schemas.openxmlformats.org/officeDocument/2006/relationships/image" Target="media/image14.png"/><Relationship Id="rId108" Type="http://schemas.openxmlformats.org/officeDocument/2006/relationships/image" Target="media/image13.png"/><Relationship Id="rId107" Type="http://schemas.openxmlformats.org/officeDocument/2006/relationships/image" Target="media/image12.png"/><Relationship Id="rId106" Type="http://schemas.openxmlformats.org/officeDocument/2006/relationships/image" Target="media/image11.png"/><Relationship Id="rId105" Type="http://schemas.openxmlformats.org/officeDocument/2006/relationships/image" Target="media/image10.png"/><Relationship Id="rId104" Type="http://schemas.openxmlformats.org/officeDocument/2006/relationships/image" Target="media/image9.jpeg"/><Relationship Id="rId103" Type="http://schemas.openxmlformats.org/officeDocument/2006/relationships/image" Target="media/image8.png"/><Relationship Id="rId102" Type="http://schemas.openxmlformats.org/officeDocument/2006/relationships/image" Target="media/image7.png"/><Relationship Id="rId101" Type="http://schemas.openxmlformats.org/officeDocument/2006/relationships/image" Target="media/image6.jpeg"/><Relationship Id="rId100" Type="http://schemas.openxmlformats.org/officeDocument/2006/relationships/image" Target="media/image5.jpe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3"/>
    <customShpInfo spid="_x0000_s1094"/>
    <customShpInfo spid="_x0000_s1092"/>
    <customShpInfo spid="_x0000_s1095"/>
    <customShpInfo spid="_x0000_s1096"/>
    <customShpInfo spid="_x0000_s1097"/>
    <customShpInfo spid="_x0000_s1098"/>
    <customShpInfo spid="_x0000_s1099"/>
    <customShpInfo spid="_x0000_s1100"/>
    <customShpInfo spid="_x0000_s1101"/>
    <customShpInfo spid="_x0000_s1103"/>
    <customShpInfo spid="_x0000_s1104"/>
    <customShpInfo spid="_x0000_s1102"/>
    <customShpInfo spid="_x0000_s1106"/>
    <customShpInfo spid="_x0000_s1107"/>
    <customShpInfo spid="_x0000_s1105"/>
    <customShpInfo spid="_x0000_s1109"/>
    <customShpInfo spid="_x0000_s1110"/>
    <customShpInfo spid="_x0000_s1108"/>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74332</Words>
  <Characters>82377</Characters>
  <TotalTime>11</TotalTime>
  <ScaleCrop>false</ScaleCrop>
  <LinksUpToDate>false</LinksUpToDate>
  <CharactersWithSpaces>87670</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2024-07-17T11:51:00Z</dcterms:created>
  <dc:creator>Administrator</dc:creator>
  <cp:lastModifiedBy>idiot</cp:lastModifiedBy>
  <dcterms:modified xsi:type="dcterms:W3CDTF">2024-07-17T06:48:03Z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2024-07-17T14:32:53Z</vt:filetime>
  </property>
  <property fmtid="{D5CDD505-2E9C-101B-9397-08002B2CF9AE}" pid="4" name="KSOProductBuildVer">
    <vt:lpwstr>2052-12.1.0.17468</vt:lpwstr>
  </property>
  <property fmtid="{D5CDD505-2E9C-101B-9397-08002B2CF9AE}" pid="5" name="ICV">
    <vt:lpwstr>E079AC6D6A294CF394DC21AFAC6ACC96_12</vt:lpwstr>
  </property>
</Properties>
</file>