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jc w:val="center"/>
        <w:rPr>
          <w:rFonts w:eastAsia="方正小标宋_GBK" w:cs="Times New Roman"/>
          <w:sz w:val="72"/>
          <w:szCs w:val="72"/>
        </w:rPr>
      </w:pPr>
      <w:r>
        <w:rPr>
          <w:rFonts w:eastAsia="方正小标宋_GBK" w:cs="Times New Roman"/>
          <w:sz w:val="72"/>
          <w:szCs w:val="72"/>
        </w:rPr>
        <w:t>建设项目环境影响报告表</w:t>
      </w:r>
    </w:p>
    <w:p>
      <w:pPr>
        <w:jc w:val="center"/>
        <w:rPr>
          <w:rFonts w:eastAsia="楷体" w:cs="Times New Roman"/>
          <w:sz w:val="48"/>
          <w:szCs w:val="48"/>
        </w:rPr>
      </w:pPr>
      <w:r>
        <w:rPr>
          <w:rFonts w:eastAsia="楷体" w:cs="Times New Roman"/>
          <w:sz w:val="48"/>
          <w:szCs w:val="48"/>
        </w:rPr>
        <w:t>（</w:t>
      </w:r>
      <w:r>
        <w:rPr>
          <w:rFonts w:hint="eastAsia" w:eastAsia="楷体" w:cs="Times New Roman"/>
          <w:sz w:val="48"/>
          <w:szCs w:val="48"/>
        </w:rPr>
        <w:t>污染影响类</w:t>
      </w:r>
      <w:r>
        <w:rPr>
          <w:rFonts w:eastAsia="楷体" w:cs="Times New Roman"/>
          <w:sz w:val="48"/>
          <w:szCs w:val="48"/>
        </w:rPr>
        <w:t>）</w:t>
      </w:r>
    </w:p>
    <w:p>
      <w:pPr>
        <w:spacing w:line="360" w:lineRule="auto"/>
        <w:jc w:val="center"/>
        <w:rPr>
          <w:rFonts w:hint="eastAsia" w:ascii="仿宋" w:hAnsi="仿宋" w:eastAsia="仿宋" w:cs="Times New Roman"/>
          <w:b/>
          <w:sz w:val="36"/>
          <w:szCs w:val="36"/>
        </w:rPr>
      </w:pPr>
      <w:r>
        <w:rPr>
          <w:rFonts w:hint="eastAsia" w:ascii="仿宋" w:hAnsi="仿宋" w:eastAsia="仿宋" w:cs="Times New Roman"/>
          <w:b/>
          <w:sz w:val="36"/>
          <w:szCs w:val="36"/>
        </w:rPr>
        <w:t>（</w:t>
      </w:r>
      <w:r>
        <w:rPr>
          <w:rFonts w:hint="eastAsia" w:ascii="仿宋" w:hAnsi="仿宋" w:eastAsia="仿宋" w:cs="Times New Roman"/>
          <w:b/>
          <w:sz w:val="36"/>
          <w:szCs w:val="36"/>
          <w:lang w:val="en-US" w:eastAsia="zh-CN"/>
        </w:rPr>
        <w:t>公示本</w:t>
      </w:r>
      <w:r>
        <w:rPr>
          <w:rFonts w:hint="eastAsia" w:ascii="仿宋" w:hAnsi="仿宋" w:eastAsia="仿宋" w:cs="Times New Roman"/>
          <w:b/>
          <w:sz w:val="36"/>
          <w:szCs w:val="36"/>
        </w:rPr>
        <w:t>）</w:t>
      </w:r>
    </w:p>
    <w:p>
      <w:pPr>
        <w:spacing w:line="360" w:lineRule="auto"/>
        <w:rPr>
          <w:rFonts w:ascii="仿宋" w:hAnsi="仿宋" w:eastAsia="仿宋" w:cs="Times New Roman"/>
          <w:b/>
          <w:sz w:val="36"/>
          <w:szCs w:val="36"/>
        </w:rPr>
      </w:pPr>
    </w:p>
    <w:p>
      <w:pPr>
        <w:spacing w:line="360" w:lineRule="auto"/>
        <w:rPr>
          <w:rFonts w:ascii="仿宋" w:hAnsi="仿宋" w:eastAsia="仿宋" w:cs="Times New Roman"/>
          <w:b/>
          <w:sz w:val="36"/>
          <w:szCs w:val="36"/>
        </w:rPr>
      </w:pPr>
    </w:p>
    <w:p>
      <w:pPr>
        <w:spacing w:line="360" w:lineRule="auto"/>
        <w:rPr>
          <w:rFonts w:ascii="仿宋" w:hAnsi="仿宋" w:eastAsia="仿宋" w:cs="Times New Roman"/>
          <w:b/>
          <w:sz w:val="36"/>
          <w:szCs w:val="36"/>
        </w:rPr>
      </w:pPr>
    </w:p>
    <w:p>
      <w:pPr>
        <w:spacing w:line="360" w:lineRule="auto"/>
        <w:rPr>
          <w:rFonts w:hint="eastAsia" w:ascii="仿宋" w:hAnsi="仿宋" w:eastAsia="仿宋" w:cs="Times New Roman"/>
          <w:b/>
          <w:sz w:val="36"/>
          <w:szCs w:val="36"/>
        </w:rPr>
      </w:pPr>
    </w:p>
    <w:p>
      <w:pPr>
        <w:pStyle w:val="2"/>
        <w:rPr>
          <w:rFonts w:hint="eastAsia"/>
        </w:rPr>
      </w:pPr>
    </w:p>
    <w:p>
      <w:pPr>
        <w:snapToGrid w:val="0"/>
        <w:spacing w:line="360" w:lineRule="auto"/>
        <w:ind w:firstLine="360" w:firstLineChars="100"/>
        <w:rPr>
          <w:rFonts w:eastAsia="仿宋" w:cs="Times New Roman"/>
          <w:sz w:val="36"/>
          <w:szCs w:val="36"/>
          <w:u w:val="single"/>
        </w:rPr>
      </w:pPr>
      <w:r>
        <w:rPr>
          <w:rFonts w:eastAsia="仿宋" w:cs="Times New Roman"/>
          <w:sz w:val="36"/>
          <w:szCs w:val="36"/>
        </w:rPr>
        <w:t>项目名称：</w:t>
      </w:r>
      <w:r>
        <w:rPr>
          <w:rFonts w:hint="eastAsia" w:eastAsia="仿宋" w:cs="Times New Roman"/>
          <w:sz w:val="34"/>
          <w:szCs w:val="36"/>
          <w:u w:val="single"/>
        </w:rPr>
        <w:t>达州市莲花湖水厂一期二阶段及配套管网工程</w:t>
      </w:r>
    </w:p>
    <w:p>
      <w:pPr>
        <w:snapToGrid w:val="0"/>
        <w:spacing w:line="360" w:lineRule="auto"/>
        <w:ind w:firstLine="360" w:firstLineChars="100"/>
        <w:rPr>
          <w:rFonts w:eastAsia="仿宋" w:cs="Times New Roman"/>
          <w:sz w:val="36"/>
          <w:szCs w:val="36"/>
          <w:u w:val="single"/>
        </w:rPr>
      </w:pPr>
      <w:r>
        <w:rPr>
          <w:rFonts w:eastAsia="仿宋" w:cs="Times New Roman"/>
          <w:sz w:val="36"/>
          <w:szCs w:val="36"/>
        </w:rPr>
        <w:t>建设单位（盖章）：</w:t>
      </w:r>
      <w:r>
        <w:rPr>
          <w:rFonts w:hint="eastAsia" w:eastAsia="仿宋" w:cs="Times New Roman"/>
          <w:sz w:val="36"/>
          <w:szCs w:val="36"/>
          <w:u w:val="single"/>
        </w:rPr>
        <w:t xml:space="preserve">    达州水务集团有限公司    </w:t>
      </w:r>
    </w:p>
    <w:p>
      <w:pPr>
        <w:snapToGrid w:val="0"/>
        <w:spacing w:line="360" w:lineRule="auto"/>
        <w:ind w:firstLine="360" w:firstLineChars="100"/>
        <w:rPr>
          <w:rFonts w:eastAsia="仿宋" w:cs="Times New Roman"/>
          <w:sz w:val="36"/>
          <w:szCs w:val="36"/>
        </w:rPr>
      </w:pPr>
      <w:r>
        <w:rPr>
          <w:rFonts w:eastAsia="仿宋" w:cs="Times New Roman"/>
          <w:sz w:val="36"/>
          <w:szCs w:val="36"/>
        </w:rPr>
        <w:t>编制日期：</w:t>
      </w:r>
      <w:r>
        <w:rPr>
          <w:rFonts w:eastAsia="仿宋" w:cs="Times New Roman"/>
          <w:sz w:val="36"/>
          <w:szCs w:val="36"/>
          <w:u w:val="single"/>
        </w:rPr>
        <w:t xml:space="preserve">             </w:t>
      </w:r>
      <w:r>
        <w:rPr>
          <w:rFonts w:hint="eastAsia" w:eastAsia="仿宋" w:cs="Times New Roman"/>
          <w:sz w:val="36"/>
          <w:szCs w:val="36"/>
          <w:u w:val="single"/>
        </w:rPr>
        <w:t xml:space="preserve"> </w:t>
      </w:r>
      <w:r>
        <w:rPr>
          <w:rFonts w:eastAsia="仿宋" w:cs="Times New Roman"/>
          <w:sz w:val="36"/>
          <w:szCs w:val="36"/>
          <w:u w:val="single"/>
        </w:rPr>
        <w:t>202</w:t>
      </w:r>
      <w:r>
        <w:rPr>
          <w:rFonts w:hint="eastAsia" w:eastAsia="仿宋" w:cs="Times New Roman"/>
          <w:sz w:val="36"/>
          <w:szCs w:val="36"/>
          <w:u w:val="single"/>
        </w:rPr>
        <w:t>3</w:t>
      </w:r>
      <w:r>
        <w:rPr>
          <w:rFonts w:eastAsia="仿宋" w:cs="Times New Roman"/>
          <w:sz w:val="36"/>
          <w:szCs w:val="36"/>
          <w:u w:val="single"/>
        </w:rPr>
        <w:t>年</w:t>
      </w:r>
      <w:r>
        <w:rPr>
          <w:rFonts w:hint="eastAsia" w:eastAsia="仿宋" w:cs="Times New Roman"/>
          <w:sz w:val="36"/>
          <w:szCs w:val="36"/>
          <w:u w:val="single"/>
          <w:lang w:val="en-US" w:eastAsia="zh-CN"/>
        </w:rPr>
        <w:t>6</w:t>
      </w:r>
      <w:bookmarkStart w:id="3" w:name="_GoBack"/>
      <w:bookmarkEnd w:id="3"/>
      <w:r>
        <w:rPr>
          <w:rFonts w:eastAsia="仿宋" w:cs="Times New Roman"/>
          <w:sz w:val="36"/>
          <w:szCs w:val="36"/>
          <w:u w:val="single"/>
        </w:rPr>
        <w:t xml:space="preserve">月    </w:t>
      </w:r>
      <w:r>
        <w:rPr>
          <w:rFonts w:hint="eastAsia" w:eastAsia="仿宋" w:cs="Times New Roman"/>
          <w:sz w:val="36"/>
          <w:szCs w:val="36"/>
          <w:u w:val="single"/>
        </w:rPr>
        <w:t xml:space="preserve">  </w:t>
      </w:r>
      <w:r>
        <w:rPr>
          <w:rFonts w:eastAsia="仿宋" w:cs="Times New Roman"/>
          <w:sz w:val="36"/>
          <w:szCs w:val="36"/>
          <w:u w:val="single"/>
        </w:rPr>
        <w:t xml:space="preserve">   </w:t>
      </w:r>
    </w:p>
    <w:p>
      <w:pPr>
        <w:snapToGrid w:val="0"/>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jc w:val="center"/>
        <w:rPr>
          <w:rFonts w:ascii="楷体" w:hAnsi="楷体" w:eastAsia="楷体"/>
          <w:sz w:val="36"/>
          <w:szCs w:val="36"/>
        </w:rPr>
      </w:pPr>
      <w:r>
        <w:rPr>
          <w:rFonts w:hint="eastAsia" w:ascii="楷体" w:hAnsi="楷体" w:eastAsia="楷体" w:cs="Times New Roman"/>
          <w:sz w:val="36"/>
          <w:szCs w:val="36"/>
        </w:rPr>
        <w:t>中华人民共和国生态环境部 制</w:t>
      </w:r>
    </w:p>
    <w:p>
      <w:pPr>
        <w:spacing w:line="360" w:lineRule="auto"/>
        <w:rPr>
          <w:rFonts w:cs="Times New Roman"/>
          <w:sz w:val="28"/>
          <w:szCs w:val="28"/>
        </w:rPr>
      </w:pPr>
    </w:p>
    <w:p>
      <w:pPr>
        <w:spacing w:line="360" w:lineRule="auto"/>
        <w:rPr>
          <w:b/>
          <w:color w:val="FF00FF"/>
          <w:sz w:val="28"/>
          <w:szCs w:val="28"/>
        </w:rPr>
        <w:sectPr>
          <w:pgSz w:w="11906" w:h="16838"/>
          <w:pgMar w:top="1134" w:right="1134" w:bottom="1134" w:left="1418" w:header="851" w:footer="992" w:gutter="0"/>
          <w:cols w:space="720" w:num="1"/>
          <w:docGrid w:type="lines" w:linePitch="312" w:charSpace="0"/>
        </w:sectPr>
      </w:pPr>
    </w:p>
    <w:p>
      <w:pPr>
        <w:pStyle w:val="60"/>
        <w:jc w:val="center"/>
        <w:rPr>
          <w:szCs w:val="24"/>
        </w:rPr>
      </w:pPr>
      <w:r>
        <w:rPr>
          <w:rFonts w:ascii="黑体" w:hAnsi="黑体" w:eastAsia="黑体"/>
          <w:b w:val="0"/>
          <w:sz w:val="30"/>
          <w:szCs w:val="30"/>
        </w:rPr>
        <w:t>一</w:t>
      </w:r>
      <w:r>
        <w:rPr>
          <w:rFonts w:hint="eastAsia" w:ascii="黑体" w:hAnsi="黑体" w:eastAsia="黑体"/>
          <w:b w:val="0"/>
          <w:sz w:val="30"/>
          <w:szCs w:val="30"/>
        </w:rPr>
        <w:t>、</w:t>
      </w:r>
      <w:r>
        <w:rPr>
          <w:rFonts w:ascii="黑体" w:hAnsi="黑体" w:eastAsia="黑体"/>
          <w:b w:val="0"/>
          <w:sz w:val="30"/>
          <w:szCs w:val="30"/>
        </w:rPr>
        <w:t>建设项目基本情况</w:t>
      </w:r>
    </w:p>
    <w:tbl>
      <w:tblPr>
        <w:tblStyle w:val="26"/>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699"/>
        <w:gridCol w:w="2219"/>
        <w:gridCol w:w="2121"/>
        <w:gridCol w:w="3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8" w:type="dxa"/>
            <w:gridSpan w:val="2"/>
            <w:noWrap w:val="0"/>
            <w:vAlign w:val="center"/>
          </w:tcPr>
          <w:p>
            <w:pPr>
              <w:jc w:val="center"/>
              <w:rPr>
                <w:rFonts w:cs="Times New Roman"/>
                <w:szCs w:val="21"/>
              </w:rPr>
            </w:pPr>
            <w:r>
              <w:rPr>
                <w:rFonts w:cs="Times New Roman"/>
                <w:szCs w:val="21"/>
              </w:rPr>
              <w:t>建设项目名称</w:t>
            </w:r>
          </w:p>
        </w:tc>
        <w:tc>
          <w:tcPr>
            <w:tcW w:w="7852" w:type="dxa"/>
            <w:gridSpan w:val="3"/>
            <w:noWrap w:val="0"/>
            <w:vAlign w:val="center"/>
          </w:tcPr>
          <w:p>
            <w:pPr>
              <w:jc w:val="center"/>
              <w:rPr>
                <w:rFonts w:hint="eastAsia" w:cs="Times New Roman"/>
                <w:szCs w:val="21"/>
              </w:rPr>
            </w:pPr>
            <w:r>
              <w:rPr>
                <w:rFonts w:hint="eastAsia"/>
                <w:bCs/>
                <w:szCs w:val="21"/>
              </w:rPr>
              <w:t>达州市莲花湖水厂一期二阶段及配套管网工程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8" w:type="dxa"/>
            <w:gridSpan w:val="2"/>
            <w:noWrap w:val="0"/>
            <w:vAlign w:val="center"/>
          </w:tcPr>
          <w:p>
            <w:pPr>
              <w:jc w:val="center"/>
              <w:rPr>
                <w:rFonts w:cs="Times New Roman"/>
                <w:szCs w:val="21"/>
              </w:rPr>
            </w:pPr>
            <w:r>
              <w:rPr>
                <w:rFonts w:cs="Times New Roman"/>
                <w:szCs w:val="21"/>
              </w:rPr>
              <w:t>项目代码</w:t>
            </w:r>
          </w:p>
        </w:tc>
        <w:tc>
          <w:tcPr>
            <w:tcW w:w="7852" w:type="dxa"/>
            <w:gridSpan w:val="3"/>
            <w:noWrap w:val="0"/>
            <w:vAlign w:val="center"/>
          </w:tcPr>
          <w:p>
            <w:pPr>
              <w:jc w:val="center"/>
              <w:rPr>
                <w:rFonts w:cs="Times New Roman"/>
                <w:szCs w:val="21"/>
              </w:rPr>
            </w:pPr>
            <w:r>
              <w:rPr>
                <w:rFonts w:hint="eastAsia" w:cs="Times New Roman"/>
                <w:szCs w:val="21"/>
              </w:rPr>
              <w:t>达市发改审〔2022〕55号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8" w:type="dxa"/>
            <w:gridSpan w:val="2"/>
            <w:noWrap w:val="0"/>
            <w:vAlign w:val="center"/>
          </w:tcPr>
          <w:p>
            <w:pPr>
              <w:jc w:val="center"/>
              <w:rPr>
                <w:rFonts w:cs="Times New Roman"/>
                <w:szCs w:val="21"/>
              </w:rPr>
            </w:pPr>
            <w:r>
              <w:rPr>
                <w:rFonts w:cs="Times New Roman"/>
                <w:szCs w:val="21"/>
              </w:rPr>
              <w:t>建设单位联系人</w:t>
            </w:r>
          </w:p>
        </w:tc>
        <w:tc>
          <w:tcPr>
            <w:tcW w:w="2205" w:type="dxa"/>
            <w:noWrap w:val="0"/>
            <w:vAlign w:val="center"/>
          </w:tcPr>
          <w:p>
            <w:pPr>
              <w:jc w:val="center"/>
              <w:rPr>
                <w:rFonts w:cs="Times New Roman"/>
                <w:szCs w:val="21"/>
              </w:rPr>
            </w:pPr>
            <w:r>
              <w:rPr>
                <w:rFonts w:hint="eastAsia" w:cs="Times New Roman"/>
                <w:szCs w:val="21"/>
              </w:rPr>
              <w:t>钱伟</w:t>
            </w:r>
          </w:p>
        </w:tc>
        <w:tc>
          <w:tcPr>
            <w:tcW w:w="2025" w:type="dxa"/>
            <w:noWrap w:val="0"/>
            <w:vAlign w:val="center"/>
          </w:tcPr>
          <w:p>
            <w:pPr>
              <w:jc w:val="center"/>
              <w:rPr>
                <w:rFonts w:cs="Times New Roman"/>
                <w:szCs w:val="21"/>
              </w:rPr>
            </w:pPr>
            <w:r>
              <w:rPr>
                <w:rFonts w:cs="Times New Roman"/>
                <w:szCs w:val="21"/>
              </w:rPr>
              <w:t>联系方式</w:t>
            </w:r>
          </w:p>
        </w:tc>
        <w:tc>
          <w:tcPr>
            <w:tcW w:w="3622" w:type="dxa"/>
            <w:noWrap w:val="0"/>
            <w:vAlign w:val="center"/>
          </w:tcPr>
          <w:p>
            <w:pPr>
              <w:jc w:val="center"/>
              <w:rPr>
                <w:rFonts w:cs="Times New Roman"/>
                <w:szCs w:val="21"/>
              </w:rPr>
            </w:pPr>
            <w:r>
              <w:rPr>
                <w:rFonts w:cs="Times New Roman"/>
                <w:szCs w:val="21"/>
              </w:rPr>
              <w:t>18780048681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8" w:type="dxa"/>
            <w:gridSpan w:val="2"/>
            <w:noWrap w:val="0"/>
            <w:vAlign w:val="center"/>
          </w:tcPr>
          <w:p>
            <w:pPr>
              <w:jc w:val="center"/>
              <w:rPr>
                <w:rFonts w:cs="Times New Roman"/>
                <w:szCs w:val="21"/>
              </w:rPr>
            </w:pPr>
            <w:r>
              <w:rPr>
                <w:rFonts w:cs="Times New Roman"/>
                <w:szCs w:val="21"/>
              </w:rPr>
              <w:t>建设地点</w:t>
            </w:r>
          </w:p>
        </w:tc>
        <w:tc>
          <w:tcPr>
            <w:tcW w:w="7852" w:type="dxa"/>
            <w:gridSpan w:val="3"/>
            <w:noWrap w:val="0"/>
            <w:vAlign w:val="center"/>
          </w:tcPr>
          <w:p>
            <w:pPr>
              <w:jc w:val="center"/>
              <w:rPr>
                <w:rFonts w:cs="Times New Roman"/>
                <w:szCs w:val="21"/>
              </w:rPr>
            </w:pPr>
            <w:r>
              <w:rPr>
                <w:rFonts w:hint="eastAsia" w:cs="Times New Roman"/>
                <w:szCs w:val="21"/>
              </w:rPr>
              <w:t>达州通川区邱家店社区、新酢坊社区（现莲花湖水厂西侧）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8" w:type="dxa"/>
            <w:gridSpan w:val="2"/>
            <w:noWrap w:val="0"/>
            <w:vAlign w:val="center"/>
          </w:tcPr>
          <w:p>
            <w:pPr>
              <w:jc w:val="center"/>
              <w:rPr>
                <w:rFonts w:cs="Times New Roman"/>
                <w:szCs w:val="21"/>
              </w:rPr>
            </w:pPr>
            <w:r>
              <w:rPr>
                <w:rFonts w:cs="Times New Roman"/>
                <w:szCs w:val="21"/>
              </w:rPr>
              <w:t>地理坐标</w:t>
            </w:r>
          </w:p>
        </w:tc>
        <w:tc>
          <w:tcPr>
            <w:tcW w:w="7852" w:type="dxa"/>
            <w:gridSpan w:val="3"/>
            <w:noWrap w:val="0"/>
            <w:vAlign w:val="center"/>
          </w:tcPr>
          <w:p>
            <w:pPr>
              <w:jc w:val="center"/>
              <w:rPr>
                <w:rFonts w:cs="Times New Roman"/>
                <w:szCs w:val="21"/>
              </w:rPr>
            </w:pPr>
            <w:r>
              <w:rPr>
                <w:rFonts w:hint="eastAsia" w:cs="Times New Roman"/>
                <w:szCs w:val="21"/>
              </w:rPr>
              <w:t>（ 107度 28分 23.5478 秒，  31  度 15 分 00.3047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8" w:type="dxa"/>
            <w:gridSpan w:val="2"/>
            <w:noWrap w:val="0"/>
            <w:vAlign w:val="center"/>
          </w:tcPr>
          <w:p>
            <w:pPr>
              <w:jc w:val="center"/>
              <w:rPr>
                <w:rFonts w:cs="Times New Roman"/>
                <w:szCs w:val="21"/>
              </w:rPr>
            </w:pPr>
            <w:r>
              <w:rPr>
                <w:rFonts w:hint="eastAsia" w:cs="Times New Roman"/>
                <w:szCs w:val="21"/>
              </w:rPr>
              <w:t>国民经济</w:t>
            </w:r>
          </w:p>
          <w:p>
            <w:pPr>
              <w:jc w:val="center"/>
              <w:rPr>
                <w:rFonts w:cs="Times New Roman"/>
                <w:szCs w:val="21"/>
              </w:rPr>
            </w:pPr>
            <w:r>
              <w:rPr>
                <w:rFonts w:hint="eastAsia" w:cs="Times New Roman"/>
                <w:szCs w:val="21"/>
              </w:rPr>
              <w:t>行业类别</w:t>
            </w:r>
          </w:p>
        </w:tc>
        <w:tc>
          <w:tcPr>
            <w:tcW w:w="2205" w:type="dxa"/>
            <w:noWrap w:val="0"/>
            <w:vAlign w:val="center"/>
          </w:tcPr>
          <w:p>
            <w:pPr>
              <w:jc w:val="center"/>
              <w:rPr>
                <w:rFonts w:cs="Times New Roman"/>
                <w:szCs w:val="21"/>
              </w:rPr>
            </w:pPr>
            <w:r>
              <w:rPr>
                <w:rFonts w:hint="eastAsia" w:cs="Times New Roman"/>
                <w:szCs w:val="21"/>
              </w:rPr>
              <w:t>D</w:t>
            </w:r>
            <w:r>
              <w:rPr>
                <w:rFonts w:cs="Times New Roman"/>
                <w:szCs w:val="21"/>
              </w:rPr>
              <w:t>4610 自来水生产和供应</w:t>
            </w:r>
          </w:p>
        </w:tc>
        <w:tc>
          <w:tcPr>
            <w:tcW w:w="2025" w:type="dxa"/>
            <w:noWrap w:val="0"/>
            <w:vAlign w:val="center"/>
          </w:tcPr>
          <w:p>
            <w:pPr>
              <w:jc w:val="center"/>
              <w:rPr>
                <w:rFonts w:cs="Times New Roman"/>
                <w:szCs w:val="21"/>
              </w:rPr>
            </w:pPr>
            <w:r>
              <w:rPr>
                <w:rFonts w:hint="eastAsia" w:cs="Times New Roman"/>
                <w:szCs w:val="21"/>
              </w:rPr>
              <w:t>建设项目</w:t>
            </w:r>
          </w:p>
          <w:p>
            <w:pPr>
              <w:jc w:val="center"/>
              <w:rPr>
                <w:rFonts w:cs="Times New Roman"/>
                <w:szCs w:val="21"/>
              </w:rPr>
            </w:pPr>
            <w:r>
              <w:rPr>
                <w:rFonts w:hint="eastAsia" w:cs="Times New Roman"/>
                <w:szCs w:val="21"/>
              </w:rPr>
              <w:t>行业类别</w:t>
            </w:r>
          </w:p>
        </w:tc>
        <w:tc>
          <w:tcPr>
            <w:tcW w:w="3622" w:type="dxa"/>
            <w:noWrap w:val="0"/>
            <w:vAlign w:val="center"/>
          </w:tcPr>
          <w:p>
            <w:pPr>
              <w:jc w:val="center"/>
              <w:rPr>
                <w:color w:val="FF0000"/>
                <w:szCs w:val="21"/>
              </w:rPr>
            </w:pPr>
            <w:r>
              <w:rPr>
                <w:rFonts w:cs="Times New Roman"/>
                <w:szCs w:val="21"/>
              </w:rPr>
              <w:t>四十三、水的生产和供应业—94.自来水生产和供应461（不含供应工程；不含村庄供应工程）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8" w:type="dxa"/>
            <w:gridSpan w:val="2"/>
            <w:noWrap w:val="0"/>
            <w:vAlign w:val="center"/>
          </w:tcPr>
          <w:p>
            <w:pPr>
              <w:jc w:val="center"/>
              <w:rPr>
                <w:rFonts w:cs="Times New Roman"/>
                <w:szCs w:val="21"/>
              </w:rPr>
            </w:pPr>
            <w:r>
              <w:rPr>
                <w:rFonts w:cs="Times New Roman"/>
                <w:szCs w:val="21"/>
              </w:rPr>
              <w:t>建设性质</w:t>
            </w:r>
          </w:p>
        </w:tc>
        <w:tc>
          <w:tcPr>
            <w:tcW w:w="2205" w:type="dxa"/>
            <w:noWrap w:val="0"/>
            <w:vAlign w:val="center"/>
          </w:tcPr>
          <w:p>
            <w:pPr>
              <w:rPr>
                <w:rFonts w:cs="Times New Roman"/>
                <w:szCs w:val="21"/>
              </w:rPr>
            </w:pPr>
            <w:r>
              <w:rPr>
                <w:rFonts w:ascii="宋体" w:hAnsi="宋体" w:cs="Times New Roman"/>
                <w:szCs w:val="21"/>
              </w:rPr>
              <w:sym w:font="Wingdings 2" w:char="00A3"/>
            </w:r>
            <w:r>
              <w:rPr>
                <w:rFonts w:cs="Times New Roman"/>
                <w:szCs w:val="21"/>
              </w:rPr>
              <w:t>新建（迁建）</w:t>
            </w:r>
          </w:p>
          <w:p>
            <w:pPr>
              <w:rPr>
                <w:rFonts w:ascii="宋体" w:hAnsi="宋体" w:cs="Times New Roman"/>
                <w:szCs w:val="21"/>
              </w:rPr>
            </w:pPr>
            <w:r>
              <w:rPr>
                <w:rFonts w:ascii="宋体" w:hAnsi="宋体" w:cs="Times New Roman"/>
                <w:szCs w:val="21"/>
              </w:rPr>
              <w:sym w:font="Wingdings 2" w:char="00A3"/>
            </w:r>
            <w:r>
              <w:rPr>
                <w:rFonts w:ascii="宋体" w:hAnsi="宋体" w:cs="Times New Roman"/>
                <w:szCs w:val="21"/>
              </w:rPr>
              <w:t>改建</w:t>
            </w:r>
          </w:p>
          <w:p>
            <w:pPr>
              <w:rPr>
                <w:rFonts w:ascii="宋体" w:hAnsi="宋体" w:cs="Times New Roman"/>
                <w:szCs w:val="21"/>
              </w:rPr>
            </w:pPr>
            <w:r>
              <w:rPr>
                <w:rFonts w:cs="Times New Roman"/>
                <w:szCs w:val="21"/>
              </w:rPr>
              <w:sym w:font="Wingdings 2" w:char="0052"/>
            </w:r>
            <w:r>
              <w:rPr>
                <w:rFonts w:ascii="宋体" w:hAnsi="宋体" w:cs="Times New Roman"/>
                <w:szCs w:val="21"/>
              </w:rPr>
              <w:t>扩建</w:t>
            </w:r>
          </w:p>
          <w:p>
            <w:pPr>
              <w:rPr>
                <w:rFonts w:cs="Times New Roman"/>
                <w:szCs w:val="21"/>
              </w:rPr>
            </w:pPr>
            <w:r>
              <w:rPr>
                <w:rFonts w:ascii="宋体" w:hAnsi="宋体" w:cs="Times New Roman"/>
                <w:szCs w:val="21"/>
              </w:rPr>
              <w:sym w:font="Wingdings 2" w:char="00A3"/>
            </w:r>
            <w:r>
              <w:rPr>
                <w:rFonts w:ascii="宋体" w:hAnsi="宋体" w:cs="Times New Roman"/>
                <w:szCs w:val="21"/>
              </w:rPr>
              <w:t>技术改造</w:t>
            </w:r>
          </w:p>
        </w:tc>
        <w:tc>
          <w:tcPr>
            <w:tcW w:w="2025" w:type="dxa"/>
            <w:noWrap w:val="0"/>
            <w:vAlign w:val="center"/>
          </w:tcPr>
          <w:p>
            <w:pPr>
              <w:jc w:val="center"/>
              <w:rPr>
                <w:rFonts w:cs="Times New Roman"/>
                <w:szCs w:val="21"/>
              </w:rPr>
            </w:pPr>
            <w:r>
              <w:rPr>
                <w:rFonts w:cs="Times New Roman"/>
                <w:szCs w:val="21"/>
              </w:rPr>
              <w:t>建设项目</w:t>
            </w:r>
          </w:p>
          <w:p>
            <w:pPr>
              <w:jc w:val="center"/>
              <w:rPr>
                <w:rFonts w:cs="Times New Roman"/>
                <w:szCs w:val="21"/>
              </w:rPr>
            </w:pPr>
            <w:r>
              <w:rPr>
                <w:rFonts w:cs="Times New Roman"/>
                <w:szCs w:val="21"/>
              </w:rPr>
              <w:t>申报情形</w:t>
            </w:r>
          </w:p>
        </w:tc>
        <w:tc>
          <w:tcPr>
            <w:tcW w:w="3622" w:type="dxa"/>
            <w:noWrap w:val="0"/>
            <w:vAlign w:val="center"/>
          </w:tcPr>
          <w:p>
            <w:pPr>
              <w:rPr>
                <w:rFonts w:ascii="宋体" w:hAnsi="宋体" w:cs="Times New Roman"/>
                <w:szCs w:val="21"/>
              </w:rPr>
            </w:pPr>
            <w:r>
              <w:rPr>
                <w:rFonts w:cs="Times New Roman"/>
                <w:szCs w:val="21"/>
              </w:rPr>
              <w:sym w:font="Wingdings 2" w:char="F052"/>
            </w:r>
            <w:r>
              <w:rPr>
                <w:rFonts w:ascii="宋体" w:hAnsi="宋体" w:cs="Times New Roman"/>
                <w:szCs w:val="21"/>
              </w:rPr>
              <w:t>首次申报项目</w:t>
            </w:r>
          </w:p>
          <w:p>
            <w:pPr>
              <w:rPr>
                <w:rFonts w:ascii="宋体" w:hAnsi="宋体" w:cs="Times New Roman"/>
                <w:szCs w:val="21"/>
              </w:rPr>
            </w:pPr>
            <w:r>
              <w:rPr>
                <w:rFonts w:ascii="宋体" w:hAnsi="宋体" w:cs="Times New Roman"/>
                <w:szCs w:val="21"/>
              </w:rPr>
              <w:sym w:font="Wingdings 2" w:char="00A3"/>
            </w:r>
            <w:r>
              <w:rPr>
                <w:rFonts w:ascii="宋体" w:hAnsi="宋体" w:cs="Times New Roman"/>
                <w:szCs w:val="21"/>
              </w:rPr>
              <w:t>不予批准后再次申报项目</w:t>
            </w:r>
          </w:p>
          <w:p>
            <w:pPr>
              <w:rPr>
                <w:rFonts w:ascii="宋体" w:hAnsi="宋体" w:cs="Times New Roman"/>
                <w:szCs w:val="21"/>
              </w:rPr>
            </w:pPr>
            <w:r>
              <w:rPr>
                <w:rFonts w:ascii="宋体" w:hAnsi="宋体" w:cs="Times New Roman"/>
                <w:szCs w:val="21"/>
              </w:rPr>
              <w:sym w:font="Wingdings 2" w:char="00A3"/>
            </w:r>
            <w:r>
              <w:rPr>
                <w:rFonts w:ascii="宋体" w:hAnsi="宋体" w:cs="Times New Roman"/>
                <w:szCs w:val="21"/>
              </w:rPr>
              <w:t>超五年重新审核项目</w:t>
            </w:r>
          </w:p>
          <w:p>
            <w:pPr>
              <w:rPr>
                <w:rFonts w:cs="Times New Roman"/>
                <w:szCs w:val="21"/>
              </w:rPr>
            </w:pPr>
            <w:r>
              <w:rPr>
                <w:rFonts w:ascii="宋体" w:hAnsi="宋体" w:cs="Times New Roman"/>
                <w:szCs w:val="21"/>
              </w:rPr>
              <w:sym w:font="Wingdings 2" w:char="00A3"/>
            </w:r>
            <w:r>
              <w:rPr>
                <w:rFonts w:ascii="宋体" w:hAnsi="宋体" w:cs="Times New Roman"/>
                <w:szCs w:val="21"/>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8" w:type="dxa"/>
            <w:gridSpan w:val="2"/>
            <w:noWrap w:val="0"/>
            <w:vAlign w:val="center"/>
          </w:tcPr>
          <w:p>
            <w:pPr>
              <w:jc w:val="center"/>
              <w:rPr>
                <w:rFonts w:cs="Times New Roman"/>
                <w:szCs w:val="21"/>
              </w:rPr>
            </w:pPr>
            <w:r>
              <w:rPr>
                <w:rFonts w:hint="eastAsia" w:cs="Times New Roman"/>
                <w:szCs w:val="21"/>
              </w:rPr>
              <w:t>项目</w:t>
            </w:r>
          </w:p>
          <w:p>
            <w:pPr>
              <w:jc w:val="center"/>
              <w:rPr>
                <w:rFonts w:cs="Times New Roman"/>
                <w:szCs w:val="21"/>
              </w:rPr>
            </w:pPr>
            <w:r>
              <w:rPr>
                <w:rFonts w:hint="eastAsia" w:cs="Times New Roman"/>
                <w:szCs w:val="21"/>
              </w:rPr>
              <w:t>备案部门</w:t>
            </w:r>
          </w:p>
        </w:tc>
        <w:tc>
          <w:tcPr>
            <w:tcW w:w="2205" w:type="dxa"/>
            <w:noWrap w:val="0"/>
            <w:vAlign w:val="center"/>
          </w:tcPr>
          <w:p>
            <w:pPr>
              <w:jc w:val="center"/>
              <w:rPr>
                <w:rFonts w:hint="eastAsia" w:cs="Times New Roman"/>
                <w:szCs w:val="21"/>
              </w:rPr>
            </w:pPr>
            <w:r>
              <w:rPr>
                <w:rFonts w:cs="Times New Roman"/>
                <w:szCs w:val="21"/>
              </w:rPr>
              <w:t>达州市发展和改革</w:t>
            </w:r>
          </w:p>
          <w:p>
            <w:pPr>
              <w:jc w:val="center"/>
              <w:rPr>
                <w:rFonts w:cs="Times New Roman"/>
                <w:szCs w:val="21"/>
              </w:rPr>
            </w:pPr>
            <w:r>
              <w:rPr>
                <w:rFonts w:cs="Times New Roman"/>
                <w:szCs w:val="21"/>
              </w:rPr>
              <w:t>委员会</w:t>
            </w:r>
          </w:p>
        </w:tc>
        <w:tc>
          <w:tcPr>
            <w:tcW w:w="2025" w:type="dxa"/>
            <w:noWrap w:val="0"/>
            <w:vAlign w:val="center"/>
          </w:tcPr>
          <w:p>
            <w:pPr>
              <w:jc w:val="center"/>
              <w:rPr>
                <w:rFonts w:cs="Times New Roman"/>
                <w:szCs w:val="21"/>
              </w:rPr>
            </w:pPr>
            <w:r>
              <w:rPr>
                <w:rFonts w:hint="eastAsia" w:cs="Times New Roman"/>
                <w:szCs w:val="21"/>
              </w:rPr>
              <w:t>项目</w:t>
            </w:r>
          </w:p>
          <w:p>
            <w:pPr>
              <w:jc w:val="center"/>
              <w:rPr>
                <w:rFonts w:cs="Times New Roman"/>
                <w:szCs w:val="21"/>
              </w:rPr>
            </w:pPr>
            <w:r>
              <w:rPr>
                <w:rFonts w:hint="eastAsia" w:cs="Times New Roman"/>
                <w:szCs w:val="21"/>
              </w:rPr>
              <w:t>备案文号</w:t>
            </w:r>
          </w:p>
        </w:tc>
        <w:tc>
          <w:tcPr>
            <w:tcW w:w="3622" w:type="dxa"/>
            <w:noWrap w:val="0"/>
            <w:vAlign w:val="center"/>
          </w:tcPr>
          <w:p>
            <w:pPr>
              <w:jc w:val="center"/>
              <w:rPr>
                <w:rFonts w:cs="Times New Roman"/>
                <w:szCs w:val="21"/>
              </w:rPr>
            </w:pPr>
            <w:r>
              <w:rPr>
                <w:rFonts w:hint="eastAsia" w:cs="Times New Roman"/>
                <w:szCs w:val="21"/>
              </w:rPr>
              <w:t>达市发改审〔2022〕55号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8" w:type="dxa"/>
            <w:gridSpan w:val="2"/>
            <w:noWrap w:val="0"/>
            <w:vAlign w:val="center"/>
          </w:tcPr>
          <w:p>
            <w:pPr>
              <w:jc w:val="center"/>
              <w:rPr>
                <w:rFonts w:cs="Times New Roman"/>
                <w:szCs w:val="21"/>
              </w:rPr>
            </w:pPr>
            <w:r>
              <w:rPr>
                <w:rFonts w:hint="eastAsia" w:cs="Times New Roman"/>
                <w:szCs w:val="21"/>
              </w:rPr>
              <w:t>总投资（万元）</w:t>
            </w:r>
          </w:p>
        </w:tc>
        <w:tc>
          <w:tcPr>
            <w:tcW w:w="2205" w:type="dxa"/>
            <w:noWrap w:val="0"/>
            <w:vAlign w:val="center"/>
          </w:tcPr>
          <w:p>
            <w:pPr>
              <w:jc w:val="center"/>
              <w:rPr>
                <w:rFonts w:cs="Times New Roman"/>
                <w:szCs w:val="21"/>
              </w:rPr>
            </w:pPr>
            <w:r>
              <w:rPr>
                <w:rFonts w:cs="Times New Roman"/>
                <w:szCs w:val="21"/>
              </w:rPr>
              <w:t>62064</w:t>
            </w:r>
          </w:p>
        </w:tc>
        <w:tc>
          <w:tcPr>
            <w:tcW w:w="2025" w:type="dxa"/>
            <w:noWrap w:val="0"/>
            <w:vAlign w:val="center"/>
          </w:tcPr>
          <w:p>
            <w:pPr>
              <w:jc w:val="center"/>
              <w:rPr>
                <w:rFonts w:hint="eastAsia" w:cs="Times New Roman"/>
                <w:szCs w:val="21"/>
              </w:rPr>
            </w:pPr>
            <w:r>
              <w:rPr>
                <w:rFonts w:hint="eastAsia" w:cs="Times New Roman"/>
                <w:szCs w:val="21"/>
              </w:rPr>
              <w:t>环保投资</w:t>
            </w:r>
          </w:p>
          <w:p>
            <w:pPr>
              <w:jc w:val="center"/>
              <w:rPr>
                <w:rFonts w:cs="Times New Roman"/>
                <w:szCs w:val="21"/>
              </w:rPr>
            </w:pPr>
            <w:r>
              <w:rPr>
                <w:rFonts w:hint="eastAsia" w:cs="Times New Roman"/>
                <w:szCs w:val="21"/>
              </w:rPr>
              <w:t>（万元）</w:t>
            </w:r>
          </w:p>
        </w:tc>
        <w:tc>
          <w:tcPr>
            <w:tcW w:w="3622" w:type="dxa"/>
            <w:noWrap w:val="0"/>
            <w:vAlign w:val="center"/>
          </w:tcPr>
          <w:p>
            <w:pPr>
              <w:jc w:val="center"/>
              <w:rPr>
                <w:rFonts w:cs="Times New Roman"/>
                <w:szCs w:val="21"/>
              </w:rPr>
            </w:pPr>
            <w:r>
              <w:rPr>
                <w:rFonts w:hint="eastAsia" w:cs="Times New Roman"/>
                <w:szCs w:val="21"/>
              </w:rPr>
              <w:t>277.50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8" w:type="dxa"/>
            <w:gridSpan w:val="2"/>
            <w:noWrap w:val="0"/>
            <w:vAlign w:val="center"/>
          </w:tcPr>
          <w:p>
            <w:pPr>
              <w:jc w:val="center"/>
              <w:rPr>
                <w:rFonts w:cs="Times New Roman"/>
                <w:szCs w:val="21"/>
              </w:rPr>
            </w:pPr>
            <w:r>
              <w:rPr>
                <w:rFonts w:hint="eastAsia" w:cs="Times New Roman"/>
                <w:szCs w:val="21"/>
              </w:rPr>
              <w:t>环保投资占比（%）</w:t>
            </w:r>
          </w:p>
        </w:tc>
        <w:tc>
          <w:tcPr>
            <w:tcW w:w="2205" w:type="dxa"/>
            <w:noWrap w:val="0"/>
            <w:vAlign w:val="center"/>
          </w:tcPr>
          <w:p>
            <w:pPr>
              <w:jc w:val="center"/>
              <w:rPr>
                <w:rFonts w:cs="Times New Roman"/>
                <w:szCs w:val="21"/>
              </w:rPr>
            </w:pPr>
            <w:r>
              <w:rPr>
                <w:rFonts w:hint="eastAsia" w:cs="Times New Roman"/>
                <w:szCs w:val="21"/>
              </w:rPr>
              <w:t>0.45</w:t>
            </w:r>
          </w:p>
        </w:tc>
        <w:tc>
          <w:tcPr>
            <w:tcW w:w="2025" w:type="dxa"/>
            <w:noWrap w:val="0"/>
            <w:vAlign w:val="center"/>
          </w:tcPr>
          <w:p>
            <w:pPr>
              <w:jc w:val="center"/>
              <w:rPr>
                <w:rFonts w:cs="Times New Roman"/>
                <w:szCs w:val="21"/>
              </w:rPr>
            </w:pPr>
            <w:r>
              <w:rPr>
                <w:rFonts w:hint="eastAsia" w:cs="Times New Roman"/>
                <w:szCs w:val="21"/>
              </w:rPr>
              <w:t>施工工期</w:t>
            </w:r>
          </w:p>
        </w:tc>
        <w:tc>
          <w:tcPr>
            <w:tcW w:w="3622" w:type="dxa"/>
            <w:noWrap w:val="0"/>
            <w:vAlign w:val="center"/>
          </w:tcPr>
          <w:p>
            <w:pPr>
              <w:jc w:val="center"/>
              <w:rPr>
                <w:rFonts w:cs="Times New Roman"/>
                <w:szCs w:val="21"/>
              </w:rPr>
            </w:pPr>
            <w:r>
              <w:rPr>
                <w:rFonts w:hint="eastAsia" w:cs="Times New Roman"/>
                <w:szCs w:val="21"/>
              </w:rPr>
              <w:t>30个月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8" w:type="dxa"/>
            <w:gridSpan w:val="2"/>
            <w:noWrap w:val="0"/>
            <w:vAlign w:val="center"/>
          </w:tcPr>
          <w:p>
            <w:pPr>
              <w:jc w:val="center"/>
              <w:rPr>
                <w:rFonts w:cs="Times New Roman"/>
                <w:szCs w:val="21"/>
              </w:rPr>
            </w:pPr>
            <w:r>
              <w:rPr>
                <w:rFonts w:hint="eastAsia" w:cs="Times New Roman"/>
                <w:szCs w:val="21"/>
              </w:rPr>
              <w:t>是否开工建设</w:t>
            </w:r>
          </w:p>
        </w:tc>
        <w:tc>
          <w:tcPr>
            <w:tcW w:w="2205" w:type="dxa"/>
            <w:noWrap w:val="0"/>
            <w:vAlign w:val="center"/>
          </w:tcPr>
          <w:p>
            <w:pPr>
              <w:rPr>
                <w:rFonts w:cs="Times New Roman"/>
                <w:szCs w:val="21"/>
              </w:rPr>
            </w:pPr>
            <w:r>
              <w:rPr>
                <w:rFonts w:cs="Times New Roman"/>
                <w:szCs w:val="21"/>
              </w:rPr>
              <w:sym w:font="Wingdings 2" w:char="0052"/>
            </w:r>
            <w:r>
              <w:rPr>
                <w:rFonts w:hint="eastAsia" w:cs="Times New Roman"/>
                <w:szCs w:val="21"/>
              </w:rPr>
              <w:t>否</w:t>
            </w:r>
          </w:p>
          <w:p>
            <w:pPr>
              <w:rPr>
                <w:rFonts w:cs="Times New Roman"/>
                <w:szCs w:val="21"/>
              </w:rPr>
            </w:pPr>
            <w:r>
              <w:rPr>
                <w:rFonts w:ascii="宋体" w:hAnsi="宋体" w:cs="Times New Roman"/>
                <w:szCs w:val="21"/>
              </w:rPr>
              <w:sym w:font="Wingdings 2" w:char="00A3"/>
            </w:r>
            <w:r>
              <w:rPr>
                <w:rFonts w:hint="eastAsia" w:cs="Times New Roman"/>
                <w:szCs w:val="21"/>
              </w:rPr>
              <w:t>是：</w:t>
            </w:r>
            <w:r>
              <w:rPr>
                <w:rFonts w:hint="eastAsia" w:cs="Times New Roman"/>
                <w:szCs w:val="21"/>
                <w:u w:val="single"/>
              </w:rPr>
              <w:t xml:space="preserve">          </w:t>
            </w:r>
          </w:p>
        </w:tc>
        <w:tc>
          <w:tcPr>
            <w:tcW w:w="2025" w:type="dxa"/>
            <w:noWrap w:val="0"/>
            <w:vAlign w:val="center"/>
          </w:tcPr>
          <w:p>
            <w:pPr>
              <w:jc w:val="center"/>
              <w:rPr>
                <w:rFonts w:cs="Times New Roman"/>
                <w:szCs w:val="21"/>
              </w:rPr>
            </w:pPr>
            <w:r>
              <w:rPr>
                <w:rFonts w:hint="eastAsia" w:cs="Times New Roman"/>
                <w:szCs w:val="21"/>
              </w:rPr>
              <w:t>用地面积（m</w:t>
            </w:r>
            <w:r>
              <w:rPr>
                <w:rFonts w:hint="eastAsia" w:cs="Times New Roman"/>
                <w:szCs w:val="21"/>
                <w:vertAlign w:val="superscript"/>
              </w:rPr>
              <w:t>2</w:t>
            </w:r>
            <w:r>
              <w:rPr>
                <w:rFonts w:hint="eastAsia" w:cs="Times New Roman"/>
                <w:szCs w:val="21"/>
              </w:rPr>
              <w:t>）</w:t>
            </w:r>
          </w:p>
        </w:tc>
        <w:tc>
          <w:tcPr>
            <w:tcW w:w="3622" w:type="dxa"/>
            <w:noWrap w:val="0"/>
            <w:vAlign w:val="center"/>
          </w:tcPr>
          <w:p>
            <w:pPr>
              <w:jc w:val="center"/>
              <w:rPr>
                <w:rFonts w:cs="Times New Roman"/>
                <w:szCs w:val="21"/>
              </w:rPr>
            </w:pPr>
            <w:r>
              <w:rPr>
                <w:rFonts w:hint="eastAsia" w:cs="Times New Roman"/>
                <w:szCs w:val="21"/>
              </w:rPr>
              <w:t>52141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18" w:type="dxa"/>
            <w:gridSpan w:val="2"/>
            <w:noWrap w:val="0"/>
            <w:vAlign w:val="center"/>
          </w:tcPr>
          <w:p>
            <w:pPr>
              <w:spacing w:line="276" w:lineRule="auto"/>
              <w:jc w:val="center"/>
              <w:rPr>
                <w:rFonts w:hint="eastAsia" w:cs="Times New Roman"/>
                <w:szCs w:val="21"/>
              </w:rPr>
            </w:pPr>
            <w:r>
              <w:rPr>
                <w:rFonts w:hint="eastAsia" w:cs="Times New Roman"/>
                <w:szCs w:val="21"/>
              </w:rPr>
              <w:t>专项评价</w:t>
            </w:r>
          </w:p>
          <w:p>
            <w:pPr>
              <w:spacing w:line="276" w:lineRule="auto"/>
              <w:jc w:val="center"/>
              <w:rPr>
                <w:rFonts w:cs="Times New Roman"/>
                <w:szCs w:val="21"/>
              </w:rPr>
            </w:pPr>
            <w:r>
              <w:rPr>
                <w:rFonts w:hint="eastAsia" w:cs="Times New Roman"/>
                <w:szCs w:val="21"/>
              </w:rPr>
              <w:t>设置情况</w:t>
            </w:r>
          </w:p>
        </w:tc>
        <w:tc>
          <w:tcPr>
            <w:tcW w:w="7852" w:type="dxa"/>
            <w:gridSpan w:val="3"/>
            <w:noWrap w:val="0"/>
            <w:vAlign w:val="center"/>
          </w:tcPr>
          <w:p>
            <w:pPr>
              <w:spacing w:line="276" w:lineRule="auto"/>
              <w:jc w:val="center"/>
              <w:rPr>
                <w:rFonts w:cs="Times New Roman"/>
                <w:b/>
                <w:bCs/>
                <w:szCs w:val="21"/>
              </w:rPr>
            </w:pPr>
            <w:r>
              <w:rPr>
                <w:rFonts w:cs="Times New Roman"/>
                <w:b/>
                <w:bCs/>
                <w:szCs w:val="21"/>
              </w:rPr>
              <w:t>表1-1</w:t>
            </w:r>
            <w:r>
              <w:rPr>
                <w:rFonts w:hint="eastAsia" w:cs="Times New Roman"/>
                <w:b/>
                <w:bCs/>
                <w:szCs w:val="21"/>
              </w:rPr>
              <w:t xml:space="preserve"> </w:t>
            </w:r>
            <w:r>
              <w:rPr>
                <w:rFonts w:cs="Times New Roman"/>
                <w:b/>
                <w:bCs/>
                <w:szCs w:val="21"/>
              </w:rPr>
              <w:t>本项目专项评价设置情况汇总表</w:t>
            </w:r>
          </w:p>
          <w:tbl>
            <w:tblPr>
              <w:tblStyle w:val="2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39"/>
              <w:gridCol w:w="4147"/>
              <w:gridCol w:w="25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8" w:type="pct"/>
                  <w:noWrap w:val="0"/>
                  <w:vAlign w:val="center"/>
                </w:tcPr>
                <w:p>
                  <w:pPr>
                    <w:jc w:val="center"/>
                    <w:rPr>
                      <w:rFonts w:cs="Times New Roman"/>
                      <w:b/>
                      <w:bCs/>
                      <w:szCs w:val="21"/>
                    </w:rPr>
                  </w:pPr>
                  <w:r>
                    <w:rPr>
                      <w:rFonts w:hint="eastAsia" w:cs="Times New Roman"/>
                      <w:b/>
                      <w:bCs/>
                      <w:szCs w:val="21"/>
                    </w:rPr>
                    <w:t>专项评价的类别</w:t>
                  </w:r>
                </w:p>
              </w:tc>
              <w:tc>
                <w:tcPr>
                  <w:tcW w:w="2664" w:type="pct"/>
                  <w:noWrap w:val="0"/>
                  <w:vAlign w:val="center"/>
                </w:tcPr>
                <w:p>
                  <w:pPr>
                    <w:jc w:val="center"/>
                    <w:rPr>
                      <w:rFonts w:cs="Times New Roman"/>
                      <w:b/>
                      <w:bCs/>
                      <w:szCs w:val="21"/>
                    </w:rPr>
                  </w:pPr>
                  <w:r>
                    <w:rPr>
                      <w:rFonts w:hint="eastAsia" w:cs="Times New Roman"/>
                      <w:b/>
                      <w:bCs/>
                      <w:szCs w:val="21"/>
                    </w:rPr>
                    <w:t>设置原则</w:t>
                  </w:r>
                </w:p>
              </w:tc>
              <w:tc>
                <w:tcPr>
                  <w:tcW w:w="1667" w:type="pct"/>
                  <w:noWrap w:val="0"/>
                  <w:vAlign w:val="center"/>
                </w:tcPr>
                <w:p>
                  <w:pPr>
                    <w:jc w:val="center"/>
                    <w:rPr>
                      <w:rFonts w:cs="Times New Roman"/>
                      <w:b/>
                      <w:bCs/>
                      <w:szCs w:val="21"/>
                    </w:rPr>
                  </w:pPr>
                  <w:r>
                    <w:rPr>
                      <w:rFonts w:hint="eastAsia" w:cs="Times New Roman"/>
                      <w:b/>
                      <w:bCs/>
                      <w:szCs w:val="21"/>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8" w:type="pct"/>
                  <w:noWrap w:val="0"/>
                  <w:vAlign w:val="center"/>
                </w:tcPr>
                <w:p>
                  <w:pPr>
                    <w:jc w:val="center"/>
                    <w:rPr>
                      <w:rFonts w:hint="eastAsia" w:cs="Times New Roman"/>
                      <w:szCs w:val="21"/>
                    </w:rPr>
                  </w:pPr>
                  <w:r>
                    <w:rPr>
                      <w:rFonts w:hint="eastAsia" w:cs="Times New Roman"/>
                      <w:szCs w:val="21"/>
                    </w:rPr>
                    <w:t>大气</w:t>
                  </w:r>
                </w:p>
              </w:tc>
              <w:tc>
                <w:tcPr>
                  <w:tcW w:w="2664" w:type="pct"/>
                  <w:noWrap w:val="0"/>
                  <w:vAlign w:val="center"/>
                </w:tcPr>
                <w:p>
                  <w:pPr>
                    <w:rPr>
                      <w:rFonts w:cs="Times New Roman"/>
                      <w:szCs w:val="21"/>
                    </w:rPr>
                  </w:pPr>
                  <w:r>
                    <w:rPr>
                      <w:rFonts w:cs="Times New Roman"/>
                      <w:szCs w:val="21"/>
                    </w:rPr>
                    <w:t>排放废气含有毒有害污染物</w:t>
                  </w:r>
                  <w:r>
                    <w:rPr>
                      <w:rFonts w:cs="Times New Roman"/>
                      <w:szCs w:val="21"/>
                      <w:vertAlign w:val="superscript"/>
                    </w:rPr>
                    <w:t>1</w:t>
                  </w:r>
                  <w:r>
                    <w:rPr>
                      <w:rFonts w:cs="Times New Roman"/>
                      <w:szCs w:val="21"/>
                    </w:rPr>
                    <w:t>、二噁英、苯并</w:t>
                  </w:r>
                  <w:r>
                    <w:rPr>
                      <w:rFonts w:cs="Times New Roman"/>
                      <w:szCs w:val="21"/>
                      <w:vertAlign w:val="superscript"/>
                    </w:rPr>
                    <w:t>[a]</w:t>
                  </w:r>
                  <w:r>
                    <w:rPr>
                      <w:rFonts w:cs="Times New Roman"/>
                      <w:szCs w:val="21"/>
                    </w:rPr>
                    <w:t>芘、氰化物、氯气且厂界外500米范围内有环境空气保护目标</w:t>
                  </w:r>
                  <w:r>
                    <w:rPr>
                      <w:rFonts w:cs="Times New Roman"/>
                      <w:szCs w:val="21"/>
                      <w:vertAlign w:val="superscript"/>
                    </w:rPr>
                    <w:t>2</w:t>
                  </w:r>
                  <w:r>
                    <w:rPr>
                      <w:rFonts w:cs="Times New Roman"/>
                      <w:szCs w:val="21"/>
                    </w:rPr>
                    <w:t>的建设项目</w:t>
                  </w:r>
                </w:p>
              </w:tc>
              <w:tc>
                <w:tcPr>
                  <w:tcW w:w="1667" w:type="pct"/>
                  <w:noWrap w:val="0"/>
                  <w:vAlign w:val="center"/>
                </w:tcPr>
                <w:p>
                  <w:pPr>
                    <w:rPr>
                      <w:rFonts w:hint="eastAsia" w:cs="Times New Roman"/>
                      <w:szCs w:val="21"/>
                    </w:rPr>
                  </w:pPr>
                  <w:r>
                    <w:rPr>
                      <w:rFonts w:cs="Times New Roman"/>
                      <w:szCs w:val="21"/>
                    </w:rPr>
                    <w:t>本项目</w:t>
                  </w:r>
                  <w:r>
                    <w:rPr>
                      <w:rFonts w:hint="eastAsia" w:cs="Times New Roman"/>
                      <w:szCs w:val="21"/>
                    </w:rPr>
                    <w:t>采用复合硫酸氢钠与复合氯酸钠制备二氧化氯，制备过程不产生氯气，项目无废气排放；不属于</w:t>
                  </w:r>
                </w:p>
                <w:p>
                  <w:pPr>
                    <w:rPr>
                      <w:rFonts w:hint="eastAsia" w:cs="Times New Roman"/>
                      <w:szCs w:val="21"/>
                    </w:rPr>
                  </w:pPr>
                  <w:r>
                    <w:rPr>
                      <w:rFonts w:cs="Times New Roman"/>
                      <w:szCs w:val="21"/>
                    </w:rPr>
                    <w:t>排放废气中</w:t>
                  </w:r>
                  <w:r>
                    <w:rPr>
                      <w:rFonts w:hint="eastAsia" w:cs="Times New Roman"/>
                      <w:szCs w:val="21"/>
                    </w:rPr>
                    <w:t>含</w:t>
                  </w:r>
                  <w:r>
                    <w:rPr>
                      <w:rFonts w:cs="Times New Roman"/>
                      <w:szCs w:val="21"/>
                    </w:rPr>
                    <w:t>有毒有害污染物、二噁英、苯并</w:t>
                  </w:r>
                  <w:r>
                    <w:rPr>
                      <w:rFonts w:cs="Times New Roman"/>
                      <w:szCs w:val="21"/>
                      <w:vertAlign w:val="superscript"/>
                    </w:rPr>
                    <w:t>[a]</w:t>
                  </w:r>
                  <w:r>
                    <w:rPr>
                      <w:rFonts w:cs="Times New Roman"/>
                      <w:szCs w:val="21"/>
                    </w:rPr>
                    <w:t>芘、氰化物、氯气</w:t>
                  </w:r>
                  <w:r>
                    <w:rPr>
                      <w:rFonts w:hint="eastAsia" w:cs="Times New Roman"/>
                      <w:szCs w:val="21"/>
                    </w:rPr>
                    <w:t>等情况，不设置大气专项评价。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8" w:type="pct"/>
                  <w:noWrap w:val="0"/>
                  <w:vAlign w:val="center"/>
                </w:tcPr>
                <w:p>
                  <w:pPr>
                    <w:jc w:val="center"/>
                    <w:rPr>
                      <w:rFonts w:hint="eastAsia" w:cs="Times New Roman"/>
                      <w:szCs w:val="21"/>
                    </w:rPr>
                  </w:pPr>
                  <w:r>
                    <w:rPr>
                      <w:rFonts w:hint="eastAsia" w:cs="Times New Roman"/>
                      <w:szCs w:val="21"/>
                    </w:rPr>
                    <w:t>地表水</w:t>
                  </w:r>
                </w:p>
              </w:tc>
              <w:tc>
                <w:tcPr>
                  <w:tcW w:w="2664" w:type="pct"/>
                  <w:noWrap w:val="0"/>
                  <w:vAlign w:val="center"/>
                </w:tcPr>
                <w:p>
                  <w:pPr>
                    <w:rPr>
                      <w:rFonts w:cs="Times New Roman"/>
                      <w:szCs w:val="21"/>
                    </w:rPr>
                  </w:pPr>
                  <w:r>
                    <w:rPr>
                      <w:rFonts w:cs="Times New Roman"/>
                      <w:szCs w:val="21"/>
                    </w:rPr>
                    <w:t>新增工业废水直排建设项目（槽罐车外送污水处理厂的除外）；新增废水直排的污水集中处理厂</w:t>
                  </w:r>
                </w:p>
              </w:tc>
              <w:tc>
                <w:tcPr>
                  <w:tcW w:w="1667" w:type="pct"/>
                  <w:noWrap w:val="0"/>
                  <w:vAlign w:val="center"/>
                </w:tcPr>
                <w:p>
                  <w:pPr>
                    <w:rPr>
                      <w:rFonts w:cs="Times New Roman"/>
                      <w:szCs w:val="21"/>
                    </w:rPr>
                  </w:pPr>
                  <w:r>
                    <w:rPr>
                      <w:rFonts w:cs="Times New Roman"/>
                      <w:szCs w:val="21"/>
                    </w:rPr>
                    <w:t>本项目</w:t>
                  </w:r>
                  <w:r>
                    <w:rPr>
                      <w:rFonts w:hint="eastAsia" w:cs="Times New Roman"/>
                      <w:szCs w:val="21"/>
                    </w:rPr>
                    <w:t>生产过程滤池反冲洗水回流至配水井回用，不外排；生活污水（食堂含油废水经隔油处理）经化粪池处理后，与污泥压滤液均排入市政污水管网引至达州市污水处理厂处理后排放，项目不新增工业废水直排，不设置地表水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8" w:type="pct"/>
                  <w:noWrap w:val="0"/>
                  <w:vAlign w:val="center"/>
                </w:tcPr>
                <w:p>
                  <w:pPr>
                    <w:jc w:val="center"/>
                    <w:rPr>
                      <w:rFonts w:cs="Times New Roman"/>
                      <w:szCs w:val="21"/>
                    </w:rPr>
                  </w:pPr>
                  <w:r>
                    <w:rPr>
                      <w:rFonts w:hint="eastAsia" w:cs="Times New Roman"/>
                      <w:szCs w:val="21"/>
                    </w:rPr>
                    <w:t>环境风险</w:t>
                  </w:r>
                </w:p>
              </w:tc>
              <w:tc>
                <w:tcPr>
                  <w:tcW w:w="2664" w:type="pct"/>
                  <w:noWrap w:val="0"/>
                  <w:vAlign w:val="center"/>
                </w:tcPr>
                <w:p>
                  <w:pPr>
                    <w:rPr>
                      <w:rFonts w:cs="Times New Roman"/>
                      <w:szCs w:val="21"/>
                    </w:rPr>
                  </w:pPr>
                  <w:r>
                    <w:rPr>
                      <w:rFonts w:cs="Times New Roman"/>
                      <w:szCs w:val="21"/>
                    </w:rPr>
                    <w:t>有毒有害和易燃易爆危险物质存储量超过临界量</w:t>
                  </w:r>
                  <w:r>
                    <w:rPr>
                      <w:rFonts w:cs="Times New Roman"/>
                      <w:szCs w:val="21"/>
                      <w:vertAlign w:val="superscript"/>
                    </w:rPr>
                    <w:t>3</w:t>
                  </w:r>
                  <w:r>
                    <w:rPr>
                      <w:rFonts w:cs="Times New Roman"/>
                      <w:szCs w:val="21"/>
                    </w:rPr>
                    <w:t>的建设项目</w:t>
                  </w:r>
                </w:p>
              </w:tc>
              <w:tc>
                <w:tcPr>
                  <w:tcW w:w="1667" w:type="pct"/>
                  <w:noWrap w:val="0"/>
                  <w:vAlign w:val="center"/>
                </w:tcPr>
                <w:p>
                  <w:pPr>
                    <w:rPr>
                      <w:rFonts w:cs="Times New Roman"/>
                      <w:szCs w:val="21"/>
                    </w:rPr>
                  </w:pPr>
                  <w:r>
                    <w:rPr>
                      <w:rFonts w:hint="eastAsia" w:cs="Times New Roman"/>
                      <w:szCs w:val="21"/>
                    </w:rPr>
                    <w:t>项目涉及危险物质不超过临界量，不设置环境风险专项评价。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8" w:type="pct"/>
                  <w:noWrap w:val="0"/>
                  <w:vAlign w:val="center"/>
                </w:tcPr>
                <w:p>
                  <w:pPr>
                    <w:jc w:val="center"/>
                    <w:rPr>
                      <w:rFonts w:hint="eastAsia" w:cs="Times New Roman"/>
                      <w:szCs w:val="21"/>
                    </w:rPr>
                  </w:pPr>
                  <w:r>
                    <w:rPr>
                      <w:rFonts w:hint="eastAsia" w:cs="Times New Roman"/>
                      <w:szCs w:val="21"/>
                    </w:rPr>
                    <w:t>生态</w:t>
                  </w:r>
                </w:p>
              </w:tc>
              <w:tc>
                <w:tcPr>
                  <w:tcW w:w="2664" w:type="pct"/>
                  <w:noWrap w:val="0"/>
                  <w:vAlign w:val="center"/>
                </w:tcPr>
                <w:p>
                  <w:pPr>
                    <w:rPr>
                      <w:rFonts w:cs="Times New Roman"/>
                      <w:szCs w:val="21"/>
                    </w:rPr>
                  </w:pPr>
                  <w:r>
                    <w:rPr>
                      <w:rFonts w:cs="Times New Roman"/>
                      <w:szCs w:val="21"/>
                    </w:rPr>
                    <w:t>取水口下游500米范围内有重要水生生物的自然产卵场、索饵场、越冬场和洄游通道的新增河道取水的污染类建设项目</w:t>
                  </w:r>
                </w:p>
              </w:tc>
              <w:tc>
                <w:tcPr>
                  <w:tcW w:w="1667" w:type="pct"/>
                  <w:noWrap w:val="0"/>
                  <w:vAlign w:val="center"/>
                </w:tcPr>
                <w:p>
                  <w:pPr>
                    <w:rPr>
                      <w:rFonts w:cs="Times New Roman"/>
                      <w:szCs w:val="21"/>
                    </w:rPr>
                  </w:pPr>
                  <w:r>
                    <w:rPr>
                      <w:rFonts w:hint="eastAsia" w:cs="Times New Roman"/>
                      <w:szCs w:val="21"/>
                    </w:rPr>
                    <w:t>本项目评价范围为自来水净化，不包括取水工程，不设置生态专项评价。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8" w:type="pct"/>
                  <w:noWrap w:val="0"/>
                  <w:vAlign w:val="center"/>
                </w:tcPr>
                <w:p>
                  <w:pPr>
                    <w:jc w:val="center"/>
                    <w:rPr>
                      <w:rFonts w:hint="eastAsia" w:cs="Times New Roman"/>
                      <w:szCs w:val="21"/>
                    </w:rPr>
                  </w:pPr>
                  <w:r>
                    <w:rPr>
                      <w:rFonts w:hint="eastAsia" w:cs="Times New Roman"/>
                      <w:szCs w:val="21"/>
                    </w:rPr>
                    <w:t>海洋</w:t>
                  </w:r>
                </w:p>
              </w:tc>
              <w:tc>
                <w:tcPr>
                  <w:tcW w:w="2664" w:type="pct"/>
                  <w:noWrap w:val="0"/>
                  <w:vAlign w:val="center"/>
                </w:tcPr>
                <w:p>
                  <w:pPr>
                    <w:jc w:val="center"/>
                    <w:rPr>
                      <w:rFonts w:cs="Times New Roman"/>
                      <w:szCs w:val="21"/>
                    </w:rPr>
                  </w:pPr>
                  <w:r>
                    <w:rPr>
                      <w:rFonts w:cs="Times New Roman"/>
                      <w:szCs w:val="21"/>
                    </w:rPr>
                    <w:t>直接向海排放污染物的海洋工程建设项目</w:t>
                  </w:r>
                </w:p>
              </w:tc>
              <w:tc>
                <w:tcPr>
                  <w:tcW w:w="1667" w:type="pct"/>
                  <w:noWrap w:val="0"/>
                  <w:vAlign w:val="center"/>
                </w:tcPr>
                <w:p>
                  <w:pPr>
                    <w:jc w:val="center"/>
                    <w:rPr>
                      <w:rFonts w:hint="eastAsia" w:cs="Times New Roman"/>
                      <w:szCs w:val="21"/>
                    </w:rPr>
                  </w:pPr>
                  <w:r>
                    <w:rPr>
                      <w:rFonts w:hint="eastAsia" w:cs="Times New Roman"/>
                      <w:szCs w:val="21"/>
                    </w:rPr>
                    <w:t>/</w:t>
                  </w:r>
                </w:p>
              </w:tc>
            </w:tr>
          </w:tbl>
          <w:p>
            <w:pPr>
              <w:spacing w:line="276" w:lineRule="auto"/>
              <w:ind w:firstLine="420" w:firstLineChars="200"/>
              <w:rPr>
                <w:rFonts w:hint="eastAsia" w:cs="Times New Roman"/>
                <w:szCs w:val="21"/>
              </w:rPr>
            </w:pPr>
          </w:p>
          <w:p>
            <w:pPr>
              <w:spacing w:line="276" w:lineRule="auto"/>
              <w:ind w:firstLine="420" w:firstLineChars="200"/>
              <w:rPr>
                <w:rFonts w:cs="Times New Roman"/>
                <w:color w:val="FF00FF"/>
                <w:szCs w:val="21"/>
              </w:rPr>
            </w:pPr>
            <w:r>
              <w:rPr>
                <w:rFonts w:hint="eastAsia" w:cs="Times New Roman"/>
                <w:szCs w:val="21"/>
              </w:rPr>
              <w:t>故由上表可知，本项目不设置专项评价。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18" w:type="dxa"/>
            <w:gridSpan w:val="2"/>
            <w:noWrap w:val="0"/>
            <w:vAlign w:val="center"/>
          </w:tcPr>
          <w:p>
            <w:pPr>
              <w:spacing w:line="276" w:lineRule="auto"/>
              <w:jc w:val="center"/>
              <w:rPr>
                <w:rFonts w:cs="Times New Roman"/>
                <w:szCs w:val="21"/>
              </w:rPr>
            </w:pPr>
            <w:r>
              <w:rPr>
                <w:rFonts w:hint="eastAsia" w:cs="Times New Roman"/>
                <w:szCs w:val="21"/>
              </w:rPr>
              <w:t>规划情况</w:t>
            </w:r>
          </w:p>
        </w:tc>
        <w:tc>
          <w:tcPr>
            <w:tcW w:w="7852" w:type="dxa"/>
            <w:gridSpan w:val="3"/>
            <w:noWrap w:val="0"/>
            <w:vAlign w:val="center"/>
          </w:tcPr>
          <w:p>
            <w:pPr>
              <w:spacing w:line="276" w:lineRule="auto"/>
              <w:ind w:firstLine="420" w:firstLineChars="200"/>
              <w:rPr>
                <w:rFonts w:hint="eastAsia" w:cs="Times New Roman"/>
                <w:szCs w:val="21"/>
              </w:rPr>
            </w:pPr>
            <w:r>
              <w:rPr>
                <w:rFonts w:hint="eastAsia"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8" w:type="dxa"/>
            <w:gridSpan w:val="2"/>
            <w:noWrap w:val="0"/>
            <w:vAlign w:val="center"/>
          </w:tcPr>
          <w:p>
            <w:pPr>
              <w:spacing w:line="276" w:lineRule="auto"/>
              <w:jc w:val="center"/>
              <w:rPr>
                <w:rFonts w:cs="Times New Roman"/>
                <w:szCs w:val="21"/>
              </w:rPr>
            </w:pPr>
            <w:r>
              <w:rPr>
                <w:rFonts w:hint="eastAsia" w:cs="Times New Roman"/>
                <w:szCs w:val="21"/>
              </w:rPr>
              <w:t>规划环境影响评价情况</w:t>
            </w:r>
          </w:p>
        </w:tc>
        <w:tc>
          <w:tcPr>
            <w:tcW w:w="7852" w:type="dxa"/>
            <w:gridSpan w:val="3"/>
            <w:noWrap w:val="0"/>
            <w:vAlign w:val="center"/>
          </w:tcPr>
          <w:p>
            <w:pPr>
              <w:spacing w:line="276" w:lineRule="auto"/>
              <w:ind w:firstLine="420" w:firstLineChars="200"/>
              <w:rPr>
                <w:rFonts w:cs="Times New Roman"/>
                <w:szCs w:val="21"/>
              </w:rPr>
            </w:pPr>
            <w:r>
              <w:rPr>
                <w:rFonts w:hint="eastAsia"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18" w:type="dxa"/>
            <w:gridSpan w:val="2"/>
            <w:noWrap w:val="0"/>
            <w:vAlign w:val="center"/>
          </w:tcPr>
          <w:p>
            <w:pPr>
              <w:spacing w:line="276" w:lineRule="auto"/>
              <w:jc w:val="center"/>
              <w:rPr>
                <w:rFonts w:cs="Times New Roman"/>
                <w:szCs w:val="21"/>
              </w:rPr>
            </w:pPr>
            <w:r>
              <w:rPr>
                <w:rFonts w:hint="eastAsia" w:cs="Times New Roman"/>
                <w:szCs w:val="21"/>
              </w:rPr>
              <w:t>规划及规划环境影响评价符合性分析</w:t>
            </w:r>
          </w:p>
        </w:tc>
        <w:tc>
          <w:tcPr>
            <w:tcW w:w="7852" w:type="dxa"/>
            <w:gridSpan w:val="3"/>
            <w:noWrap w:val="0"/>
            <w:vAlign w:val="center"/>
          </w:tcPr>
          <w:p>
            <w:pPr>
              <w:spacing w:line="276" w:lineRule="auto"/>
              <w:ind w:firstLine="420" w:firstLineChars="200"/>
              <w:rPr>
                <w:rFonts w:cs="Times New Roman"/>
                <w:b/>
                <w:szCs w:val="21"/>
              </w:rPr>
            </w:pPr>
            <w:r>
              <w:rPr>
                <w:rFonts w:hint="eastAsia"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noWrap w:val="0"/>
            <w:vAlign w:val="center"/>
          </w:tcPr>
          <w:p>
            <w:pPr>
              <w:spacing w:line="276" w:lineRule="auto"/>
              <w:jc w:val="center"/>
              <w:rPr>
                <w:rFonts w:cs="Times New Roman"/>
                <w:szCs w:val="21"/>
              </w:rPr>
            </w:pPr>
            <w:r>
              <w:rPr>
                <w:rFonts w:hint="eastAsia" w:cs="Times New Roman"/>
                <w:szCs w:val="21"/>
              </w:rPr>
              <w:t>其他符合性分析</w:t>
            </w:r>
          </w:p>
        </w:tc>
        <w:tc>
          <w:tcPr>
            <w:tcW w:w="8602" w:type="dxa"/>
            <w:gridSpan w:val="4"/>
            <w:noWrap w:val="0"/>
            <w:vAlign w:val="center"/>
          </w:tcPr>
          <w:p>
            <w:pPr>
              <w:spacing w:line="276" w:lineRule="auto"/>
              <w:ind w:firstLine="422" w:firstLineChars="200"/>
              <w:rPr>
                <w:rFonts w:cs="Times New Roman"/>
                <w:b/>
                <w:bCs/>
                <w:szCs w:val="21"/>
              </w:rPr>
            </w:pPr>
            <w:r>
              <w:rPr>
                <w:rFonts w:cs="Times New Roman"/>
                <w:b/>
                <w:bCs/>
                <w:szCs w:val="21"/>
              </w:rPr>
              <w:t xml:space="preserve">1、产业政策的符合性分析 </w:t>
            </w:r>
          </w:p>
          <w:p>
            <w:pPr>
              <w:spacing w:line="276" w:lineRule="auto"/>
              <w:ind w:firstLine="420" w:firstLineChars="200"/>
              <w:rPr>
                <w:rFonts w:cs="Times New Roman"/>
                <w:szCs w:val="21"/>
              </w:rPr>
            </w:pPr>
            <w:r>
              <w:rPr>
                <w:rFonts w:cs="Times New Roman"/>
                <w:szCs w:val="21"/>
              </w:rPr>
              <w:t>本项目为自来水生产与供应，</w:t>
            </w:r>
            <w:r>
              <w:rPr>
                <w:rFonts w:hint="eastAsia" w:cs="Times New Roman"/>
                <w:szCs w:val="21"/>
              </w:rPr>
              <w:t>属于国家发展和改革委员会令第49号《国家发展改革委关于修改〈产业结构调整指导目录（2019年本）〉的决定》</w:t>
            </w:r>
            <w:r>
              <w:rPr>
                <w:rFonts w:cs="Times New Roman"/>
                <w:szCs w:val="21"/>
              </w:rPr>
              <w:t>中“第一类 鼓励类/二十二、城市基础设施/7、城镇安全饮水工程、供水水源及净水厂工程”，符合国家现行产业政策。</w:t>
            </w:r>
          </w:p>
          <w:p>
            <w:pPr>
              <w:spacing w:line="276" w:lineRule="auto"/>
              <w:ind w:firstLine="420" w:firstLineChars="200"/>
              <w:rPr>
                <w:rFonts w:cs="Times New Roman"/>
                <w:szCs w:val="21"/>
              </w:rPr>
            </w:pPr>
            <w:r>
              <w:rPr>
                <w:rFonts w:cs="Times New Roman"/>
                <w:szCs w:val="21"/>
              </w:rPr>
              <w:t>同时，</w:t>
            </w:r>
            <w:r>
              <w:rPr>
                <w:rFonts w:hint="eastAsia" w:cs="Times New Roman"/>
                <w:szCs w:val="21"/>
              </w:rPr>
              <w:t>达州市发展和改革委员会于2022年9月7日出具了《关于达州市莲花湖水厂一期二阶段及配套管网工程可行性研究报告的批复》（达市发改审〔2022〕55号），</w:t>
            </w:r>
            <w:r>
              <w:rPr>
                <w:rFonts w:cs="Times New Roman"/>
                <w:szCs w:val="21"/>
              </w:rPr>
              <w:t>且项目未使用国家</w:t>
            </w:r>
            <w:r>
              <w:rPr>
                <w:rFonts w:hint="eastAsia" w:cs="Times New Roman"/>
                <w:szCs w:val="21"/>
              </w:rPr>
              <w:t>明令</w:t>
            </w:r>
            <w:r>
              <w:rPr>
                <w:rFonts w:cs="Times New Roman"/>
                <w:szCs w:val="21"/>
              </w:rPr>
              <w:t>禁止的淘汰类和限制类的工艺和设备。</w:t>
            </w:r>
          </w:p>
          <w:p>
            <w:pPr>
              <w:spacing w:line="276" w:lineRule="auto"/>
              <w:ind w:firstLine="420" w:firstLineChars="200"/>
              <w:rPr>
                <w:rFonts w:cs="Times New Roman"/>
                <w:szCs w:val="21"/>
              </w:rPr>
            </w:pPr>
            <w:r>
              <w:rPr>
                <w:rFonts w:cs="Times New Roman"/>
                <w:szCs w:val="21"/>
              </w:rPr>
              <w:t>因此，本项目符合国家现行产业政策。</w:t>
            </w:r>
          </w:p>
          <w:p>
            <w:pPr>
              <w:spacing w:line="276" w:lineRule="auto"/>
              <w:ind w:firstLine="422" w:firstLineChars="200"/>
              <w:rPr>
                <w:rFonts w:cs="Times New Roman"/>
                <w:b/>
                <w:bCs/>
                <w:szCs w:val="21"/>
              </w:rPr>
            </w:pPr>
            <w:r>
              <w:rPr>
                <w:rFonts w:hint="eastAsia" w:cs="Times New Roman"/>
                <w:b/>
                <w:bCs/>
                <w:szCs w:val="21"/>
              </w:rPr>
              <w:t>2</w:t>
            </w:r>
            <w:r>
              <w:rPr>
                <w:rFonts w:cs="Times New Roman"/>
                <w:b/>
                <w:bCs/>
                <w:szCs w:val="21"/>
              </w:rPr>
              <w:t xml:space="preserve">、用地规划符合性分析 </w:t>
            </w:r>
          </w:p>
          <w:p>
            <w:pPr>
              <w:spacing w:line="276" w:lineRule="auto"/>
              <w:ind w:firstLine="420" w:firstLineChars="200"/>
              <w:rPr>
                <w:rFonts w:cs="Times New Roman"/>
                <w:szCs w:val="21"/>
              </w:rPr>
            </w:pPr>
            <w:r>
              <w:rPr>
                <w:rFonts w:cs="Times New Roman"/>
                <w:szCs w:val="21"/>
              </w:rPr>
              <w:t>本项目</w:t>
            </w:r>
            <w:r>
              <w:rPr>
                <w:rFonts w:hint="eastAsia" w:cs="Times New Roman"/>
                <w:szCs w:val="21"/>
              </w:rPr>
              <w:t>净水厂</w:t>
            </w:r>
            <w:r>
              <w:rPr>
                <w:rFonts w:cs="Times New Roman"/>
                <w:szCs w:val="21"/>
              </w:rPr>
              <w:t>选址于</w:t>
            </w:r>
            <w:r>
              <w:rPr>
                <w:rFonts w:hint="eastAsia" w:cs="Times New Roman"/>
                <w:szCs w:val="21"/>
              </w:rPr>
              <w:t>达州通川区邱家店社区、新酢坊社区（现莲花湖水厂西侧），该区域为城市规划区，用地面积5.2141公顷，属于城市规划的允许建设区范围。项目净水厂</w:t>
            </w:r>
            <w:r>
              <w:rPr>
                <w:rFonts w:cs="Times New Roman"/>
                <w:szCs w:val="21"/>
              </w:rPr>
              <w:t>用地已取得</w:t>
            </w:r>
            <w:r>
              <w:rPr>
                <w:rFonts w:hint="eastAsia" w:cs="Times New Roman"/>
                <w:szCs w:val="21"/>
              </w:rPr>
              <w:t>达州市自然资源和规划局核发的《建设项目用地预审与选址意见》（用字第511700202200011号），</w:t>
            </w:r>
            <w:r>
              <w:rPr>
                <w:rFonts w:cs="Times New Roman"/>
                <w:szCs w:val="21"/>
              </w:rPr>
              <w:t>明确项目用地符合国土空间用途管制要求。</w:t>
            </w:r>
          </w:p>
          <w:p>
            <w:pPr>
              <w:spacing w:line="276" w:lineRule="auto"/>
              <w:ind w:firstLine="420" w:firstLineChars="200"/>
              <w:rPr>
                <w:rFonts w:cs="Times New Roman"/>
                <w:szCs w:val="21"/>
              </w:rPr>
            </w:pPr>
            <w:r>
              <w:rPr>
                <w:rFonts w:cs="Times New Roman"/>
                <w:szCs w:val="21"/>
              </w:rPr>
              <w:t>因此，本项目符合当地用地规划要求，用地合法。</w:t>
            </w:r>
          </w:p>
          <w:p>
            <w:pPr>
              <w:spacing w:line="276" w:lineRule="auto"/>
              <w:ind w:firstLine="422" w:firstLineChars="200"/>
              <w:rPr>
                <w:rFonts w:cs="Times New Roman"/>
                <w:b/>
                <w:szCs w:val="21"/>
              </w:rPr>
            </w:pPr>
            <w:r>
              <w:rPr>
                <w:rFonts w:hint="eastAsia" w:cs="Times New Roman"/>
                <w:b/>
                <w:szCs w:val="21"/>
              </w:rPr>
              <w:t>3、与“三线一单”符合性</w:t>
            </w:r>
          </w:p>
          <w:p>
            <w:pPr>
              <w:spacing w:line="276" w:lineRule="auto"/>
              <w:ind w:firstLine="420" w:firstLineChars="200"/>
              <w:rPr>
                <w:rFonts w:cs="Times New Roman"/>
                <w:szCs w:val="21"/>
              </w:rPr>
            </w:pPr>
            <w:r>
              <w:rPr>
                <w:rFonts w:hint="eastAsia" w:cs="Times New Roman"/>
                <w:szCs w:val="21"/>
              </w:rPr>
              <w:t>根据四川省生态环境厅办公室关于印发《产业园区规划环评“三线一单”符合性分析技术要点（试行）》和《项目环评“三线一单”符合性分析技术要点（试行）》的通知（川环办函</w:t>
            </w:r>
            <w:r>
              <w:rPr>
                <w:rFonts w:cs="Times New Roman"/>
              </w:rPr>
              <w:t>〔20</w:t>
            </w:r>
            <w:r>
              <w:rPr>
                <w:rFonts w:hint="eastAsia" w:cs="Times New Roman"/>
              </w:rPr>
              <w:t>21</w:t>
            </w:r>
            <w:r>
              <w:rPr>
                <w:rFonts w:cs="Times New Roman"/>
              </w:rPr>
              <w:t>〕</w:t>
            </w:r>
            <w:r>
              <w:rPr>
                <w:rFonts w:hint="eastAsia" w:cs="Times New Roman"/>
                <w:szCs w:val="21"/>
              </w:rPr>
              <w:t>469 号）中相关要求对本项目与“三线一单”的符合性进行分析。本项目位于达州市通川区邱家店社区、新酢坊社区（现莲花湖水厂西侧），不在规划园区内，故需对其进行空间符合性分析及管控要求符合性分析。</w:t>
            </w:r>
          </w:p>
          <w:p>
            <w:pPr>
              <w:spacing w:line="276" w:lineRule="auto"/>
              <w:ind w:firstLine="422" w:firstLineChars="200"/>
              <w:rPr>
                <w:rFonts w:cs="Times New Roman"/>
                <w:b/>
                <w:szCs w:val="21"/>
              </w:rPr>
            </w:pPr>
            <w:r>
              <w:rPr>
                <w:rFonts w:hint="eastAsia" w:cs="Times New Roman"/>
                <w:b/>
                <w:szCs w:val="21"/>
              </w:rPr>
              <w:t>（1）《关于落实生态保护红线、环境质量底线、资源利用上线 制定生态环境准入清单实施生态环境分区管控的通知》（川府发〔2020〕9 号）符合性分析</w:t>
            </w:r>
          </w:p>
          <w:p>
            <w:pPr>
              <w:spacing w:line="276" w:lineRule="auto"/>
              <w:ind w:firstLine="420" w:firstLineChars="200"/>
              <w:rPr>
                <w:rFonts w:hint="eastAsia" w:cs="Times New Roman"/>
                <w:szCs w:val="21"/>
              </w:rPr>
            </w:pPr>
            <w:r>
              <w:rPr>
                <w:rFonts w:hint="eastAsia" w:cs="Times New Roman"/>
                <w:szCs w:val="21"/>
              </w:rPr>
              <w:t>根据四川省人民政府《关于落实生态保护红线、环境质量底线、资源利用上线制定生态环境准入清单实施生态环境分区管控的通知》（川府发〔2020〕9 号）。本项目位于通川区要素重点管控单元，所在区域属于川东北经济区。本项目与四川省生态环境分区管控情况相符性分析见表1-2。</w:t>
            </w:r>
          </w:p>
          <w:p>
            <w:pPr>
              <w:pStyle w:val="2"/>
              <w:rPr>
                <w:rFonts w:hint="eastAsia"/>
              </w:rPr>
            </w:pPr>
          </w:p>
          <w:p>
            <w:pPr>
              <w:spacing w:line="276" w:lineRule="auto"/>
              <w:jc w:val="center"/>
              <w:rPr>
                <w:rFonts w:hint="eastAsia" w:cs="Times New Roman"/>
                <w:b/>
                <w:bCs/>
                <w:szCs w:val="21"/>
              </w:rPr>
            </w:pPr>
            <w:r>
              <w:rPr>
                <w:rFonts w:hint="eastAsia" w:cs="Times New Roman"/>
                <w:b/>
                <w:bCs/>
                <w:szCs w:val="21"/>
              </w:rPr>
              <w:t>表1-2  项目与四川省生态环境分区管控情况相符性分析</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3842"/>
              <w:gridCol w:w="22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1" w:type="pct"/>
                  <w:noWrap w:val="0"/>
                  <w:vAlign w:val="center"/>
                </w:tcPr>
                <w:p>
                  <w:pPr>
                    <w:jc w:val="center"/>
                    <w:rPr>
                      <w:rFonts w:hint="eastAsia"/>
                      <w:b/>
                      <w:bCs/>
                      <w:szCs w:val="21"/>
                    </w:rPr>
                  </w:pPr>
                  <w:r>
                    <w:rPr>
                      <w:rFonts w:hint="eastAsia"/>
                      <w:b/>
                      <w:bCs/>
                      <w:szCs w:val="21"/>
                    </w:rPr>
                    <w:t>环境管控单元类型</w:t>
                  </w:r>
                </w:p>
              </w:tc>
              <w:tc>
                <w:tcPr>
                  <w:tcW w:w="2264" w:type="pct"/>
                  <w:noWrap w:val="0"/>
                  <w:vAlign w:val="center"/>
                </w:tcPr>
                <w:p>
                  <w:pPr>
                    <w:jc w:val="center"/>
                    <w:rPr>
                      <w:rFonts w:hint="eastAsia"/>
                      <w:b/>
                      <w:bCs/>
                      <w:szCs w:val="21"/>
                    </w:rPr>
                  </w:pPr>
                  <w:r>
                    <w:rPr>
                      <w:rFonts w:hint="eastAsia"/>
                      <w:b/>
                      <w:bCs/>
                      <w:szCs w:val="21"/>
                    </w:rPr>
                    <w:t>总体生态环境管控要求</w:t>
                  </w:r>
                </w:p>
              </w:tc>
              <w:tc>
                <w:tcPr>
                  <w:tcW w:w="1314" w:type="pct"/>
                  <w:noWrap w:val="0"/>
                  <w:vAlign w:val="center"/>
                </w:tcPr>
                <w:p>
                  <w:pPr>
                    <w:jc w:val="center"/>
                    <w:rPr>
                      <w:rFonts w:hint="eastAsia"/>
                      <w:b/>
                      <w:bCs/>
                      <w:szCs w:val="21"/>
                    </w:rPr>
                  </w:pPr>
                  <w:r>
                    <w:rPr>
                      <w:rFonts w:hint="eastAsia"/>
                      <w:b/>
                      <w:bCs/>
                      <w:szCs w:val="21"/>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1" w:type="pct"/>
                  <w:noWrap w:val="0"/>
                  <w:vAlign w:val="center"/>
                </w:tcPr>
                <w:p>
                  <w:pPr>
                    <w:jc w:val="center"/>
                    <w:rPr>
                      <w:rFonts w:hint="eastAsia"/>
                      <w:szCs w:val="21"/>
                    </w:rPr>
                  </w:pPr>
                  <w:r>
                    <w:rPr>
                      <w:rFonts w:hint="eastAsia"/>
                      <w:szCs w:val="21"/>
                    </w:rPr>
                    <w:t>优先保护单元</w:t>
                  </w:r>
                </w:p>
              </w:tc>
              <w:tc>
                <w:tcPr>
                  <w:tcW w:w="2264" w:type="pct"/>
                  <w:noWrap w:val="0"/>
                  <w:vAlign w:val="center"/>
                </w:tcPr>
                <w:p>
                  <w:pPr>
                    <w:jc w:val="center"/>
                    <w:rPr>
                      <w:rFonts w:hint="eastAsia"/>
                      <w:szCs w:val="21"/>
                    </w:rPr>
                  </w:pPr>
                  <w:r>
                    <w:rPr>
                      <w:rFonts w:hint="eastAsia"/>
                      <w:szCs w:val="21"/>
                    </w:rPr>
                    <w:t>优先保护单元中，应以生态环境保护优先为原则，严格执行相关</w:t>
                  </w:r>
                  <w:r>
                    <w:rPr>
                      <w:rFonts w:hint="eastAsia"/>
                      <w:szCs w:val="21"/>
                      <w:lang w:eastAsia="zh-CN"/>
                    </w:rPr>
                    <w:t>法律法规</w:t>
                  </w:r>
                  <w:r>
                    <w:rPr>
                      <w:rFonts w:hint="eastAsia"/>
                      <w:szCs w:val="21"/>
                    </w:rPr>
                    <w:t>要求，严守生态环境质量底线，确保生态环境功能不降低。</w:t>
                  </w:r>
                </w:p>
              </w:tc>
              <w:tc>
                <w:tcPr>
                  <w:tcW w:w="1314" w:type="pct"/>
                  <w:vMerge w:val="restart"/>
                  <w:noWrap w:val="0"/>
                  <w:vAlign w:val="center"/>
                </w:tcPr>
                <w:p>
                  <w:pPr>
                    <w:jc w:val="center"/>
                    <w:rPr>
                      <w:rFonts w:hint="eastAsia"/>
                      <w:szCs w:val="21"/>
                    </w:rPr>
                  </w:pPr>
                  <w:r>
                    <w:rPr>
                      <w:rFonts w:hint="eastAsia"/>
                      <w:szCs w:val="21"/>
                    </w:rPr>
                    <w:t>本项目水厂位于通川区要素重点管控单元，</w:t>
                  </w:r>
                  <w:r>
                    <w:rPr>
                      <w:rFonts w:hint="eastAsia"/>
                      <w:bCs/>
                      <w:szCs w:val="21"/>
                      <w:lang w:bidi="en-US"/>
                    </w:rPr>
                    <w:t>建设单位在采取本项目提出的环保措施后，废水、废气、噪声能够达标排放，固废能够得到妥善处置，能够落实生态环境保护基本要求。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1" w:type="pct"/>
                  <w:noWrap w:val="0"/>
                  <w:vAlign w:val="center"/>
                </w:tcPr>
                <w:p>
                  <w:pPr>
                    <w:jc w:val="center"/>
                    <w:rPr>
                      <w:rFonts w:hint="eastAsia"/>
                      <w:szCs w:val="21"/>
                    </w:rPr>
                  </w:pPr>
                  <w:r>
                    <w:rPr>
                      <w:rFonts w:hint="eastAsia"/>
                      <w:szCs w:val="21"/>
                    </w:rPr>
                    <w:t>重点管控单元</w:t>
                  </w:r>
                </w:p>
              </w:tc>
              <w:tc>
                <w:tcPr>
                  <w:tcW w:w="2264" w:type="pct"/>
                  <w:noWrap w:val="0"/>
                  <w:vAlign w:val="center"/>
                </w:tcPr>
                <w:p>
                  <w:pPr>
                    <w:jc w:val="center"/>
                    <w:rPr>
                      <w:rFonts w:hint="eastAsia"/>
                      <w:szCs w:val="21"/>
                    </w:rPr>
                  </w:pPr>
                  <w:r>
                    <w:rPr>
                      <w:rFonts w:hint="eastAsia"/>
                      <w:szCs w:val="21"/>
                    </w:rPr>
                    <w:t>重点管控单元中，针对环境质量是否达标以及经济社会发展水平等因素制定别化的生态环境准入要求。对环境质量不达标区域，环境质量不达标区域，提出污染物削减比例要求，对环境质量达标区域，提出允许排放量建议指标。</w:t>
                  </w:r>
                </w:p>
              </w:tc>
              <w:tc>
                <w:tcPr>
                  <w:tcW w:w="1314" w:type="pct"/>
                  <w:vMerge w:val="continue"/>
                  <w:noWrap w:val="0"/>
                  <w:vAlign w:val="center"/>
                </w:tcPr>
                <w:p>
                  <w:pPr>
                    <w:jc w:val="center"/>
                    <w:rPr>
                      <w:rFonts w:hint="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1" w:type="pct"/>
                  <w:noWrap w:val="0"/>
                  <w:vAlign w:val="center"/>
                </w:tcPr>
                <w:p>
                  <w:pPr>
                    <w:jc w:val="center"/>
                    <w:rPr>
                      <w:rFonts w:hint="eastAsia"/>
                      <w:szCs w:val="21"/>
                    </w:rPr>
                  </w:pPr>
                  <w:r>
                    <w:rPr>
                      <w:rFonts w:hint="eastAsia"/>
                      <w:szCs w:val="21"/>
                    </w:rPr>
                    <w:t>一般管控单元</w:t>
                  </w:r>
                </w:p>
              </w:tc>
              <w:tc>
                <w:tcPr>
                  <w:tcW w:w="2264" w:type="pct"/>
                  <w:noWrap w:val="0"/>
                  <w:vAlign w:val="center"/>
                </w:tcPr>
                <w:p>
                  <w:pPr>
                    <w:jc w:val="center"/>
                    <w:rPr>
                      <w:rFonts w:hint="eastAsia"/>
                      <w:szCs w:val="21"/>
                    </w:rPr>
                  </w:pPr>
                  <w:r>
                    <w:rPr>
                      <w:rFonts w:hint="eastAsia"/>
                      <w:szCs w:val="21"/>
                    </w:rPr>
                    <w:t>一般管控单元中，执行区域生态环境保护的基本要求。重点加强农业、生活等领域污染治理。</w:t>
                  </w:r>
                </w:p>
              </w:tc>
              <w:tc>
                <w:tcPr>
                  <w:tcW w:w="1314" w:type="pct"/>
                  <w:vMerge w:val="continue"/>
                  <w:noWrap w:val="0"/>
                  <w:vAlign w:val="center"/>
                </w:tcPr>
                <w:p>
                  <w:pPr>
                    <w:jc w:val="center"/>
                    <w:rPr>
                      <w:rFonts w:hint="eastAsia"/>
                      <w:color w:val="FF00FF"/>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1" w:type="pct"/>
                  <w:noWrap w:val="0"/>
                  <w:vAlign w:val="center"/>
                </w:tcPr>
                <w:p>
                  <w:pPr>
                    <w:jc w:val="center"/>
                    <w:rPr>
                      <w:rFonts w:hint="eastAsia"/>
                      <w:b/>
                      <w:bCs/>
                      <w:szCs w:val="21"/>
                    </w:rPr>
                  </w:pPr>
                  <w:r>
                    <w:rPr>
                      <w:rFonts w:hint="eastAsia"/>
                      <w:b/>
                      <w:bCs/>
                      <w:szCs w:val="21"/>
                    </w:rPr>
                    <w:t>区域</w:t>
                  </w:r>
                </w:p>
              </w:tc>
              <w:tc>
                <w:tcPr>
                  <w:tcW w:w="2264" w:type="pct"/>
                  <w:noWrap w:val="0"/>
                  <w:vAlign w:val="center"/>
                </w:tcPr>
                <w:p>
                  <w:pPr>
                    <w:jc w:val="center"/>
                    <w:rPr>
                      <w:rFonts w:hint="eastAsia"/>
                      <w:b/>
                      <w:bCs/>
                      <w:szCs w:val="21"/>
                    </w:rPr>
                  </w:pPr>
                  <w:r>
                    <w:rPr>
                      <w:rFonts w:hint="eastAsia"/>
                      <w:b/>
                      <w:bCs/>
                      <w:szCs w:val="21"/>
                    </w:rPr>
                    <w:t>总体生态环境管控要求</w:t>
                  </w:r>
                </w:p>
              </w:tc>
              <w:tc>
                <w:tcPr>
                  <w:tcW w:w="1314" w:type="pct"/>
                  <w:noWrap w:val="0"/>
                  <w:vAlign w:val="center"/>
                </w:tcPr>
                <w:p>
                  <w:pPr>
                    <w:jc w:val="center"/>
                    <w:rPr>
                      <w:rFonts w:hint="eastAsia"/>
                      <w:b/>
                      <w:bCs/>
                      <w:szCs w:val="21"/>
                    </w:rPr>
                  </w:pPr>
                  <w:r>
                    <w:rPr>
                      <w:rFonts w:hint="eastAsia"/>
                      <w:b/>
                      <w:bCs/>
                      <w:szCs w:val="21"/>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1" w:type="pct"/>
                  <w:noWrap w:val="0"/>
                  <w:vAlign w:val="center"/>
                </w:tcPr>
                <w:p>
                  <w:pPr>
                    <w:jc w:val="center"/>
                    <w:rPr>
                      <w:rFonts w:hint="eastAsia"/>
                      <w:szCs w:val="21"/>
                    </w:rPr>
                  </w:pPr>
                  <w:r>
                    <w:rPr>
                      <w:rFonts w:hint="eastAsia"/>
                      <w:szCs w:val="21"/>
                    </w:rPr>
                    <w:t>川东北经济区</w:t>
                  </w:r>
                </w:p>
              </w:tc>
              <w:tc>
                <w:tcPr>
                  <w:tcW w:w="2264" w:type="pct"/>
                  <w:noWrap w:val="0"/>
                  <w:vAlign w:val="center"/>
                </w:tcPr>
                <w:p>
                  <w:pPr>
                    <w:jc w:val="center"/>
                    <w:rPr>
                      <w:rFonts w:hint="eastAsia"/>
                      <w:szCs w:val="21"/>
                    </w:rPr>
                  </w:pPr>
                  <w:r>
                    <w:rPr>
                      <w:rFonts w:hint="eastAsia"/>
                      <w:szCs w:val="21"/>
                    </w:rPr>
                    <w:t>①控制农村面源污染，提高废水收集处理率，加快乡镇污水处理基础设施建设。</w:t>
                  </w:r>
                </w:p>
                <w:p>
                  <w:pPr>
                    <w:rPr>
                      <w:rFonts w:hint="eastAsia"/>
                      <w:szCs w:val="21"/>
                    </w:rPr>
                  </w:pPr>
                  <w:r>
                    <w:rPr>
                      <w:rFonts w:hint="eastAsia"/>
                      <w:szCs w:val="21"/>
                    </w:rPr>
                    <w:t>②建设流域水环境风险联防联控体系。</w:t>
                  </w:r>
                </w:p>
                <w:p>
                  <w:pPr>
                    <w:rPr>
                      <w:rFonts w:hint="eastAsia"/>
                      <w:szCs w:val="21"/>
                    </w:rPr>
                  </w:pPr>
                  <w:r>
                    <w:rPr>
                      <w:rFonts w:hint="eastAsia"/>
                      <w:szCs w:val="21"/>
                    </w:rPr>
                    <w:t>③提高大气污染治理水平。</w:t>
                  </w:r>
                </w:p>
              </w:tc>
              <w:tc>
                <w:tcPr>
                  <w:tcW w:w="1314" w:type="pct"/>
                  <w:noWrap w:val="0"/>
                  <w:vAlign w:val="center"/>
                </w:tcPr>
                <w:p>
                  <w:pPr>
                    <w:rPr>
                      <w:rFonts w:hint="eastAsia"/>
                      <w:szCs w:val="21"/>
                    </w:rPr>
                  </w:pPr>
                  <w:r>
                    <w:rPr>
                      <w:rFonts w:hint="eastAsia"/>
                      <w:szCs w:val="21"/>
                    </w:rPr>
                    <w:t>本项目生产过程滤池反冲洗水回流至配水井回用，不外排；生活污水（食堂含油废水先经隔油处理）经化粪池处理后，与污泥压滤液均排入市政污水管网引至达州市污水处理厂处理后排放，项目废水收集处理率100%，满足管控要求。</w:t>
                  </w:r>
                </w:p>
              </w:tc>
            </w:tr>
          </w:tbl>
          <w:p>
            <w:pPr>
              <w:spacing w:line="276" w:lineRule="auto"/>
              <w:ind w:firstLine="420" w:firstLineChars="200"/>
              <w:rPr>
                <w:rFonts w:hint="eastAsia" w:cs="Times New Roman"/>
                <w:szCs w:val="21"/>
              </w:rPr>
            </w:pPr>
            <w:r>
              <w:rPr>
                <w:rFonts w:hint="eastAsia" w:cs="Times New Roman"/>
                <w:szCs w:val="21"/>
              </w:rPr>
              <w:t>综上，本项目符合《关于落实生态保护红线、环境质量底线、资源利用上线制定生态环境准入清单实施生态环境分区管控的通知》（川府发〔2020〕9号）相关要求。</w:t>
            </w:r>
          </w:p>
          <w:p>
            <w:pPr>
              <w:spacing w:line="276" w:lineRule="auto"/>
              <w:ind w:firstLine="422" w:firstLineChars="200"/>
              <w:rPr>
                <w:rFonts w:hint="eastAsia" w:cs="Times New Roman"/>
                <w:b/>
                <w:bCs/>
                <w:szCs w:val="21"/>
              </w:rPr>
            </w:pPr>
            <w:r>
              <w:rPr>
                <w:rFonts w:hint="eastAsia" w:cs="Times New Roman"/>
                <w:b/>
                <w:bCs/>
                <w:szCs w:val="21"/>
              </w:rPr>
              <w:t>（2）</w:t>
            </w:r>
            <w:r>
              <w:rPr>
                <w:rFonts w:cs="Times New Roman"/>
                <w:b/>
                <w:bCs/>
                <w:szCs w:val="21"/>
              </w:rPr>
              <w:t>与《关于落实生态保护红线、环境质量底线、资源利用上线制定生态环境</w:t>
            </w:r>
            <w:r>
              <w:rPr>
                <w:rFonts w:hint="eastAsia" w:cs="Times New Roman"/>
                <w:b/>
                <w:bCs/>
                <w:szCs w:val="21"/>
              </w:rPr>
              <w:t>准入</w:t>
            </w:r>
            <w:r>
              <w:rPr>
                <w:rFonts w:cs="Times New Roman"/>
                <w:b/>
                <w:bCs/>
                <w:szCs w:val="21"/>
              </w:rPr>
              <w:t>清单实施生态环境分区管控的通知》（达市府发〔2021〕17号）</w:t>
            </w:r>
          </w:p>
          <w:p>
            <w:pPr>
              <w:spacing w:line="276" w:lineRule="auto"/>
              <w:ind w:firstLine="420" w:firstLineChars="200"/>
              <w:rPr>
                <w:rFonts w:hint="eastAsia" w:cs="Times New Roman"/>
                <w:szCs w:val="21"/>
              </w:rPr>
            </w:pPr>
            <w:r>
              <w:rPr>
                <w:rFonts w:cs="Times New Roman"/>
                <w:szCs w:val="21"/>
              </w:rPr>
              <w:t>根据达州市人民政府发布的《关于落实生态保护红线、环境质量底线、资源利用上线制定生态环境</w:t>
            </w:r>
            <w:r>
              <w:rPr>
                <w:rFonts w:hint="eastAsia" w:cs="Times New Roman"/>
                <w:szCs w:val="21"/>
              </w:rPr>
              <w:t>准入</w:t>
            </w:r>
            <w:r>
              <w:rPr>
                <w:rFonts w:cs="Times New Roman"/>
                <w:szCs w:val="21"/>
              </w:rPr>
              <w:t>清单实施生态环境分区管控的通知》（达市府发〔2021〕17号），</w:t>
            </w:r>
            <w:r>
              <w:rPr>
                <w:rFonts w:cs="Times New Roman"/>
                <w:b/>
                <w:bCs/>
                <w:szCs w:val="21"/>
              </w:rPr>
              <w:t>本项目所在区域属于</w:t>
            </w:r>
            <w:r>
              <w:rPr>
                <w:rFonts w:hint="eastAsia" w:cs="Times New Roman"/>
                <w:b/>
                <w:bCs/>
                <w:szCs w:val="21"/>
              </w:rPr>
              <w:t>通川区要素重点管控单元</w:t>
            </w:r>
            <w:r>
              <w:rPr>
                <w:rFonts w:cs="Times New Roman"/>
                <w:b/>
                <w:bCs/>
                <w:szCs w:val="21"/>
              </w:rPr>
              <w:t>。</w:t>
            </w:r>
          </w:p>
          <w:p>
            <w:pPr>
              <w:spacing w:line="276" w:lineRule="auto"/>
              <w:jc w:val="center"/>
              <w:rPr>
                <w:rFonts w:cs="Times New Roman"/>
                <w:szCs w:val="21"/>
              </w:rPr>
            </w:pPr>
            <w:r>
              <w:rPr>
                <w:rFonts w:hint="eastAsia"/>
                <w:b/>
                <w:szCs w:val="21"/>
              </w:rPr>
              <w:t>表1-3 与达市府发〔2021〕17号的符合性</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3966"/>
              <w:gridCol w:w="2861"/>
              <w:gridCol w:w="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jc w:val="center"/>
                    <w:rPr>
                      <w:rFonts w:hint="eastAsia" w:ascii="宋体" w:hAnsi="宋体"/>
                      <w:b/>
                      <w:sz w:val="18"/>
                      <w:szCs w:val="18"/>
                    </w:rPr>
                  </w:pPr>
                  <w:r>
                    <w:rPr>
                      <w:rFonts w:hint="eastAsia" w:ascii="宋体" w:hAnsi="宋体"/>
                      <w:b/>
                      <w:sz w:val="18"/>
                      <w:szCs w:val="18"/>
                    </w:rPr>
                    <w:t>名称</w:t>
                  </w:r>
                </w:p>
              </w:tc>
              <w:tc>
                <w:tcPr>
                  <w:tcW w:w="2339" w:type="pct"/>
                  <w:noWrap w:val="0"/>
                  <w:vAlign w:val="center"/>
                </w:tcPr>
                <w:p>
                  <w:pPr>
                    <w:rPr>
                      <w:rFonts w:hint="eastAsia" w:ascii="宋体" w:hAnsi="宋体"/>
                      <w:b/>
                      <w:sz w:val="18"/>
                      <w:szCs w:val="18"/>
                    </w:rPr>
                  </w:pPr>
                  <w:r>
                    <w:rPr>
                      <w:rFonts w:hint="eastAsia" w:ascii="宋体" w:hAnsi="宋体"/>
                      <w:b/>
                      <w:sz w:val="18"/>
                      <w:szCs w:val="18"/>
                    </w:rPr>
                    <w:t>文件要求</w:t>
                  </w:r>
                </w:p>
              </w:tc>
              <w:tc>
                <w:tcPr>
                  <w:tcW w:w="1687" w:type="pct"/>
                  <w:noWrap w:val="0"/>
                  <w:vAlign w:val="center"/>
                </w:tcPr>
                <w:p>
                  <w:pPr>
                    <w:rPr>
                      <w:rFonts w:hint="eastAsia" w:ascii="宋体" w:hAnsi="宋体"/>
                      <w:b/>
                      <w:sz w:val="18"/>
                      <w:szCs w:val="18"/>
                    </w:rPr>
                  </w:pPr>
                  <w:r>
                    <w:rPr>
                      <w:rFonts w:hint="eastAsia" w:ascii="宋体" w:hAnsi="宋体"/>
                      <w:b/>
                      <w:sz w:val="18"/>
                      <w:szCs w:val="18"/>
                    </w:rPr>
                    <w:t>本项目情况</w:t>
                  </w:r>
                </w:p>
              </w:tc>
              <w:tc>
                <w:tcPr>
                  <w:tcW w:w="421" w:type="pct"/>
                  <w:noWrap w:val="0"/>
                  <w:vAlign w:val="center"/>
                </w:tcPr>
                <w:p>
                  <w:pPr>
                    <w:jc w:val="center"/>
                    <w:rPr>
                      <w:rFonts w:hint="eastAsia" w:ascii="宋体" w:hAnsi="宋体"/>
                      <w:b/>
                      <w:sz w:val="18"/>
                      <w:szCs w:val="18"/>
                    </w:rPr>
                  </w:pPr>
                  <w:r>
                    <w:rPr>
                      <w:rFonts w:hint="eastAsia" w:ascii="宋体" w:hAnsi="宋体"/>
                      <w:b/>
                      <w:sz w:val="18"/>
                      <w:szCs w:val="18"/>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pStyle w:val="24"/>
                    <w:spacing w:line="81" w:lineRule="atLeast"/>
                    <w:jc w:val="center"/>
                    <w:rPr>
                      <w:sz w:val="18"/>
                      <w:szCs w:val="18"/>
                    </w:rPr>
                  </w:pPr>
                  <w:r>
                    <w:rPr>
                      <w:rFonts w:cs="Times New Roman"/>
                      <w:sz w:val="18"/>
                      <w:szCs w:val="18"/>
                    </w:rPr>
                    <w:t>重点管控单元</w:t>
                  </w:r>
                </w:p>
              </w:tc>
              <w:tc>
                <w:tcPr>
                  <w:tcW w:w="2339" w:type="pct"/>
                  <w:noWrap w:val="0"/>
                  <w:vAlign w:val="center"/>
                </w:tcPr>
                <w:p>
                  <w:pPr>
                    <w:pStyle w:val="24"/>
                    <w:spacing w:line="81" w:lineRule="atLeast"/>
                    <w:jc w:val="both"/>
                    <w:rPr>
                      <w:sz w:val="18"/>
                      <w:szCs w:val="18"/>
                    </w:rPr>
                  </w:pPr>
                  <w:r>
                    <w:rPr>
                      <w:rFonts w:cs="Times New Roman"/>
                      <w:sz w:val="18"/>
                      <w:szCs w:val="18"/>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687" w:type="pct"/>
                  <w:noWrap w:val="0"/>
                  <w:vAlign w:val="center"/>
                </w:tcPr>
                <w:p>
                  <w:pPr>
                    <w:rPr>
                      <w:rFonts w:ascii="宋体" w:hAnsi="宋体"/>
                      <w:sz w:val="18"/>
                      <w:szCs w:val="18"/>
                    </w:rPr>
                  </w:pPr>
                  <w:r>
                    <w:rPr>
                      <w:rFonts w:hint="eastAsia" w:ascii="宋体" w:hAnsi="宋体"/>
                      <w:sz w:val="18"/>
                      <w:szCs w:val="18"/>
                    </w:rPr>
                    <w:t>本项目位于所在区域环境质量达标，项目为自来水生产</w:t>
                  </w:r>
                  <w:r>
                    <w:rPr>
                      <w:rFonts w:hint="eastAsia" w:ascii="宋体" w:hAnsi="宋体" w:cs="Times New Roman"/>
                      <w:bCs/>
                      <w:sz w:val="18"/>
                      <w:szCs w:val="18"/>
                    </w:rPr>
                    <w:t>，</w:t>
                  </w:r>
                  <w:r>
                    <w:rPr>
                      <w:rFonts w:hint="eastAsia" w:ascii="宋体" w:hAnsi="宋体"/>
                      <w:sz w:val="18"/>
                      <w:szCs w:val="18"/>
                    </w:rPr>
                    <w:t>符合管控要求</w:t>
                  </w:r>
                </w:p>
              </w:tc>
              <w:tc>
                <w:tcPr>
                  <w:tcW w:w="421" w:type="pct"/>
                  <w:noWrap w:val="0"/>
                  <w:vAlign w:val="center"/>
                </w:tcPr>
                <w:p>
                  <w:pPr>
                    <w:jc w:val="center"/>
                    <w:rPr>
                      <w:rFonts w:hint="eastAsia" w:ascii="宋体" w:hAnsi="宋体"/>
                      <w:sz w:val="18"/>
                      <w:szCs w:val="18"/>
                    </w:rPr>
                  </w:pPr>
                  <w:r>
                    <w:rPr>
                      <w:rFonts w:hint="eastAsia" w:ascii="宋体" w:hAnsi="宋体"/>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pStyle w:val="24"/>
                    <w:spacing w:before="0" w:beforeAutospacing="0" w:after="0" w:afterAutospacing="0" w:line="224" w:lineRule="atLeast"/>
                    <w:jc w:val="center"/>
                    <w:rPr>
                      <w:rFonts w:cs="Times New Roman"/>
                      <w:sz w:val="18"/>
                      <w:szCs w:val="18"/>
                    </w:rPr>
                  </w:pPr>
                  <w:r>
                    <w:rPr>
                      <w:rFonts w:cs="Times New Roman"/>
                      <w:sz w:val="18"/>
                      <w:szCs w:val="18"/>
                    </w:rPr>
                    <w:t>通川区</w:t>
                  </w:r>
                  <w:r>
                    <w:rPr>
                      <w:rFonts w:hint="eastAsia" w:cs="Times New Roman"/>
                      <w:sz w:val="18"/>
                      <w:szCs w:val="18"/>
                    </w:rPr>
                    <w:t>总体生态环境管控要求</w:t>
                  </w:r>
                </w:p>
              </w:tc>
              <w:tc>
                <w:tcPr>
                  <w:tcW w:w="2339" w:type="pct"/>
                  <w:noWrap w:val="0"/>
                  <w:vAlign w:val="center"/>
                </w:tcPr>
                <w:p>
                  <w:pPr>
                    <w:rPr>
                      <w:rFonts w:ascii="宋体" w:hAnsi="宋体"/>
                      <w:sz w:val="18"/>
                      <w:szCs w:val="18"/>
                    </w:rPr>
                  </w:pPr>
                  <w:r>
                    <w:rPr>
                      <w:rFonts w:ascii="宋体" w:hAnsi="宋体"/>
                      <w:sz w:val="18"/>
                      <w:szCs w:val="18"/>
                    </w:rPr>
                    <w:t>1</w:t>
                  </w:r>
                  <w:r>
                    <w:rPr>
                      <w:rFonts w:hint="eastAsia" w:ascii="宋体" w:hAnsi="宋体"/>
                      <w:sz w:val="18"/>
                      <w:szCs w:val="18"/>
                    </w:rPr>
                    <w:t>．调</w:t>
                  </w:r>
                  <w:r>
                    <w:rPr>
                      <w:rFonts w:ascii="宋体" w:hAnsi="宋体"/>
                      <w:sz w:val="18"/>
                      <w:szCs w:val="18"/>
                    </w:rPr>
                    <w:t>整农作物种植结构，加强农业氨污染控制，大力发展节水农业；</w:t>
                  </w:r>
                </w:p>
                <w:p>
                  <w:pPr>
                    <w:rPr>
                      <w:rFonts w:hint="eastAsia" w:ascii="宋体" w:hAnsi="宋体"/>
                      <w:sz w:val="18"/>
                      <w:szCs w:val="18"/>
                    </w:rPr>
                  </w:pPr>
                  <w:r>
                    <w:rPr>
                      <w:rFonts w:ascii="宋体" w:hAnsi="宋体"/>
                      <w:sz w:val="18"/>
                      <w:szCs w:val="18"/>
                    </w:rPr>
                    <w:t>2</w:t>
                  </w:r>
                  <w:r>
                    <w:rPr>
                      <w:rFonts w:hint="eastAsia" w:ascii="宋体" w:hAnsi="宋体"/>
                      <w:sz w:val="18"/>
                      <w:szCs w:val="18"/>
                    </w:rPr>
                    <w:t>．加强建筑工程日常监管，对重点环节采取遮盖、洒水、封闭等措施控制扬尘排放。提高道路硬化率，减少道路起尘源。推动非道路移动机械达标排放示范企业建设；</w:t>
                  </w:r>
                </w:p>
                <w:p>
                  <w:pPr>
                    <w:rPr>
                      <w:rFonts w:hint="eastAsia" w:ascii="宋体" w:hAnsi="宋体"/>
                      <w:sz w:val="18"/>
                      <w:szCs w:val="18"/>
                    </w:rPr>
                  </w:pPr>
                  <w:r>
                    <w:rPr>
                      <w:rFonts w:ascii="宋体" w:hAnsi="宋体"/>
                      <w:sz w:val="18"/>
                      <w:szCs w:val="18"/>
                    </w:rPr>
                    <w:t>3</w:t>
                  </w:r>
                  <w:r>
                    <w:rPr>
                      <w:rFonts w:hint="eastAsia" w:ascii="宋体" w:hAnsi="宋体"/>
                      <w:sz w:val="18"/>
                      <w:szCs w:val="18"/>
                    </w:rPr>
                    <w:t>．优化调整产业布局，以</w:t>
                  </w:r>
                  <w:r>
                    <w:rPr>
                      <w:rFonts w:ascii="宋体" w:hAnsi="宋体"/>
                      <w:sz w:val="18"/>
                      <w:szCs w:val="18"/>
                    </w:rPr>
                    <w:t>PM2.5和臭氧污染协同控制为重点，全面开展VOCs</w:t>
                  </w:r>
                  <w:r>
                    <w:rPr>
                      <w:rFonts w:hint="eastAsia" w:ascii="宋体" w:hAnsi="宋体"/>
                      <w:sz w:val="18"/>
                      <w:szCs w:val="18"/>
                    </w:rPr>
                    <w:t>治理，实施移动源整治，持续推进空气质量精细化管理；</w:t>
                  </w:r>
                </w:p>
                <w:p>
                  <w:pPr>
                    <w:rPr>
                      <w:rFonts w:ascii="宋体" w:hAnsi="宋体"/>
                      <w:sz w:val="18"/>
                      <w:szCs w:val="18"/>
                    </w:rPr>
                  </w:pPr>
                  <w:r>
                    <w:rPr>
                      <w:rFonts w:ascii="宋体" w:hAnsi="宋体"/>
                      <w:sz w:val="18"/>
                      <w:szCs w:val="18"/>
                    </w:rPr>
                    <w:t>4</w:t>
                  </w:r>
                  <w:r>
                    <w:rPr>
                      <w:rFonts w:hint="eastAsia" w:ascii="宋体" w:hAnsi="宋体"/>
                      <w:sz w:val="18"/>
                      <w:szCs w:val="18"/>
                    </w:rPr>
                    <w:t>．建立健全农业节水体系，推广使用节水灌溉技术，探索乡镇、农村生活污染水资源化还田利用。</w:t>
                  </w:r>
                  <w:r>
                    <w:rPr>
                      <w:rFonts w:ascii="宋体" w:hAnsi="宋体"/>
                      <w:sz w:val="18"/>
                      <w:szCs w:val="18"/>
                    </w:rPr>
                    <w:t>大力整治沿河畜禽养殖污染整治，实现畜禽粪污减量化排放、无害化处理和资源化利用。</w:t>
                  </w:r>
                </w:p>
              </w:tc>
              <w:tc>
                <w:tcPr>
                  <w:tcW w:w="1687" w:type="pct"/>
                  <w:noWrap w:val="0"/>
                  <w:vAlign w:val="center"/>
                </w:tcPr>
                <w:p>
                  <w:pPr>
                    <w:rPr>
                      <w:rFonts w:hint="eastAsia" w:ascii="宋体" w:hAnsi="宋体"/>
                      <w:sz w:val="18"/>
                      <w:szCs w:val="18"/>
                    </w:rPr>
                  </w:pPr>
                  <w:r>
                    <w:rPr>
                      <w:rFonts w:hint="eastAsia" w:ascii="宋体" w:hAnsi="宋体"/>
                      <w:sz w:val="18"/>
                      <w:szCs w:val="18"/>
                    </w:rPr>
                    <w:t>1、项目为自来水生产工程，不属于农业种植项目；</w:t>
                  </w:r>
                </w:p>
                <w:p>
                  <w:pPr>
                    <w:rPr>
                      <w:rFonts w:hint="eastAsia" w:ascii="宋体" w:hAnsi="宋体"/>
                      <w:sz w:val="18"/>
                      <w:szCs w:val="18"/>
                    </w:rPr>
                  </w:pPr>
                  <w:r>
                    <w:rPr>
                      <w:rFonts w:hint="eastAsia" w:ascii="宋体" w:hAnsi="宋体"/>
                      <w:sz w:val="18"/>
                      <w:szCs w:val="18"/>
                    </w:rPr>
                    <w:t>2、项目建设过程中采取措施，加强日常监管，施工期间对重点环节采取遮盖、洒水、封闭等措施控制扬尘排放；对进出场道路进行硬化和设置冲洗平台，减少道路起尘源；</w:t>
                  </w:r>
                </w:p>
                <w:p>
                  <w:pPr>
                    <w:rPr>
                      <w:rFonts w:hint="eastAsia" w:ascii="宋体" w:hAnsi="宋体"/>
                      <w:sz w:val="18"/>
                      <w:szCs w:val="18"/>
                    </w:rPr>
                  </w:pPr>
                  <w:r>
                    <w:rPr>
                      <w:rFonts w:hint="eastAsia" w:ascii="宋体" w:hAnsi="宋体"/>
                      <w:sz w:val="18"/>
                      <w:szCs w:val="18"/>
                    </w:rPr>
                    <w:t>3、项目营运期不涉及颗粒物和VOCs排放；</w:t>
                  </w:r>
                </w:p>
                <w:p>
                  <w:pPr>
                    <w:rPr>
                      <w:rFonts w:ascii="宋体" w:hAnsi="宋体"/>
                      <w:sz w:val="18"/>
                      <w:szCs w:val="18"/>
                    </w:rPr>
                  </w:pPr>
                  <w:r>
                    <w:rPr>
                      <w:rFonts w:hint="eastAsia" w:ascii="宋体" w:hAnsi="宋体"/>
                      <w:sz w:val="18"/>
                      <w:szCs w:val="18"/>
                    </w:rPr>
                    <w:t>4、项目不属于农业类型，也不属于畜禽养殖项目。</w:t>
                  </w:r>
                </w:p>
              </w:tc>
              <w:tc>
                <w:tcPr>
                  <w:tcW w:w="421" w:type="pct"/>
                  <w:noWrap w:val="0"/>
                  <w:vAlign w:val="center"/>
                </w:tcPr>
                <w:p>
                  <w:pPr>
                    <w:jc w:val="center"/>
                    <w:rPr>
                      <w:rFonts w:hint="eastAsia" w:ascii="宋体" w:hAnsi="宋体"/>
                      <w:sz w:val="18"/>
                      <w:szCs w:val="18"/>
                    </w:rPr>
                  </w:pPr>
                  <w:r>
                    <w:rPr>
                      <w:rFonts w:hint="eastAsia" w:ascii="宋体" w:hAnsi="宋体"/>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553" w:type="pct"/>
                  <w:noWrap w:val="0"/>
                  <w:vAlign w:val="center"/>
                </w:tcPr>
                <w:p>
                  <w:pPr>
                    <w:jc w:val="center"/>
                    <w:rPr>
                      <w:rFonts w:hint="eastAsia" w:ascii="宋体" w:hAnsi="宋体"/>
                      <w:sz w:val="18"/>
                      <w:szCs w:val="18"/>
                    </w:rPr>
                  </w:pPr>
                  <w:r>
                    <w:rPr>
                      <w:rFonts w:hint="eastAsia" w:ascii="宋体" w:hAnsi="宋体"/>
                      <w:sz w:val="18"/>
                      <w:szCs w:val="18"/>
                    </w:rPr>
                    <w:t>达州市管控要求</w:t>
                  </w:r>
                </w:p>
              </w:tc>
              <w:tc>
                <w:tcPr>
                  <w:tcW w:w="2339" w:type="pct"/>
                  <w:noWrap w:val="0"/>
                  <w:vAlign w:val="center"/>
                </w:tcPr>
                <w:p>
                  <w:pPr>
                    <w:rPr>
                      <w:rFonts w:hint="eastAsia" w:ascii="宋体" w:hAnsi="宋体"/>
                      <w:sz w:val="18"/>
                      <w:szCs w:val="18"/>
                    </w:rPr>
                  </w:pPr>
                  <w:r>
                    <w:rPr>
                      <w:rFonts w:hint="eastAsia" w:ascii="宋体" w:hAnsi="宋体"/>
                      <w:sz w:val="18"/>
                      <w:szCs w:val="18"/>
                    </w:rPr>
                    <w:t>1、对钢铁行业提出严格资源环境绩效水平要求；</w:t>
                  </w:r>
                </w:p>
                <w:p>
                  <w:pPr>
                    <w:rPr>
                      <w:rFonts w:hint="eastAsia" w:ascii="宋体" w:hAnsi="宋体"/>
                      <w:sz w:val="18"/>
                      <w:szCs w:val="18"/>
                    </w:rPr>
                  </w:pPr>
                  <w:r>
                    <w:rPr>
                      <w:rFonts w:hint="eastAsia" w:ascii="宋体" w:hAnsi="宋体"/>
                      <w:sz w:val="18"/>
                      <w:szCs w:val="18"/>
                    </w:rPr>
                    <w:t>2、高污染企业限期退城入园；</w:t>
                  </w:r>
                </w:p>
                <w:p>
                  <w:pPr>
                    <w:rPr>
                      <w:rFonts w:hint="eastAsia" w:ascii="宋体" w:hAnsi="宋体"/>
                      <w:sz w:val="18"/>
                      <w:szCs w:val="18"/>
                    </w:rPr>
                  </w:pPr>
                  <w:r>
                    <w:rPr>
                      <w:rFonts w:hint="eastAsia" w:ascii="宋体" w:hAnsi="宋体"/>
                      <w:sz w:val="18"/>
                      <w:szCs w:val="18"/>
                    </w:rPr>
                    <w:t>3、普光气田开发污染防治和环境管理等方面要达到国内先进水平；</w:t>
                  </w:r>
                </w:p>
                <w:p>
                  <w:pPr>
                    <w:rPr>
                      <w:rFonts w:hint="eastAsia" w:ascii="宋体" w:hAnsi="宋体"/>
                      <w:sz w:val="18"/>
                      <w:szCs w:val="18"/>
                    </w:rPr>
                  </w:pPr>
                  <w:r>
                    <w:rPr>
                      <w:rFonts w:hint="eastAsia" w:ascii="宋体" w:hAnsi="宋体"/>
                      <w:sz w:val="18"/>
                      <w:szCs w:val="18"/>
                    </w:rPr>
                    <w:t>4、引进项目应符合园区规划环评和区域产业准入清单要求；</w:t>
                  </w:r>
                </w:p>
                <w:p>
                  <w:pPr>
                    <w:rPr>
                      <w:rFonts w:hint="eastAsia" w:ascii="宋体" w:hAnsi="宋体"/>
                      <w:sz w:val="18"/>
                      <w:szCs w:val="18"/>
                    </w:rPr>
                  </w:pPr>
                  <w:r>
                    <w:rPr>
                      <w:rFonts w:hint="eastAsia" w:ascii="宋体" w:hAnsi="宋体"/>
                      <w:sz w:val="18"/>
                      <w:szCs w:val="18"/>
                    </w:rPr>
                    <w:t>5、长江干支流岸线1km范围内，不得新建、扩建化工园区和化工项目；</w:t>
                  </w:r>
                </w:p>
                <w:p>
                  <w:pPr>
                    <w:rPr>
                      <w:rFonts w:hint="eastAsia" w:ascii="宋体" w:hAnsi="宋体"/>
                      <w:sz w:val="18"/>
                      <w:szCs w:val="18"/>
                    </w:rPr>
                  </w:pPr>
                  <w:r>
                    <w:rPr>
                      <w:rFonts w:hint="eastAsia" w:ascii="宋体" w:hAnsi="宋体"/>
                      <w:sz w:val="18"/>
                      <w:szCs w:val="18"/>
                    </w:rPr>
                    <w:t>6、严控产业转移环境准入；</w:t>
                  </w:r>
                </w:p>
                <w:p>
                  <w:pPr>
                    <w:rPr>
                      <w:rFonts w:hint="eastAsia" w:ascii="宋体" w:hAnsi="宋体"/>
                      <w:sz w:val="18"/>
                      <w:szCs w:val="18"/>
                    </w:rPr>
                  </w:pPr>
                  <w:r>
                    <w:rPr>
                      <w:rFonts w:hint="eastAsia" w:ascii="宋体" w:hAnsi="宋体"/>
                      <w:sz w:val="18"/>
                      <w:szCs w:val="18"/>
                    </w:rPr>
                    <w:t>7、造纸等产业污染治理和环境管理应达到国内先进水平。优化制浆造纸产业布局，提升行业清洁生产水平，推动制浆造纸工业向节能、环保、绿色方向发展。</w:t>
                  </w:r>
                </w:p>
              </w:tc>
              <w:tc>
                <w:tcPr>
                  <w:tcW w:w="1687" w:type="pct"/>
                  <w:noWrap w:val="0"/>
                  <w:vAlign w:val="center"/>
                </w:tcPr>
                <w:p>
                  <w:pPr>
                    <w:rPr>
                      <w:rFonts w:hint="eastAsia" w:ascii="宋体" w:hAnsi="宋体"/>
                      <w:sz w:val="18"/>
                      <w:szCs w:val="18"/>
                    </w:rPr>
                  </w:pPr>
                  <w:r>
                    <w:rPr>
                      <w:rFonts w:hint="eastAsia" w:ascii="宋体" w:hAnsi="宋体"/>
                      <w:sz w:val="18"/>
                      <w:szCs w:val="18"/>
                    </w:rPr>
                    <w:t>1、本项目不属于钢铁行业，不属于高污染项目；</w:t>
                  </w:r>
                </w:p>
                <w:p>
                  <w:pPr>
                    <w:rPr>
                      <w:rFonts w:hint="eastAsia" w:ascii="宋体" w:hAnsi="宋体"/>
                      <w:sz w:val="18"/>
                      <w:szCs w:val="18"/>
                    </w:rPr>
                  </w:pPr>
                  <w:r>
                    <w:rPr>
                      <w:rFonts w:hint="eastAsia" w:ascii="宋体" w:hAnsi="宋体"/>
                      <w:sz w:val="18"/>
                      <w:szCs w:val="18"/>
                    </w:rPr>
                    <w:t>2、本项目为自来水生产，不属于退城入园项目类型；</w:t>
                  </w:r>
                </w:p>
                <w:p>
                  <w:pPr>
                    <w:rPr>
                      <w:rFonts w:hint="eastAsia" w:ascii="宋体" w:hAnsi="宋体"/>
                      <w:sz w:val="18"/>
                      <w:szCs w:val="18"/>
                    </w:rPr>
                  </w:pPr>
                  <w:r>
                    <w:rPr>
                      <w:rFonts w:hint="eastAsia" w:ascii="宋体" w:hAnsi="宋体"/>
                      <w:sz w:val="18"/>
                      <w:szCs w:val="18"/>
                    </w:rPr>
                    <w:t>3、本项目不是气田开发项目；</w:t>
                  </w:r>
                </w:p>
                <w:p>
                  <w:pPr>
                    <w:rPr>
                      <w:rFonts w:hint="eastAsia" w:ascii="宋体" w:hAnsi="宋体"/>
                      <w:sz w:val="18"/>
                      <w:szCs w:val="18"/>
                    </w:rPr>
                  </w:pPr>
                  <w:r>
                    <w:rPr>
                      <w:rFonts w:hint="eastAsia" w:ascii="宋体" w:hAnsi="宋体"/>
                      <w:sz w:val="18"/>
                      <w:szCs w:val="18"/>
                    </w:rPr>
                    <w:t>4、</w:t>
                  </w:r>
                  <w:r>
                    <w:rPr>
                      <w:rFonts w:hint="eastAsia" w:ascii="宋体" w:hAnsi="宋体"/>
                      <w:bCs/>
                      <w:sz w:val="18"/>
                      <w:szCs w:val="18"/>
                      <w:lang w:bidi="en-US"/>
                    </w:rPr>
                    <w:t>项目</w:t>
                  </w:r>
                  <w:r>
                    <w:rPr>
                      <w:rFonts w:hint="eastAsia" w:ascii="宋体" w:hAnsi="宋体"/>
                      <w:sz w:val="18"/>
                      <w:szCs w:val="18"/>
                    </w:rPr>
                    <w:t>属于符合准入清单要求；</w:t>
                  </w:r>
                </w:p>
                <w:p>
                  <w:pPr>
                    <w:rPr>
                      <w:rFonts w:hint="eastAsia" w:ascii="宋体" w:hAnsi="宋体"/>
                      <w:sz w:val="18"/>
                      <w:szCs w:val="18"/>
                    </w:rPr>
                  </w:pPr>
                  <w:r>
                    <w:rPr>
                      <w:rFonts w:hint="eastAsia" w:ascii="宋体" w:hAnsi="宋体"/>
                      <w:sz w:val="18"/>
                      <w:szCs w:val="18"/>
                    </w:rPr>
                    <w:t>5、本项目不属于化工项目；</w:t>
                  </w:r>
                </w:p>
                <w:p>
                  <w:pPr>
                    <w:rPr>
                      <w:rFonts w:hint="eastAsia" w:ascii="宋体" w:hAnsi="宋体"/>
                      <w:sz w:val="18"/>
                      <w:szCs w:val="18"/>
                    </w:rPr>
                  </w:pPr>
                  <w:r>
                    <w:rPr>
                      <w:rFonts w:hint="eastAsia" w:ascii="宋体" w:hAnsi="宋体"/>
                      <w:sz w:val="18"/>
                      <w:szCs w:val="18"/>
                    </w:rPr>
                    <w:t>6、本项目不属于产业转移；</w:t>
                  </w:r>
                </w:p>
                <w:p>
                  <w:pPr>
                    <w:rPr>
                      <w:rFonts w:hint="eastAsia" w:ascii="宋体" w:hAnsi="宋体"/>
                      <w:sz w:val="18"/>
                      <w:szCs w:val="18"/>
                    </w:rPr>
                  </w:pPr>
                  <w:r>
                    <w:rPr>
                      <w:rFonts w:hint="eastAsia" w:ascii="宋体" w:hAnsi="宋体"/>
                      <w:sz w:val="18"/>
                      <w:szCs w:val="18"/>
                    </w:rPr>
                    <w:t>7、本项目不是造纸等行业。</w:t>
                  </w:r>
                </w:p>
              </w:tc>
              <w:tc>
                <w:tcPr>
                  <w:tcW w:w="421" w:type="pct"/>
                  <w:noWrap w:val="0"/>
                  <w:vAlign w:val="center"/>
                </w:tcPr>
                <w:p>
                  <w:pPr>
                    <w:jc w:val="center"/>
                    <w:rPr>
                      <w:rFonts w:hint="eastAsia" w:ascii="宋体" w:hAnsi="宋体"/>
                      <w:sz w:val="18"/>
                      <w:szCs w:val="18"/>
                    </w:rPr>
                  </w:pPr>
                  <w:r>
                    <w:rPr>
                      <w:rFonts w:hint="eastAsia" w:ascii="宋体" w:hAnsi="宋体"/>
                      <w:sz w:val="18"/>
                      <w:szCs w:val="18"/>
                    </w:rPr>
                    <w:t>符合</w:t>
                  </w:r>
                </w:p>
              </w:tc>
            </w:tr>
          </w:tbl>
          <w:p>
            <w:pPr>
              <w:spacing w:line="276" w:lineRule="auto"/>
              <w:ind w:firstLine="420" w:firstLineChars="200"/>
              <w:rPr>
                <w:rFonts w:hint="eastAsia" w:cs="Times New Roman"/>
                <w:color w:val="FF00FF"/>
                <w:szCs w:val="21"/>
              </w:rPr>
            </w:pPr>
          </w:p>
          <w:p>
            <w:pPr>
              <w:spacing w:line="276" w:lineRule="auto"/>
              <w:jc w:val="center"/>
              <w:rPr>
                <w:rFonts w:cs="Times New Roman"/>
                <w:bCs/>
                <w:color w:val="FF00FF"/>
                <w:szCs w:val="21"/>
              </w:rPr>
            </w:pPr>
            <w:r>
              <w:rPr>
                <w:color w:val="FF00FF"/>
              </w:rPr>
              <mc:AlternateContent>
                <mc:Choice Requires="wps">
                  <w:drawing>
                    <wp:anchor distT="0" distB="0" distL="114300" distR="114300" simplePos="0" relativeHeight="251660288" behindDoc="0" locked="0" layoutInCell="1" allowOverlap="1">
                      <wp:simplePos x="0" y="0"/>
                      <wp:positionH relativeFrom="column">
                        <wp:posOffset>1995805</wp:posOffset>
                      </wp:positionH>
                      <wp:positionV relativeFrom="paragraph">
                        <wp:posOffset>2618105</wp:posOffset>
                      </wp:positionV>
                      <wp:extent cx="981075" cy="317500"/>
                      <wp:effectExtent l="196215" t="700405" r="22860" b="10795"/>
                      <wp:wrapNone/>
                      <wp:docPr id="1" name="矩形标注 21"/>
                      <wp:cNvGraphicFramePr/>
                      <a:graphic xmlns:a="http://schemas.openxmlformats.org/drawingml/2006/main">
                        <a:graphicData uri="http://schemas.microsoft.com/office/word/2010/wordprocessingShape">
                          <wps:wsp>
                            <wps:cNvSpPr/>
                            <wps:spPr>
                              <a:xfrm>
                                <a:off x="0" y="0"/>
                                <a:ext cx="981075" cy="317500"/>
                              </a:xfrm>
                              <a:prstGeom prst="wedgeRectCallout">
                                <a:avLst>
                                  <a:gd name="adj1" fmla="val -67801"/>
                                  <a:gd name="adj2" fmla="val -260602"/>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hint="eastAsia"/>
                                      <w:color w:val="FF0000"/>
                                    </w:rPr>
                                  </w:pPr>
                                  <w:r>
                                    <w:rPr>
                                      <w:rFonts w:hint="eastAsia"/>
                                      <w:color w:val="FF0000"/>
                                    </w:rPr>
                                    <w:t>项目所在地</w:t>
                                  </w:r>
                                </w:p>
                              </w:txbxContent>
                            </wps:txbx>
                            <wps:bodyPr wrap="square" upright="1"/>
                          </wps:wsp>
                        </a:graphicData>
                      </a:graphic>
                    </wp:anchor>
                  </w:drawing>
                </mc:Choice>
                <mc:Fallback>
                  <w:pict>
                    <v:shape id="矩形标注 21" o:spid="_x0000_s1026" o:spt="61" type="#_x0000_t61" style="position:absolute;left:0pt;margin-left:157.15pt;margin-top:206.15pt;height:25pt;width:77.25pt;z-index:251660288;mso-width-relative:page;mso-height-relative:page;" fillcolor="#FFFFFF" filled="t" stroked="t" coordsize="21600,21600" o:gfxdata="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YQng82QAAAAsBAAAPAAAAAAAAAAEAIAAAACIA&#10;AABkcnMvZG93bnJldi54bWxQSwECFAAUAAAACACHTuJAaV1P4kECAACdBAAADgAAAAAAAAABACAA&#10;AAAoAQAAZHJzL2Uyb0RvYy54bWxQSwUGAAAAAAYABgBZAQAA2wUAAAAA&#10;" adj="-3845,-45490">
                      <v:fill on="t" focussize="0,0"/>
                      <v:stroke color="#FF0000" joinstyle="miter"/>
                      <v:imagedata o:title=""/>
                      <o:lock v:ext="edit" aspectratio="f"/>
                      <v:textbox>
                        <w:txbxContent>
                          <w:p>
                            <w:pPr>
                              <w:jc w:val="center"/>
                              <w:rPr>
                                <w:rFonts w:hint="eastAsia"/>
                                <w:color w:val="FF0000"/>
                              </w:rPr>
                            </w:pPr>
                            <w:r>
                              <w:rPr>
                                <w:rFonts w:hint="eastAsia"/>
                                <w:color w:val="FF0000"/>
                              </w:rPr>
                              <w:t>项目所在地</w:t>
                            </w:r>
                          </w:p>
                        </w:txbxContent>
                      </v:textbox>
                    </v:shape>
                  </w:pict>
                </mc:Fallback>
              </mc:AlternateContent>
            </w:r>
            <w:r>
              <w:rPr>
                <w:color w:val="FF00FF"/>
                <w:sz w:val="28"/>
                <w:szCs w:val="28"/>
              </w:rPr>
              <w:drawing>
                <wp:inline distT="0" distB="0" distL="114300" distR="114300">
                  <wp:extent cx="4871085" cy="3181350"/>
                  <wp:effectExtent l="0" t="0" r="5715" b="0"/>
                  <wp:docPr id="28" name="图片 5" descr="达州市生态保护红线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达州市生态保护红线分布图"/>
                          <pic:cNvPicPr>
                            <a:picLocks noChangeAspect="1"/>
                          </pic:cNvPicPr>
                        </pic:nvPicPr>
                        <pic:blipFill>
                          <a:blip r:embed="rId5"/>
                          <a:stretch>
                            <a:fillRect/>
                          </a:stretch>
                        </pic:blipFill>
                        <pic:spPr>
                          <a:xfrm>
                            <a:off x="0" y="0"/>
                            <a:ext cx="4871085" cy="3181350"/>
                          </a:xfrm>
                          <a:prstGeom prst="rect">
                            <a:avLst/>
                          </a:prstGeom>
                          <a:noFill/>
                          <a:ln>
                            <a:noFill/>
                          </a:ln>
                        </pic:spPr>
                      </pic:pic>
                    </a:graphicData>
                  </a:graphic>
                </wp:inline>
              </w:drawing>
            </w:r>
          </w:p>
          <w:p>
            <w:pPr>
              <w:spacing w:after="312" w:afterLines="100"/>
              <w:jc w:val="center"/>
              <w:rPr>
                <w:rFonts w:ascii="黑体" w:hAnsi="黑体" w:eastAsia="黑体" w:cs="Times New Roman"/>
                <w:sz w:val="18"/>
                <w:szCs w:val="18"/>
              </w:rPr>
            </w:pPr>
            <w:r>
              <w:rPr>
                <w:rFonts w:ascii="黑体" w:hAnsi="黑体" w:eastAsia="黑体" w:cs="Times New Roman"/>
                <w:sz w:val="18"/>
                <w:szCs w:val="18"/>
              </w:rPr>
              <w:t>图</w:t>
            </w:r>
            <w:r>
              <w:rPr>
                <w:rFonts w:hint="eastAsia" w:ascii="黑体" w:hAnsi="黑体" w:eastAsia="黑体" w:cs="Times New Roman"/>
                <w:sz w:val="18"/>
                <w:szCs w:val="18"/>
              </w:rPr>
              <w:t>1-1：达州市</w:t>
            </w:r>
            <w:r>
              <w:rPr>
                <w:rFonts w:ascii="黑体" w:hAnsi="黑体" w:eastAsia="黑体" w:cs="Times New Roman"/>
                <w:sz w:val="18"/>
                <w:szCs w:val="18"/>
              </w:rPr>
              <w:t>生态</w:t>
            </w:r>
            <w:r>
              <w:rPr>
                <w:rFonts w:hint="eastAsia" w:ascii="黑体" w:hAnsi="黑体" w:eastAsia="黑体" w:cs="Times New Roman"/>
                <w:sz w:val="18"/>
                <w:szCs w:val="18"/>
              </w:rPr>
              <w:t>保护</w:t>
            </w:r>
            <w:r>
              <w:rPr>
                <w:rFonts w:ascii="黑体" w:hAnsi="黑体" w:eastAsia="黑体" w:cs="Times New Roman"/>
                <w:sz w:val="18"/>
                <w:szCs w:val="18"/>
              </w:rPr>
              <w:t>红线分布图</w:t>
            </w:r>
          </w:p>
          <w:p>
            <w:pPr>
              <w:spacing w:line="276" w:lineRule="auto"/>
              <w:ind w:firstLine="422" w:firstLineChars="200"/>
              <w:rPr>
                <w:rFonts w:hint="eastAsia" w:cs="Times New Roman"/>
                <w:b/>
                <w:szCs w:val="21"/>
              </w:rPr>
            </w:pPr>
            <w:r>
              <w:rPr>
                <w:rFonts w:hint="eastAsia" w:cs="Times New Roman"/>
                <w:b/>
                <w:szCs w:val="21"/>
              </w:rPr>
              <w:t>经查询对比，本项目不涉及生态保护红线。</w:t>
            </w:r>
          </w:p>
          <w:p>
            <w:pPr>
              <w:spacing w:line="360" w:lineRule="auto"/>
              <w:ind w:firstLine="480" w:firstLineChars="200"/>
              <w:rPr>
                <w:rFonts w:hint="eastAsia" w:ascii="宋体" w:hAnsi="宋体"/>
                <w:sz w:val="24"/>
                <w:szCs w:val="24"/>
                <w:shd w:val="clear" w:color="auto" w:fill="FFFFFF"/>
              </w:rPr>
            </w:pPr>
            <w:r>
              <w:rPr>
                <w:rFonts w:ascii="宋体" w:hAnsi="宋体" w:cs="Times New Roman"/>
                <w:sz w:val="24"/>
                <w:szCs w:val="24"/>
              </w:rPr>
              <w:t>经在四川政务服务网查询“三线一单”符合性分析平台查询，项目所属自来水生产和供应，</w:t>
            </w:r>
            <w:r>
              <w:rPr>
                <w:rFonts w:ascii="宋体" w:hAnsi="宋体"/>
                <w:sz w:val="24"/>
                <w:szCs w:val="24"/>
                <w:shd w:val="clear" w:color="auto" w:fill="FFFFFF"/>
              </w:rPr>
              <w:t>共涉及5个管控单元。涉及到的管控单元见</w:t>
            </w:r>
            <w:r>
              <w:rPr>
                <w:rFonts w:hint="eastAsia" w:ascii="宋体" w:hAnsi="宋体"/>
                <w:sz w:val="24"/>
                <w:szCs w:val="24"/>
                <w:shd w:val="clear" w:color="auto" w:fill="FFFFFF"/>
              </w:rPr>
              <w:t>下</w:t>
            </w:r>
            <w:r>
              <w:rPr>
                <w:rFonts w:ascii="宋体" w:hAnsi="宋体"/>
                <w:sz w:val="24"/>
                <w:szCs w:val="24"/>
                <w:shd w:val="clear" w:color="auto" w:fill="FFFFFF"/>
              </w:rPr>
              <w:t>表。</w:t>
            </w:r>
          </w:p>
          <w:p>
            <w:pPr>
              <w:pStyle w:val="2"/>
              <w:ind w:left="0" w:leftChars="0" w:firstLine="0" w:firstLineChars="0"/>
              <w:rPr>
                <w:rFonts w:hint="eastAsia"/>
                <w:color w:val="FF00FF"/>
              </w:rPr>
            </w:pPr>
            <w:r>
              <w:rPr>
                <w:color w:val="FF00FF"/>
              </w:rPr>
              <w:drawing>
                <wp:inline distT="0" distB="0" distL="114300" distR="114300">
                  <wp:extent cx="5320030" cy="3271520"/>
                  <wp:effectExtent l="0" t="0" r="13970" b="508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6"/>
                          <a:stretch>
                            <a:fillRect/>
                          </a:stretch>
                        </pic:blipFill>
                        <pic:spPr>
                          <a:xfrm>
                            <a:off x="0" y="0"/>
                            <a:ext cx="5320030" cy="3271520"/>
                          </a:xfrm>
                          <a:prstGeom prst="rect">
                            <a:avLst/>
                          </a:prstGeom>
                          <a:noFill/>
                          <a:ln>
                            <a:noFill/>
                          </a:ln>
                        </pic:spPr>
                      </pic:pic>
                    </a:graphicData>
                  </a:graphic>
                </wp:inline>
              </w:drawing>
            </w:r>
          </w:p>
          <w:p>
            <w:pPr>
              <w:jc w:val="center"/>
              <w:rPr>
                <w:rFonts w:hint="eastAsia"/>
              </w:rPr>
            </w:pPr>
            <w:r>
              <w:rPr>
                <w:rFonts w:ascii="黑体" w:hAnsi="黑体" w:eastAsia="黑体" w:cs="Times New Roman"/>
                <w:sz w:val="18"/>
                <w:szCs w:val="18"/>
              </w:rPr>
              <w:t>图</w:t>
            </w:r>
            <w:r>
              <w:rPr>
                <w:rFonts w:hint="eastAsia" w:ascii="黑体" w:hAnsi="黑体" w:eastAsia="黑体" w:cs="Times New Roman"/>
                <w:sz w:val="18"/>
                <w:szCs w:val="18"/>
              </w:rPr>
              <w:t>1-2：项目三线一单查询过程截图</w:t>
            </w:r>
          </w:p>
          <w:p>
            <w:pPr>
              <w:autoSpaceDE w:val="0"/>
              <w:autoSpaceDN w:val="0"/>
              <w:adjustRightInd w:val="0"/>
              <w:snapToGrid w:val="0"/>
              <w:spacing w:line="360" w:lineRule="exact"/>
              <w:jc w:val="center"/>
              <w:rPr>
                <w:rFonts w:hint="eastAsia" w:eastAsia="黑体"/>
                <w:kern w:val="0"/>
                <w:sz w:val="18"/>
                <w:szCs w:val="18"/>
              </w:rPr>
            </w:pPr>
          </w:p>
          <w:p>
            <w:pPr>
              <w:autoSpaceDE w:val="0"/>
              <w:autoSpaceDN w:val="0"/>
              <w:adjustRightInd w:val="0"/>
              <w:snapToGrid w:val="0"/>
              <w:spacing w:line="360" w:lineRule="exact"/>
              <w:jc w:val="center"/>
              <w:rPr>
                <w:rFonts w:eastAsia="黑体"/>
                <w:kern w:val="0"/>
                <w:sz w:val="18"/>
                <w:szCs w:val="18"/>
              </w:rPr>
            </w:pPr>
            <w:r>
              <w:rPr>
                <w:rFonts w:eastAsia="黑体"/>
                <w:kern w:val="0"/>
                <w:sz w:val="18"/>
                <w:szCs w:val="18"/>
                <w:lang w:val="zh-CN"/>
              </w:rPr>
              <w:t>表</w:t>
            </w:r>
            <w:r>
              <w:rPr>
                <w:rFonts w:eastAsia="黑体"/>
                <w:kern w:val="0"/>
                <w:sz w:val="18"/>
                <w:szCs w:val="18"/>
              </w:rPr>
              <w:t>1-4：</w:t>
            </w:r>
            <w:r>
              <w:rPr>
                <w:rFonts w:eastAsia="黑体"/>
                <w:kern w:val="0"/>
                <w:sz w:val="18"/>
                <w:szCs w:val="18"/>
                <w:lang w:val="zh-CN"/>
              </w:rPr>
              <w:t>项目涉及</w:t>
            </w:r>
            <w:r>
              <w:rPr>
                <w:rFonts w:hint="eastAsia" w:eastAsia="黑体"/>
                <w:kern w:val="0"/>
                <w:sz w:val="18"/>
                <w:szCs w:val="18"/>
                <w:lang w:val="zh-CN"/>
              </w:rPr>
              <w:t>的环境</w:t>
            </w:r>
            <w:r>
              <w:rPr>
                <w:rFonts w:eastAsia="黑体"/>
                <w:kern w:val="0"/>
                <w:sz w:val="18"/>
                <w:szCs w:val="18"/>
                <w:lang w:val="zh-CN"/>
              </w:rPr>
              <w:t>管控单元</w:t>
            </w:r>
            <w:r>
              <w:rPr>
                <w:rFonts w:eastAsia="黑体"/>
                <w:kern w:val="0"/>
                <w:sz w:val="18"/>
                <w:szCs w:val="18"/>
              </w:rPr>
              <w:t>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1649"/>
              <w:gridCol w:w="1237"/>
              <w:gridCol w:w="946"/>
              <w:gridCol w:w="1573"/>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widowControl/>
                    <w:jc w:val="center"/>
                    <w:rPr>
                      <w:b/>
                      <w:bCs/>
                      <w:kern w:val="0"/>
                      <w:sz w:val="15"/>
                      <w:szCs w:val="15"/>
                    </w:rPr>
                  </w:pPr>
                  <w:r>
                    <w:rPr>
                      <w:b/>
                      <w:bCs/>
                      <w:kern w:val="0"/>
                      <w:sz w:val="15"/>
                      <w:szCs w:val="15"/>
                    </w:rPr>
                    <w:t>环境管控单元编码</w:t>
                  </w:r>
                </w:p>
              </w:tc>
              <w:tc>
                <w:tcPr>
                  <w:tcW w:w="986" w:type="pct"/>
                  <w:noWrap w:val="0"/>
                  <w:vAlign w:val="center"/>
                </w:tcPr>
                <w:p>
                  <w:pPr>
                    <w:widowControl/>
                    <w:jc w:val="center"/>
                    <w:rPr>
                      <w:b/>
                      <w:bCs/>
                      <w:kern w:val="0"/>
                      <w:sz w:val="15"/>
                      <w:szCs w:val="15"/>
                    </w:rPr>
                  </w:pPr>
                  <w:r>
                    <w:rPr>
                      <w:b/>
                      <w:bCs/>
                      <w:kern w:val="0"/>
                      <w:sz w:val="15"/>
                      <w:szCs w:val="15"/>
                    </w:rPr>
                    <w:t>环境管控单元名称</w:t>
                  </w:r>
                </w:p>
              </w:tc>
              <w:tc>
                <w:tcPr>
                  <w:tcW w:w="743" w:type="pct"/>
                  <w:noWrap w:val="0"/>
                  <w:vAlign w:val="center"/>
                </w:tcPr>
                <w:p>
                  <w:pPr>
                    <w:widowControl/>
                    <w:jc w:val="center"/>
                    <w:rPr>
                      <w:b/>
                      <w:bCs/>
                      <w:kern w:val="0"/>
                      <w:sz w:val="15"/>
                      <w:szCs w:val="15"/>
                    </w:rPr>
                  </w:pPr>
                  <w:r>
                    <w:rPr>
                      <w:b/>
                      <w:bCs/>
                      <w:kern w:val="0"/>
                      <w:sz w:val="15"/>
                      <w:szCs w:val="15"/>
                    </w:rPr>
                    <w:t>所属市（州）</w:t>
                  </w:r>
                </w:p>
              </w:tc>
              <w:tc>
                <w:tcPr>
                  <w:tcW w:w="571" w:type="pct"/>
                  <w:noWrap w:val="0"/>
                  <w:vAlign w:val="center"/>
                </w:tcPr>
                <w:p>
                  <w:pPr>
                    <w:widowControl/>
                    <w:jc w:val="center"/>
                    <w:rPr>
                      <w:b/>
                      <w:bCs/>
                      <w:kern w:val="0"/>
                      <w:sz w:val="15"/>
                      <w:szCs w:val="15"/>
                    </w:rPr>
                  </w:pPr>
                  <w:r>
                    <w:rPr>
                      <w:b/>
                      <w:bCs/>
                      <w:kern w:val="0"/>
                      <w:sz w:val="15"/>
                      <w:szCs w:val="15"/>
                    </w:rPr>
                    <w:t>所属区县</w:t>
                  </w:r>
                </w:p>
              </w:tc>
              <w:tc>
                <w:tcPr>
                  <w:tcW w:w="941" w:type="pct"/>
                  <w:noWrap w:val="0"/>
                  <w:vAlign w:val="center"/>
                </w:tcPr>
                <w:p>
                  <w:pPr>
                    <w:widowControl/>
                    <w:jc w:val="center"/>
                    <w:rPr>
                      <w:b/>
                      <w:bCs/>
                      <w:kern w:val="0"/>
                      <w:sz w:val="15"/>
                      <w:szCs w:val="15"/>
                    </w:rPr>
                  </w:pPr>
                  <w:r>
                    <w:rPr>
                      <w:b/>
                      <w:bCs/>
                      <w:kern w:val="0"/>
                      <w:sz w:val="15"/>
                      <w:szCs w:val="15"/>
                    </w:rPr>
                    <w:t>准入清单类型</w:t>
                  </w:r>
                </w:p>
              </w:tc>
              <w:tc>
                <w:tcPr>
                  <w:tcW w:w="1009" w:type="pct"/>
                  <w:noWrap w:val="0"/>
                  <w:vAlign w:val="center"/>
                </w:tcPr>
                <w:p>
                  <w:pPr>
                    <w:widowControl/>
                    <w:jc w:val="center"/>
                    <w:rPr>
                      <w:b/>
                      <w:bCs/>
                      <w:kern w:val="0"/>
                      <w:sz w:val="15"/>
                      <w:szCs w:val="15"/>
                    </w:rPr>
                  </w:pPr>
                  <w:r>
                    <w:rPr>
                      <w:b/>
                      <w:bCs/>
                      <w:kern w:val="0"/>
                      <w:sz w:val="15"/>
                      <w:szCs w:val="15"/>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ZH51170220004</w:t>
                  </w:r>
                </w:p>
              </w:tc>
              <w:tc>
                <w:tcPr>
                  <w:tcW w:w="986"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通川区要素重点管控单元</w:t>
                  </w:r>
                </w:p>
              </w:tc>
              <w:tc>
                <w:tcPr>
                  <w:tcW w:w="743"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达州市</w:t>
                  </w:r>
                </w:p>
              </w:tc>
              <w:tc>
                <w:tcPr>
                  <w:tcW w:w="571"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通川区</w:t>
                  </w:r>
                </w:p>
              </w:tc>
              <w:tc>
                <w:tcPr>
                  <w:tcW w:w="941"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环境管控单元</w:t>
                  </w:r>
                </w:p>
              </w:tc>
              <w:tc>
                <w:tcPr>
                  <w:tcW w:w="1009"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环境综合管控单元要素重点管控单元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YS5117022230001</w:t>
                  </w:r>
                </w:p>
              </w:tc>
              <w:tc>
                <w:tcPr>
                  <w:tcW w:w="986"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州河通川区车家河控制单元</w:t>
                  </w:r>
                </w:p>
              </w:tc>
              <w:tc>
                <w:tcPr>
                  <w:tcW w:w="743"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达州市</w:t>
                  </w:r>
                </w:p>
              </w:tc>
              <w:tc>
                <w:tcPr>
                  <w:tcW w:w="571"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通川区</w:t>
                  </w:r>
                </w:p>
              </w:tc>
              <w:tc>
                <w:tcPr>
                  <w:tcW w:w="941"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水环境管控分区</w:t>
                  </w:r>
                </w:p>
              </w:tc>
              <w:tc>
                <w:tcPr>
                  <w:tcW w:w="1009"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水环境农业污染重点管控区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YS5117022320005</w:t>
                  </w:r>
                </w:p>
              </w:tc>
              <w:tc>
                <w:tcPr>
                  <w:tcW w:w="986"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通川区大气环境布局敏感重点管控区</w:t>
                  </w:r>
                </w:p>
              </w:tc>
              <w:tc>
                <w:tcPr>
                  <w:tcW w:w="743"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达州市</w:t>
                  </w:r>
                </w:p>
              </w:tc>
              <w:tc>
                <w:tcPr>
                  <w:tcW w:w="571"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通川区</w:t>
                  </w:r>
                </w:p>
              </w:tc>
              <w:tc>
                <w:tcPr>
                  <w:tcW w:w="941"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大气环境管控分区</w:t>
                  </w:r>
                </w:p>
              </w:tc>
              <w:tc>
                <w:tcPr>
                  <w:tcW w:w="1009"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大气环境布局敏感重点管控区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YS5117022540001</w:t>
                  </w:r>
                </w:p>
              </w:tc>
              <w:tc>
                <w:tcPr>
                  <w:tcW w:w="986"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通川区禁燃区</w:t>
                  </w:r>
                </w:p>
              </w:tc>
              <w:tc>
                <w:tcPr>
                  <w:tcW w:w="743"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达州市</w:t>
                  </w:r>
                </w:p>
              </w:tc>
              <w:tc>
                <w:tcPr>
                  <w:tcW w:w="571"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通川区</w:t>
                  </w:r>
                </w:p>
              </w:tc>
              <w:tc>
                <w:tcPr>
                  <w:tcW w:w="941"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自然资源管控分区</w:t>
                  </w:r>
                </w:p>
              </w:tc>
              <w:tc>
                <w:tcPr>
                  <w:tcW w:w="1009"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高污染燃料禁燃区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YS5117022550001</w:t>
                  </w:r>
                </w:p>
              </w:tc>
              <w:tc>
                <w:tcPr>
                  <w:tcW w:w="986"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通川区自然资源重点管控区</w:t>
                  </w:r>
                </w:p>
              </w:tc>
              <w:tc>
                <w:tcPr>
                  <w:tcW w:w="743"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达州市</w:t>
                  </w:r>
                </w:p>
              </w:tc>
              <w:tc>
                <w:tcPr>
                  <w:tcW w:w="571"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通川区</w:t>
                  </w:r>
                </w:p>
              </w:tc>
              <w:tc>
                <w:tcPr>
                  <w:tcW w:w="941"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自然资源管控分区</w:t>
                  </w:r>
                </w:p>
              </w:tc>
              <w:tc>
                <w:tcPr>
                  <w:tcW w:w="1009" w:type="pct"/>
                  <w:noWrap w:val="0"/>
                  <w:vAlign w:val="center"/>
                </w:tcPr>
                <w:p>
                  <w:pPr>
                    <w:pStyle w:val="84"/>
                    <w:widowControl/>
                    <w:spacing w:line="240" w:lineRule="auto"/>
                    <w:ind w:firstLine="0" w:firstLineChars="0"/>
                    <w:jc w:val="center"/>
                    <w:rPr>
                      <w:rFonts w:eastAsia="宋体"/>
                      <w:sz w:val="15"/>
                      <w:szCs w:val="15"/>
                      <w:lang w:val="en-US" w:eastAsia="zh-CN"/>
                    </w:rPr>
                  </w:pPr>
                  <w:r>
                    <w:rPr>
                      <w:rFonts w:eastAsia="宋体"/>
                      <w:sz w:val="15"/>
                      <w:szCs w:val="15"/>
                      <w:lang w:val="en-US" w:eastAsia="zh-CN"/>
                    </w:rPr>
                    <w:t>自然资源重点管控区</w:t>
                  </w:r>
                </w:p>
              </w:tc>
            </w:tr>
          </w:tbl>
          <w:p>
            <w:pPr>
              <w:autoSpaceDE w:val="0"/>
              <w:autoSpaceDN w:val="0"/>
              <w:adjustRightInd w:val="0"/>
              <w:snapToGrid w:val="0"/>
              <w:spacing w:line="360" w:lineRule="auto"/>
              <w:ind w:firstLine="420" w:firstLineChars="200"/>
              <w:rPr>
                <w:rFonts w:hint="eastAsia"/>
                <w:szCs w:val="21"/>
                <w:lang w:val="zh-CN"/>
              </w:rPr>
            </w:pPr>
          </w:p>
          <w:p>
            <w:pPr>
              <w:autoSpaceDE w:val="0"/>
              <w:autoSpaceDN w:val="0"/>
              <w:adjustRightInd w:val="0"/>
              <w:snapToGrid w:val="0"/>
              <w:spacing w:line="360" w:lineRule="auto"/>
              <w:ind w:firstLine="420" w:firstLineChars="200"/>
              <w:rPr>
                <w:szCs w:val="21"/>
                <w:lang w:val="zh-CN"/>
              </w:rPr>
            </w:pPr>
            <w:r>
              <w:rPr>
                <w:szCs w:val="21"/>
                <w:lang w:val="zh-CN"/>
              </w:rPr>
              <w:t>项目所在区域属于达州市通川区环境综合管控单元要素重点管控单元（管控单元名称：通川区要素重点管控单元，管控单元编号：ZH51170220004）。项目区不在饮用水源保护区、自然保护区、风景名胜区、湿地公园、地质公园等各类生态保护红线范围内。</w:t>
            </w:r>
          </w:p>
          <w:p>
            <w:pPr>
              <w:autoSpaceDE w:val="0"/>
              <w:autoSpaceDN w:val="0"/>
              <w:adjustRightInd w:val="0"/>
              <w:snapToGrid w:val="0"/>
              <w:spacing w:line="390" w:lineRule="exact"/>
              <w:ind w:left="-31" w:leftChars="-15" w:right="-31" w:rightChars="-15" w:firstLine="420" w:firstLineChars="200"/>
              <w:rPr>
                <w:rFonts w:hint="eastAsia"/>
                <w:szCs w:val="21"/>
                <w:lang w:val="zh-CN"/>
              </w:rPr>
            </w:pPr>
            <w:r>
              <w:rPr>
                <w:szCs w:val="21"/>
                <w:lang w:val="zh-CN"/>
              </w:rPr>
              <w:t>项目与管控单元相对位置如下图所示：（图中▼表示项目位置）</w:t>
            </w:r>
          </w:p>
          <w:p>
            <w:pPr>
              <w:pStyle w:val="2"/>
              <w:rPr>
                <w:rFonts w:hint="eastAsia"/>
                <w:lang w:val="zh-CN"/>
              </w:rPr>
            </w:pPr>
          </w:p>
          <w:p>
            <w:pPr>
              <w:rPr>
                <w:rFonts w:hint="eastAsia"/>
                <w:lang w:val="zh-CN"/>
              </w:rPr>
            </w:pPr>
          </w:p>
          <w:p>
            <w:pPr>
              <w:pStyle w:val="2"/>
              <w:rPr>
                <w:rFonts w:hint="eastAsia"/>
                <w:lang w:val="zh-CN"/>
              </w:rPr>
            </w:pPr>
          </w:p>
          <w:p>
            <w:pPr>
              <w:autoSpaceDE w:val="0"/>
              <w:autoSpaceDN w:val="0"/>
              <w:adjustRightInd w:val="0"/>
              <w:snapToGrid w:val="0"/>
              <w:ind w:left="-31" w:leftChars="-15" w:right="-31" w:rightChars="-15" w:firstLine="5" w:firstLineChars="2"/>
              <w:jc w:val="center"/>
              <w:rPr>
                <w:color w:val="FF0000"/>
                <w:szCs w:val="21"/>
                <w:lang w:val="zh-CN"/>
              </w:rPr>
            </w:pPr>
            <w:r>
              <w:rPr>
                <w:color w:val="FF0000"/>
                <w:sz w:val="28"/>
                <w:szCs w:val="28"/>
              </w:rPr>
              <w:drawing>
                <wp:inline distT="0" distB="0" distL="114300" distR="114300">
                  <wp:extent cx="4318000" cy="2590800"/>
                  <wp:effectExtent l="0" t="0" r="635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7"/>
                          <a:stretch>
                            <a:fillRect/>
                          </a:stretch>
                        </pic:blipFill>
                        <pic:spPr>
                          <a:xfrm>
                            <a:off x="0" y="0"/>
                            <a:ext cx="4318000" cy="2590800"/>
                          </a:xfrm>
                          <a:prstGeom prst="rect">
                            <a:avLst/>
                          </a:prstGeom>
                          <a:noFill/>
                          <a:ln>
                            <a:noFill/>
                          </a:ln>
                        </pic:spPr>
                      </pic:pic>
                    </a:graphicData>
                  </a:graphic>
                </wp:inline>
              </w:drawing>
            </w:r>
          </w:p>
          <w:p>
            <w:pPr>
              <w:autoSpaceDE w:val="0"/>
              <w:autoSpaceDN w:val="0"/>
              <w:adjustRightInd w:val="0"/>
              <w:snapToGrid w:val="0"/>
              <w:spacing w:line="320" w:lineRule="exact"/>
              <w:jc w:val="center"/>
              <w:rPr>
                <w:rFonts w:eastAsia="黑体"/>
                <w:kern w:val="0"/>
                <w:sz w:val="18"/>
                <w:szCs w:val="18"/>
                <w:lang w:val="zh-CN"/>
              </w:rPr>
            </w:pPr>
            <w:r>
              <w:rPr>
                <w:rFonts w:eastAsia="黑体"/>
                <w:kern w:val="0"/>
                <w:sz w:val="18"/>
                <w:szCs w:val="18"/>
              </w:rPr>
              <w:t>图1-</w:t>
            </w:r>
            <w:r>
              <w:rPr>
                <w:rFonts w:hint="eastAsia" w:eastAsia="黑体"/>
                <w:kern w:val="0"/>
                <w:sz w:val="18"/>
                <w:szCs w:val="18"/>
              </w:rPr>
              <w:t>3</w:t>
            </w:r>
            <w:r>
              <w:rPr>
                <w:rFonts w:eastAsia="黑体"/>
                <w:kern w:val="0"/>
                <w:sz w:val="18"/>
                <w:szCs w:val="18"/>
              </w:rPr>
              <w:t>：项目与环境综合管控单元的位置关系图</w:t>
            </w:r>
          </w:p>
          <w:p>
            <w:pPr>
              <w:spacing w:line="276" w:lineRule="auto"/>
              <w:ind w:firstLine="420" w:firstLineChars="200"/>
              <w:rPr>
                <w:rFonts w:hint="eastAsia" w:cs="Times New Roman"/>
                <w:szCs w:val="21"/>
              </w:rPr>
            </w:pPr>
            <w:r>
              <w:rPr>
                <w:rFonts w:hint="eastAsia" w:cs="Times New Roman"/>
                <w:szCs w:val="21"/>
              </w:rPr>
              <w:t>本项目与上述环境管控单元符合性分析见下表。</w:t>
            </w:r>
          </w:p>
          <w:p>
            <w:pPr>
              <w:spacing w:line="276" w:lineRule="auto"/>
              <w:jc w:val="center"/>
              <w:rPr>
                <w:rFonts w:hint="eastAsia" w:cs="Times New Roman"/>
                <w:b/>
                <w:bCs/>
                <w:szCs w:val="21"/>
              </w:rPr>
            </w:pPr>
            <w:r>
              <w:rPr>
                <w:rFonts w:hint="eastAsia" w:cs="Times New Roman"/>
                <w:b/>
                <w:bCs/>
                <w:szCs w:val="21"/>
              </w:rPr>
              <w:t>表1-5：本项目与所涉及环境管控单元符合性分析一览表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6"/>
              <w:gridCol w:w="354"/>
              <w:gridCol w:w="284"/>
              <w:gridCol w:w="4852"/>
              <w:gridCol w:w="1350"/>
              <w:gridCol w:w="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 w:hRule="atLeast"/>
                <w:jc w:val="center"/>
              </w:trPr>
              <w:tc>
                <w:tcPr>
                  <w:tcW w:w="0" w:type="auto"/>
                  <w:gridSpan w:val="4"/>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b/>
                      <w:bCs/>
                      <w:sz w:val="15"/>
                      <w:szCs w:val="15"/>
                    </w:rPr>
                    <w:t>“三线一单”的具体要求</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本项目情况</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 w:hRule="atLeast"/>
                <w:jc w:val="center"/>
              </w:trPr>
              <w:tc>
                <w:tcPr>
                  <w:tcW w:w="0" w:type="auto"/>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类别</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对应管控要求</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jc w:val="center"/>
              </w:trPr>
              <w:tc>
                <w:tcPr>
                  <w:tcW w:w="0" w:type="auto"/>
                  <w:vMerge w:val="restart"/>
                  <w:tcBorders>
                    <w:top w:val="nil"/>
                    <w:left w:val="single" w:color="auto" w:sz="4" w:space="0"/>
                    <w:bottom w:val="single" w:color="auto" w:sz="4" w:space="0"/>
                    <w:right w:val="single" w:color="auto" w:sz="4" w:space="0"/>
                  </w:tcBorders>
                  <w:noWrap w:val="0"/>
                  <w:vAlign w:val="center"/>
                </w:tcPr>
                <w:p>
                  <w:pPr>
                    <w:pStyle w:val="85"/>
                    <w:widowControl/>
                    <w:spacing w:line="280" w:lineRule="exact"/>
                    <w:ind w:firstLine="0" w:firstLineChars="0"/>
                    <w:jc w:val="center"/>
                    <w:rPr>
                      <w:rFonts w:eastAsia="宋体"/>
                      <w:sz w:val="15"/>
                      <w:szCs w:val="15"/>
                    </w:rPr>
                  </w:pPr>
                  <w:r>
                    <w:rPr>
                      <w:rFonts w:eastAsia="宋体"/>
                      <w:sz w:val="15"/>
                      <w:szCs w:val="15"/>
                    </w:rPr>
                    <w:t>环境综合管控单元要素重点管控单元ZH51170220004</w:t>
                  </w:r>
                </w:p>
                <w:p>
                  <w:pPr>
                    <w:pStyle w:val="85"/>
                    <w:widowControl/>
                    <w:spacing w:line="280" w:lineRule="exact"/>
                    <w:ind w:firstLine="0" w:firstLineChars="0"/>
                    <w:jc w:val="center"/>
                    <w:rPr>
                      <w:rFonts w:eastAsia="宋体"/>
                      <w:sz w:val="15"/>
                      <w:szCs w:val="15"/>
                    </w:rPr>
                  </w:pPr>
                  <w:r>
                    <w:rPr>
                      <w:rFonts w:eastAsia="宋体"/>
                      <w:sz w:val="15"/>
                      <w:szCs w:val="15"/>
                    </w:rPr>
                    <w:t>通川区要素重点管控单元</w:t>
                  </w:r>
                </w:p>
              </w:tc>
              <w:tc>
                <w:tcPr>
                  <w:tcW w:w="0" w:type="auto"/>
                  <w:vMerge w:val="restart"/>
                  <w:tcBorders>
                    <w:top w:val="nil"/>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达州市普适性清单管控要求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空间布局约束</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rPr>
                      <w:bCs/>
                      <w:sz w:val="15"/>
                      <w:szCs w:val="15"/>
                    </w:rPr>
                  </w:pPr>
                  <w:r>
                    <w:rPr>
                      <w:bCs/>
                      <w:sz w:val="15"/>
                      <w:szCs w:val="15"/>
                    </w:rPr>
                    <w:t>空间布局约束：</w:t>
                  </w:r>
                </w:p>
                <w:p>
                  <w:pPr>
                    <w:spacing w:line="280" w:lineRule="exact"/>
                    <w:rPr>
                      <w:bCs/>
                      <w:sz w:val="15"/>
                      <w:szCs w:val="15"/>
                    </w:rPr>
                  </w:pPr>
                  <w:r>
                    <w:rPr>
                      <w:bCs/>
                      <w:sz w:val="15"/>
                      <w:szCs w:val="15"/>
                    </w:rPr>
                    <w:t>禁止开发建设活动的要求</w:t>
                  </w:r>
                </w:p>
                <w:p>
                  <w:pPr>
                    <w:spacing w:line="280" w:lineRule="exact"/>
                    <w:rPr>
                      <w:bCs/>
                      <w:sz w:val="15"/>
                      <w:szCs w:val="15"/>
                    </w:rPr>
                  </w:pPr>
                  <w:r>
                    <w:rPr>
                      <w:bCs/>
                      <w:sz w:val="15"/>
                      <w:szCs w:val="15"/>
                    </w:rPr>
                    <w:t>-禁止在法律法规规定的禁采区内新建矿山；禁止土法采、选、冶严重污染环境的矿产资源。</w:t>
                  </w:r>
                </w:p>
                <w:p>
                  <w:pPr>
                    <w:spacing w:line="280" w:lineRule="exact"/>
                    <w:rPr>
                      <w:bCs/>
                      <w:sz w:val="15"/>
                      <w:szCs w:val="15"/>
                    </w:rPr>
                  </w:pPr>
                  <w:r>
                    <w:rPr>
                      <w:bCs/>
                      <w:sz w:val="15"/>
                      <w:szCs w:val="15"/>
                    </w:rPr>
                    <w:t>-涉及永久基本农田的区域，除法律规定的重点建设项目选址确实无法避让外，其他任何建设不得占用。</w:t>
                  </w:r>
                </w:p>
                <w:p>
                  <w:pPr>
                    <w:spacing w:line="280" w:lineRule="exact"/>
                    <w:rPr>
                      <w:bCs/>
                      <w:sz w:val="15"/>
                      <w:szCs w:val="15"/>
                    </w:rPr>
                  </w:pPr>
                  <w:r>
                    <w:rPr>
                      <w:bCs/>
                      <w:sz w:val="15"/>
                      <w:szCs w:val="15"/>
                    </w:rPr>
                    <w:t>-禁止在长江流域河湖管理范围内倾倒、填埋、堆放、弃置、处理固体废物。</w:t>
                  </w:r>
                </w:p>
                <w:p>
                  <w:pPr>
                    <w:spacing w:line="280" w:lineRule="exact"/>
                    <w:rPr>
                      <w:bCs/>
                      <w:sz w:val="15"/>
                      <w:szCs w:val="15"/>
                    </w:rPr>
                  </w:pPr>
                  <w:r>
                    <w:rPr>
                      <w:bCs/>
                      <w:sz w:val="15"/>
                      <w:szCs w:val="15"/>
                    </w:rPr>
                    <w:t>限制开发建设活动的要求</w:t>
                  </w:r>
                </w:p>
                <w:p>
                  <w:pPr>
                    <w:spacing w:line="280" w:lineRule="exact"/>
                    <w:rPr>
                      <w:bCs/>
                      <w:sz w:val="15"/>
                      <w:szCs w:val="15"/>
                    </w:rPr>
                  </w:pPr>
                  <w:r>
                    <w:rPr>
                      <w:bCs/>
                      <w:sz w:val="15"/>
                      <w:szCs w:val="15"/>
                    </w:rPr>
                    <w:t>-水环境城镇污染、工业污染、农业污染重点管控区内，应严格限制布设以电力、钢铁、造纸、石化、化工、印染、化纤等高耗水行业为主导产业的园区；严格项目引入政策，严控新建造纸、屠宰、用排水量大的农副产品加工企业等以水污染为主的企业。</w:t>
                  </w:r>
                </w:p>
                <w:p>
                  <w:pPr>
                    <w:spacing w:line="280" w:lineRule="exact"/>
                    <w:rPr>
                      <w:bCs/>
                      <w:sz w:val="15"/>
                      <w:szCs w:val="15"/>
                    </w:rPr>
                  </w:pPr>
                  <w:r>
                    <w:rPr>
                      <w:bCs/>
                      <w:sz w:val="15"/>
                      <w:szCs w:val="15"/>
                    </w:rPr>
                    <w:t>-大气环境布局敏感区应严格限制布设以钢铁、建材、石化、化工、有色等高污染行业为主导产业的园区，大气环境弱扩散区谨慎布局垃圾发电、危废焚烧等以大气污染为主的企业；严格项目引入政策，严控新建水泥厂、危废焚烧、砖瓦厂、陶瓷厂、混凝土及制品等以大气污染为主的企业。</w:t>
                  </w:r>
                </w:p>
                <w:p>
                  <w:pPr>
                    <w:spacing w:line="280" w:lineRule="exact"/>
                    <w:rPr>
                      <w:bCs/>
                      <w:sz w:val="15"/>
                      <w:szCs w:val="15"/>
                    </w:rPr>
                  </w:pPr>
                  <w:r>
                    <w:rPr>
                      <w:bCs/>
                      <w:sz w:val="15"/>
                      <w:szCs w:val="15"/>
                    </w:rPr>
                    <w:t>-按照相关要求严控水泥新增产能。</w:t>
                  </w:r>
                </w:p>
                <w:p>
                  <w:pPr>
                    <w:spacing w:line="280" w:lineRule="exact"/>
                    <w:rPr>
                      <w:bCs/>
                      <w:sz w:val="15"/>
                      <w:szCs w:val="15"/>
                    </w:rPr>
                  </w:pPr>
                  <w:r>
                    <w:rPr>
                      <w:bCs/>
                      <w:sz w:val="15"/>
                      <w:szCs w:val="15"/>
                    </w:rPr>
                    <w:t>-严控在长江及主要支流岸线1公里范围内新建石油化工、煤化工、涉磷、造纸、印染、制革等项目。</w:t>
                  </w:r>
                </w:p>
                <w:p>
                  <w:pPr>
                    <w:spacing w:line="280" w:lineRule="exact"/>
                    <w:rPr>
                      <w:bCs/>
                      <w:sz w:val="15"/>
                      <w:szCs w:val="15"/>
                    </w:rPr>
                  </w:pPr>
                  <w:r>
                    <w:rPr>
                      <w:bCs/>
                      <w:sz w:val="15"/>
                      <w:szCs w:val="15"/>
                    </w:rPr>
                    <w:t>-现有工业企业不得新增污染物排放。</w:t>
                  </w:r>
                </w:p>
                <w:p>
                  <w:pPr>
                    <w:spacing w:line="280" w:lineRule="exact"/>
                    <w:rPr>
                      <w:bCs/>
                      <w:sz w:val="15"/>
                      <w:szCs w:val="15"/>
                    </w:rPr>
                  </w:pPr>
                  <w:r>
                    <w:rPr>
                      <w:bCs/>
                      <w:sz w:val="15"/>
                      <w:szCs w:val="15"/>
                    </w:rPr>
                    <w:t>-禁止在长江干流岸线三公里范围内和重要支流岸线一公里范围内新建、改建、扩建尾矿库；但是以提升安全、生态环境保护水平为目的的改建除外。</w:t>
                  </w:r>
                </w:p>
                <w:p>
                  <w:pPr>
                    <w:spacing w:line="280" w:lineRule="exact"/>
                    <w:rPr>
                      <w:bCs/>
                      <w:sz w:val="15"/>
                      <w:szCs w:val="15"/>
                    </w:rPr>
                  </w:pPr>
                  <w:r>
                    <w:rPr>
                      <w:bCs/>
                      <w:sz w:val="15"/>
                      <w:szCs w:val="15"/>
                    </w:rPr>
                    <w:t>不符合空间布局要求活动的退出要求</w:t>
                  </w:r>
                </w:p>
                <w:p>
                  <w:pPr>
                    <w:spacing w:line="280" w:lineRule="exact"/>
                    <w:rPr>
                      <w:bCs/>
                      <w:sz w:val="15"/>
                      <w:szCs w:val="15"/>
                    </w:rPr>
                  </w:pPr>
                  <w:r>
                    <w:rPr>
                      <w:bCs/>
                      <w:sz w:val="15"/>
                      <w:szCs w:val="15"/>
                    </w:rPr>
                    <w:t>全面取缔禁养区内规模化畜禽养殖场。                                                                       -现有工业企业限期有序退城入园。</w:t>
                  </w:r>
                </w:p>
                <w:p>
                  <w:pPr>
                    <w:spacing w:line="280" w:lineRule="exact"/>
                    <w:rPr>
                      <w:bCs/>
                      <w:sz w:val="15"/>
                      <w:szCs w:val="15"/>
                    </w:rPr>
                  </w:pPr>
                  <w:r>
                    <w:rPr>
                      <w:bCs/>
                      <w:sz w:val="15"/>
                      <w:szCs w:val="15"/>
                    </w:rPr>
                    <w:t>不断优化长江经济带化工行业空间布局，有效控制化工污染。推进化工企业搬迁入园，加强化工园区基础设施建设。</w:t>
                  </w:r>
                </w:p>
                <w:p>
                  <w:pPr>
                    <w:spacing w:line="280" w:lineRule="exact"/>
                    <w:rPr>
                      <w:bCs/>
                      <w:sz w:val="15"/>
                      <w:szCs w:val="15"/>
                    </w:rPr>
                  </w:pPr>
                  <w:r>
                    <w:rPr>
                      <w:bCs/>
                      <w:sz w:val="15"/>
                      <w:szCs w:val="15"/>
                    </w:rPr>
                    <w:t>2025年全面完成全域内“散乱污”企业整治工作。</w:t>
                  </w:r>
                </w:p>
                <w:p>
                  <w:pPr>
                    <w:spacing w:line="280" w:lineRule="exact"/>
                    <w:rPr>
                      <w:bCs/>
                      <w:sz w:val="15"/>
                      <w:szCs w:val="15"/>
                    </w:rPr>
                  </w:pPr>
                  <w:r>
                    <w:rPr>
                      <w:bCs/>
                      <w:sz w:val="15"/>
                      <w:szCs w:val="15"/>
                    </w:rPr>
                    <w:t>针对现有水泥企业，强化污染治理和污染物减排，依法依规整治或搬迁。</w:t>
                  </w:r>
                </w:p>
                <w:p>
                  <w:pPr>
                    <w:spacing w:line="280" w:lineRule="exact"/>
                    <w:rPr>
                      <w:bCs/>
                      <w:sz w:val="15"/>
                      <w:szCs w:val="15"/>
                    </w:rPr>
                  </w:pPr>
                  <w:r>
                    <w:rPr>
                      <w:bCs/>
                      <w:sz w:val="15"/>
                      <w:szCs w:val="15"/>
                    </w:rPr>
                    <w:t>对违反资源环境法律法规、规划，污染环境、破坏生态、乱采烂挖的露天矿山，依法予以关闭；对污染治理不规范的露天矿山，依法责令停产整治。对责任主体灭失的露天矿山，加强修复绿化、减尘抑尘。加强矸石山治理。关闭不合理开发的小矿山。   在全市范围深入开展集中整治“散乱污”工业企业，对不符合产业政策和规划布局的，一律责令停产、限期搬迁或关停；</w:t>
                  </w:r>
                </w:p>
                <w:p>
                  <w:pPr>
                    <w:spacing w:line="280" w:lineRule="exact"/>
                    <w:rPr>
                      <w:bCs/>
                      <w:sz w:val="15"/>
                      <w:szCs w:val="15"/>
                    </w:rPr>
                  </w:pPr>
                  <w:r>
                    <w:rPr>
                      <w:bCs/>
                      <w:sz w:val="15"/>
                      <w:szCs w:val="15"/>
                    </w:rPr>
                    <w:t>其他空间布局约束要求</w:t>
                  </w:r>
                </w:p>
                <w:p>
                  <w:pPr>
                    <w:spacing w:line="280" w:lineRule="exact"/>
                    <w:rPr>
                      <w:bCs/>
                      <w:sz w:val="15"/>
                      <w:szCs w:val="15"/>
                    </w:rPr>
                  </w:pPr>
                  <w:r>
                    <w:rPr>
                      <w:bCs/>
                      <w:sz w:val="15"/>
                      <w:szCs w:val="15"/>
                    </w:rPr>
                    <w:t>允许开发建设活动的要求：在不损害生态系统功能的前提下，适度发展旅游、农林牧产品生产和加工、生态农业、休闲农业等产业。</w:t>
                  </w:r>
                </w:p>
                <w:p>
                  <w:pPr>
                    <w:spacing w:line="280" w:lineRule="exact"/>
                    <w:rPr>
                      <w:b/>
                      <w:bCs/>
                      <w:sz w:val="15"/>
                      <w:szCs w:val="15"/>
                    </w:rPr>
                  </w:pPr>
                  <w:r>
                    <w:rPr>
                      <w:bCs/>
                      <w:sz w:val="15"/>
                      <w:szCs w:val="15"/>
                    </w:rPr>
                    <w:t>除保护区外开展林下</w:t>
                  </w:r>
                  <w:r>
                    <w:rPr>
                      <w:rFonts w:hint="eastAsia"/>
                      <w:bCs/>
                      <w:sz w:val="15"/>
                      <w:szCs w:val="15"/>
                    </w:rPr>
                    <w:t>种植养殖</w:t>
                  </w:r>
                  <w:r>
                    <w:rPr>
                      <w:bCs/>
                      <w:sz w:val="15"/>
                      <w:szCs w:val="15"/>
                    </w:rPr>
                    <w:t>业。</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rPr>
                      <w:b/>
                      <w:bCs/>
                      <w:sz w:val="15"/>
                      <w:szCs w:val="15"/>
                    </w:rPr>
                  </w:pPr>
                  <w:r>
                    <w:rPr>
                      <w:sz w:val="15"/>
                      <w:szCs w:val="15"/>
                    </w:rPr>
                    <w:t>本项目属于自来水生产和供应项目，不涉及特殊敏感保护区，不属于禁止、限制开发的建设项目，符合城市空间布局要求。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b/>
                      <w:bCs/>
                      <w:sz w:val="15"/>
                      <w:szCs w:val="15"/>
                    </w:rPr>
                    <w:t>污染物排放管控</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85"/>
                    <w:spacing w:line="280" w:lineRule="exact"/>
                    <w:ind w:firstLine="0" w:firstLineChars="0"/>
                    <w:rPr>
                      <w:rFonts w:eastAsia="宋体"/>
                      <w:kern w:val="0"/>
                      <w:sz w:val="15"/>
                      <w:szCs w:val="15"/>
                    </w:rPr>
                  </w:pPr>
                  <w:r>
                    <w:rPr>
                      <w:rFonts w:eastAsia="宋体"/>
                      <w:kern w:val="0"/>
                      <w:sz w:val="15"/>
                      <w:szCs w:val="15"/>
                    </w:rPr>
                    <w:t>污染物排放管控：</w:t>
                  </w:r>
                </w:p>
                <w:p>
                  <w:pPr>
                    <w:pStyle w:val="85"/>
                    <w:spacing w:line="280" w:lineRule="exact"/>
                    <w:ind w:firstLine="0" w:firstLineChars="0"/>
                    <w:rPr>
                      <w:rFonts w:eastAsia="宋体"/>
                      <w:kern w:val="0"/>
                      <w:sz w:val="15"/>
                      <w:szCs w:val="15"/>
                    </w:rPr>
                  </w:pPr>
                  <w:r>
                    <w:rPr>
                      <w:rFonts w:eastAsia="宋体"/>
                      <w:kern w:val="0"/>
                      <w:sz w:val="15"/>
                      <w:szCs w:val="15"/>
                    </w:rPr>
                    <w:t>允许排放量要求</w:t>
                  </w:r>
                </w:p>
                <w:p>
                  <w:pPr>
                    <w:pStyle w:val="85"/>
                    <w:spacing w:line="280" w:lineRule="exact"/>
                    <w:ind w:firstLine="0" w:firstLineChars="0"/>
                    <w:rPr>
                      <w:rFonts w:eastAsia="宋体"/>
                      <w:kern w:val="0"/>
                      <w:sz w:val="15"/>
                      <w:szCs w:val="15"/>
                    </w:rPr>
                  </w:pPr>
                  <w:r>
                    <w:rPr>
                      <w:rFonts w:eastAsia="宋体"/>
                      <w:kern w:val="0"/>
                      <w:sz w:val="15"/>
                      <w:szCs w:val="15"/>
                    </w:rPr>
                    <w:t>暂无</w:t>
                  </w:r>
                </w:p>
                <w:p>
                  <w:pPr>
                    <w:pStyle w:val="85"/>
                    <w:spacing w:line="280" w:lineRule="exact"/>
                    <w:ind w:firstLine="0" w:firstLineChars="0"/>
                    <w:rPr>
                      <w:rFonts w:eastAsia="宋体"/>
                      <w:kern w:val="0"/>
                      <w:sz w:val="15"/>
                      <w:szCs w:val="15"/>
                    </w:rPr>
                  </w:pPr>
                  <w:r>
                    <w:rPr>
                      <w:rFonts w:eastAsia="宋体"/>
                      <w:kern w:val="0"/>
                      <w:sz w:val="15"/>
                      <w:szCs w:val="15"/>
                    </w:rPr>
                    <w:t>现有源提标升级改造</w:t>
                  </w:r>
                </w:p>
                <w:p>
                  <w:pPr>
                    <w:pStyle w:val="85"/>
                    <w:spacing w:line="280" w:lineRule="exact"/>
                    <w:ind w:firstLine="0" w:firstLineChars="0"/>
                    <w:rPr>
                      <w:rFonts w:eastAsia="宋体"/>
                      <w:kern w:val="0"/>
                      <w:sz w:val="15"/>
                      <w:szCs w:val="15"/>
                    </w:rPr>
                  </w:pPr>
                  <w:r>
                    <w:rPr>
                      <w:rFonts w:eastAsia="宋体"/>
                      <w:kern w:val="0"/>
                      <w:sz w:val="15"/>
                      <w:szCs w:val="15"/>
                    </w:rPr>
                    <w:t>加快现有乡镇污水处理设施升级改造，按要求达《城镇污水处理厂污染物排放标准》一级A标后排放。</w:t>
                  </w:r>
                </w:p>
                <w:p>
                  <w:pPr>
                    <w:pStyle w:val="85"/>
                    <w:spacing w:line="280" w:lineRule="exact"/>
                    <w:ind w:firstLine="0" w:firstLineChars="0"/>
                    <w:rPr>
                      <w:rFonts w:eastAsia="宋体"/>
                      <w:kern w:val="0"/>
                      <w:sz w:val="15"/>
                      <w:szCs w:val="15"/>
                    </w:rPr>
                  </w:pPr>
                  <w:r>
                    <w:rPr>
                      <w:rFonts w:eastAsia="宋体"/>
                      <w:kern w:val="0"/>
                      <w:sz w:val="15"/>
                      <w:szCs w:val="15"/>
                    </w:rPr>
                    <w:t>-在矿产资源开发活动集中区域，废水执行重金属污染物排放特别限值.-火电、水泥、钢铁等行业按相关要求推进大气污染物超低排放和深度治理。</w:t>
                  </w:r>
                </w:p>
                <w:p>
                  <w:pPr>
                    <w:pStyle w:val="85"/>
                    <w:spacing w:line="280" w:lineRule="exact"/>
                    <w:ind w:firstLine="0" w:firstLineChars="0"/>
                    <w:rPr>
                      <w:rFonts w:eastAsia="宋体"/>
                      <w:kern w:val="0"/>
                      <w:sz w:val="15"/>
                      <w:szCs w:val="15"/>
                    </w:rPr>
                  </w:pPr>
                  <w:r>
                    <w:rPr>
                      <w:rFonts w:eastAsia="宋体"/>
                      <w:kern w:val="0"/>
                      <w:sz w:val="15"/>
                      <w:szCs w:val="15"/>
                    </w:rPr>
                    <w:t>-砖瓦行业实施脱硫、除尘升级改造，污染物排放达到《砖瓦工业大气污染物排放标准》相关要求。</w:t>
                  </w:r>
                </w:p>
                <w:p>
                  <w:pPr>
                    <w:pStyle w:val="85"/>
                    <w:spacing w:line="280" w:lineRule="exact"/>
                    <w:ind w:firstLine="0" w:firstLineChars="0"/>
                    <w:rPr>
                      <w:rFonts w:eastAsia="宋体"/>
                      <w:kern w:val="0"/>
                      <w:sz w:val="15"/>
                      <w:szCs w:val="15"/>
                    </w:rPr>
                  </w:pPr>
                  <w:r>
                    <w:rPr>
                      <w:rFonts w:eastAsia="宋体"/>
                      <w:kern w:val="0"/>
                      <w:sz w:val="15"/>
                      <w:szCs w:val="15"/>
                    </w:rPr>
                    <w:t>其他污染物排放管控要求</w:t>
                  </w:r>
                </w:p>
                <w:p>
                  <w:pPr>
                    <w:pStyle w:val="85"/>
                    <w:spacing w:line="280" w:lineRule="exact"/>
                    <w:ind w:firstLine="0" w:firstLineChars="0"/>
                    <w:rPr>
                      <w:rFonts w:eastAsia="宋体"/>
                      <w:kern w:val="0"/>
                      <w:sz w:val="15"/>
                      <w:szCs w:val="15"/>
                    </w:rPr>
                  </w:pPr>
                  <w:r>
                    <w:rPr>
                      <w:rFonts w:eastAsia="宋体"/>
                      <w:kern w:val="0"/>
                      <w:sz w:val="15"/>
                      <w:szCs w:val="15"/>
                    </w:rPr>
                    <w:t>新增源等量或倍量替代:上一年度水环境质量未完成目标的，新建排放水污染的建设项目按照总量管控要求进行倍量削减替代。</w:t>
                  </w:r>
                </w:p>
                <w:p>
                  <w:pPr>
                    <w:pStyle w:val="85"/>
                    <w:spacing w:line="280" w:lineRule="exact"/>
                    <w:ind w:firstLine="0" w:firstLineChars="0"/>
                    <w:rPr>
                      <w:rFonts w:eastAsia="宋体"/>
                      <w:kern w:val="0"/>
                      <w:sz w:val="15"/>
                      <w:szCs w:val="15"/>
                    </w:rPr>
                  </w:pPr>
                  <w:r>
                    <w:rPr>
                      <w:rFonts w:eastAsia="宋体"/>
                      <w:kern w:val="0"/>
                      <w:sz w:val="15"/>
                      <w:szCs w:val="15"/>
                    </w:rPr>
                    <w:t>-上一年度空气质量年平均浓度不达标的城市，建设项目新增相关污染物按照总量管控要求进行倍量削减替代。</w:t>
                  </w:r>
                </w:p>
                <w:p>
                  <w:pPr>
                    <w:pStyle w:val="85"/>
                    <w:spacing w:line="280" w:lineRule="exact"/>
                    <w:ind w:firstLine="0" w:firstLineChars="0"/>
                    <w:rPr>
                      <w:rFonts w:eastAsia="宋体"/>
                      <w:kern w:val="0"/>
                      <w:sz w:val="15"/>
                      <w:szCs w:val="15"/>
                    </w:rPr>
                  </w:pPr>
                  <w:r>
                    <w:rPr>
                      <w:rFonts w:eastAsia="宋体"/>
                      <w:kern w:val="0"/>
                      <w:sz w:val="15"/>
                      <w:szCs w:val="15"/>
                    </w:rPr>
                    <w:t>-大气环境重点管控区内，新增大气污染物排放的建设项目实施总量削减替代.污染物排放绩效水平准入要求:屠宰项目必须配套污水处理设施或进入城市污水管网。</w:t>
                  </w:r>
                </w:p>
                <w:p>
                  <w:pPr>
                    <w:pStyle w:val="85"/>
                    <w:spacing w:line="280" w:lineRule="exact"/>
                    <w:ind w:firstLine="0" w:firstLineChars="0"/>
                    <w:rPr>
                      <w:rFonts w:eastAsia="宋体"/>
                      <w:kern w:val="0"/>
                      <w:sz w:val="15"/>
                      <w:szCs w:val="15"/>
                    </w:rPr>
                  </w:pPr>
                  <w:r>
                    <w:rPr>
                      <w:rFonts w:eastAsia="宋体"/>
                      <w:kern w:val="0"/>
                      <w:sz w:val="15"/>
                      <w:szCs w:val="15"/>
                    </w:rPr>
                    <w:t>-大气环境重点管控区内加强“高架源”污染治理，深化施工扬尘监管，严格落实“六必须、六不准”管控要求，强化道路施工管控，提高道路清扫机械化和精细化作业水平。-到2023年底，力争全市生活垃圾焚烧处理能力占比达60%以上，各县（市）生活垃圾无害化处理率保持95%以上，乡镇及行政村生活垃圾收转运处置体系基本实现全覆盖。-到2025年，农药包装废弃物回收率达80%；粮油绿色高质高效示范区、茶叶主产区和现代农业园区农药包装废弃物回收率100%。</w:t>
                  </w:r>
                </w:p>
                <w:p>
                  <w:pPr>
                    <w:pStyle w:val="85"/>
                    <w:spacing w:line="280" w:lineRule="exact"/>
                    <w:ind w:firstLine="0" w:firstLineChars="0"/>
                    <w:rPr>
                      <w:rFonts w:eastAsia="宋体"/>
                      <w:kern w:val="0"/>
                      <w:sz w:val="15"/>
                      <w:szCs w:val="15"/>
                    </w:rPr>
                  </w:pPr>
                  <w:r>
                    <w:rPr>
                      <w:rFonts w:eastAsia="宋体"/>
                      <w:kern w:val="0"/>
                      <w:sz w:val="15"/>
                      <w:szCs w:val="15"/>
                    </w:rPr>
                    <w:t>-到2025年，全国主要农作物化肥、农药利用率达43%，测土配方施肥技术推广覆盖率保持在90%以上，控制农村面源污染，采取灌排分离等措施控制农田氮磷流失。</w:t>
                  </w:r>
                </w:p>
                <w:p>
                  <w:pPr>
                    <w:pStyle w:val="85"/>
                    <w:spacing w:line="280" w:lineRule="exact"/>
                    <w:ind w:firstLine="0" w:firstLineChars="0"/>
                    <w:rPr>
                      <w:rFonts w:eastAsia="宋体"/>
                      <w:kern w:val="0"/>
                      <w:sz w:val="15"/>
                      <w:szCs w:val="15"/>
                    </w:rPr>
                  </w:pPr>
                  <w:r>
                    <w:rPr>
                      <w:rFonts w:eastAsia="宋体"/>
                      <w:kern w:val="0"/>
                      <w:sz w:val="15"/>
                      <w:szCs w:val="15"/>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85"/>
                    <w:spacing w:line="280" w:lineRule="exact"/>
                    <w:ind w:firstLine="0" w:firstLineChars="0"/>
                    <w:rPr>
                      <w:rFonts w:eastAsia="宋体"/>
                      <w:kern w:val="0"/>
                      <w:sz w:val="15"/>
                      <w:szCs w:val="15"/>
                    </w:rPr>
                  </w:pPr>
                  <w:r>
                    <w:rPr>
                      <w:rFonts w:eastAsia="宋体"/>
                      <w:kern w:val="0"/>
                      <w:sz w:val="15"/>
                      <w:szCs w:val="15"/>
                    </w:rPr>
                    <w:t>-到2025年，废旧农膜回收利用率达到85%以上。</w:t>
                  </w:r>
                </w:p>
                <w:p>
                  <w:pPr>
                    <w:pStyle w:val="85"/>
                    <w:spacing w:line="280" w:lineRule="exact"/>
                    <w:ind w:firstLine="0" w:firstLineChars="0"/>
                    <w:rPr>
                      <w:rFonts w:eastAsia="宋体"/>
                      <w:kern w:val="0"/>
                      <w:sz w:val="15"/>
                      <w:szCs w:val="15"/>
                    </w:rPr>
                  </w:pPr>
                  <w:r>
                    <w:rPr>
                      <w:rFonts w:eastAsia="宋体"/>
                      <w:kern w:val="0"/>
                      <w:sz w:val="15"/>
                      <w:szCs w:val="15"/>
                    </w:rPr>
                    <w:t>2025年：全市水环境质量总体保持优良。纳入国家及省级考核的监测断面优良（达到或优于</w:t>
                  </w:r>
                  <w:r>
                    <w:rPr>
                      <w:rFonts w:hint="eastAsia" w:ascii="宋体" w:hAnsi="宋体" w:eastAsia="宋体" w:cs="宋体"/>
                      <w:kern w:val="0"/>
                      <w:sz w:val="15"/>
                      <w:szCs w:val="15"/>
                    </w:rPr>
                    <w:t>Ⅲ</w:t>
                  </w:r>
                  <w:r>
                    <w:rPr>
                      <w:rFonts w:eastAsia="宋体"/>
                      <w:kern w:val="0"/>
                      <w:sz w:val="15"/>
                      <w:szCs w:val="15"/>
                    </w:rPr>
                    <w:t>类）比例保持达100%；32个水环境控制单元水质达到或优于</w:t>
                  </w:r>
                  <w:r>
                    <w:rPr>
                      <w:rFonts w:hint="eastAsia" w:ascii="宋体" w:hAnsi="宋体" w:eastAsia="宋体" w:cs="宋体"/>
                      <w:kern w:val="0"/>
                      <w:sz w:val="15"/>
                      <w:szCs w:val="15"/>
                    </w:rPr>
                    <w:t>Ⅲ</w:t>
                  </w:r>
                  <w:r>
                    <w:rPr>
                      <w:rFonts w:eastAsia="宋体"/>
                      <w:kern w:val="0"/>
                      <w:sz w:val="15"/>
                      <w:szCs w:val="15"/>
                    </w:rPr>
                    <w:t>类比例保持为100%；国省重要江河湖泊水功能区达标率保持为100%；地级县级集中式饮用水水源水质达到或优于</w:t>
                  </w:r>
                  <w:r>
                    <w:rPr>
                      <w:rFonts w:hint="eastAsia" w:ascii="宋体" w:hAnsi="宋体" w:eastAsia="宋体" w:cs="宋体"/>
                      <w:kern w:val="0"/>
                      <w:sz w:val="15"/>
                      <w:szCs w:val="15"/>
                    </w:rPr>
                    <w:t>Ⅲ</w:t>
                  </w:r>
                  <w:r>
                    <w:rPr>
                      <w:rFonts w:eastAsia="宋体"/>
                      <w:kern w:val="0"/>
                      <w:sz w:val="15"/>
                      <w:szCs w:val="15"/>
                    </w:rPr>
                    <w:t>类比例保持为100%；乡镇集中式饮用水水源水质达到或优于</w:t>
                  </w:r>
                  <w:r>
                    <w:rPr>
                      <w:rFonts w:hint="eastAsia" w:ascii="宋体" w:hAnsi="宋体" w:eastAsia="宋体" w:cs="宋体"/>
                      <w:kern w:val="0"/>
                      <w:sz w:val="15"/>
                      <w:szCs w:val="15"/>
                    </w:rPr>
                    <w:t>Ⅲ</w:t>
                  </w:r>
                  <w:r>
                    <w:rPr>
                      <w:rFonts w:eastAsia="宋体"/>
                      <w:kern w:val="0"/>
                      <w:sz w:val="15"/>
                      <w:szCs w:val="15"/>
                    </w:rPr>
                    <w:t>类比例保持为98%；城镇建成区无黑臭水体。</w:t>
                  </w:r>
                </w:p>
                <w:p>
                  <w:pPr>
                    <w:pStyle w:val="85"/>
                    <w:spacing w:line="280" w:lineRule="exact"/>
                    <w:ind w:firstLine="0" w:firstLineChars="0"/>
                    <w:rPr>
                      <w:rFonts w:eastAsia="宋体"/>
                      <w:kern w:val="0"/>
                      <w:sz w:val="15"/>
                      <w:szCs w:val="15"/>
                    </w:rPr>
                  </w:pPr>
                  <w:r>
                    <w:rPr>
                      <w:rFonts w:eastAsia="宋体"/>
                      <w:kern w:val="0"/>
                      <w:sz w:val="15"/>
                      <w:szCs w:val="15"/>
                    </w:rPr>
                    <w:t>2035年：全市水环境质量总体保持优良。纳入国家及省级考核的监测断面优良（达到或优于</w:t>
                  </w:r>
                  <w:r>
                    <w:rPr>
                      <w:rFonts w:hint="eastAsia" w:ascii="宋体" w:hAnsi="宋体" w:eastAsia="宋体" w:cs="宋体"/>
                      <w:kern w:val="0"/>
                      <w:sz w:val="15"/>
                      <w:szCs w:val="15"/>
                    </w:rPr>
                    <w:t>Ⅲ</w:t>
                  </w:r>
                  <w:r>
                    <w:rPr>
                      <w:rFonts w:eastAsia="宋体"/>
                      <w:kern w:val="0"/>
                      <w:sz w:val="15"/>
                      <w:szCs w:val="15"/>
                    </w:rPr>
                    <w:t>类）比例保持为100%；32个水环境控制单元水质达到或优于</w:t>
                  </w:r>
                  <w:r>
                    <w:rPr>
                      <w:rFonts w:hint="eastAsia" w:ascii="宋体" w:hAnsi="宋体" w:eastAsia="宋体" w:cs="宋体"/>
                      <w:kern w:val="0"/>
                      <w:sz w:val="15"/>
                      <w:szCs w:val="15"/>
                    </w:rPr>
                    <w:t>Ⅲ</w:t>
                  </w:r>
                  <w:r>
                    <w:rPr>
                      <w:rFonts w:eastAsia="宋体"/>
                      <w:kern w:val="0"/>
                      <w:sz w:val="15"/>
                      <w:szCs w:val="15"/>
                    </w:rPr>
                    <w:t>类比例达到100%；国省重要江河湖泊水功能区达标率保持为100%；地级、县级、乡镇集中式饮用水水源水质达到或优于</w:t>
                  </w:r>
                  <w:r>
                    <w:rPr>
                      <w:rFonts w:hint="eastAsia" w:ascii="宋体" w:hAnsi="宋体" w:eastAsia="宋体" w:cs="宋体"/>
                      <w:kern w:val="0"/>
                      <w:sz w:val="15"/>
                      <w:szCs w:val="15"/>
                    </w:rPr>
                    <w:t>Ⅲ</w:t>
                  </w:r>
                  <w:r>
                    <w:rPr>
                      <w:rFonts w:eastAsia="宋体"/>
                      <w:kern w:val="0"/>
                      <w:sz w:val="15"/>
                      <w:szCs w:val="15"/>
                    </w:rPr>
                    <w:t>类比例保持为100%；国省重要江河湖泊水功能区达标率保持为100%；城乡无黑臭水体。</w:t>
                  </w:r>
                </w:p>
                <w:p>
                  <w:pPr>
                    <w:pStyle w:val="85"/>
                    <w:spacing w:line="280" w:lineRule="exact"/>
                    <w:ind w:firstLine="0" w:firstLineChars="0"/>
                    <w:rPr>
                      <w:rFonts w:eastAsia="宋体"/>
                      <w:kern w:val="0"/>
                      <w:sz w:val="15"/>
                      <w:szCs w:val="15"/>
                    </w:rPr>
                  </w:pPr>
                  <w:r>
                    <w:rPr>
                      <w:rFonts w:eastAsia="宋体"/>
                      <w:kern w:val="0"/>
                      <w:sz w:val="15"/>
                      <w:szCs w:val="15"/>
                    </w:rPr>
                    <w:t>-以州河、铜钵河、明月江、东柳河、双龙河、魏家河（洞耳河）、平滩河（观音河）、石桥河、任市河等农业面源污染较突出的流域为重点，深入推进化肥、农药零增长行动，推广测土配方施肥技术，开展化肥减量增效示范和果菜茶有机肥代替化肥试点，提升科学施肥水平。</w:t>
                  </w:r>
                </w:p>
                <w:p>
                  <w:pPr>
                    <w:pStyle w:val="85"/>
                    <w:spacing w:line="280" w:lineRule="exact"/>
                    <w:ind w:firstLine="0" w:firstLineChars="0"/>
                    <w:rPr>
                      <w:rFonts w:eastAsia="宋体"/>
                      <w:kern w:val="0"/>
                      <w:sz w:val="15"/>
                      <w:szCs w:val="15"/>
                    </w:rPr>
                  </w:pPr>
                  <w:r>
                    <w:rPr>
                      <w:rFonts w:eastAsia="宋体"/>
                      <w:kern w:val="0"/>
                      <w:sz w:val="15"/>
                      <w:szCs w:val="15"/>
                    </w:rPr>
                    <w:t>--至2022年底，基本实现乡镇污水处理设施全覆盖，配套建设污水收集管网，乡镇污水处理率达到65%。</w:t>
                  </w:r>
                </w:p>
                <w:p>
                  <w:pPr>
                    <w:pStyle w:val="85"/>
                    <w:spacing w:line="280" w:lineRule="exact"/>
                    <w:ind w:firstLine="0" w:firstLineChars="0"/>
                    <w:rPr>
                      <w:rFonts w:eastAsia="宋体"/>
                      <w:kern w:val="0"/>
                      <w:sz w:val="15"/>
                      <w:szCs w:val="15"/>
                    </w:rPr>
                  </w:pPr>
                  <w:r>
                    <w:rPr>
                      <w:rFonts w:eastAsia="宋体"/>
                      <w:kern w:val="0"/>
                      <w:sz w:val="15"/>
                      <w:szCs w:val="15"/>
                    </w:rPr>
                    <w:t>-大气污染防治重点区域执行大气污染物执行特别排放限值，严禁新增钢铁、电力、水泥、玻璃、砖瓦、陶瓷、焦化、电解铝、有色等重点行业大气污染物排放。</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项目废水排放满足要求，不涉及</w:t>
                  </w:r>
                  <w:r>
                    <w:rPr>
                      <w:rFonts w:hint="eastAsia"/>
                      <w:sz w:val="15"/>
                      <w:szCs w:val="15"/>
                      <w:lang w:eastAsia="zh-CN"/>
                    </w:rPr>
                    <w:t>总量</w:t>
                  </w:r>
                  <w:r>
                    <w:rPr>
                      <w:sz w:val="15"/>
                      <w:szCs w:val="15"/>
                    </w:rPr>
                    <w:t>控制指标，满足污染物排放管控要求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b/>
                      <w:bCs/>
                      <w:sz w:val="15"/>
                      <w:szCs w:val="15"/>
                    </w:rPr>
                    <w:t>环境风险防控</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rPr>
                      <w:sz w:val="15"/>
                      <w:szCs w:val="15"/>
                    </w:rPr>
                  </w:pPr>
                  <w:r>
                    <w:rPr>
                      <w:sz w:val="15"/>
                      <w:szCs w:val="15"/>
                    </w:rPr>
                    <w:t>环境风险防控：</w:t>
                  </w:r>
                </w:p>
                <w:p>
                  <w:pPr>
                    <w:spacing w:line="280" w:lineRule="exact"/>
                    <w:rPr>
                      <w:sz w:val="15"/>
                      <w:szCs w:val="15"/>
                    </w:rPr>
                  </w:pPr>
                  <w:r>
                    <w:rPr>
                      <w:sz w:val="15"/>
                      <w:szCs w:val="15"/>
                    </w:rPr>
                    <w:t>联防联控要求</w:t>
                  </w:r>
                </w:p>
                <w:p>
                  <w:pPr>
                    <w:spacing w:line="280" w:lineRule="exact"/>
                    <w:rPr>
                      <w:sz w:val="15"/>
                      <w:szCs w:val="15"/>
                    </w:rPr>
                  </w:pPr>
                  <w:r>
                    <w:rPr>
                      <w:sz w:val="15"/>
                      <w:szCs w:val="15"/>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w:t>
                  </w:r>
                  <w:r>
                    <w:rPr>
                      <w:rFonts w:hint="eastAsia"/>
                      <w:sz w:val="15"/>
                      <w:szCs w:val="15"/>
                      <w:lang w:eastAsia="zh-CN"/>
                    </w:rPr>
                    <w:t>大气污染防治</w:t>
                  </w:r>
                  <w:r>
                    <w:rPr>
                      <w:sz w:val="15"/>
                      <w:szCs w:val="15"/>
                    </w:rPr>
                    <w:t>合作</w:t>
                  </w:r>
                </w:p>
                <w:p>
                  <w:pPr>
                    <w:spacing w:line="280" w:lineRule="exact"/>
                    <w:rPr>
                      <w:sz w:val="15"/>
                      <w:szCs w:val="15"/>
                    </w:rPr>
                  </w:pPr>
                  <w:r>
                    <w:rPr>
                      <w:sz w:val="15"/>
                      <w:szCs w:val="15"/>
                    </w:rPr>
                    <w:t>其他环境风险防控要求</w:t>
                  </w:r>
                </w:p>
                <w:p>
                  <w:pPr>
                    <w:spacing w:line="280" w:lineRule="exact"/>
                    <w:rPr>
                      <w:sz w:val="15"/>
                      <w:szCs w:val="15"/>
                    </w:rPr>
                  </w:pPr>
                  <w:r>
                    <w:rPr>
                      <w:sz w:val="15"/>
                      <w:szCs w:val="15"/>
                    </w:rPr>
                    <w:t>企业环境风险防控要求:工业企业退出用地，须经评估、修复满足相应用地功能后，方可改变用途。</w:t>
                  </w:r>
                </w:p>
                <w:p>
                  <w:pPr>
                    <w:spacing w:line="280" w:lineRule="exact"/>
                    <w:rPr>
                      <w:sz w:val="15"/>
                      <w:szCs w:val="15"/>
                    </w:rPr>
                  </w:pPr>
                  <w:r>
                    <w:rPr>
                      <w:sz w:val="15"/>
                      <w:szCs w:val="15"/>
                    </w:rPr>
                    <w:t>加强“散乱污”企业环境风险防控。对工业循环用水大户和涉磷企业进行全面排查，建立总磷污染源数据库，实施循环水非磷配方药品替代改造，强化工业循环用水监管和总磷排放控制；从严控制新、改、扩建涉磷项目建设。落实涉磷堆场防渗、防风、防洪措施。</w:t>
                  </w:r>
                </w:p>
                <w:p>
                  <w:pPr>
                    <w:spacing w:line="280" w:lineRule="exact"/>
                    <w:rPr>
                      <w:sz w:val="15"/>
                      <w:szCs w:val="15"/>
                    </w:rPr>
                  </w:pPr>
                  <w:r>
                    <w:rPr>
                      <w:sz w:val="15"/>
                      <w:szCs w:val="15"/>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w:t>
                  </w:r>
                </w:p>
                <w:p>
                  <w:pPr>
                    <w:spacing w:line="280" w:lineRule="exact"/>
                    <w:rPr>
                      <w:sz w:val="15"/>
                      <w:szCs w:val="15"/>
                    </w:rPr>
                  </w:pPr>
                  <w:r>
                    <w:rPr>
                      <w:sz w:val="15"/>
                      <w:szCs w:val="15"/>
                    </w:rPr>
                    <w:t>用地环境风险防控要求:严禁将城镇生活垃圾、污泥、工业废物直接用作肥料，禁止处理不达标的污泥进入耕地；禁止在农用地排放、倾倒、使用污泥、清淤底泥、尾矿（渣）等可能对土壤造成污染的固体废物。禁止处理不达标的污泥进入耕地。</w:t>
                  </w:r>
                </w:p>
                <w:p>
                  <w:pPr>
                    <w:spacing w:line="280" w:lineRule="exact"/>
                    <w:rPr>
                      <w:sz w:val="15"/>
                      <w:szCs w:val="15"/>
                    </w:rPr>
                  </w:pPr>
                  <w:r>
                    <w:rPr>
                      <w:sz w:val="15"/>
                      <w:szCs w:val="15"/>
                    </w:rPr>
                    <w:t>禁止在农用地排放、倾倒、使用污泥、清淤底泥、尾矿（渣）等可能对土壤造成污染的固体废物。</w:t>
                  </w:r>
                </w:p>
                <w:p>
                  <w:pPr>
                    <w:spacing w:line="280" w:lineRule="exact"/>
                    <w:rPr>
                      <w:sz w:val="15"/>
                      <w:szCs w:val="15"/>
                    </w:rPr>
                  </w:pPr>
                  <w:r>
                    <w:rPr>
                      <w:sz w:val="15"/>
                      <w:szCs w:val="15"/>
                    </w:rPr>
                    <w:t>严格控制林地、草地、园地的农药使用量，禁止使用高毒、高残留农药。</w:t>
                  </w:r>
                </w:p>
                <w:p>
                  <w:pPr>
                    <w:spacing w:line="280" w:lineRule="exact"/>
                    <w:rPr>
                      <w:sz w:val="15"/>
                      <w:szCs w:val="15"/>
                    </w:rPr>
                  </w:pPr>
                  <w:r>
                    <w:rPr>
                      <w:sz w:val="15"/>
                      <w:szCs w:val="15"/>
                    </w:rPr>
                    <w:t>到2030年，全市受污染耕地安全利用率达到95%以上，污染地块安全利用率达到95%以上。</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项目不涉及五类重金属排放，建成后将编制《突发环境事件应急预案》，对可能发生的环境事件采取相应的防治措施。</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资源开发</w:t>
                  </w:r>
                </w:p>
                <w:p>
                  <w:pPr>
                    <w:spacing w:line="280" w:lineRule="exact"/>
                    <w:jc w:val="center"/>
                    <w:rPr>
                      <w:sz w:val="15"/>
                      <w:szCs w:val="15"/>
                    </w:rPr>
                  </w:pPr>
                  <w:r>
                    <w:rPr>
                      <w:b/>
                      <w:bCs/>
                      <w:sz w:val="15"/>
                      <w:szCs w:val="15"/>
                    </w:rPr>
                    <w:t>利用效率要求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85"/>
                    <w:spacing w:line="280" w:lineRule="exact"/>
                    <w:ind w:firstLine="0" w:firstLineChars="0"/>
                    <w:rPr>
                      <w:rFonts w:eastAsia="宋体"/>
                      <w:kern w:val="0"/>
                      <w:sz w:val="15"/>
                      <w:szCs w:val="15"/>
                    </w:rPr>
                  </w:pPr>
                  <w:r>
                    <w:rPr>
                      <w:rFonts w:eastAsia="宋体"/>
                      <w:kern w:val="0"/>
                      <w:sz w:val="15"/>
                      <w:szCs w:val="15"/>
                    </w:rPr>
                    <w:t>资源开发利用效率要求：</w:t>
                  </w:r>
                </w:p>
                <w:p>
                  <w:pPr>
                    <w:pStyle w:val="85"/>
                    <w:spacing w:line="280" w:lineRule="exact"/>
                    <w:ind w:firstLine="0" w:firstLineChars="0"/>
                    <w:rPr>
                      <w:rFonts w:eastAsia="宋体"/>
                      <w:kern w:val="0"/>
                      <w:sz w:val="15"/>
                      <w:szCs w:val="15"/>
                    </w:rPr>
                  </w:pPr>
                  <w:r>
                    <w:rPr>
                      <w:rFonts w:eastAsia="宋体"/>
                      <w:kern w:val="0"/>
                      <w:sz w:val="15"/>
                      <w:szCs w:val="15"/>
                    </w:rPr>
                    <w:t>水资源利用总量要求</w:t>
                  </w:r>
                </w:p>
                <w:p>
                  <w:pPr>
                    <w:pStyle w:val="85"/>
                    <w:spacing w:line="280" w:lineRule="exact"/>
                    <w:ind w:firstLine="0" w:firstLineChars="0"/>
                    <w:rPr>
                      <w:rFonts w:eastAsia="宋体"/>
                      <w:kern w:val="0"/>
                      <w:sz w:val="15"/>
                      <w:szCs w:val="15"/>
                    </w:rPr>
                  </w:pPr>
                  <w:r>
                    <w:rPr>
                      <w:rFonts w:eastAsia="宋体"/>
                      <w:kern w:val="0"/>
                      <w:sz w:val="15"/>
                      <w:szCs w:val="15"/>
                    </w:rPr>
                    <w:t>-到2025年，农田灌溉水有效利用系数达到0.57以上。</w:t>
                  </w:r>
                </w:p>
                <w:p>
                  <w:pPr>
                    <w:pStyle w:val="85"/>
                    <w:spacing w:line="280" w:lineRule="exact"/>
                    <w:ind w:firstLine="0" w:firstLineChars="0"/>
                    <w:rPr>
                      <w:rFonts w:eastAsia="宋体"/>
                      <w:kern w:val="0"/>
                      <w:sz w:val="15"/>
                      <w:szCs w:val="15"/>
                    </w:rPr>
                  </w:pPr>
                  <w:r>
                    <w:rPr>
                      <w:rFonts w:eastAsia="宋体"/>
                      <w:kern w:val="0"/>
                      <w:sz w:val="15"/>
                      <w:szCs w:val="15"/>
                    </w:rPr>
                    <w:t>地下水开采要求</w:t>
                  </w:r>
                </w:p>
                <w:p>
                  <w:pPr>
                    <w:pStyle w:val="85"/>
                    <w:spacing w:line="280" w:lineRule="exact"/>
                    <w:ind w:firstLine="0" w:firstLineChars="0"/>
                    <w:rPr>
                      <w:rFonts w:eastAsia="宋体"/>
                      <w:kern w:val="0"/>
                      <w:sz w:val="15"/>
                      <w:szCs w:val="15"/>
                    </w:rPr>
                  </w:pPr>
                  <w:r>
                    <w:rPr>
                      <w:rFonts w:eastAsia="宋体"/>
                      <w:kern w:val="0"/>
                      <w:sz w:val="15"/>
                      <w:szCs w:val="15"/>
                    </w:rPr>
                    <w:t>以省市下发指标为准</w:t>
                  </w:r>
                </w:p>
                <w:p>
                  <w:pPr>
                    <w:pStyle w:val="85"/>
                    <w:spacing w:line="280" w:lineRule="exact"/>
                    <w:ind w:firstLine="0" w:firstLineChars="0"/>
                    <w:rPr>
                      <w:rFonts w:eastAsia="宋体"/>
                      <w:kern w:val="0"/>
                      <w:sz w:val="15"/>
                      <w:szCs w:val="15"/>
                    </w:rPr>
                  </w:pPr>
                  <w:r>
                    <w:rPr>
                      <w:rFonts w:eastAsia="宋体"/>
                      <w:kern w:val="0"/>
                      <w:sz w:val="15"/>
                      <w:szCs w:val="15"/>
                    </w:rPr>
                    <w:t>能源利用总量及效率要求</w:t>
                  </w:r>
                </w:p>
                <w:p>
                  <w:pPr>
                    <w:pStyle w:val="85"/>
                    <w:spacing w:line="280" w:lineRule="exact"/>
                    <w:ind w:firstLine="0" w:firstLineChars="0"/>
                    <w:rPr>
                      <w:rFonts w:eastAsia="宋体"/>
                      <w:kern w:val="0"/>
                      <w:sz w:val="15"/>
                      <w:szCs w:val="15"/>
                    </w:rPr>
                  </w:pPr>
                  <w:r>
                    <w:rPr>
                      <w:rFonts w:eastAsia="宋体"/>
                      <w:kern w:val="0"/>
                      <w:sz w:val="15"/>
                      <w:szCs w:val="15"/>
                    </w:rPr>
                    <w:t>-推进清洁能源的推广使用，全面推进散煤清洁化整治；禁止新建每小时10蒸吨以下的燃煤锅炉及其他燃煤设施。</w:t>
                  </w:r>
                </w:p>
                <w:p>
                  <w:pPr>
                    <w:pStyle w:val="85"/>
                    <w:spacing w:line="280" w:lineRule="exact"/>
                    <w:ind w:firstLine="0" w:firstLineChars="0"/>
                    <w:rPr>
                      <w:rFonts w:eastAsia="宋体"/>
                      <w:kern w:val="0"/>
                      <w:sz w:val="15"/>
                      <w:szCs w:val="15"/>
                    </w:rPr>
                  </w:pPr>
                  <w:r>
                    <w:rPr>
                      <w:rFonts w:eastAsia="宋体"/>
                      <w:kern w:val="0"/>
                      <w:sz w:val="15"/>
                      <w:szCs w:val="15"/>
                    </w:rPr>
                    <w:t>-禁止焚烧秸秆和垃圾，到2025年底，秸秆综合利用率达到86%以上。</w:t>
                  </w:r>
                </w:p>
                <w:p>
                  <w:pPr>
                    <w:pStyle w:val="85"/>
                    <w:spacing w:line="280" w:lineRule="exact"/>
                    <w:ind w:firstLine="0" w:firstLineChars="0"/>
                    <w:rPr>
                      <w:rFonts w:eastAsia="宋体"/>
                      <w:kern w:val="0"/>
                      <w:sz w:val="15"/>
                      <w:szCs w:val="15"/>
                    </w:rPr>
                  </w:pPr>
                  <w:r>
                    <w:rPr>
                      <w:rFonts w:eastAsia="宋体"/>
                      <w:kern w:val="0"/>
                      <w:sz w:val="15"/>
                      <w:szCs w:val="15"/>
                    </w:rPr>
                    <w:t>-实施煤炭消费总量控制：严格控制煤炭消费总量；严格控制新建、改建、扩建耗煤项目，新增耗煤项目实行煤炭消耗减量倍量替代。</w:t>
                  </w:r>
                </w:p>
                <w:p>
                  <w:pPr>
                    <w:pStyle w:val="85"/>
                    <w:spacing w:line="280" w:lineRule="exact"/>
                    <w:ind w:firstLine="0" w:firstLineChars="0"/>
                    <w:rPr>
                      <w:rFonts w:eastAsia="宋体"/>
                      <w:kern w:val="0"/>
                      <w:sz w:val="15"/>
                      <w:szCs w:val="15"/>
                    </w:rPr>
                  </w:pPr>
                  <w:r>
                    <w:rPr>
                      <w:rFonts w:eastAsia="宋体"/>
                      <w:kern w:val="0"/>
                      <w:sz w:val="15"/>
                      <w:szCs w:val="15"/>
                    </w:rPr>
                    <w:t>禁燃区要求</w:t>
                  </w:r>
                </w:p>
                <w:p>
                  <w:pPr>
                    <w:pStyle w:val="85"/>
                    <w:spacing w:line="280" w:lineRule="exact"/>
                    <w:ind w:firstLine="0" w:firstLineChars="0"/>
                    <w:rPr>
                      <w:rFonts w:eastAsia="宋体"/>
                      <w:kern w:val="0"/>
                      <w:sz w:val="15"/>
                      <w:szCs w:val="15"/>
                    </w:rPr>
                  </w:pPr>
                  <w:r>
                    <w:rPr>
                      <w:rFonts w:eastAsia="宋体"/>
                      <w:kern w:val="0"/>
                      <w:sz w:val="15"/>
                      <w:szCs w:val="15"/>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85"/>
                    <w:spacing w:line="280" w:lineRule="exact"/>
                    <w:ind w:firstLine="0" w:firstLineChars="0"/>
                    <w:rPr>
                      <w:rFonts w:eastAsia="宋体"/>
                      <w:kern w:val="0"/>
                      <w:sz w:val="15"/>
                      <w:szCs w:val="15"/>
                    </w:rPr>
                  </w:pPr>
                  <w:r>
                    <w:rPr>
                      <w:rFonts w:eastAsia="宋体"/>
                      <w:kern w:val="0"/>
                      <w:sz w:val="15"/>
                      <w:szCs w:val="15"/>
                    </w:rPr>
                    <w:t>-禁燃区内禁止销售、燃用高污染燃料；禁止新建、改建、扩建燃用高污染燃料的设施和设备。</w:t>
                  </w:r>
                </w:p>
                <w:p>
                  <w:pPr>
                    <w:pStyle w:val="85"/>
                    <w:spacing w:line="280" w:lineRule="exact"/>
                    <w:ind w:firstLine="0" w:firstLineChars="0"/>
                    <w:rPr>
                      <w:rFonts w:eastAsia="宋体"/>
                      <w:kern w:val="0"/>
                      <w:sz w:val="15"/>
                      <w:szCs w:val="15"/>
                    </w:rPr>
                  </w:pPr>
                  <w:r>
                    <w:rPr>
                      <w:rFonts w:eastAsia="宋体"/>
                      <w:kern w:val="0"/>
                      <w:sz w:val="15"/>
                      <w:szCs w:val="15"/>
                    </w:rPr>
                    <w:t>-禁燃区内已建成的高污染燃料燃用设施由辖区人民政府制定限期改造计划，改用天然气、页岩气、液化石油气、电或其他清洁能源。</w:t>
                  </w:r>
                </w:p>
                <w:p>
                  <w:pPr>
                    <w:pStyle w:val="85"/>
                    <w:spacing w:line="280" w:lineRule="exact"/>
                    <w:ind w:firstLine="0" w:firstLineChars="0"/>
                    <w:rPr>
                      <w:rFonts w:eastAsia="宋体"/>
                      <w:kern w:val="0"/>
                      <w:sz w:val="15"/>
                      <w:szCs w:val="15"/>
                    </w:rPr>
                  </w:pPr>
                  <w:r>
                    <w:rPr>
                      <w:rFonts w:eastAsia="宋体"/>
                      <w:kern w:val="0"/>
                      <w:sz w:val="15"/>
                      <w:szCs w:val="15"/>
                    </w:rPr>
                    <w:t>其他资源利用效率要求</w:t>
                  </w:r>
                </w:p>
                <w:p>
                  <w:pPr>
                    <w:spacing w:line="280" w:lineRule="exact"/>
                    <w:rPr>
                      <w:sz w:val="15"/>
                      <w:szCs w:val="15"/>
                    </w:rPr>
                  </w:pPr>
                  <w:r>
                    <w:rPr>
                      <w:kern w:val="0"/>
                      <w:sz w:val="15"/>
                      <w:szCs w:val="15"/>
                    </w:rPr>
                    <w:t>暂无</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项目不涉及地下水开采；能源主要为电能，不设置锅炉，也不涉及使用煤、油等能源。</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restart"/>
                  <w:tcBorders>
                    <w:top w:val="nil"/>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b/>
                      <w:bCs/>
                      <w:sz w:val="15"/>
                      <w:szCs w:val="15"/>
                    </w:rPr>
                    <w:t>单元级清单管控要求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空间布局约束</w:t>
                  </w:r>
                </w:p>
              </w:tc>
              <w:tc>
                <w:tcPr>
                  <w:tcW w:w="0" w:type="auto"/>
                  <w:vMerge w:val="restart"/>
                  <w:tcBorders>
                    <w:top w:val="single" w:color="auto" w:sz="4" w:space="0"/>
                    <w:left w:val="single" w:color="auto" w:sz="4" w:space="0"/>
                    <w:right w:val="single" w:color="auto" w:sz="4" w:space="0"/>
                  </w:tcBorders>
                  <w:noWrap w:val="0"/>
                  <w:vAlign w:val="center"/>
                </w:tcPr>
                <w:p>
                  <w:pPr>
                    <w:pStyle w:val="85"/>
                    <w:widowControl/>
                    <w:shd w:val="clear" w:color="auto" w:fill="FFFFFF"/>
                    <w:spacing w:line="280" w:lineRule="exact"/>
                    <w:ind w:firstLine="0" w:firstLineChars="0"/>
                    <w:jc w:val="left"/>
                    <w:rPr>
                      <w:rFonts w:eastAsia="宋体"/>
                      <w:sz w:val="15"/>
                      <w:szCs w:val="15"/>
                    </w:rPr>
                  </w:pPr>
                  <w:r>
                    <w:rPr>
                      <w:rFonts w:eastAsia="宋体"/>
                      <w:sz w:val="15"/>
                      <w:szCs w:val="15"/>
                    </w:rPr>
                    <w:t>禁止开发建设活动的要求</w:t>
                  </w:r>
                </w:p>
                <w:p>
                  <w:pPr>
                    <w:pStyle w:val="85"/>
                    <w:widowControl/>
                    <w:shd w:val="clear" w:color="auto" w:fill="FFFFFF"/>
                    <w:spacing w:line="280" w:lineRule="exact"/>
                    <w:ind w:firstLine="0" w:firstLineChars="0"/>
                    <w:jc w:val="left"/>
                    <w:rPr>
                      <w:rFonts w:eastAsia="宋体"/>
                      <w:sz w:val="15"/>
                      <w:szCs w:val="15"/>
                    </w:rPr>
                  </w:pPr>
                  <w:r>
                    <w:rPr>
                      <w:rFonts w:eastAsia="宋体"/>
                      <w:sz w:val="15"/>
                      <w:szCs w:val="15"/>
                    </w:rPr>
                    <w:t>执行达州市要素重点管控单元总体准入要求</w:t>
                  </w:r>
                </w:p>
                <w:p>
                  <w:pPr>
                    <w:pStyle w:val="85"/>
                    <w:widowControl/>
                    <w:shd w:val="clear" w:color="auto" w:fill="FFFFFF"/>
                    <w:spacing w:line="280" w:lineRule="exact"/>
                    <w:ind w:firstLine="0" w:firstLineChars="0"/>
                    <w:jc w:val="left"/>
                    <w:rPr>
                      <w:rFonts w:eastAsia="宋体"/>
                      <w:sz w:val="15"/>
                      <w:szCs w:val="15"/>
                    </w:rPr>
                  </w:pPr>
                  <w:r>
                    <w:rPr>
                      <w:rFonts w:eastAsia="宋体"/>
                      <w:sz w:val="15"/>
                      <w:szCs w:val="15"/>
                    </w:rPr>
                    <w:t>限制开发建设活动的要求</w:t>
                  </w:r>
                </w:p>
                <w:p>
                  <w:pPr>
                    <w:pStyle w:val="85"/>
                    <w:widowControl/>
                    <w:shd w:val="clear" w:color="auto" w:fill="FFFFFF"/>
                    <w:spacing w:line="280" w:lineRule="exact"/>
                    <w:ind w:firstLine="0" w:firstLineChars="0"/>
                    <w:jc w:val="left"/>
                    <w:rPr>
                      <w:rFonts w:eastAsia="宋体"/>
                      <w:sz w:val="15"/>
                      <w:szCs w:val="15"/>
                    </w:rPr>
                  </w:pPr>
                  <w:r>
                    <w:rPr>
                      <w:rFonts w:eastAsia="宋体"/>
                      <w:sz w:val="15"/>
                      <w:szCs w:val="15"/>
                    </w:rPr>
                    <w:t>执行达州市要素重点管控单元总体准入要求</w:t>
                  </w:r>
                </w:p>
                <w:p>
                  <w:pPr>
                    <w:pStyle w:val="85"/>
                    <w:widowControl/>
                    <w:shd w:val="clear" w:color="auto" w:fill="FFFFFF"/>
                    <w:spacing w:line="280" w:lineRule="exact"/>
                    <w:ind w:firstLine="0" w:firstLineChars="0"/>
                    <w:jc w:val="left"/>
                    <w:rPr>
                      <w:rFonts w:eastAsia="宋体"/>
                      <w:sz w:val="15"/>
                      <w:szCs w:val="15"/>
                    </w:rPr>
                  </w:pPr>
                  <w:r>
                    <w:rPr>
                      <w:rFonts w:eastAsia="宋体"/>
                      <w:sz w:val="15"/>
                      <w:szCs w:val="15"/>
                    </w:rPr>
                    <w:t>允许开发建设活动的要求</w:t>
                  </w:r>
                </w:p>
                <w:p>
                  <w:pPr>
                    <w:pStyle w:val="85"/>
                    <w:widowControl/>
                    <w:shd w:val="clear" w:color="auto" w:fill="FFFFFF"/>
                    <w:spacing w:line="280" w:lineRule="exact"/>
                    <w:ind w:firstLine="0" w:firstLineChars="0"/>
                    <w:jc w:val="left"/>
                    <w:rPr>
                      <w:rFonts w:eastAsia="宋体"/>
                      <w:sz w:val="15"/>
                      <w:szCs w:val="15"/>
                    </w:rPr>
                  </w:pPr>
                  <w:r>
                    <w:rPr>
                      <w:rFonts w:eastAsia="宋体"/>
                      <w:sz w:val="15"/>
                      <w:szCs w:val="15"/>
                    </w:rPr>
                    <w:t>不符合空间布局要求活动的退出要求</w:t>
                  </w:r>
                </w:p>
                <w:p>
                  <w:pPr>
                    <w:pStyle w:val="85"/>
                    <w:widowControl/>
                    <w:shd w:val="clear" w:color="auto" w:fill="FFFFFF"/>
                    <w:spacing w:line="280" w:lineRule="exact"/>
                    <w:ind w:firstLine="0" w:firstLineChars="0"/>
                    <w:jc w:val="left"/>
                    <w:rPr>
                      <w:rFonts w:eastAsia="宋体"/>
                      <w:sz w:val="15"/>
                      <w:szCs w:val="15"/>
                    </w:rPr>
                  </w:pPr>
                  <w:r>
                    <w:rPr>
                      <w:rFonts w:eastAsia="宋体"/>
                      <w:sz w:val="15"/>
                      <w:szCs w:val="15"/>
                    </w:rPr>
                    <w:t>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它同要素重点总体准入要求</w:t>
                  </w:r>
                </w:p>
                <w:p>
                  <w:pPr>
                    <w:pStyle w:val="85"/>
                    <w:widowControl/>
                    <w:shd w:val="clear" w:color="auto" w:fill="FFFFFF"/>
                    <w:spacing w:line="280" w:lineRule="exact"/>
                    <w:ind w:firstLine="0" w:firstLineChars="0"/>
                    <w:jc w:val="left"/>
                    <w:rPr>
                      <w:rFonts w:eastAsia="宋体"/>
                      <w:sz w:val="15"/>
                      <w:szCs w:val="15"/>
                    </w:rPr>
                  </w:pPr>
                  <w:r>
                    <w:rPr>
                      <w:rFonts w:eastAsia="宋体"/>
                      <w:sz w:val="15"/>
                      <w:szCs w:val="15"/>
                    </w:rPr>
                    <w:t>其他空间布局约束要求</w:t>
                  </w:r>
                </w:p>
              </w:tc>
              <w:tc>
                <w:tcPr>
                  <w:tcW w:w="0" w:type="auto"/>
                  <w:vMerge w:val="restart"/>
                  <w:tcBorders>
                    <w:top w:val="single" w:color="auto" w:sz="4" w:space="0"/>
                    <w:left w:val="single" w:color="auto" w:sz="4" w:space="0"/>
                    <w:right w:val="single" w:color="auto" w:sz="4" w:space="0"/>
                  </w:tcBorders>
                  <w:noWrap w:val="0"/>
                  <w:vAlign w:val="center"/>
                </w:tcPr>
                <w:p>
                  <w:pPr>
                    <w:pStyle w:val="85"/>
                    <w:widowControl/>
                    <w:shd w:val="clear" w:color="auto" w:fill="FFFFFF"/>
                    <w:spacing w:line="280" w:lineRule="exact"/>
                    <w:ind w:firstLine="0" w:firstLineChars="0"/>
                    <w:jc w:val="left"/>
                    <w:rPr>
                      <w:rFonts w:eastAsia="宋体"/>
                      <w:sz w:val="15"/>
                      <w:szCs w:val="15"/>
                    </w:rPr>
                  </w:pPr>
                  <w:r>
                    <w:rPr>
                      <w:rFonts w:eastAsia="宋体"/>
                      <w:sz w:val="15"/>
                      <w:szCs w:val="15"/>
                    </w:rPr>
                    <w:t>见前述分析</w:t>
                  </w:r>
                </w:p>
              </w:tc>
              <w:tc>
                <w:tcPr>
                  <w:tcW w:w="0" w:type="auto"/>
                  <w:vMerge w:val="restart"/>
                  <w:tcBorders>
                    <w:top w:val="single" w:color="auto" w:sz="4" w:space="0"/>
                    <w:left w:val="single" w:color="auto" w:sz="4" w:space="0"/>
                    <w:right w:val="single" w:color="auto" w:sz="4" w:space="0"/>
                  </w:tcBorders>
                  <w:noWrap w:val="0"/>
                  <w:vAlign w:val="center"/>
                </w:tcPr>
                <w:p>
                  <w:pPr>
                    <w:widowControl/>
                    <w:spacing w:line="280" w:lineRule="exact"/>
                    <w:jc w:val="center"/>
                    <w:rPr>
                      <w:b/>
                      <w:sz w:val="15"/>
                      <w:szCs w:val="15"/>
                    </w:rPr>
                  </w:pPr>
                  <w:r>
                    <w:rPr>
                      <w:b/>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污染物排放管控</w:t>
                  </w:r>
                </w:p>
              </w:tc>
              <w:tc>
                <w:tcPr>
                  <w:tcW w:w="0" w:type="auto"/>
                  <w:vMerge w:val="continue"/>
                  <w:tcBorders>
                    <w:left w:val="single" w:color="auto" w:sz="4" w:space="0"/>
                    <w:right w:val="single" w:color="auto" w:sz="4" w:space="0"/>
                  </w:tcBorders>
                  <w:noWrap w:val="0"/>
                  <w:vAlign w:val="center"/>
                </w:tcPr>
                <w:p>
                  <w:pPr>
                    <w:pStyle w:val="85"/>
                    <w:widowControl/>
                    <w:shd w:val="clear" w:color="auto" w:fill="FFFFFF"/>
                    <w:spacing w:line="280" w:lineRule="exact"/>
                    <w:ind w:firstLine="0" w:firstLineChars="0"/>
                    <w:jc w:val="left"/>
                    <w:rPr>
                      <w:rFonts w:eastAsia="宋体"/>
                      <w:sz w:val="15"/>
                      <w:szCs w:val="15"/>
                    </w:rPr>
                  </w:pPr>
                </w:p>
              </w:tc>
              <w:tc>
                <w:tcPr>
                  <w:tcW w:w="0" w:type="auto"/>
                  <w:vMerge w:val="continue"/>
                  <w:tcBorders>
                    <w:left w:val="single" w:color="auto" w:sz="4" w:space="0"/>
                    <w:right w:val="single" w:color="auto" w:sz="4" w:space="0"/>
                  </w:tcBorders>
                  <w:noWrap w:val="0"/>
                  <w:vAlign w:val="center"/>
                </w:tcPr>
                <w:p>
                  <w:pPr>
                    <w:pStyle w:val="85"/>
                    <w:shd w:val="clear" w:color="auto" w:fill="FFFFFF"/>
                    <w:spacing w:line="280" w:lineRule="exact"/>
                    <w:ind w:firstLine="300"/>
                    <w:jc w:val="center"/>
                    <w:rPr>
                      <w:sz w:val="15"/>
                      <w:szCs w:val="15"/>
                    </w:rPr>
                  </w:pPr>
                </w:p>
              </w:tc>
              <w:tc>
                <w:tcPr>
                  <w:tcW w:w="0" w:type="auto"/>
                  <w:vMerge w:val="continue"/>
                  <w:tcBorders>
                    <w:left w:val="single" w:color="auto" w:sz="4" w:space="0"/>
                    <w:right w:val="single" w:color="auto" w:sz="4" w:space="0"/>
                  </w:tcBorders>
                  <w:noWrap w:val="0"/>
                  <w:vAlign w:val="center"/>
                </w:tcPr>
                <w:p>
                  <w:pPr>
                    <w:spacing w:line="280" w:lineRule="exact"/>
                    <w:jc w:val="center"/>
                    <w:rPr>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环境风险防控</w:t>
                  </w:r>
                </w:p>
              </w:tc>
              <w:tc>
                <w:tcPr>
                  <w:tcW w:w="0" w:type="auto"/>
                  <w:vMerge w:val="continue"/>
                  <w:tcBorders>
                    <w:left w:val="single" w:color="auto" w:sz="4" w:space="0"/>
                    <w:right w:val="single" w:color="auto" w:sz="4" w:space="0"/>
                  </w:tcBorders>
                  <w:noWrap w:val="0"/>
                  <w:vAlign w:val="center"/>
                </w:tcPr>
                <w:p>
                  <w:pPr>
                    <w:pStyle w:val="85"/>
                    <w:widowControl/>
                    <w:shd w:val="clear" w:color="auto" w:fill="FFFFFF"/>
                    <w:spacing w:line="280" w:lineRule="exact"/>
                    <w:ind w:firstLine="0" w:firstLineChars="0"/>
                    <w:jc w:val="left"/>
                    <w:rPr>
                      <w:rFonts w:eastAsia="宋体"/>
                      <w:sz w:val="15"/>
                      <w:szCs w:val="15"/>
                    </w:rPr>
                  </w:pPr>
                </w:p>
              </w:tc>
              <w:tc>
                <w:tcPr>
                  <w:tcW w:w="0" w:type="auto"/>
                  <w:vMerge w:val="continue"/>
                  <w:tcBorders>
                    <w:left w:val="single" w:color="auto" w:sz="4" w:space="0"/>
                    <w:right w:val="single" w:color="auto" w:sz="4" w:space="0"/>
                  </w:tcBorders>
                  <w:noWrap w:val="0"/>
                  <w:vAlign w:val="center"/>
                </w:tcPr>
                <w:p>
                  <w:pPr>
                    <w:pStyle w:val="85"/>
                    <w:shd w:val="clear" w:color="auto" w:fill="FFFFFF"/>
                    <w:spacing w:line="280" w:lineRule="exact"/>
                    <w:ind w:firstLine="300"/>
                    <w:jc w:val="center"/>
                    <w:rPr>
                      <w:sz w:val="15"/>
                      <w:szCs w:val="15"/>
                    </w:rPr>
                  </w:pPr>
                </w:p>
              </w:tc>
              <w:tc>
                <w:tcPr>
                  <w:tcW w:w="0" w:type="auto"/>
                  <w:vMerge w:val="continue"/>
                  <w:tcBorders>
                    <w:left w:val="single" w:color="auto" w:sz="4" w:space="0"/>
                    <w:right w:val="single" w:color="auto" w:sz="4" w:space="0"/>
                  </w:tcBorders>
                  <w:noWrap w:val="0"/>
                  <w:vAlign w:val="center"/>
                </w:tcPr>
                <w:p>
                  <w:pPr>
                    <w:spacing w:line="280" w:lineRule="exact"/>
                    <w:jc w:val="center"/>
                    <w:rPr>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资源开发效率要求</w:t>
                  </w:r>
                </w:p>
              </w:tc>
              <w:tc>
                <w:tcPr>
                  <w:tcW w:w="0" w:type="auto"/>
                  <w:vMerge w:val="continue"/>
                  <w:tcBorders>
                    <w:left w:val="single" w:color="auto" w:sz="4" w:space="0"/>
                    <w:bottom w:val="single" w:color="auto" w:sz="4" w:space="0"/>
                    <w:right w:val="single" w:color="auto" w:sz="4" w:space="0"/>
                  </w:tcBorders>
                  <w:noWrap w:val="0"/>
                  <w:vAlign w:val="center"/>
                </w:tcPr>
                <w:p>
                  <w:pPr>
                    <w:pStyle w:val="85"/>
                    <w:widowControl/>
                    <w:shd w:val="clear" w:color="auto" w:fill="FFFFFF"/>
                    <w:spacing w:line="280" w:lineRule="exact"/>
                    <w:ind w:firstLine="0" w:firstLineChars="0"/>
                    <w:jc w:val="left"/>
                    <w:rPr>
                      <w:rFonts w:eastAsia="宋体"/>
                      <w:sz w:val="15"/>
                      <w:szCs w:val="15"/>
                    </w:rPr>
                  </w:pPr>
                </w:p>
              </w:tc>
              <w:tc>
                <w:tcPr>
                  <w:tcW w:w="0" w:type="auto"/>
                  <w:vMerge w:val="continue"/>
                  <w:tcBorders>
                    <w:left w:val="single" w:color="auto" w:sz="4" w:space="0"/>
                    <w:bottom w:val="single" w:color="auto" w:sz="4" w:space="0"/>
                    <w:right w:val="single" w:color="auto" w:sz="4" w:space="0"/>
                  </w:tcBorders>
                  <w:noWrap w:val="0"/>
                  <w:vAlign w:val="center"/>
                </w:tcPr>
                <w:p>
                  <w:pPr>
                    <w:pStyle w:val="85"/>
                    <w:widowControl/>
                    <w:shd w:val="clear" w:color="auto" w:fill="FFFFFF"/>
                    <w:spacing w:line="280" w:lineRule="exact"/>
                    <w:ind w:firstLine="0" w:firstLineChars="0"/>
                    <w:jc w:val="center"/>
                    <w:rPr>
                      <w:rFonts w:eastAsia="宋体"/>
                      <w:sz w:val="15"/>
                      <w:szCs w:val="15"/>
                    </w:rPr>
                  </w:pPr>
                </w:p>
              </w:tc>
              <w:tc>
                <w:tcPr>
                  <w:tcW w:w="0" w:type="auto"/>
                  <w:vMerge w:val="continue"/>
                  <w:tcBorders>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0" w:type="auto"/>
                  <w:vMerge w:val="restart"/>
                  <w:tcBorders>
                    <w:top w:val="nil"/>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水环境农业污染重点管控区</w:t>
                  </w:r>
                </w:p>
                <w:p>
                  <w:pPr>
                    <w:spacing w:line="280" w:lineRule="exact"/>
                    <w:jc w:val="center"/>
                    <w:rPr>
                      <w:b/>
                      <w:bCs/>
                      <w:sz w:val="15"/>
                      <w:szCs w:val="15"/>
                    </w:rPr>
                  </w:pPr>
                  <w:r>
                    <w:rPr>
                      <w:b/>
                      <w:sz w:val="15"/>
                      <w:szCs w:val="15"/>
                    </w:rPr>
                    <w:t>YS5117022230001</w:t>
                  </w:r>
                </w:p>
                <w:p>
                  <w:pPr>
                    <w:spacing w:line="280" w:lineRule="exact"/>
                    <w:jc w:val="center"/>
                    <w:rPr>
                      <w:b/>
                      <w:bCs/>
                      <w:sz w:val="15"/>
                      <w:szCs w:val="15"/>
                    </w:rPr>
                  </w:pPr>
                  <w:r>
                    <w:rPr>
                      <w:b/>
                      <w:bCs/>
                      <w:sz w:val="15"/>
                      <w:szCs w:val="15"/>
                    </w:rPr>
                    <w:t>州河通川区车家河控制单元</w:t>
                  </w:r>
                </w:p>
              </w:tc>
              <w:tc>
                <w:tcPr>
                  <w:tcW w:w="0" w:type="auto"/>
                  <w:vMerge w:val="restart"/>
                  <w:tcBorders>
                    <w:top w:val="nil"/>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b/>
                      <w:bCs/>
                      <w:sz w:val="15"/>
                      <w:szCs w:val="15"/>
                    </w:rPr>
                    <w:t>单元级清单管控要求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空间布局约束</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rPr>
                      <w:sz w:val="15"/>
                      <w:szCs w:val="15"/>
                    </w:rPr>
                  </w:pPr>
                  <w:r>
                    <w:rPr>
                      <w:sz w:val="15"/>
                      <w:szCs w:val="15"/>
                    </w:rPr>
                    <w:t>禁止开发建设活动的要求</w:t>
                  </w:r>
                </w:p>
                <w:p>
                  <w:pPr>
                    <w:spacing w:line="280" w:lineRule="exact"/>
                    <w:rPr>
                      <w:sz w:val="15"/>
                      <w:szCs w:val="15"/>
                    </w:rPr>
                  </w:pPr>
                  <w:r>
                    <w:rPr>
                      <w:sz w:val="15"/>
                      <w:szCs w:val="15"/>
                    </w:rPr>
                    <w:t>暂无</w:t>
                  </w:r>
                </w:p>
                <w:p>
                  <w:pPr>
                    <w:spacing w:line="280" w:lineRule="exact"/>
                    <w:rPr>
                      <w:sz w:val="15"/>
                      <w:szCs w:val="15"/>
                    </w:rPr>
                  </w:pPr>
                  <w:r>
                    <w:rPr>
                      <w:sz w:val="15"/>
                      <w:szCs w:val="15"/>
                    </w:rPr>
                    <w:t>限制开发建设活动的要求</w:t>
                  </w:r>
                </w:p>
                <w:p>
                  <w:pPr>
                    <w:spacing w:line="280" w:lineRule="exact"/>
                    <w:rPr>
                      <w:sz w:val="15"/>
                      <w:szCs w:val="15"/>
                    </w:rPr>
                  </w:pPr>
                  <w:r>
                    <w:rPr>
                      <w:sz w:val="15"/>
                      <w:szCs w:val="15"/>
                    </w:rPr>
                    <w:t>暂无</w:t>
                  </w:r>
                </w:p>
                <w:p>
                  <w:pPr>
                    <w:spacing w:line="280" w:lineRule="exact"/>
                    <w:rPr>
                      <w:sz w:val="15"/>
                      <w:szCs w:val="15"/>
                    </w:rPr>
                  </w:pPr>
                  <w:r>
                    <w:rPr>
                      <w:sz w:val="15"/>
                      <w:szCs w:val="15"/>
                    </w:rPr>
                    <w:t>不符合空间布局要求活动的退出要求</w:t>
                  </w:r>
                </w:p>
                <w:p>
                  <w:pPr>
                    <w:spacing w:line="280" w:lineRule="exact"/>
                    <w:rPr>
                      <w:sz w:val="15"/>
                      <w:szCs w:val="15"/>
                    </w:rPr>
                  </w:pPr>
                  <w:r>
                    <w:rPr>
                      <w:sz w:val="15"/>
                      <w:szCs w:val="15"/>
                    </w:rPr>
                    <w:t>暂无</w:t>
                  </w:r>
                </w:p>
                <w:p>
                  <w:pPr>
                    <w:spacing w:line="280" w:lineRule="exact"/>
                    <w:rPr>
                      <w:sz w:val="15"/>
                      <w:szCs w:val="15"/>
                    </w:rPr>
                  </w:pPr>
                  <w:r>
                    <w:rPr>
                      <w:sz w:val="15"/>
                      <w:szCs w:val="15"/>
                    </w:rPr>
                    <w:t>其他空间布局约束要求</w:t>
                  </w:r>
                </w:p>
                <w:p>
                  <w:pPr>
                    <w:spacing w:line="280" w:lineRule="exact"/>
                    <w:rPr>
                      <w:sz w:val="15"/>
                      <w:szCs w:val="15"/>
                    </w:rPr>
                  </w:pPr>
                  <w:r>
                    <w:rPr>
                      <w:sz w:val="15"/>
                      <w:szCs w:val="15"/>
                    </w:rPr>
                    <w:t>暂无</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不属于禁止、限制开发建设项目，属于允许建设项目，符合空间布局要求。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污染物</w:t>
                  </w:r>
                </w:p>
                <w:p>
                  <w:pPr>
                    <w:spacing w:line="280" w:lineRule="exact"/>
                    <w:jc w:val="center"/>
                    <w:rPr>
                      <w:b/>
                      <w:bCs/>
                      <w:sz w:val="15"/>
                      <w:szCs w:val="15"/>
                    </w:rPr>
                  </w:pPr>
                  <w:r>
                    <w:rPr>
                      <w:b/>
                      <w:bCs/>
                      <w:sz w:val="15"/>
                      <w:szCs w:val="15"/>
                    </w:rPr>
                    <w:t>排放管控</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rPr>
                      <w:bCs/>
                      <w:sz w:val="15"/>
                      <w:szCs w:val="15"/>
                    </w:rPr>
                  </w:pPr>
                  <w:r>
                    <w:rPr>
                      <w:bCs/>
                      <w:sz w:val="15"/>
                      <w:szCs w:val="15"/>
                    </w:rPr>
                    <w:t>（1）城镇污水污染控制措施要求</w:t>
                  </w:r>
                </w:p>
                <w:p>
                  <w:pPr>
                    <w:spacing w:line="280" w:lineRule="exact"/>
                    <w:rPr>
                      <w:bCs/>
                      <w:sz w:val="15"/>
                      <w:szCs w:val="15"/>
                    </w:rPr>
                  </w:pPr>
                  <w:r>
                    <w:rPr>
                      <w:bCs/>
                      <w:sz w:val="15"/>
                      <w:szCs w:val="15"/>
                    </w:rPr>
                    <w:t>（2）工业废水污染控制措施要求</w:t>
                  </w:r>
                </w:p>
                <w:p>
                  <w:pPr>
                    <w:spacing w:line="280" w:lineRule="exact"/>
                    <w:rPr>
                      <w:bCs/>
                      <w:sz w:val="15"/>
                      <w:szCs w:val="15"/>
                    </w:rPr>
                  </w:pPr>
                  <w:r>
                    <w:rPr>
                      <w:bCs/>
                      <w:sz w:val="15"/>
                      <w:szCs w:val="15"/>
                    </w:rPr>
                    <w:t>（3）农业面源水污染控制措施要求</w:t>
                  </w:r>
                </w:p>
                <w:p>
                  <w:pPr>
                    <w:spacing w:line="280" w:lineRule="exact"/>
                    <w:ind w:firstLine="300" w:firstLineChars="200"/>
                    <w:rPr>
                      <w:bCs/>
                      <w:sz w:val="15"/>
                      <w:szCs w:val="15"/>
                    </w:rPr>
                  </w:pPr>
                  <w:r>
                    <w:rPr>
                      <w:bCs/>
                      <w:sz w:val="15"/>
                      <w:szCs w:val="15"/>
                    </w:rPr>
                    <w:t>强化农业种植面源防控，一级保护区内农业种植应严格控制农药、化肥等非点源污染，二级保护区内农业种植应实行科学种植和非点源污染防治，准保护内禁止毁林开荒；加强畜禽养殖污染防治，一级保护区内所有经营性的畜禽养殖活动应取缔，二级保护区内排放污染物的规模化畜禽养殖场应拆除或关闭，分散式畜禽养殖应做到养殖废物全部资源化利用，不得向水体指甲倾倒畜禽粪便和排放养殖污水；强化水产养殖污染控制，一级保护区禁止网箱养殖，二级保护区内的网箱养殖、坑塘养殖、水面围网养殖等活动需采取有效措施防止污染水体.合理布局畜禽养殖规模，单位面积耕地的畜禽承载力不突破《四川省畜禽养殖污染防治技术指南》要求；强化畜禽养殖场污染治理，提高养殖粪污资源化利用率。</w:t>
                  </w:r>
                </w:p>
                <w:p>
                  <w:pPr>
                    <w:spacing w:line="280" w:lineRule="exact"/>
                    <w:rPr>
                      <w:bCs/>
                      <w:sz w:val="15"/>
                      <w:szCs w:val="15"/>
                    </w:rPr>
                  </w:pPr>
                  <w:r>
                    <w:rPr>
                      <w:bCs/>
                      <w:sz w:val="15"/>
                      <w:szCs w:val="15"/>
                    </w:rPr>
                    <w:t>（4）船舶港口水污染控制措施要求</w:t>
                  </w:r>
                </w:p>
                <w:p>
                  <w:pPr>
                    <w:spacing w:line="280" w:lineRule="exact"/>
                    <w:rPr>
                      <w:bCs/>
                      <w:sz w:val="15"/>
                      <w:szCs w:val="15"/>
                    </w:rPr>
                  </w:pPr>
                  <w:r>
                    <w:rPr>
                      <w:bCs/>
                      <w:sz w:val="15"/>
                      <w:szCs w:val="15"/>
                    </w:rPr>
                    <w:t>（5）饮用水水源和其它特殊水体保护要求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rPr>
                      <w:sz w:val="15"/>
                      <w:szCs w:val="15"/>
                    </w:rPr>
                  </w:pPr>
                  <w:r>
                    <w:rPr>
                      <w:sz w:val="15"/>
                      <w:szCs w:val="15"/>
                    </w:rPr>
                    <w:t>项目为自来水生产和供应</w:t>
                  </w:r>
                  <w:r>
                    <w:rPr>
                      <w:rFonts w:hint="eastAsia"/>
                      <w:sz w:val="15"/>
                      <w:szCs w:val="15"/>
                      <w:lang w:eastAsia="zh-CN"/>
                    </w:rPr>
                    <w:t>业</w:t>
                  </w:r>
                  <w:r>
                    <w:rPr>
                      <w:sz w:val="15"/>
                      <w:szCs w:val="15"/>
                    </w:rPr>
                    <w:t>，不涉及相关污染物排放，满足污染物排放管控要求。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环境风险防控</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rPr>
                      <w:sz w:val="15"/>
                      <w:szCs w:val="15"/>
                    </w:rPr>
                  </w:pPr>
                  <w:r>
                    <w:rPr>
                      <w:sz w:val="15"/>
                      <w:szCs w:val="15"/>
                    </w:rPr>
                    <w:t>联防联控要求</w:t>
                  </w:r>
                </w:p>
                <w:p>
                  <w:pPr>
                    <w:spacing w:line="280" w:lineRule="exact"/>
                    <w:rPr>
                      <w:sz w:val="15"/>
                      <w:szCs w:val="15"/>
                    </w:rPr>
                  </w:pPr>
                  <w:r>
                    <w:rPr>
                      <w:sz w:val="15"/>
                      <w:szCs w:val="15"/>
                    </w:rPr>
                    <w:t>暂无</w:t>
                  </w:r>
                </w:p>
                <w:p>
                  <w:pPr>
                    <w:spacing w:line="280" w:lineRule="exact"/>
                    <w:rPr>
                      <w:sz w:val="15"/>
                      <w:szCs w:val="15"/>
                    </w:rPr>
                  </w:pPr>
                  <w:r>
                    <w:rPr>
                      <w:sz w:val="15"/>
                      <w:szCs w:val="15"/>
                    </w:rPr>
                    <w:t>其他环境风险防控要求</w:t>
                  </w:r>
                </w:p>
                <w:p>
                  <w:pPr>
                    <w:spacing w:line="280" w:lineRule="exact"/>
                    <w:rPr>
                      <w:sz w:val="15"/>
                      <w:szCs w:val="15"/>
                    </w:rPr>
                  </w:pPr>
                  <w:r>
                    <w:rPr>
                      <w:sz w:val="15"/>
                      <w:szCs w:val="15"/>
                    </w:rPr>
                    <w:t>暂无</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rPr>
                      <w:sz w:val="15"/>
                      <w:szCs w:val="15"/>
                    </w:rPr>
                  </w:pPr>
                  <w:r>
                    <w:rPr>
                      <w:sz w:val="15"/>
                      <w:szCs w:val="15"/>
                    </w:rPr>
                    <w:t>建设单位将编制《突发环境事件应急预案》并报当地生态环境主管部门备案，严格按照要求建设应急设施</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资源开发效率要求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rPr>
                      <w:sz w:val="15"/>
                      <w:szCs w:val="15"/>
                    </w:rPr>
                  </w:pPr>
                  <w:r>
                    <w:rPr>
                      <w:sz w:val="15"/>
                      <w:szCs w:val="15"/>
                    </w:rPr>
                    <w:t>暂无</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0" w:type="auto"/>
                  <w:vMerge w:val="restart"/>
                  <w:tcBorders>
                    <w:top w:val="nil"/>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大气环境受体敏感重点管控区</w:t>
                  </w:r>
                </w:p>
                <w:p>
                  <w:pPr>
                    <w:spacing w:line="280" w:lineRule="exact"/>
                    <w:jc w:val="center"/>
                    <w:rPr>
                      <w:b/>
                      <w:bCs/>
                      <w:sz w:val="15"/>
                      <w:szCs w:val="15"/>
                    </w:rPr>
                  </w:pPr>
                  <w:r>
                    <w:rPr>
                      <w:b/>
                      <w:bCs/>
                      <w:sz w:val="15"/>
                      <w:szCs w:val="15"/>
                    </w:rPr>
                    <w:t>YS5117022340005</w:t>
                  </w:r>
                </w:p>
                <w:p>
                  <w:pPr>
                    <w:spacing w:line="280" w:lineRule="exact"/>
                    <w:jc w:val="center"/>
                    <w:rPr>
                      <w:b/>
                      <w:bCs/>
                      <w:sz w:val="15"/>
                      <w:szCs w:val="15"/>
                    </w:rPr>
                  </w:pPr>
                  <w:r>
                    <w:rPr>
                      <w:b/>
                      <w:bCs/>
                      <w:sz w:val="15"/>
                      <w:szCs w:val="15"/>
                    </w:rPr>
                    <w:t>通川区大气环境布局敏感重点管控区</w:t>
                  </w:r>
                </w:p>
              </w:tc>
              <w:tc>
                <w:tcPr>
                  <w:tcW w:w="0" w:type="auto"/>
                  <w:vMerge w:val="restart"/>
                  <w:tcBorders>
                    <w:top w:val="nil"/>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b/>
                      <w:bCs/>
                      <w:sz w:val="15"/>
                      <w:szCs w:val="15"/>
                    </w:rPr>
                    <w:t>单元级清单管控要求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空间布局约束</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rPr>
                      <w:sz w:val="15"/>
                      <w:szCs w:val="15"/>
                    </w:rPr>
                  </w:pPr>
                  <w:r>
                    <w:rPr>
                      <w:sz w:val="15"/>
                      <w:szCs w:val="15"/>
                    </w:rPr>
                    <w:t>禁止开发建设活动的要求</w:t>
                  </w:r>
                </w:p>
                <w:p>
                  <w:pPr>
                    <w:spacing w:line="280" w:lineRule="exact"/>
                    <w:rPr>
                      <w:sz w:val="15"/>
                      <w:szCs w:val="15"/>
                    </w:rPr>
                  </w:pPr>
                  <w:r>
                    <w:rPr>
                      <w:sz w:val="15"/>
                      <w:szCs w:val="15"/>
                    </w:rPr>
                    <w:t>限制开发建设活动的要求</w:t>
                  </w:r>
                </w:p>
                <w:p>
                  <w:pPr>
                    <w:spacing w:line="280" w:lineRule="exact"/>
                    <w:rPr>
                      <w:sz w:val="15"/>
                      <w:szCs w:val="15"/>
                    </w:rPr>
                  </w:pPr>
                  <w:r>
                    <w:rPr>
                      <w:sz w:val="15"/>
                      <w:szCs w:val="15"/>
                    </w:rPr>
                    <w:t>允许开发建设活动的要求</w:t>
                  </w:r>
                </w:p>
                <w:p>
                  <w:pPr>
                    <w:spacing w:line="280" w:lineRule="exact"/>
                    <w:rPr>
                      <w:sz w:val="15"/>
                      <w:szCs w:val="15"/>
                    </w:rPr>
                  </w:pPr>
                  <w:r>
                    <w:rPr>
                      <w:sz w:val="15"/>
                      <w:szCs w:val="15"/>
                    </w:rPr>
                    <w:t>不符合空间布局要求活动的退出要求</w:t>
                  </w:r>
                </w:p>
                <w:p>
                  <w:pPr>
                    <w:spacing w:line="280" w:lineRule="exact"/>
                    <w:rPr>
                      <w:sz w:val="15"/>
                      <w:szCs w:val="15"/>
                    </w:rPr>
                  </w:pPr>
                  <w:r>
                    <w:rPr>
                      <w:sz w:val="15"/>
                      <w:szCs w:val="15"/>
                    </w:rPr>
                    <w:t>其他空间布局约束要求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rPr>
                      <w:sz w:val="15"/>
                      <w:szCs w:val="15"/>
                    </w:rPr>
                  </w:pPr>
                  <w:r>
                    <w:rPr>
                      <w:sz w:val="15"/>
                      <w:szCs w:val="15"/>
                    </w:rPr>
                    <w:t>不属于禁止、限制开发建设项目，属于允许建设项目，符合空间布局要求。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b/>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污染物排放管控</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rPr>
                      <w:sz w:val="15"/>
                      <w:szCs w:val="15"/>
                    </w:rPr>
                  </w:pPr>
                  <w:r>
                    <w:rPr>
                      <w:sz w:val="15"/>
                      <w:szCs w:val="15"/>
                    </w:rPr>
                    <w:t>大气环境质量执行标准</w:t>
                  </w:r>
                </w:p>
                <w:p>
                  <w:pPr>
                    <w:spacing w:line="280" w:lineRule="exact"/>
                    <w:rPr>
                      <w:sz w:val="15"/>
                      <w:szCs w:val="15"/>
                    </w:rPr>
                  </w:pPr>
                  <w:r>
                    <w:rPr>
                      <w:sz w:val="15"/>
                      <w:szCs w:val="15"/>
                    </w:rPr>
                    <w:t>《环境空气质量标准》（GB3095-2012）：二级</w:t>
                  </w:r>
                </w:p>
                <w:p>
                  <w:pPr>
                    <w:spacing w:line="280" w:lineRule="exact"/>
                    <w:rPr>
                      <w:sz w:val="15"/>
                      <w:szCs w:val="15"/>
                    </w:rPr>
                  </w:pPr>
                  <w:r>
                    <w:rPr>
                      <w:sz w:val="15"/>
                      <w:szCs w:val="15"/>
                    </w:rPr>
                    <w:t>区域大气污染物削减/替代要求</w:t>
                  </w:r>
                </w:p>
                <w:p>
                  <w:pPr>
                    <w:spacing w:line="280" w:lineRule="exact"/>
                    <w:rPr>
                      <w:sz w:val="15"/>
                      <w:szCs w:val="15"/>
                    </w:rPr>
                  </w:pPr>
                  <w:r>
                    <w:rPr>
                      <w:sz w:val="15"/>
                      <w:szCs w:val="15"/>
                    </w:rPr>
                    <w:t>新增大气污染物排放的建设项目实施总量削减替代。</w:t>
                  </w:r>
                </w:p>
                <w:p>
                  <w:pPr>
                    <w:spacing w:line="280" w:lineRule="exact"/>
                    <w:rPr>
                      <w:sz w:val="15"/>
                      <w:szCs w:val="15"/>
                    </w:rPr>
                  </w:pPr>
                  <w:r>
                    <w:rPr>
                      <w:sz w:val="15"/>
                      <w:szCs w:val="15"/>
                    </w:rPr>
                    <w:t>燃煤和其他能源大气污染控制要求</w:t>
                  </w:r>
                </w:p>
                <w:p>
                  <w:pPr>
                    <w:spacing w:line="280" w:lineRule="exact"/>
                    <w:rPr>
                      <w:sz w:val="15"/>
                      <w:szCs w:val="15"/>
                    </w:rPr>
                  </w:pPr>
                  <w:r>
                    <w:rPr>
                      <w:sz w:val="15"/>
                      <w:szCs w:val="15"/>
                    </w:rPr>
                    <w:t>工业废气污染控制要求</w:t>
                  </w:r>
                </w:p>
                <w:p>
                  <w:pPr>
                    <w:spacing w:line="280" w:lineRule="exact"/>
                    <w:rPr>
                      <w:sz w:val="15"/>
                      <w:szCs w:val="15"/>
                    </w:rPr>
                  </w:pPr>
                  <w:r>
                    <w:rPr>
                      <w:sz w:val="15"/>
                      <w:szCs w:val="15"/>
                    </w:rPr>
                    <w:t>机动车船大气污染控制要求</w:t>
                  </w:r>
                </w:p>
                <w:p>
                  <w:pPr>
                    <w:spacing w:line="280" w:lineRule="exact"/>
                    <w:rPr>
                      <w:sz w:val="15"/>
                      <w:szCs w:val="15"/>
                    </w:rPr>
                  </w:pPr>
                  <w:r>
                    <w:rPr>
                      <w:sz w:val="15"/>
                      <w:szCs w:val="15"/>
                    </w:rPr>
                    <w:t>扬尘污染控制要求</w:t>
                  </w:r>
                </w:p>
                <w:p>
                  <w:pPr>
                    <w:spacing w:line="280" w:lineRule="exact"/>
                    <w:rPr>
                      <w:sz w:val="15"/>
                      <w:szCs w:val="15"/>
                    </w:rPr>
                  </w:pPr>
                  <w:r>
                    <w:rPr>
                      <w:sz w:val="15"/>
                      <w:szCs w:val="15"/>
                    </w:rPr>
                    <w:t>农业生产经营活动大气污染控制要求</w:t>
                  </w:r>
                </w:p>
                <w:p>
                  <w:pPr>
                    <w:spacing w:line="280" w:lineRule="exact"/>
                    <w:rPr>
                      <w:sz w:val="15"/>
                      <w:szCs w:val="15"/>
                    </w:rPr>
                  </w:pPr>
                  <w:r>
                    <w:rPr>
                      <w:sz w:val="15"/>
                      <w:szCs w:val="15"/>
                    </w:rPr>
                    <w:t>重点行业企业专项治理要求</w:t>
                  </w:r>
                </w:p>
                <w:p>
                  <w:pPr>
                    <w:spacing w:line="280" w:lineRule="exact"/>
                    <w:rPr>
                      <w:sz w:val="15"/>
                      <w:szCs w:val="15"/>
                    </w:rPr>
                  </w:pPr>
                  <w:r>
                    <w:rPr>
                      <w:sz w:val="15"/>
                      <w:szCs w:val="15"/>
                    </w:rPr>
                    <w:t>其他大气污染物排放管控要求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rPr>
                      <w:sz w:val="15"/>
                      <w:szCs w:val="15"/>
                    </w:rPr>
                  </w:pPr>
                  <w:r>
                    <w:rPr>
                      <w:sz w:val="15"/>
                      <w:szCs w:val="15"/>
                    </w:rPr>
                    <w:t>项目满足污染物排放管控要求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sz w:val="15"/>
                      <w:szCs w:val="15"/>
                    </w:rPr>
                  </w:pPr>
                  <w:r>
                    <w:rPr>
                      <w:b/>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环境风险防控</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sz w:val="15"/>
                      <w:szCs w:val="15"/>
                    </w:rPr>
                  </w:pPr>
                  <w:r>
                    <w:rPr>
                      <w:b/>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pacing w:line="280" w:lineRule="exact"/>
                    <w:jc w:val="left"/>
                    <w:rPr>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资源开发效率要求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sz w:val="15"/>
                      <w:szCs w:val="15"/>
                    </w:rPr>
                  </w:pPr>
                  <w:r>
                    <w:rPr>
                      <w:b/>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0" w:type="auto"/>
                  <w:vMerge w:val="restart"/>
                  <w:tcBorders>
                    <w:top w:val="nil"/>
                    <w:left w:val="single" w:color="auto" w:sz="4" w:space="0"/>
                    <w:right w:val="single" w:color="auto" w:sz="4" w:space="0"/>
                  </w:tcBorders>
                  <w:noWrap w:val="0"/>
                  <w:vAlign w:val="center"/>
                </w:tcPr>
                <w:p>
                  <w:pPr>
                    <w:spacing w:line="280" w:lineRule="exact"/>
                    <w:jc w:val="center"/>
                    <w:rPr>
                      <w:b/>
                      <w:bCs/>
                      <w:sz w:val="15"/>
                      <w:szCs w:val="15"/>
                    </w:rPr>
                  </w:pPr>
                  <w:r>
                    <w:rPr>
                      <w:b/>
                      <w:bCs/>
                      <w:sz w:val="15"/>
                      <w:szCs w:val="15"/>
                    </w:rPr>
                    <w:t>高污染燃料禁燃区</w:t>
                  </w:r>
                </w:p>
                <w:p>
                  <w:pPr>
                    <w:spacing w:line="280" w:lineRule="exact"/>
                    <w:jc w:val="center"/>
                    <w:rPr>
                      <w:b/>
                      <w:bCs/>
                      <w:sz w:val="15"/>
                      <w:szCs w:val="15"/>
                    </w:rPr>
                  </w:pPr>
                  <w:r>
                    <w:rPr>
                      <w:b/>
                      <w:bCs/>
                      <w:sz w:val="15"/>
                      <w:szCs w:val="15"/>
                    </w:rPr>
                    <w:t>YS5117022540001通川区禁燃区</w:t>
                  </w:r>
                </w:p>
              </w:tc>
              <w:tc>
                <w:tcPr>
                  <w:tcW w:w="0" w:type="auto"/>
                  <w:vMerge w:val="restart"/>
                  <w:tcBorders>
                    <w:top w:val="nil"/>
                    <w:left w:val="single" w:color="auto" w:sz="4" w:space="0"/>
                    <w:right w:val="single" w:color="auto" w:sz="4" w:space="0"/>
                  </w:tcBorders>
                  <w:noWrap w:val="0"/>
                  <w:vAlign w:val="center"/>
                </w:tcPr>
                <w:p>
                  <w:pPr>
                    <w:spacing w:line="280" w:lineRule="exact"/>
                    <w:jc w:val="center"/>
                    <w:rPr>
                      <w:sz w:val="15"/>
                      <w:szCs w:val="15"/>
                    </w:rPr>
                  </w:pPr>
                  <w:r>
                    <w:rPr>
                      <w:b/>
                      <w:bCs/>
                      <w:sz w:val="15"/>
                      <w:szCs w:val="15"/>
                    </w:rPr>
                    <w:t>单元级清单管控要求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空间布局约束</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sz w:val="15"/>
                      <w:szCs w:val="15"/>
                    </w:rPr>
                  </w:pPr>
                  <w:r>
                    <w:rPr>
                      <w:b/>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0" w:type="auto"/>
                  <w:vMerge w:val="continue"/>
                  <w:tcBorders>
                    <w:left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left w:val="single" w:color="auto" w:sz="4" w:space="0"/>
                    <w:right w:val="single" w:color="auto" w:sz="4" w:space="0"/>
                  </w:tcBorders>
                  <w:noWrap w:val="0"/>
                  <w:vAlign w:val="center"/>
                </w:tcPr>
                <w:p>
                  <w:pPr>
                    <w:widowControl/>
                    <w:spacing w:line="280" w:lineRule="exact"/>
                    <w:jc w:val="left"/>
                    <w:rPr>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污染物排放管控</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sz w:val="15"/>
                      <w:szCs w:val="15"/>
                    </w:rPr>
                  </w:pPr>
                  <w:r>
                    <w:rPr>
                      <w:b/>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0" w:type="auto"/>
                  <w:vMerge w:val="continue"/>
                  <w:tcBorders>
                    <w:left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left w:val="single" w:color="auto" w:sz="4" w:space="0"/>
                    <w:right w:val="single" w:color="auto" w:sz="4" w:space="0"/>
                  </w:tcBorders>
                  <w:noWrap w:val="0"/>
                  <w:vAlign w:val="center"/>
                </w:tcPr>
                <w:p>
                  <w:pPr>
                    <w:widowControl/>
                    <w:spacing w:line="280" w:lineRule="exact"/>
                    <w:jc w:val="left"/>
                    <w:rPr>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环境风险防控</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sz w:val="15"/>
                      <w:szCs w:val="15"/>
                    </w:rPr>
                  </w:pPr>
                  <w:r>
                    <w:rPr>
                      <w:b/>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0" w:type="auto"/>
                  <w:vMerge w:val="continue"/>
                  <w:tcBorders>
                    <w:left w:val="single" w:color="auto" w:sz="4" w:space="0"/>
                    <w:bottom w:val="single" w:color="auto" w:sz="4" w:space="0"/>
                    <w:right w:val="single" w:color="auto" w:sz="4" w:space="0"/>
                  </w:tcBorders>
                  <w:noWrap w:val="0"/>
                  <w:vAlign w:val="center"/>
                </w:tcPr>
                <w:p>
                  <w:pPr>
                    <w:widowControl/>
                    <w:spacing w:line="280" w:lineRule="exact"/>
                    <w:jc w:val="left"/>
                    <w:rPr>
                      <w:b/>
                      <w:bCs/>
                      <w:sz w:val="15"/>
                      <w:szCs w:val="15"/>
                    </w:rPr>
                  </w:pPr>
                </w:p>
              </w:tc>
              <w:tc>
                <w:tcPr>
                  <w:tcW w:w="0" w:type="auto"/>
                  <w:vMerge w:val="continue"/>
                  <w:tcBorders>
                    <w:left w:val="single" w:color="auto" w:sz="4" w:space="0"/>
                    <w:bottom w:val="single" w:color="auto" w:sz="4" w:space="0"/>
                    <w:right w:val="single" w:color="auto" w:sz="4" w:space="0"/>
                  </w:tcBorders>
                  <w:noWrap w:val="0"/>
                  <w:vAlign w:val="center"/>
                </w:tcPr>
                <w:p>
                  <w:pPr>
                    <w:widowControl/>
                    <w:spacing w:line="280" w:lineRule="exact"/>
                    <w:jc w:val="left"/>
                    <w:rPr>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资源开发效率要求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left"/>
                    <w:rPr>
                      <w:sz w:val="15"/>
                      <w:szCs w:val="15"/>
                    </w:rPr>
                  </w:pPr>
                  <w:r>
                    <w:rPr>
                      <w:sz w:val="15"/>
                      <w:szCs w:val="15"/>
                    </w:rPr>
                    <w:t>土地资源开发效率要求</w:t>
                  </w:r>
                </w:p>
                <w:p>
                  <w:pPr>
                    <w:spacing w:line="280" w:lineRule="exact"/>
                    <w:jc w:val="left"/>
                    <w:rPr>
                      <w:sz w:val="15"/>
                      <w:szCs w:val="15"/>
                    </w:rPr>
                  </w:pPr>
                  <w:r>
                    <w:rPr>
                      <w:sz w:val="15"/>
                      <w:szCs w:val="15"/>
                    </w:rPr>
                    <w:t>能源资源开发效率要求</w:t>
                  </w:r>
                </w:p>
                <w:p>
                  <w:pPr>
                    <w:spacing w:line="280" w:lineRule="exact"/>
                    <w:jc w:val="left"/>
                    <w:rPr>
                      <w:sz w:val="15"/>
                      <w:szCs w:val="15"/>
                    </w:rPr>
                  </w:pPr>
                  <w:r>
                    <w:rPr>
                      <w:sz w:val="15"/>
                      <w:szCs w:val="15"/>
                    </w:rPr>
                    <w:t>能源消耗、污染物排放不得超过能源利用上线控制性指标</w:t>
                  </w:r>
                </w:p>
                <w:p>
                  <w:pPr>
                    <w:spacing w:line="280" w:lineRule="exact"/>
                    <w:jc w:val="left"/>
                    <w:rPr>
                      <w:sz w:val="15"/>
                      <w:szCs w:val="15"/>
                    </w:rPr>
                  </w:pPr>
                  <w:r>
                    <w:rPr>
                      <w:sz w:val="15"/>
                      <w:szCs w:val="15"/>
                    </w:rPr>
                    <w:t>其他资源开发效率要求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项目能源消耗不超过能源利用上线控制指标</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sz w:val="15"/>
                      <w:szCs w:val="15"/>
                    </w:rPr>
                  </w:pPr>
                  <w:r>
                    <w:rPr>
                      <w:b/>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0" w:type="auto"/>
                  <w:vMerge w:val="restart"/>
                  <w:tcBorders>
                    <w:top w:val="nil"/>
                    <w:left w:val="single" w:color="auto" w:sz="4" w:space="0"/>
                    <w:right w:val="single" w:color="auto" w:sz="4" w:space="0"/>
                  </w:tcBorders>
                  <w:noWrap w:val="0"/>
                  <w:vAlign w:val="center"/>
                </w:tcPr>
                <w:p>
                  <w:pPr>
                    <w:spacing w:line="280" w:lineRule="exact"/>
                    <w:jc w:val="center"/>
                    <w:rPr>
                      <w:b/>
                      <w:bCs/>
                      <w:sz w:val="15"/>
                      <w:szCs w:val="15"/>
                    </w:rPr>
                  </w:pPr>
                  <w:r>
                    <w:rPr>
                      <w:b/>
                      <w:sz w:val="15"/>
                      <w:szCs w:val="15"/>
                    </w:rPr>
                    <w:t>自然资源重点管控区YS5117022550001</w:t>
                  </w:r>
                </w:p>
                <w:p>
                  <w:pPr>
                    <w:spacing w:line="280" w:lineRule="exact"/>
                    <w:jc w:val="center"/>
                    <w:rPr>
                      <w:b/>
                      <w:bCs/>
                      <w:sz w:val="15"/>
                      <w:szCs w:val="15"/>
                    </w:rPr>
                  </w:pPr>
                  <w:r>
                    <w:rPr>
                      <w:b/>
                      <w:sz w:val="15"/>
                      <w:szCs w:val="15"/>
                    </w:rPr>
                    <w:t>通川区自然资源重点管控区</w:t>
                  </w:r>
                </w:p>
              </w:tc>
              <w:tc>
                <w:tcPr>
                  <w:tcW w:w="0" w:type="auto"/>
                  <w:vMerge w:val="restart"/>
                  <w:tcBorders>
                    <w:top w:val="nil"/>
                    <w:left w:val="single" w:color="auto" w:sz="4" w:space="0"/>
                    <w:right w:val="single" w:color="auto" w:sz="4" w:space="0"/>
                  </w:tcBorders>
                  <w:noWrap w:val="0"/>
                  <w:vAlign w:val="center"/>
                </w:tcPr>
                <w:p>
                  <w:pPr>
                    <w:spacing w:line="280" w:lineRule="exact"/>
                    <w:jc w:val="center"/>
                    <w:rPr>
                      <w:sz w:val="15"/>
                      <w:szCs w:val="15"/>
                    </w:rPr>
                  </w:pPr>
                  <w:r>
                    <w:rPr>
                      <w:b/>
                      <w:bCs/>
                      <w:sz w:val="15"/>
                      <w:szCs w:val="15"/>
                    </w:rPr>
                    <w:t>单元级清单管控要求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空间布局约束</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left"/>
                    <w:rPr>
                      <w:sz w:val="15"/>
                      <w:szCs w:val="15"/>
                    </w:rPr>
                  </w:pPr>
                  <w:r>
                    <w:rPr>
                      <w:sz w:val="15"/>
                      <w:szCs w:val="15"/>
                    </w:rPr>
                    <w:t>合理开发高效利用水资源，建设节水型社会；优化土地利用布局与结构；优化产业空间布局，构建清洁能源体系</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本项目将合理高效利用水资源</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sz w:val="15"/>
                      <w:szCs w:val="15"/>
                    </w:rPr>
                  </w:pPr>
                  <w:r>
                    <w:rPr>
                      <w:b/>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0" w:type="auto"/>
                  <w:vMerge w:val="continue"/>
                  <w:tcBorders>
                    <w:left w:val="single" w:color="auto" w:sz="4" w:space="0"/>
                    <w:right w:val="single" w:color="auto" w:sz="4" w:space="0"/>
                  </w:tcBorders>
                  <w:noWrap w:val="0"/>
                  <w:vAlign w:val="center"/>
                </w:tcPr>
                <w:p>
                  <w:pPr>
                    <w:spacing w:line="280" w:lineRule="exact"/>
                    <w:jc w:val="center"/>
                    <w:rPr>
                      <w:b/>
                      <w:sz w:val="15"/>
                      <w:szCs w:val="15"/>
                    </w:rPr>
                  </w:pPr>
                </w:p>
              </w:tc>
              <w:tc>
                <w:tcPr>
                  <w:tcW w:w="0" w:type="auto"/>
                  <w:vMerge w:val="continue"/>
                  <w:tcBorders>
                    <w:left w:val="single" w:color="auto" w:sz="4" w:space="0"/>
                    <w:right w:val="single" w:color="auto" w:sz="4" w:space="0"/>
                  </w:tcBorders>
                  <w:noWrap w:val="0"/>
                  <w:vAlign w:val="center"/>
                </w:tcPr>
                <w:p>
                  <w:pPr>
                    <w:spacing w:line="280" w:lineRule="exact"/>
                    <w:jc w:val="center"/>
                    <w:rPr>
                      <w:b/>
                      <w:bCs/>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污染物排放管控</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0" w:type="auto"/>
                  <w:vMerge w:val="continue"/>
                  <w:tcBorders>
                    <w:left w:val="single" w:color="auto" w:sz="4" w:space="0"/>
                    <w:right w:val="single" w:color="auto" w:sz="4" w:space="0"/>
                  </w:tcBorders>
                  <w:noWrap w:val="0"/>
                  <w:vAlign w:val="center"/>
                </w:tcPr>
                <w:p>
                  <w:pPr>
                    <w:spacing w:line="280" w:lineRule="exact"/>
                    <w:jc w:val="center"/>
                    <w:rPr>
                      <w:b/>
                      <w:sz w:val="15"/>
                      <w:szCs w:val="15"/>
                    </w:rPr>
                  </w:pPr>
                </w:p>
              </w:tc>
              <w:tc>
                <w:tcPr>
                  <w:tcW w:w="0" w:type="auto"/>
                  <w:vMerge w:val="continue"/>
                  <w:tcBorders>
                    <w:left w:val="single" w:color="auto" w:sz="4" w:space="0"/>
                    <w:right w:val="single" w:color="auto" w:sz="4" w:space="0"/>
                  </w:tcBorders>
                  <w:noWrap w:val="0"/>
                  <w:vAlign w:val="center"/>
                </w:tcPr>
                <w:p>
                  <w:pPr>
                    <w:spacing w:line="280" w:lineRule="exact"/>
                    <w:jc w:val="center"/>
                    <w:rPr>
                      <w:b/>
                      <w:bCs/>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环境风险防控</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0" w:type="auto"/>
                  <w:vMerge w:val="continue"/>
                  <w:tcBorders>
                    <w:left w:val="single" w:color="auto" w:sz="4" w:space="0"/>
                    <w:bottom w:val="nil"/>
                    <w:right w:val="single" w:color="auto" w:sz="4" w:space="0"/>
                  </w:tcBorders>
                  <w:noWrap w:val="0"/>
                  <w:vAlign w:val="center"/>
                </w:tcPr>
                <w:p>
                  <w:pPr>
                    <w:spacing w:line="280" w:lineRule="exact"/>
                    <w:jc w:val="center"/>
                    <w:rPr>
                      <w:b/>
                      <w:sz w:val="15"/>
                      <w:szCs w:val="15"/>
                    </w:rPr>
                  </w:pPr>
                </w:p>
              </w:tc>
              <w:tc>
                <w:tcPr>
                  <w:tcW w:w="0" w:type="auto"/>
                  <w:vMerge w:val="continue"/>
                  <w:tcBorders>
                    <w:left w:val="single" w:color="auto" w:sz="4" w:space="0"/>
                    <w:bottom w:val="nil"/>
                    <w:right w:val="single" w:color="auto" w:sz="4" w:space="0"/>
                  </w:tcBorders>
                  <w:noWrap w:val="0"/>
                  <w:vAlign w:val="center"/>
                </w:tcPr>
                <w:p>
                  <w:pPr>
                    <w:spacing w:line="280" w:lineRule="exact"/>
                    <w:jc w:val="center"/>
                    <w:rPr>
                      <w:b/>
                      <w:bCs/>
                      <w:sz w:val="15"/>
                      <w:szCs w:val="15"/>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sz w:val="15"/>
                      <w:szCs w:val="15"/>
                    </w:rPr>
                  </w:pPr>
                  <w:r>
                    <w:rPr>
                      <w:b/>
                      <w:bCs/>
                      <w:sz w:val="15"/>
                      <w:szCs w:val="15"/>
                    </w:rPr>
                    <w:t>资源开发效率要求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left"/>
                    <w:rPr>
                      <w:sz w:val="15"/>
                      <w:szCs w:val="15"/>
                    </w:rPr>
                  </w:pPr>
                  <w:r>
                    <w:rPr>
                      <w:sz w:val="15"/>
                      <w:szCs w:val="15"/>
                    </w:rPr>
                    <w:t>土地资源开发效率要求</w:t>
                  </w:r>
                </w:p>
                <w:p>
                  <w:pPr>
                    <w:spacing w:line="280" w:lineRule="exact"/>
                    <w:jc w:val="left"/>
                    <w:rPr>
                      <w:sz w:val="15"/>
                      <w:szCs w:val="15"/>
                    </w:rPr>
                  </w:pPr>
                  <w:r>
                    <w:rPr>
                      <w:sz w:val="15"/>
                      <w:szCs w:val="15"/>
                    </w:rPr>
                    <w:t>能源资源开发效率要求</w:t>
                  </w:r>
                </w:p>
                <w:p>
                  <w:pPr>
                    <w:spacing w:line="280" w:lineRule="exact"/>
                    <w:jc w:val="left"/>
                    <w:rPr>
                      <w:sz w:val="15"/>
                      <w:szCs w:val="15"/>
                    </w:rPr>
                  </w:pPr>
                  <w:r>
                    <w:rPr>
                      <w:sz w:val="15"/>
                      <w:szCs w:val="15"/>
                    </w:rPr>
                    <w:t>其他资源开发效率要求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sz w:val="15"/>
                      <w:szCs w:val="15"/>
                    </w:rPr>
                  </w:pPr>
                  <w:r>
                    <w:rPr>
                      <w:sz w:val="15"/>
                      <w:szCs w:val="15"/>
                    </w:rPr>
                    <w:t>/</w:t>
                  </w:r>
                </w:p>
              </w:tc>
            </w:tr>
          </w:tbl>
          <w:p>
            <w:pPr>
              <w:spacing w:line="276" w:lineRule="auto"/>
              <w:ind w:firstLine="422" w:firstLineChars="200"/>
              <w:rPr>
                <w:rFonts w:cs="Times New Roman"/>
                <w:b/>
                <w:bCs/>
                <w:szCs w:val="21"/>
              </w:rPr>
            </w:pPr>
            <w:r>
              <w:rPr>
                <w:rFonts w:hint="eastAsia" w:cs="Times New Roman"/>
                <w:b/>
                <w:bCs/>
                <w:szCs w:val="21"/>
              </w:rPr>
              <w:t>4</w:t>
            </w:r>
            <w:r>
              <w:rPr>
                <w:rFonts w:cs="Times New Roman"/>
                <w:b/>
                <w:bCs/>
                <w:szCs w:val="21"/>
              </w:rPr>
              <w:t>、与长江保护法符合性分析</w:t>
            </w:r>
          </w:p>
          <w:p>
            <w:pPr>
              <w:spacing w:line="276" w:lineRule="auto"/>
              <w:ind w:firstLine="420" w:firstLineChars="200"/>
              <w:rPr>
                <w:rFonts w:hint="eastAsia" w:cs="Times New Roman"/>
                <w:b/>
                <w:bCs/>
                <w:szCs w:val="21"/>
              </w:rPr>
            </w:pPr>
            <w:r>
              <w:rPr>
                <w:rFonts w:cs="Times New Roman"/>
                <w:szCs w:val="21"/>
              </w:rPr>
              <w:t>自2021年3月1日起施行的《中华人民共和国长江保护法》，是为了加强</w:t>
            </w:r>
            <w:r>
              <w:rPr>
                <w:rFonts w:cs="Times New Roman"/>
                <w:szCs w:val="21"/>
              </w:rPr>
              <w:fldChar w:fldCharType="begin"/>
            </w:r>
            <w:r>
              <w:rPr>
                <w:rFonts w:cs="Times New Roman"/>
                <w:szCs w:val="21"/>
              </w:rPr>
              <w:instrText xml:space="preserve"> HYPERLINK "https://baike.baidu.com/item/%E9%95%BF%E6%B1%9F/388" \t "_blank" </w:instrText>
            </w:r>
            <w:r>
              <w:rPr>
                <w:rFonts w:cs="Times New Roman"/>
                <w:szCs w:val="21"/>
              </w:rPr>
              <w:fldChar w:fldCharType="separate"/>
            </w:r>
            <w:r>
              <w:rPr>
                <w:rFonts w:cs="Times New Roman"/>
                <w:szCs w:val="21"/>
              </w:rPr>
              <w:t>长江</w:t>
            </w:r>
            <w:r>
              <w:rPr>
                <w:rFonts w:cs="Times New Roman"/>
                <w:szCs w:val="21"/>
              </w:rPr>
              <w:fldChar w:fldCharType="end"/>
            </w:r>
            <w:r>
              <w:rPr>
                <w:rFonts w:cs="Times New Roman"/>
                <w:szCs w:val="21"/>
              </w:rPr>
              <w:t>流域生态环境保护和修复，促进资源合理高效利用，保障生态安全，实现人与自然和谐共生、中华民族永续发展制定的法律。</w:t>
            </w:r>
          </w:p>
          <w:p>
            <w:pPr>
              <w:spacing w:line="276" w:lineRule="auto"/>
              <w:jc w:val="center"/>
              <w:rPr>
                <w:rFonts w:hint="eastAsia" w:cs="Times New Roman"/>
                <w:b/>
                <w:bCs/>
                <w:szCs w:val="21"/>
              </w:rPr>
            </w:pPr>
            <w:r>
              <w:rPr>
                <w:rFonts w:hint="eastAsia" w:cs="Times New Roman"/>
                <w:b/>
                <w:bCs/>
                <w:szCs w:val="21"/>
              </w:rPr>
              <w:t>表1-6  本项目与“长江保护法”的符合性分析</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55"/>
              <w:gridCol w:w="4669"/>
              <w:gridCol w:w="2205"/>
              <w:gridCol w:w="8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noWrap w:val="0"/>
                  <w:vAlign w:val="center"/>
                </w:tcPr>
                <w:p>
                  <w:pPr>
                    <w:adjustRightInd w:val="0"/>
                    <w:snapToGrid w:val="0"/>
                    <w:jc w:val="center"/>
                    <w:rPr>
                      <w:rFonts w:cs="Times New Roman"/>
                      <w:b/>
                      <w:bCs/>
                      <w:szCs w:val="21"/>
                    </w:rPr>
                  </w:pPr>
                  <w:r>
                    <w:rPr>
                      <w:rFonts w:cs="Times New Roman"/>
                      <w:b/>
                      <w:bCs/>
                      <w:szCs w:val="21"/>
                    </w:rPr>
                    <w:t>序号</w:t>
                  </w:r>
                </w:p>
              </w:tc>
              <w:tc>
                <w:tcPr>
                  <w:tcW w:w="2753" w:type="pct"/>
                  <w:noWrap w:val="0"/>
                  <w:vAlign w:val="center"/>
                </w:tcPr>
                <w:p>
                  <w:pPr>
                    <w:adjustRightInd w:val="0"/>
                    <w:snapToGrid w:val="0"/>
                    <w:jc w:val="center"/>
                    <w:rPr>
                      <w:rFonts w:cs="Times New Roman"/>
                      <w:b/>
                      <w:bCs/>
                      <w:szCs w:val="21"/>
                    </w:rPr>
                  </w:pPr>
                  <w:r>
                    <w:rPr>
                      <w:rFonts w:cs="Times New Roman"/>
                      <w:b/>
                      <w:bCs/>
                      <w:szCs w:val="21"/>
                    </w:rPr>
                    <w:t>原文内容</w:t>
                  </w:r>
                </w:p>
              </w:tc>
              <w:tc>
                <w:tcPr>
                  <w:tcW w:w="1300" w:type="pct"/>
                  <w:noWrap w:val="0"/>
                  <w:vAlign w:val="center"/>
                </w:tcPr>
                <w:p>
                  <w:pPr>
                    <w:adjustRightInd w:val="0"/>
                    <w:snapToGrid w:val="0"/>
                    <w:jc w:val="center"/>
                    <w:rPr>
                      <w:rFonts w:cs="Times New Roman"/>
                      <w:b/>
                      <w:bCs/>
                      <w:szCs w:val="21"/>
                    </w:rPr>
                  </w:pPr>
                  <w:r>
                    <w:rPr>
                      <w:rFonts w:cs="Times New Roman"/>
                      <w:b/>
                      <w:bCs/>
                      <w:szCs w:val="21"/>
                    </w:rPr>
                    <w:t>本项目情况</w:t>
                  </w:r>
                </w:p>
              </w:tc>
              <w:tc>
                <w:tcPr>
                  <w:tcW w:w="502" w:type="pct"/>
                  <w:noWrap w:val="0"/>
                  <w:vAlign w:val="center"/>
                </w:tcPr>
                <w:p>
                  <w:pPr>
                    <w:adjustRightInd w:val="0"/>
                    <w:snapToGrid w:val="0"/>
                    <w:jc w:val="center"/>
                    <w:rPr>
                      <w:rFonts w:cs="Times New Roman"/>
                      <w:b/>
                      <w:bCs/>
                      <w:szCs w:val="21"/>
                    </w:rPr>
                  </w:pPr>
                  <w:r>
                    <w:rPr>
                      <w:rFonts w:cs="Times New Roman"/>
                      <w:b/>
                      <w:bCs/>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noWrap w:val="0"/>
                  <w:vAlign w:val="center"/>
                </w:tcPr>
                <w:p>
                  <w:pPr>
                    <w:adjustRightInd w:val="0"/>
                    <w:snapToGrid w:val="0"/>
                    <w:jc w:val="center"/>
                    <w:rPr>
                      <w:rFonts w:cs="Times New Roman"/>
                      <w:bCs/>
                      <w:szCs w:val="21"/>
                    </w:rPr>
                  </w:pPr>
                  <w:r>
                    <w:rPr>
                      <w:rFonts w:cs="Times New Roman"/>
                      <w:bCs/>
                      <w:szCs w:val="21"/>
                    </w:rPr>
                    <w:t>1</w:t>
                  </w:r>
                </w:p>
              </w:tc>
              <w:tc>
                <w:tcPr>
                  <w:tcW w:w="2753" w:type="pct"/>
                  <w:noWrap w:val="0"/>
                  <w:vAlign w:val="center"/>
                </w:tcPr>
                <w:p>
                  <w:pPr>
                    <w:adjustRightInd w:val="0"/>
                    <w:snapToGrid w:val="0"/>
                    <w:rPr>
                      <w:rFonts w:cs="Times New Roman"/>
                      <w:bCs/>
                      <w:szCs w:val="21"/>
                    </w:rPr>
                  </w:pPr>
                  <w:r>
                    <w:rPr>
                      <w:rFonts w:cs="Times New Roman"/>
                      <w:bCs/>
                      <w:szCs w:val="21"/>
                    </w:rPr>
                    <w:t>第二十一条 长江流域水质超标的水功能区，应当实施更严格的污染物排放总量削减要求。企业事业单位应当按照要求，采取污染物排放总量控制措施。</w:t>
                  </w:r>
                </w:p>
              </w:tc>
              <w:tc>
                <w:tcPr>
                  <w:tcW w:w="1300" w:type="pct"/>
                  <w:noWrap w:val="0"/>
                  <w:vAlign w:val="center"/>
                </w:tcPr>
                <w:p>
                  <w:pPr>
                    <w:adjustRightInd w:val="0"/>
                    <w:snapToGrid w:val="0"/>
                    <w:rPr>
                      <w:rFonts w:hint="eastAsia" w:cs="Times New Roman"/>
                      <w:bCs/>
                      <w:szCs w:val="21"/>
                    </w:rPr>
                  </w:pPr>
                  <w:r>
                    <w:rPr>
                      <w:rFonts w:cs="Times New Roman"/>
                      <w:bCs/>
                      <w:szCs w:val="21"/>
                    </w:rPr>
                    <w:t>项目所在区域水环境质量满足相应功能区要求，</w:t>
                  </w:r>
                  <w:r>
                    <w:rPr>
                      <w:rFonts w:hint="eastAsia"/>
                      <w:szCs w:val="21"/>
                    </w:rPr>
                    <w:t>生产废水回流到配水井，回用于生产</w:t>
                  </w:r>
                  <w:r>
                    <w:rPr>
                      <w:rFonts w:hint="eastAsia" w:cs="Times New Roman"/>
                      <w:bCs/>
                      <w:szCs w:val="21"/>
                    </w:rPr>
                    <w:t>，不外排；生活污水及压滤废水进入城市污水厂处理，不外排</w:t>
                  </w:r>
                </w:p>
              </w:tc>
              <w:tc>
                <w:tcPr>
                  <w:tcW w:w="502" w:type="pct"/>
                  <w:noWrap w:val="0"/>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noWrap w:val="0"/>
                  <w:vAlign w:val="center"/>
                </w:tcPr>
                <w:p>
                  <w:pPr>
                    <w:adjustRightInd w:val="0"/>
                    <w:snapToGrid w:val="0"/>
                    <w:jc w:val="center"/>
                    <w:rPr>
                      <w:rFonts w:cs="Times New Roman"/>
                      <w:bCs/>
                      <w:szCs w:val="21"/>
                    </w:rPr>
                  </w:pPr>
                  <w:r>
                    <w:rPr>
                      <w:rFonts w:cs="Times New Roman"/>
                      <w:bCs/>
                      <w:szCs w:val="21"/>
                    </w:rPr>
                    <w:t>2</w:t>
                  </w:r>
                </w:p>
              </w:tc>
              <w:tc>
                <w:tcPr>
                  <w:tcW w:w="2753" w:type="pct"/>
                  <w:noWrap w:val="0"/>
                  <w:vAlign w:val="center"/>
                </w:tcPr>
                <w:p>
                  <w:pPr>
                    <w:adjustRightInd w:val="0"/>
                    <w:snapToGrid w:val="0"/>
                    <w:rPr>
                      <w:rFonts w:cs="Times New Roman"/>
                      <w:bCs/>
                      <w:szCs w:val="21"/>
                    </w:rPr>
                  </w:pPr>
                  <w:r>
                    <w:rPr>
                      <w:rFonts w:cs="Times New Roman"/>
                      <w:bCs/>
                      <w:szCs w:val="21"/>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1300" w:type="pct"/>
                  <w:noWrap w:val="0"/>
                  <w:vAlign w:val="center"/>
                </w:tcPr>
                <w:p>
                  <w:pPr>
                    <w:jc w:val="center"/>
                    <w:rPr>
                      <w:rFonts w:hint="eastAsia" w:cs="Times New Roman"/>
                      <w:szCs w:val="21"/>
                    </w:rPr>
                  </w:pPr>
                  <w:r>
                    <w:rPr>
                      <w:rFonts w:cs="Times New Roman"/>
                      <w:szCs w:val="21"/>
                    </w:rPr>
                    <w:t>不</w:t>
                  </w:r>
                  <w:r>
                    <w:rPr>
                      <w:rFonts w:hint="eastAsia" w:cs="Times New Roman"/>
                      <w:szCs w:val="21"/>
                    </w:rPr>
                    <w:t>涉及该类禁止项目</w:t>
                  </w:r>
                </w:p>
              </w:tc>
              <w:tc>
                <w:tcPr>
                  <w:tcW w:w="502" w:type="pct"/>
                  <w:noWrap w:val="0"/>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noWrap w:val="0"/>
                  <w:vAlign w:val="center"/>
                </w:tcPr>
                <w:p>
                  <w:pPr>
                    <w:adjustRightInd w:val="0"/>
                    <w:snapToGrid w:val="0"/>
                    <w:jc w:val="center"/>
                    <w:rPr>
                      <w:rFonts w:cs="Times New Roman"/>
                      <w:bCs/>
                      <w:szCs w:val="21"/>
                    </w:rPr>
                  </w:pPr>
                  <w:r>
                    <w:rPr>
                      <w:rFonts w:cs="Times New Roman"/>
                      <w:bCs/>
                      <w:szCs w:val="21"/>
                    </w:rPr>
                    <w:t>3</w:t>
                  </w:r>
                </w:p>
              </w:tc>
              <w:tc>
                <w:tcPr>
                  <w:tcW w:w="2753" w:type="pct"/>
                  <w:noWrap w:val="0"/>
                  <w:vAlign w:val="center"/>
                </w:tcPr>
                <w:p>
                  <w:pPr>
                    <w:adjustRightInd w:val="0"/>
                    <w:snapToGrid w:val="0"/>
                    <w:rPr>
                      <w:rFonts w:cs="Times New Roman"/>
                      <w:bCs/>
                      <w:szCs w:val="21"/>
                    </w:rPr>
                  </w:pPr>
                  <w:r>
                    <w:rPr>
                      <w:rFonts w:cs="Times New Roman"/>
                      <w:bCs/>
                      <w:szCs w:val="21"/>
                    </w:rPr>
                    <w:t>第二十六条 禁止在长江干支流岸线一公里范围内新建、扩建化工园区和化工项目。禁止在长江干流岸</w:t>
                  </w:r>
                  <w:r>
                    <w:rPr>
                      <w:rFonts w:cs="Times New Roman"/>
                      <w:bCs/>
                      <w:szCs w:val="21"/>
                    </w:rPr>
                    <w:cr/>
                  </w:r>
                  <w:r>
                    <w:rPr>
                      <w:rFonts w:cs="Times New Roman"/>
                      <w:bCs/>
                      <w:szCs w:val="21"/>
                    </w:rPr>
                    <w:t>三公里范围内和重要支流岸线一公里范围内新建、改建、扩建尾矿库；但是以提升安全、生态环境保护水平为目的的改建除外。</w:t>
                  </w:r>
                </w:p>
              </w:tc>
              <w:tc>
                <w:tcPr>
                  <w:tcW w:w="1300" w:type="pct"/>
                  <w:noWrap w:val="0"/>
                  <w:vAlign w:val="center"/>
                </w:tcPr>
                <w:p>
                  <w:pPr>
                    <w:jc w:val="center"/>
                    <w:rPr>
                      <w:rFonts w:hint="eastAsia" w:cs="Times New Roman"/>
                      <w:szCs w:val="21"/>
                    </w:rPr>
                  </w:pPr>
                  <w:r>
                    <w:rPr>
                      <w:rFonts w:cs="Times New Roman"/>
                      <w:szCs w:val="21"/>
                    </w:rPr>
                    <w:t>不</w:t>
                  </w:r>
                  <w:r>
                    <w:rPr>
                      <w:rFonts w:hint="eastAsia" w:cs="Times New Roman"/>
                      <w:szCs w:val="21"/>
                    </w:rPr>
                    <w:t>涉及该类禁止项目</w:t>
                  </w:r>
                </w:p>
              </w:tc>
              <w:tc>
                <w:tcPr>
                  <w:tcW w:w="502" w:type="pct"/>
                  <w:noWrap w:val="0"/>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noWrap w:val="0"/>
                  <w:vAlign w:val="center"/>
                </w:tcPr>
                <w:p>
                  <w:pPr>
                    <w:adjustRightInd w:val="0"/>
                    <w:snapToGrid w:val="0"/>
                    <w:jc w:val="center"/>
                    <w:rPr>
                      <w:rFonts w:cs="Times New Roman"/>
                      <w:bCs/>
                      <w:szCs w:val="21"/>
                    </w:rPr>
                  </w:pPr>
                  <w:r>
                    <w:rPr>
                      <w:rFonts w:cs="Times New Roman"/>
                      <w:bCs/>
                      <w:szCs w:val="21"/>
                    </w:rPr>
                    <w:t>4</w:t>
                  </w:r>
                </w:p>
              </w:tc>
              <w:tc>
                <w:tcPr>
                  <w:tcW w:w="2753" w:type="pct"/>
                  <w:noWrap w:val="0"/>
                  <w:vAlign w:val="center"/>
                </w:tcPr>
                <w:p>
                  <w:pPr>
                    <w:adjustRightInd w:val="0"/>
                    <w:snapToGrid w:val="0"/>
                    <w:rPr>
                      <w:rFonts w:cs="Times New Roman"/>
                      <w:bCs/>
                      <w:szCs w:val="21"/>
                    </w:rPr>
                  </w:pPr>
                  <w:r>
                    <w:rPr>
                      <w:rFonts w:cs="Times New Roman"/>
                      <w:bCs/>
                      <w:szCs w:val="21"/>
                    </w:rPr>
                    <w:t>第二十八条 禁止在长江流域禁止采砂区和禁止采砂期从事采砂活动。</w:t>
                  </w:r>
                </w:p>
              </w:tc>
              <w:tc>
                <w:tcPr>
                  <w:tcW w:w="1300" w:type="pct"/>
                  <w:noWrap w:val="0"/>
                  <w:vAlign w:val="center"/>
                </w:tcPr>
                <w:p>
                  <w:pPr>
                    <w:adjustRightInd w:val="0"/>
                    <w:snapToGrid w:val="0"/>
                    <w:rPr>
                      <w:rFonts w:cs="Times New Roman"/>
                      <w:bCs/>
                      <w:szCs w:val="21"/>
                    </w:rPr>
                  </w:pPr>
                  <w:r>
                    <w:rPr>
                      <w:rFonts w:cs="Times New Roman"/>
                      <w:bCs/>
                      <w:szCs w:val="21"/>
                    </w:rPr>
                    <w:t>本项目不涉及采砂活动。</w:t>
                  </w:r>
                </w:p>
              </w:tc>
              <w:tc>
                <w:tcPr>
                  <w:tcW w:w="502" w:type="pct"/>
                  <w:noWrap w:val="0"/>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noWrap w:val="0"/>
                  <w:vAlign w:val="center"/>
                </w:tcPr>
                <w:p>
                  <w:pPr>
                    <w:adjustRightInd w:val="0"/>
                    <w:snapToGrid w:val="0"/>
                    <w:jc w:val="center"/>
                    <w:rPr>
                      <w:rFonts w:cs="Times New Roman"/>
                      <w:bCs/>
                      <w:szCs w:val="21"/>
                    </w:rPr>
                  </w:pPr>
                  <w:r>
                    <w:rPr>
                      <w:rFonts w:cs="Times New Roman"/>
                      <w:bCs/>
                      <w:szCs w:val="21"/>
                    </w:rPr>
                    <w:t>5</w:t>
                  </w:r>
                </w:p>
              </w:tc>
              <w:tc>
                <w:tcPr>
                  <w:tcW w:w="2753" w:type="pct"/>
                  <w:noWrap w:val="0"/>
                  <w:vAlign w:val="center"/>
                </w:tcPr>
                <w:p>
                  <w:pPr>
                    <w:adjustRightInd w:val="0"/>
                    <w:snapToGrid w:val="0"/>
                    <w:rPr>
                      <w:rFonts w:cs="Times New Roman"/>
                      <w:bCs/>
                      <w:szCs w:val="21"/>
                    </w:rPr>
                  </w:pPr>
                  <w:r>
                    <w:rPr>
                      <w:rFonts w:cs="Times New Roman"/>
                      <w:bCs/>
                      <w:szCs w:val="21"/>
                    </w:rPr>
                    <w:t>第三十八条 加强对高耗水行业、重点用水单位的用水定额管理，严格控制高耗水项目建设。</w:t>
                  </w:r>
                </w:p>
              </w:tc>
              <w:tc>
                <w:tcPr>
                  <w:tcW w:w="1300" w:type="pct"/>
                  <w:noWrap w:val="0"/>
                  <w:vAlign w:val="center"/>
                </w:tcPr>
                <w:p>
                  <w:pPr>
                    <w:adjustRightInd w:val="0"/>
                    <w:snapToGrid w:val="0"/>
                    <w:rPr>
                      <w:rFonts w:cs="Times New Roman"/>
                      <w:bCs/>
                      <w:szCs w:val="21"/>
                    </w:rPr>
                  </w:pPr>
                  <w:r>
                    <w:rPr>
                      <w:rFonts w:cs="Times New Roman"/>
                      <w:bCs/>
                      <w:szCs w:val="21"/>
                    </w:rPr>
                    <w:t>本项目不属于高耗水项目。</w:t>
                  </w:r>
                </w:p>
              </w:tc>
              <w:tc>
                <w:tcPr>
                  <w:tcW w:w="502" w:type="pct"/>
                  <w:noWrap w:val="0"/>
                  <w:vAlign w:val="center"/>
                </w:tcPr>
                <w:p>
                  <w:pPr>
                    <w:adjustRightInd w:val="0"/>
                    <w:snapToGrid w:val="0"/>
                    <w:jc w:val="center"/>
                    <w:rPr>
                      <w:rFonts w:cs="Times New Roman"/>
                      <w:bCs/>
                      <w:szCs w:val="21"/>
                    </w:rPr>
                  </w:pPr>
                  <w:r>
                    <w:rPr>
                      <w:rFonts w:cs="Times New Roman"/>
                      <w:bCs/>
                      <w:szCs w:val="21"/>
                    </w:rPr>
                    <w:t>符合</w:t>
                  </w:r>
                </w:p>
              </w:tc>
            </w:tr>
          </w:tbl>
          <w:p>
            <w:pPr>
              <w:spacing w:line="276" w:lineRule="auto"/>
              <w:ind w:firstLine="420" w:firstLineChars="200"/>
              <w:rPr>
                <w:rFonts w:cs="Times New Roman"/>
                <w:color w:val="FF00FF"/>
                <w:szCs w:val="21"/>
              </w:rPr>
            </w:pPr>
          </w:p>
          <w:p>
            <w:pPr>
              <w:spacing w:line="276" w:lineRule="auto"/>
              <w:ind w:firstLine="422" w:firstLineChars="200"/>
              <w:rPr>
                <w:rFonts w:cs="Times New Roman"/>
                <w:b/>
                <w:szCs w:val="21"/>
              </w:rPr>
            </w:pPr>
            <w:r>
              <w:rPr>
                <w:rFonts w:hint="eastAsia" w:cs="Times New Roman"/>
                <w:b/>
                <w:szCs w:val="21"/>
              </w:rPr>
              <w:t>5、与《四川省、重庆市长江经济带发展负面清单实施细则（试行，2022年版）》符合性分析</w:t>
            </w:r>
          </w:p>
          <w:p>
            <w:pPr>
              <w:spacing w:line="276" w:lineRule="auto"/>
              <w:ind w:firstLine="420" w:firstLineChars="200"/>
              <w:rPr>
                <w:rFonts w:hint="eastAsia" w:cs="Times New Roman"/>
                <w:bCs/>
                <w:szCs w:val="21"/>
              </w:rPr>
            </w:pPr>
            <w:r>
              <w:rPr>
                <w:rFonts w:hint="eastAsia" w:cs="Times New Roman"/>
                <w:bCs/>
                <w:szCs w:val="21"/>
              </w:rPr>
              <w:t>本项目与四川省推动长江经济带发展领导小组办公室重庆市推动长江经济带发展领导小组办公室关于印发《四川省、重庆市长江经济带发展负面清单实施细则（试行，2022年版）》的通知（川长江办</w:t>
            </w:r>
            <w:r>
              <w:rPr>
                <w:rFonts w:cs="Times New Roman"/>
              </w:rPr>
              <w:t>〔20</w:t>
            </w:r>
            <w:r>
              <w:rPr>
                <w:rFonts w:hint="eastAsia" w:cs="Times New Roman"/>
              </w:rPr>
              <w:t>22</w:t>
            </w:r>
            <w:r>
              <w:rPr>
                <w:rFonts w:cs="Times New Roman"/>
              </w:rPr>
              <w:t>〕</w:t>
            </w:r>
            <w:r>
              <w:rPr>
                <w:rFonts w:hint="eastAsia" w:cs="Times New Roman"/>
                <w:bCs/>
                <w:szCs w:val="21"/>
              </w:rPr>
              <w:t>17号）的符合性分析如下。</w:t>
            </w:r>
          </w:p>
          <w:p>
            <w:pPr>
              <w:spacing w:line="276" w:lineRule="auto"/>
              <w:jc w:val="center"/>
              <w:rPr>
                <w:rFonts w:hint="eastAsia" w:cs="Times New Roman"/>
                <w:b/>
                <w:bCs/>
                <w:szCs w:val="21"/>
              </w:rPr>
            </w:pPr>
          </w:p>
          <w:p>
            <w:pPr>
              <w:spacing w:line="276" w:lineRule="auto"/>
              <w:jc w:val="center"/>
              <w:rPr>
                <w:rFonts w:hint="eastAsia" w:cs="Times New Roman"/>
                <w:b/>
                <w:bCs/>
                <w:szCs w:val="21"/>
              </w:rPr>
            </w:pPr>
          </w:p>
          <w:p>
            <w:pPr>
              <w:spacing w:line="276" w:lineRule="auto"/>
              <w:jc w:val="center"/>
              <w:rPr>
                <w:rFonts w:hint="eastAsia" w:cs="Times New Roman"/>
                <w:b/>
                <w:bCs/>
                <w:szCs w:val="21"/>
              </w:rPr>
            </w:pPr>
          </w:p>
          <w:p>
            <w:pPr>
              <w:spacing w:line="276" w:lineRule="auto"/>
              <w:jc w:val="center"/>
              <w:rPr>
                <w:rFonts w:hint="eastAsia" w:cs="Times New Roman"/>
                <w:b/>
                <w:bCs/>
                <w:szCs w:val="21"/>
              </w:rPr>
            </w:pPr>
          </w:p>
          <w:p>
            <w:pPr>
              <w:spacing w:line="276" w:lineRule="auto"/>
              <w:jc w:val="center"/>
              <w:rPr>
                <w:rFonts w:hint="eastAsia" w:cs="Times New Roman"/>
                <w:b/>
                <w:bCs/>
                <w:szCs w:val="21"/>
              </w:rPr>
            </w:pPr>
            <w:r>
              <w:rPr>
                <w:rFonts w:hint="eastAsia" w:cs="Times New Roman"/>
                <w:b/>
                <w:bCs/>
                <w:szCs w:val="21"/>
              </w:rPr>
              <w:t>表1-7 本项目与“川长江办〔2022〕17号”的符合性分析</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86"/>
              <w:gridCol w:w="5861"/>
              <w:gridCol w:w="1382"/>
              <w:gridCol w:w="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43" w:type="pct"/>
                  <w:gridSpan w:val="2"/>
                  <w:noWrap w:val="0"/>
                  <w:vAlign w:val="center"/>
                </w:tcPr>
                <w:p>
                  <w:pPr>
                    <w:jc w:val="center"/>
                    <w:rPr>
                      <w:rFonts w:cs="Times New Roman"/>
                      <w:b/>
                      <w:bCs/>
                      <w:szCs w:val="21"/>
                    </w:rPr>
                  </w:pPr>
                  <w:r>
                    <w:rPr>
                      <w:rFonts w:cs="Times New Roman"/>
                      <w:b/>
                      <w:bCs/>
                      <w:szCs w:val="21"/>
                    </w:rPr>
                    <w:t>实施细则相关要求</w:t>
                  </w:r>
                </w:p>
              </w:tc>
              <w:tc>
                <w:tcPr>
                  <w:tcW w:w="815" w:type="pct"/>
                  <w:noWrap w:val="0"/>
                  <w:vAlign w:val="center"/>
                </w:tcPr>
                <w:p>
                  <w:pPr>
                    <w:jc w:val="center"/>
                    <w:rPr>
                      <w:rFonts w:cs="Times New Roman"/>
                      <w:b/>
                      <w:bCs/>
                      <w:szCs w:val="21"/>
                    </w:rPr>
                  </w:pPr>
                  <w:r>
                    <w:rPr>
                      <w:rFonts w:cs="Times New Roman"/>
                      <w:b/>
                      <w:bCs/>
                      <w:szCs w:val="21"/>
                    </w:rPr>
                    <w:t>项目情况</w:t>
                  </w:r>
                </w:p>
              </w:tc>
              <w:tc>
                <w:tcPr>
                  <w:tcW w:w="443" w:type="pct"/>
                  <w:noWrap w:val="0"/>
                  <w:vAlign w:val="center"/>
                </w:tcPr>
                <w:p>
                  <w:pPr>
                    <w:jc w:val="center"/>
                    <w:rPr>
                      <w:rFonts w:cs="Times New Roman"/>
                      <w:b/>
                      <w:bCs/>
                      <w:szCs w:val="21"/>
                    </w:rPr>
                  </w:pPr>
                  <w:r>
                    <w:rPr>
                      <w:rFonts w:cs="Times New Roman"/>
                      <w:b/>
                      <w:bCs/>
                      <w:szCs w:val="21"/>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7" w:type="pct"/>
                  <w:noWrap w:val="0"/>
                  <w:vAlign w:val="center"/>
                </w:tcPr>
                <w:p>
                  <w:pPr>
                    <w:jc w:val="center"/>
                    <w:rPr>
                      <w:rFonts w:hint="eastAsia" w:cs="Times New Roman"/>
                      <w:szCs w:val="21"/>
                    </w:rPr>
                  </w:pPr>
                  <w:r>
                    <w:rPr>
                      <w:rFonts w:hint="eastAsia" w:cs="Times New Roman"/>
                      <w:szCs w:val="21"/>
                    </w:rPr>
                    <w:t>1</w:t>
                  </w:r>
                </w:p>
              </w:tc>
              <w:tc>
                <w:tcPr>
                  <w:tcW w:w="3455" w:type="pct"/>
                  <w:noWrap w:val="0"/>
                  <w:vAlign w:val="center"/>
                </w:tcPr>
                <w:p>
                  <w:pPr>
                    <w:rPr>
                      <w:rFonts w:cs="Times New Roman"/>
                      <w:szCs w:val="21"/>
                    </w:rPr>
                  </w:pPr>
                  <w:r>
                    <w:rPr>
                      <w:rFonts w:cs="Times New Roman"/>
                      <w:szCs w:val="21"/>
                    </w:rPr>
                    <w:t>禁止建设不符合全国和省级港口布局规划以及港口总体规划的码头项目，禁止建设不符合《长江干线过江通道布局规划》的过长江通道项目。</w:t>
                  </w:r>
                </w:p>
              </w:tc>
              <w:tc>
                <w:tcPr>
                  <w:tcW w:w="815" w:type="pct"/>
                  <w:noWrap w:val="0"/>
                  <w:vAlign w:val="center"/>
                </w:tcPr>
                <w:p>
                  <w:pPr>
                    <w:jc w:val="center"/>
                    <w:rPr>
                      <w:rFonts w:hint="eastAsia" w:cs="Times New Roman"/>
                      <w:szCs w:val="21"/>
                    </w:rPr>
                  </w:pPr>
                  <w:r>
                    <w:rPr>
                      <w:rFonts w:cs="Times New Roman"/>
                      <w:szCs w:val="21"/>
                    </w:rPr>
                    <w:t>不</w:t>
                  </w:r>
                  <w:r>
                    <w:rPr>
                      <w:rFonts w:hint="eastAsia" w:cs="Times New Roman"/>
                      <w:szCs w:val="21"/>
                    </w:rPr>
                    <w:t>涉及该类禁止项目</w:t>
                  </w:r>
                </w:p>
              </w:tc>
              <w:tc>
                <w:tcPr>
                  <w:tcW w:w="443" w:type="pct"/>
                  <w:noWrap w:val="0"/>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7" w:type="pct"/>
                  <w:noWrap w:val="0"/>
                  <w:vAlign w:val="center"/>
                </w:tcPr>
                <w:p>
                  <w:pPr>
                    <w:jc w:val="center"/>
                    <w:rPr>
                      <w:rFonts w:hint="eastAsia" w:cs="Times New Roman"/>
                      <w:szCs w:val="21"/>
                    </w:rPr>
                  </w:pPr>
                  <w:r>
                    <w:rPr>
                      <w:rFonts w:hint="eastAsia" w:cs="Times New Roman"/>
                      <w:szCs w:val="21"/>
                    </w:rPr>
                    <w:t>2</w:t>
                  </w:r>
                </w:p>
              </w:tc>
              <w:tc>
                <w:tcPr>
                  <w:tcW w:w="3455" w:type="pct"/>
                  <w:noWrap w:val="0"/>
                  <w:vAlign w:val="center"/>
                </w:tcPr>
                <w:p>
                  <w:pPr>
                    <w:rPr>
                      <w:rFonts w:cs="Times New Roman"/>
                      <w:szCs w:val="21"/>
                    </w:rPr>
                  </w:pPr>
                  <w:r>
                    <w:rPr>
                      <w:rFonts w:cs="Times New Roman"/>
                      <w:szCs w:val="21"/>
                    </w:rPr>
                    <w:t>禁止在自然保护区核心区、缓冲区的岸线和河段范围内投资建设旅游和生产经营项目。禁止在风景名胜区核心景区的岸线和河段范围内投资建设与风景名胜资源保护无关的项目。</w:t>
                  </w:r>
                </w:p>
              </w:tc>
              <w:tc>
                <w:tcPr>
                  <w:tcW w:w="815" w:type="pct"/>
                  <w:noWrap w:val="0"/>
                  <w:vAlign w:val="center"/>
                </w:tcPr>
                <w:p>
                  <w:pPr>
                    <w:jc w:val="center"/>
                    <w:rPr>
                      <w:rFonts w:hint="eastAsia" w:cs="Times New Roman"/>
                      <w:szCs w:val="21"/>
                    </w:rPr>
                  </w:pPr>
                  <w:r>
                    <w:rPr>
                      <w:rFonts w:cs="Times New Roman"/>
                      <w:szCs w:val="21"/>
                    </w:rPr>
                    <w:t>不涉及自然保护区</w:t>
                  </w:r>
                  <w:r>
                    <w:rPr>
                      <w:rFonts w:hint="eastAsia" w:cs="Times New Roman"/>
                      <w:szCs w:val="21"/>
                    </w:rPr>
                    <w:t>、</w:t>
                  </w:r>
                  <w:r>
                    <w:rPr>
                      <w:rFonts w:cs="Times New Roman"/>
                      <w:szCs w:val="21"/>
                    </w:rPr>
                    <w:t>风景名胜区</w:t>
                  </w:r>
                </w:p>
              </w:tc>
              <w:tc>
                <w:tcPr>
                  <w:tcW w:w="443" w:type="pct"/>
                  <w:noWrap w:val="0"/>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7" w:type="pct"/>
                  <w:noWrap w:val="0"/>
                  <w:vAlign w:val="center"/>
                </w:tcPr>
                <w:p>
                  <w:pPr>
                    <w:jc w:val="center"/>
                    <w:rPr>
                      <w:rFonts w:hint="eastAsia" w:cs="Times New Roman"/>
                      <w:szCs w:val="21"/>
                    </w:rPr>
                  </w:pPr>
                  <w:r>
                    <w:rPr>
                      <w:rFonts w:hint="eastAsia" w:cs="Times New Roman"/>
                      <w:szCs w:val="21"/>
                    </w:rPr>
                    <w:t>3</w:t>
                  </w:r>
                </w:p>
              </w:tc>
              <w:tc>
                <w:tcPr>
                  <w:tcW w:w="3455" w:type="pct"/>
                  <w:noWrap w:val="0"/>
                  <w:vAlign w:val="center"/>
                </w:tcPr>
                <w:p>
                  <w:pPr>
                    <w:rPr>
                      <w:rFonts w:cs="Times New Roman"/>
                      <w:szCs w:val="21"/>
                    </w:rPr>
                  </w:pPr>
                  <w:r>
                    <w:rPr>
                      <w:rFonts w:cs="Times New Roman"/>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815" w:type="pct"/>
                  <w:noWrap w:val="0"/>
                  <w:vAlign w:val="center"/>
                </w:tcPr>
                <w:p>
                  <w:pPr>
                    <w:jc w:val="center"/>
                    <w:rPr>
                      <w:rFonts w:cs="Times New Roman"/>
                      <w:szCs w:val="21"/>
                    </w:rPr>
                  </w:pPr>
                  <w:r>
                    <w:rPr>
                      <w:rFonts w:hint="eastAsia" w:cs="Times New Roman"/>
                      <w:szCs w:val="21"/>
                    </w:rPr>
                    <w:t>本项目为自来水生产项目（仅净水厂工程部分），不涉及饮用水源保护区</w:t>
                  </w:r>
                </w:p>
              </w:tc>
              <w:tc>
                <w:tcPr>
                  <w:tcW w:w="443" w:type="pct"/>
                  <w:noWrap w:val="0"/>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7" w:type="pct"/>
                  <w:noWrap w:val="0"/>
                  <w:vAlign w:val="center"/>
                </w:tcPr>
                <w:p>
                  <w:pPr>
                    <w:jc w:val="center"/>
                    <w:rPr>
                      <w:rFonts w:hint="eastAsia" w:cs="Times New Roman"/>
                      <w:szCs w:val="21"/>
                    </w:rPr>
                  </w:pPr>
                  <w:r>
                    <w:rPr>
                      <w:rFonts w:hint="eastAsia" w:cs="Times New Roman"/>
                      <w:szCs w:val="21"/>
                    </w:rPr>
                    <w:t>4</w:t>
                  </w:r>
                </w:p>
              </w:tc>
              <w:tc>
                <w:tcPr>
                  <w:tcW w:w="3455" w:type="pct"/>
                  <w:noWrap w:val="0"/>
                  <w:vAlign w:val="center"/>
                </w:tcPr>
                <w:p>
                  <w:pPr>
                    <w:rPr>
                      <w:rFonts w:cs="Times New Roman"/>
                      <w:szCs w:val="21"/>
                    </w:rPr>
                  </w:pPr>
                  <w:r>
                    <w:rPr>
                      <w:rFonts w:cs="Times New Roman"/>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815" w:type="pct"/>
                  <w:noWrap w:val="0"/>
                  <w:vAlign w:val="center"/>
                </w:tcPr>
                <w:p>
                  <w:pPr>
                    <w:jc w:val="center"/>
                    <w:rPr>
                      <w:rFonts w:hint="eastAsia" w:cs="Times New Roman"/>
                      <w:szCs w:val="21"/>
                    </w:rPr>
                  </w:pPr>
                  <w:r>
                    <w:rPr>
                      <w:rFonts w:cs="Times New Roman"/>
                      <w:szCs w:val="21"/>
                    </w:rPr>
                    <w:t>不</w:t>
                  </w:r>
                  <w:r>
                    <w:rPr>
                      <w:rFonts w:hint="eastAsia" w:cs="Times New Roman"/>
                      <w:szCs w:val="21"/>
                    </w:rPr>
                    <w:t>涉及该类禁止项目</w:t>
                  </w:r>
                </w:p>
              </w:tc>
              <w:tc>
                <w:tcPr>
                  <w:tcW w:w="443" w:type="pct"/>
                  <w:noWrap w:val="0"/>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7" w:type="pct"/>
                  <w:noWrap w:val="0"/>
                  <w:vAlign w:val="center"/>
                </w:tcPr>
                <w:p>
                  <w:pPr>
                    <w:jc w:val="center"/>
                    <w:rPr>
                      <w:rFonts w:hint="eastAsia" w:cs="Times New Roman"/>
                      <w:szCs w:val="21"/>
                    </w:rPr>
                  </w:pPr>
                  <w:r>
                    <w:rPr>
                      <w:rFonts w:hint="eastAsia" w:cs="Times New Roman"/>
                      <w:szCs w:val="21"/>
                    </w:rPr>
                    <w:t>5</w:t>
                  </w:r>
                </w:p>
              </w:tc>
              <w:tc>
                <w:tcPr>
                  <w:tcW w:w="3455" w:type="pct"/>
                  <w:noWrap w:val="0"/>
                  <w:vAlign w:val="center"/>
                </w:tcPr>
                <w:p>
                  <w:pPr>
                    <w:rPr>
                      <w:rFonts w:cs="Times New Roman"/>
                      <w:szCs w:val="21"/>
                    </w:rPr>
                  </w:pPr>
                  <w:r>
                    <w:rPr>
                      <w:rFonts w:cs="Times New Roman"/>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815" w:type="pct"/>
                  <w:noWrap w:val="0"/>
                  <w:vAlign w:val="center"/>
                </w:tcPr>
                <w:p>
                  <w:pPr>
                    <w:jc w:val="center"/>
                    <w:rPr>
                      <w:rFonts w:hint="eastAsia" w:cs="Times New Roman"/>
                      <w:szCs w:val="21"/>
                    </w:rPr>
                  </w:pPr>
                  <w:r>
                    <w:rPr>
                      <w:rFonts w:cs="Times New Roman"/>
                      <w:szCs w:val="21"/>
                    </w:rPr>
                    <w:t>不</w:t>
                  </w:r>
                  <w:r>
                    <w:rPr>
                      <w:rFonts w:hint="eastAsia" w:cs="Times New Roman"/>
                      <w:szCs w:val="21"/>
                    </w:rPr>
                    <w:t>涉及该类禁止项目</w:t>
                  </w:r>
                </w:p>
              </w:tc>
              <w:tc>
                <w:tcPr>
                  <w:tcW w:w="443" w:type="pct"/>
                  <w:noWrap w:val="0"/>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7" w:type="pct"/>
                  <w:noWrap w:val="0"/>
                  <w:vAlign w:val="center"/>
                </w:tcPr>
                <w:p>
                  <w:pPr>
                    <w:jc w:val="center"/>
                    <w:rPr>
                      <w:rFonts w:hint="eastAsia" w:cs="Times New Roman"/>
                      <w:szCs w:val="21"/>
                    </w:rPr>
                  </w:pPr>
                  <w:r>
                    <w:rPr>
                      <w:rFonts w:hint="eastAsia" w:cs="Times New Roman"/>
                      <w:szCs w:val="21"/>
                    </w:rPr>
                    <w:t>6</w:t>
                  </w:r>
                </w:p>
              </w:tc>
              <w:tc>
                <w:tcPr>
                  <w:tcW w:w="3455" w:type="pct"/>
                  <w:noWrap w:val="0"/>
                  <w:vAlign w:val="center"/>
                </w:tcPr>
                <w:p>
                  <w:pPr>
                    <w:rPr>
                      <w:rFonts w:cs="Times New Roman"/>
                      <w:szCs w:val="21"/>
                    </w:rPr>
                  </w:pPr>
                  <w:r>
                    <w:rPr>
                      <w:rFonts w:cs="Times New Roman"/>
                      <w:szCs w:val="21"/>
                    </w:rPr>
                    <w:t>禁止未经许可在长江干支流及湖泊新设、改设或扩大排污口。</w:t>
                  </w:r>
                </w:p>
              </w:tc>
              <w:tc>
                <w:tcPr>
                  <w:tcW w:w="815" w:type="pct"/>
                  <w:noWrap w:val="0"/>
                  <w:vAlign w:val="center"/>
                </w:tcPr>
                <w:p>
                  <w:pPr>
                    <w:jc w:val="center"/>
                    <w:rPr>
                      <w:rFonts w:cs="Times New Roman"/>
                      <w:szCs w:val="21"/>
                    </w:rPr>
                  </w:pPr>
                  <w:r>
                    <w:rPr>
                      <w:rFonts w:hint="eastAsia" w:cs="Times New Roman"/>
                      <w:szCs w:val="21"/>
                    </w:rPr>
                    <w:t>本项目不设置排污口</w:t>
                  </w:r>
                </w:p>
              </w:tc>
              <w:tc>
                <w:tcPr>
                  <w:tcW w:w="443" w:type="pct"/>
                  <w:noWrap w:val="0"/>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7" w:type="pct"/>
                  <w:noWrap w:val="0"/>
                  <w:vAlign w:val="center"/>
                </w:tcPr>
                <w:p>
                  <w:pPr>
                    <w:jc w:val="center"/>
                    <w:rPr>
                      <w:rFonts w:hint="eastAsia" w:cs="Times New Roman"/>
                      <w:szCs w:val="21"/>
                    </w:rPr>
                  </w:pPr>
                  <w:r>
                    <w:rPr>
                      <w:rFonts w:hint="eastAsia" w:cs="Times New Roman"/>
                      <w:szCs w:val="21"/>
                    </w:rPr>
                    <w:t>7</w:t>
                  </w:r>
                </w:p>
              </w:tc>
              <w:tc>
                <w:tcPr>
                  <w:tcW w:w="3455" w:type="pct"/>
                  <w:noWrap w:val="0"/>
                  <w:vAlign w:val="center"/>
                </w:tcPr>
                <w:p>
                  <w:pPr>
                    <w:rPr>
                      <w:rFonts w:cs="Times New Roman"/>
                      <w:szCs w:val="21"/>
                    </w:rPr>
                  </w:pPr>
                  <w:r>
                    <w:rPr>
                      <w:rFonts w:cs="Times New Roman"/>
                      <w:szCs w:val="21"/>
                    </w:rPr>
                    <w:t>禁止在“一江一口两湖七河”和332个水生生物保护区开展生产性捕捞。</w:t>
                  </w:r>
                </w:p>
              </w:tc>
              <w:tc>
                <w:tcPr>
                  <w:tcW w:w="815" w:type="pct"/>
                  <w:noWrap w:val="0"/>
                  <w:vAlign w:val="center"/>
                </w:tcPr>
                <w:p>
                  <w:pPr>
                    <w:jc w:val="center"/>
                    <w:rPr>
                      <w:rFonts w:hint="eastAsia" w:cs="Times New Roman"/>
                      <w:szCs w:val="21"/>
                    </w:rPr>
                  </w:pPr>
                  <w:r>
                    <w:rPr>
                      <w:rFonts w:cs="Times New Roman"/>
                      <w:szCs w:val="21"/>
                    </w:rPr>
                    <w:t>不</w:t>
                  </w:r>
                  <w:r>
                    <w:rPr>
                      <w:rFonts w:hint="eastAsia" w:cs="Times New Roman"/>
                      <w:szCs w:val="21"/>
                    </w:rPr>
                    <w:t>涉及该类禁止项目</w:t>
                  </w:r>
                </w:p>
              </w:tc>
              <w:tc>
                <w:tcPr>
                  <w:tcW w:w="443" w:type="pct"/>
                  <w:noWrap w:val="0"/>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7" w:type="pct"/>
                  <w:noWrap w:val="0"/>
                  <w:vAlign w:val="center"/>
                </w:tcPr>
                <w:p>
                  <w:pPr>
                    <w:jc w:val="center"/>
                    <w:rPr>
                      <w:rFonts w:hint="eastAsia" w:cs="Times New Roman"/>
                      <w:szCs w:val="21"/>
                    </w:rPr>
                  </w:pPr>
                  <w:r>
                    <w:rPr>
                      <w:rFonts w:hint="eastAsia" w:cs="Times New Roman"/>
                      <w:szCs w:val="21"/>
                    </w:rPr>
                    <w:t>8</w:t>
                  </w:r>
                </w:p>
              </w:tc>
              <w:tc>
                <w:tcPr>
                  <w:tcW w:w="3455" w:type="pct"/>
                  <w:noWrap w:val="0"/>
                  <w:vAlign w:val="center"/>
                </w:tcPr>
                <w:p>
                  <w:pPr>
                    <w:rPr>
                      <w:rFonts w:cs="Times New Roman"/>
                      <w:szCs w:val="21"/>
                    </w:rPr>
                  </w:pPr>
                  <w:r>
                    <w:rPr>
                      <w:rFonts w:cs="Times New Roman"/>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815" w:type="pct"/>
                  <w:noWrap w:val="0"/>
                  <w:vAlign w:val="center"/>
                </w:tcPr>
                <w:p>
                  <w:pPr>
                    <w:jc w:val="center"/>
                    <w:rPr>
                      <w:rFonts w:cs="Times New Roman"/>
                      <w:szCs w:val="21"/>
                    </w:rPr>
                  </w:pPr>
                  <w:r>
                    <w:rPr>
                      <w:rFonts w:cs="Times New Roman"/>
                      <w:szCs w:val="21"/>
                    </w:rPr>
                    <w:t>不</w:t>
                  </w:r>
                  <w:r>
                    <w:rPr>
                      <w:rFonts w:hint="eastAsia" w:cs="Times New Roman"/>
                      <w:szCs w:val="21"/>
                    </w:rPr>
                    <w:t>属于化工项目</w:t>
                  </w:r>
                </w:p>
              </w:tc>
              <w:tc>
                <w:tcPr>
                  <w:tcW w:w="443" w:type="pct"/>
                  <w:noWrap w:val="0"/>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7" w:type="pct"/>
                  <w:noWrap w:val="0"/>
                  <w:vAlign w:val="center"/>
                </w:tcPr>
                <w:p>
                  <w:pPr>
                    <w:jc w:val="center"/>
                    <w:rPr>
                      <w:rFonts w:hint="eastAsia" w:cs="Times New Roman"/>
                      <w:szCs w:val="21"/>
                    </w:rPr>
                  </w:pPr>
                  <w:r>
                    <w:rPr>
                      <w:rFonts w:hint="eastAsia" w:cs="Times New Roman"/>
                      <w:szCs w:val="21"/>
                    </w:rPr>
                    <w:t>9</w:t>
                  </w:r>
                </w:p>
              </w:tc>
              <w:tc>
                <w:tcPr>
                  <w:tcW w:w="3455" w:type="pct"/>
                  <w:noWrap w:val="0"/>
                  <w:vAlign w:val="center"/>
                </w:tcPr>
                <w:p>
                  <w:pPr>
                    <w:rPr>
                      <w:rFonts w:cs="Times New Roman"/>
                      <w:szCs w:val="21"/>
                    </w:rPr>
                  </w:pPr>
                  <w:r>
                    <w:rPr>
                      <w:rFonts w:cs="Times New Roman"/>
                      <w:szCs w:val="21"/>
                    </w:rPr>
                    <w:t>禁止在合规园区外新建、扩建钢铁、石化、化工、焦化、建材、有色、制浆造纸等高污染项目。</w:t>
                  </w:r>
                </w:p>
              </w:tc>
              <w:tc>
                <w:tcPr>
                  <w:tcW w:w="815" w:type="pct"/>
                  <w:noWrap w:val="0"/>
                  <w:vAlign w:val="center"/>
                </w:tcPr>
                <w:p>
                  <w:pPr>
                    <w:jc w:val="center"/>
                    <w:rPr>
                      <w:rFonts w:hint="eastAsia" w:cs="Times New Roman"/>
                      <w:szCs w:val="21"/>
                    </w:rPr>
                  </w:pPr>
                  <w:r>
                    <w:rPr>
                      <w:rFonts w:cs="Times New Roman"/>
                      <w:szCs w:val="21"/>
                    </w:rPr>
                    <w:t>不</w:t>
                  </w:r>
                  <w:r>
                    <w:rPr>
                      <w:rFonts w:hint="eastAsia" w:cs="Times New Roman"/>
                      <w:szCs w:val="21"/>
                    </w:rPr>
                    <w:t>涉及该类禁止项目</w:t>
                  </w:r>
                </w:p>
              </w:tc>
              <w:tc>
                <w:tcPr>
                  <w:tcW w:w="443" w:type="pct"/>
                  <w:noWrap w:val="0"/>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7" w:type="pct"/>
                  <w:noWrap w:val="0"/>
                  <w:vAlign w:val="center"/>
                </w:tcPr>
                <w:p>
                  <w:pPr>
                    <w:jc w:val="center"/>
                    <w:rPr>
                      <w:rFonts w:cs="Times New Roman"/>
                      <w:szCs w:val="21"/>
                    </w:rPr>
                  </w:pPr>
                  <w:r>
                    <w:rPr>
                      <w:rFonts w:hint="eastAsia" w:cs="Times New Roman"/>
                      <w:szCs w:val="21"/>
                    </w:rPr>
                    <w:t>10</w:t>
                  </w:r>
                </w:p>
              </w:tc>
              <w:tc>
                <w:tcPr>
                  <w:tcW w:w="3455" w:type="pct"/>
                  <w:noWrap w:val="0"/>
                  <w:vAlign w:val="center"/>
                </w:tcPr>
                <w:p>
                  <w:pPr>
                    <w:rPr>
                      <w:rFonts w:cs="Times New Roman"/>
                      <w:szCs w:val="21"/>
                    </w:rPr>
                  </w:pPr>
                  <w:r>
                    <w:rPr>
                      <w:rFonts w:cs="Times New Roman"/>
                      <w:szCs w:val="21"/>
                    </w:rPr>
                    <w:t>禁止新建、扩建不符合国家石化、现代煤化工等产业布局规划的项目。</w:t>
                  </w:r>
                </w:p>
              </w:tc>
              <w:tc>
                <w:tcPr>
                  <w:tcW w:w="815" w:type="pct"/>
                  <w:noWrap w:val="0"/>
                  <w:vAlign w:val="center"/>
                </w:tcPr>
                <w:p>
                  <w:pPr>
                    <w:jc w:val="center"/>
                    <w:rPr>
                      <w:rFonts w:cs="Times New Roman"/>
                      <w:szCs w:val="21"/>
                    </w:rPr>
                  </w:pPr>
                  <w:r>
                    <w:rPr>
                      <w:rFonts w:hint="eastAsia" w:cs="Times New Roman"/>
                      <w:szCs w:val="21"/>
                    </w:rPr>
                    <w:t>不涉及</w:t>
                  </w:r>
                </w:p>
              </w:tc>
              <w:tc>
                <w:tcPr>
                  <w:tcW w:w="443" w:type="pct"/>
                  <w:noWrap w:val="0"/>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7" w:type="pct"/>
                  <w:noWrap w:val="0"/>
                  <w:vAlign w:val="center"/>
                </w:tcPr>
                <w:p>
                  <w:pPr>
                    <w:jc w:val="center"/>
                    <w:rPr>
                      <w:rFonts w:cs="Times New Roman"/>
                      <w:szCs w:val="21"/>
                    </w:rPr>
                  </w:pPr>
                  <w:r>
                    <w:rPr>
                      <w:rFonts w:hint="eastAsia" w:cs="Times New Roman"/>
                      <w:szCs w:val="21"/>
                    </w:rPr>
                    <w:t>11</w:t>
                  </w:r>
                </w:p>
              </w:tc>
              <w:tc>
                <w:tcPr>
                  <w:tcW w:w="3455" w:type="pct"/>
                  <w:noWrap w:val="0"/>
                  <w:vAlign w:val="center"/>
                </w:tcPr>
                <w:p>
                  <w:pPr>
                    <w:rPr>
                      <w:rFonts w:hint="eastAsia" w:cs="Times New Roman"/>
                      <w:szCs w:val="21"/>
                    </w:rPr>
                  </w:pPr>
                  <w:r>
                    <w:rPr>
                      <w:rFonts w:cs="Times New Roman"/>
                      <w:szCs w:val="21"/>
                    </w:rPr>
                    <w:t>禁止新建、扩建法律法规和相关政策明令禁止的落后产能项目。禁止新建、扩建不符合国家产能置换要求的严重过剩产能行业的项目。禁止新建、扩建不符合要求的高耗能高排放</w:t>
                  </w:r>
                  <w:r>
                    <w:rPr>
                      <w:rFonts w:hint="eastAsia" w:cs="Times New Roman"/>
                      <w:szCs w:val="21"/>
                    </w:rPr>
                    <w:t>项目。</w:t>
                  </w:r>
                </w:p>
              </w:tc>
              <w:tc>
                <w:tcPr>
                  <w:tcW w:w="815" w:type="pct"/>
                  <w:noWrap w:val="0"/>
                  <w:vAlign w:val="center"/>
                </w:tcPr>
                <w:p>
                  <w:pPr>
                    <w:jc w:val="center"/>
                    <w:rPr>
                      <w:rFonts w:hint="eastAsia" w:cs="Times New Roman"/>
                      <w:szCs w:val="21"/>
                    </w:rPr>
                  </w:pPr>
                  <w:r>
                    <w:rPr>
                      <w:rFonts w:cs="Times New Roman"/>
                      <w:szCs w:val="21"/>
                    </w:rPr>
                    <w:t>属于鼓励类项目</w:t>
                  </w:r>
                </w:p>
              </w:tc>
              <w:tc>
                <w:tcPr>
                  <w:tcW w:w="443" w:type="pct"/>
                  <w:noWrap w:val="0"/>
                  <w:vAlign w:val="center"/>
                </w:tcPr>
                <w:p>
                  <w:pPr>
                    <w:jc w:val="center"/>
                    <w:rPr>
                      <w:rFonts w:cs="Times New Roman"/>
                      <w:szCs w:val="21"/>
                    </w:rPr>
                  </w:pPr>
                  <w:r>
                    <w:rPr>
                      <w:rFonts w:cs="Times New Roman"/>
                      <w:szCs w:val="21"/>
                    </w:rPr>
                    <w:t>符合</w:t>
                  </w:r>
                </w:p>
              </w:tc>
            </w:tr>
          </w:tbl>
          <w:p>
            <w:pPr>
              <w:spacing w:line="276" w:lineRule="auto"/>
              <w:ind w:firstLine="422" w:firstLineChars="200"/>
              <w:rPr>
                <w:rFonts w:hint="eastAsia" w:cs="Times New Roman"/>
                <w:b/>
                <w:szCs w:val="21"/>
              </w:rPr>
            </w:pPr>
            <w:r>
              <w:rPr>
                <w:rFonts w:hint="eastAsia" w:cs="Times New Roman"/>
                <w:b/>
                <w:szCs w:val="21"/>
              </w:rPr>
              <w:t>6、与《四川省嘉陵江流域生态环境保护条例》的符合性分析</w:t>
            </w:r>
          </w:p>
          <w:p>
            <w:pPr>
              <w:spacing w:line="276" w:lineRule="auto"/>
              <w:ind w:firstLine="420" w:firstLineChars="200"/>
              <w:rPr>
                <w:rFonts w:hint="eastAsia" w:cs="Times New Roman"/>
                <w:bCs/>
                <w:szCs w:val="21"/>
              </w:rPr>
            </w:pPr>
            <w:r>
              <w:rPr>
                <w:rFonts w:hint="eastAsia" w:cs="Times New Roman"/>
                <w:bCs/>
                <w:szCs w:val="21"/>
              </w:rPr>
              <w:t>2021年11月25日四川省第十三届人民代表大会常务委员会第三十一次会议通过了《四川省嘉陵江流域生态环境保护条例》，本项目与其符合性分析见下表：</w:t>
            </w:r>
          </w:p>
          <w:p>
            <w:pPr>
              <w:pStyle w:val="2"/>
              <w:rPr>
                <w:rFonts w:hint="eastAsia"/>
              </w:rPr>
            </w:pPr>
          </w:p>
          <w:p>
            <w:pPr>
              <w:rPr>
                <w:rFonts w:hint="eastAsia"/>
              </w:rPr>
            </w:pPr>
          </w:p>
          <w:p>
            <w:pPr>
              <w:spacing w:line="276" w:lineRule="auto"/>
              <w:jc w:val="center"/>
              <w:rPr>
                <w:rFonts w:hint="eastAsia" w:cs="Times New Roman"/>
                <w:b/>
                <w:szCs w:val="21"/>
              </w:rPr>
            </w:pPr>
            <w:r>
              <w:rPr>
                <w:rFonts w:hint="eastAsia" w:cs="Times New Roman"/>
                <w:b/>
                <w:szCs w:val="21"/>
              </w:rPr>
              <w:t>表1-8 与《四川省嘉陵江流域生态环境保护条例》的符合性分析</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4326"/>
              <w:gridCol w:w="2503"/>
              <w:gridCol w:w="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jc w:val="center"/>
                    <w:rPr>
                      <w:rFonts w:hint="eastAsia"/>
                      <w:b/>
                      <w:szCs w:val="21"/>
                    </w:rPr>
                  </w:pPr>
                  <w:r>
                    <w:rPr>
                      <w:rFonts w:hint="eastAsia"/>
                      <w:b/>
                      <w:szCs w:val="21"/>
                    </w:rPr>
                    <w:t>名称</w:t>
                  </w:r>
                </w:p>
              </w:tc>
              <w:tc>
                <w:tcPr>
                  <w:tcW w:w="2551" w:type="pct"/>
                  <w:noWrap w:val="0"/>
                  <w:vAlign w:val="center"/>
                </w:tcPr>
                <w:p>
                  <w:pPr>
                    <w:jc w:val="center"/>
                    <w:rPr>
                      <w:b/>
                      <w:szCs w:val="21"/>
                    </w:rPr>
                  </w:pPr>
                  <w:r>
                    <w:rPr>
                      <w:rFonts w:hint="eastAsia"/>
                      <w:b/>
                      <w:szCs w:val="21"/>
                    </w:rPr>
                    <w:t>法律条文</w:t>
                  </w:r>
                </w:p>
              </w:tc>
              <w:tc>
                <w:tcPr>
                  <w:tcW w:w="1476" w:type="pct"/>
                  <w:noWrap w:val="0"/>
                  <w:vAlign w:val="center"/>
                </w:tcPr>
                <w:p>
                  <w:pPr>
                    <w:jc w:val="center"/>
                    <w:rPr>
                      <w:rFonts w:hint="eastAsia"/>
                      <w:b/>
                      <w:szCs w:val="21"/>
                    </w:rPr>
                  </w:pPr>
                  <w:r>
                    <w:rPr>
                      <w:rFonts w:hint="eastAsia"/>
                      <w:b/>
                      <w:szCs w:val="21"/>
                    </w:rPr>
                    <w:t>本项目情况</w:t>
                  </w:r>
                </w:p>
              </w:tc>
              <w:tc>
                <w:tcPr>
                  <w:tcW w:w="421" w:type="pct"/>
                  <w:noWrap w:val="0"/>
                  <w:vAlign w:val="center"/>
                </w:tcPr>
                <w:p>
                  <w:pPr>
                    <w:jc w:val="center"/>
                    <w:rPr>
                      <w:rFonts w:hint="eastAsia"/>
                      <w:b/>
                      <w:szCs w:val="21"/>
                    </w:rPr>
                  </w:pPr>
                  <w:r>
                    <w:rPr>
                      <w:rFonts w:hint="eastAsia"/>
                      <w:b/>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jc w:val="center"/>
                    <w:rPr>
                      <w:rFonts w:cs="Times New Roman"/>
                      <w:szCs w:val="21"/>
                    </w:rPr>
                  </w:pPr>
                  <w:r>
                    <w:rPr>
                      <w:rFonts w:hint="eastAsia" w:cs="Times New Roman"/>
                      <w:szCs w:val="21"/>
                    </w:rPr>
                    <w:t>第十七条</w:t>
                  </w:r>
                </w:p>
              </w:tc>
              <w:tc>
                <w:tcPr>
                  <w:tcW w:w="2551" w:type="pct"/>
                  <w:noWrap w:val="0"/>
                  <w:vAlign w:val="center"/>
                </w:tcPr>
                <w:p>
                  <w:pPr>
                    <w:jc w:val="left"/>
                    <w:rPr>
                      <w:rFonts w:hint="eastAsia" w:cs="Times New Roman"/>
                      <w:szCs w:val="21"/>
                    </w:rPr>
                  </w:pPr>
                  <w:r>
                    <w:rPr>
                      <w:rFonts w:hint="eastAsia" w:cs="Times New Roman"/>
                      <w:szCs w:val="21"/>
                    </w:rPr>
                    <w:t>禁止在嘉陵江干支流岸线一公里范围内新建、扩建化工园区和化工项目。</w:t>
                  </w:r>
                </w:p>
              </w:tc>
              <w:tc>
                <w:tcPr>
                  <w:tcW w:w="1476" w:type="pct"/>
                  <w:noWrap w:val="0"/>
                  <w:vAlign w:val="center"/>
                </w:tcPr>
                <w:p>
                  <w:pPr>
                    <w:jc w:val="center"/>
                    <w:rPr>
                      <w:rFonts w:hint="eastAsia" w:cs="Times New Roman"/>
                      <w:szCs w:val="21"/>
                    </w:rPr>
                  </w:pPr>
                  <w:r>
                    <w:rPr>
                      <w:rFonts w:cs="Times New Roman"/>
                      <w:szCs w:val="21"/>
                    </w:rPr>
                    <w:t>不</w:t>
                  </w:r>
                  <w:r>
                    <w:rPr>
                      <w:rFonts w:hint="eastAsia" w:cs="Times New Roman"/>
                      <w:szCs w:val="21"/>
                    </w:rPr>
                    <w:t>涉及该类禁止项目</w:t>
                  </w:r>
                </w:p>
              </w:tc>
              <w:tc>
                <w:tcPr>
                  <w:tcW w:w="421" w:type="pct"/>
                  <w:noWrap w:val="0"/>
                  <w:vAlign w:val="center"/>
                </w:tcPr>
                <w:p>
                  <w:pPr>
                    <w:jc w:val="center"/>
                    <w:rPr>
                      <w:rFonts w:hint="eastAsia" w:cs="Times New Roman"/>
                      <w:szCs w:val="21"/>
                    </w:rPr>
                  </w:pPr>
                  <w:r>
                    <w:rPr>
                      <w:rFonts w:hint="eastAsia"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jc w:val="center"/>
                    <w:rPr>
                      <w:rFonts w:cs="Times New Roman"/>
                      <w:szCs w:val="21"/>
                    </w:rPr>
                  </w:pPr>
                  <w:r>
                    <w:rPr>
                      <w:rFonts w:hint="eastAsia" w:cs="Times New Roman"/>
                      <w:szCs w:val="21"/>
                    </w:rPr>
                    <w:t>第二十一条</w:t>
                  </w:r>
                </w:p>
              </w:tc>
              <w:tc>
                <w:tcPr>
                  <w:tcW w:w="2551" w:type="pct"/>
                  <w:noWrap w:val="0"/>
                  <w:vAlign w:val="center"/>
                </w:tcPr>
                <w:p>
                  <w:pPr>
                    <w:jc w:val="left"/>
                    <w:rPr>
                      <w:rFonts w:hint="eastAsia" w:cs="Times New Roman"/>
                      <w:szCs w:val="21"/>
                    </w:rPr>
                  </w:pPr>
                  <w:r>
                    <w:rPr>
                      <w:rFonts w:hint="eastAsia" w:cs="Times New Roman"/>
                      <w:szCs w:val="21"/>
                    </w:rPr>
                    <w:t>按照排污许可证的规定排放污染物；禁止未取得排污许可证或者违反排污许可证的规定排放污染物。</w:t>
                  </w:r>
                </w:p>
              </w:tc>
              <w:tc>
                <w:tcPr>
                  <w:tcW w:w="1476" w:type="pct"/>
                  <w:noWrap w:val="0"/>
                  <w:vAlign w:val="center"/>
                </w:tcPr>
                <w:p>
                  <w:pPr>
                    <w:jc w:val="center"/>
                    <w:rPr>
                      <w:rFonts w:cs="Times New Roman"/>
                      <w:szCs w:val="21"/>
                    </w:rPr>
                  </w:pPr>
                  <w:r>
                    <w:rPr>
                      <w:rFonts w:cs="Times New Roman"/>
                      <w:szCs w:val="21"/>
                    </w:rPr>
                    <w:t>项目</w:t>
                  </w:r>
                  <w:r>
                    <w:rPr>
                      <w:rFonts w:hint="eastAsia" w:cs="Times New Roman"/>
                      <w:szCs w:val="21"/>
                    </w:rPr>
                    <w:t>不涉及排污</w:t>
                  </w:r>
                </w:p>
              </w:tc>
              <w:tc>
                <w:tcPr>
                  <w:tcW w:w="421" w:type="pct"/>
                  <w:noWrap w:val="0"/>
                  <w:vAlign w:val="center"/>
                </w:tcPr>
                <w:p>
                  <w:pPr>
                    <w:jc w:val="center"/>
                    <w:rPr>
                      <w:rFonts w:hint="eastAsia" w:cs="Times New Roman"/>
                      <w:szCs w:val="21"/>
                    </w:rPr>
                  </w:pPr>
                  <w:r>
                    <w:rPr>
                      <w:rFonts w:hint="eastAsia"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jc w:val="center"/>
                    <w:rPr>
                      <w:rFonts w:cs="Times New Roman"/>
                      <w:szCs w:val="21"/>
                    </w:rPr>
                  </w:pPr>
                  <w:r>
                    <w:rPr>
                      <w:rFonts w:hint="eastAsia" w:cs="Times New Roman"/>
                      <w:szCs w:val="21"/>
                    </w:rPr>
                    <w:t>第六十七条</w:t>
                  </w:r>
                </w:p>
              </w:tc>
              <w:tc>
                <w:tcPr>
                  <w:tcW w:w="2551" w:type="pct"/>
                  <w:noWrap w:val="0"/>
                  <w:vAlign w:val="center"/>
                </w:tcPr>
                <w:p>
                  <w:pPr>
                    <w:jc w:val="left"/>
                    <w:rPr>
                      <w:rFonts w:hint="eastAsia" w:cs="Times New Roman"/>
                      <w:szCs w:val="21"/>
                    </w:rPr>
                  </w:pPr>
                  <w:r>
                    <w:rPr>
                      <w:rFonts w:hint="eastAsia" w:cs="Times New Roman"/>
                      <w:szCs w:val="21"/>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工业集聚区管理机构应当建设污水集中处理设施和配套管网，实行雨污分流，实现废水分类收集、分质处理。排污单位对污水进行预处理后向污水集中处理设施排放的，应当符合污水集中处理设施的接纳标准。</w:t>
                  </w:r>
                </w:p>
              </w:tc>
              <w:tc>
                <w:tcPr>
                  <w:tcW w:w="1476" w:type="pct"/>
                  <w:noWrap w:val="0"/>
                  <w:vAlign w:val="center"/>
                </w:tcPr>
                <w:p>
                  <w:pPr>
                    <w:jc w:val="center"/>
                    <w:rPr>
                      <w:rFonts w:cs="Times New Roman"/>
                      <w:szCs w:val="21"/>
                    </w:rPr>
                  </w:pPr>
                  <w:r>
                    <w:rPr>
                      <w:rFonts w:cs="Times New Roman"/>
                      <w:szCs w:val="21"/>
                    </w:rPr>
                    <w:t>项目不属于重点水污染排放项目，也不属于高污染项目，</w:t>
                  </w:r>
                  <w:r>
                    <w:rPr>
                      <w:rFonts w:hint="eastAsia" w:cs="Times New Roman"/>
                      <w:szCs w:val="21"/>
                    </w:rPr>
                    <w:t>项目不外排工业废水；项目为自来水生产，不涉及前述禁止类项目；</w:t>
                  </w:r>
                  <w:r>
                    <w:rPr>
                      <w:rFonts w:cs="Times New Roman"/>
                      <w:szCs w:val="21"/>
                    </w:rPr>
                    <w:t>厂区采取雨污分流制。</w:t>
                  </w:r>
                </w:p>
              </w:tc>
              <w:tc>
                <w:tcPr>
                  <w:tcW w:w="421" w:type="pct"/>
                  <w:noWrap w:val="0"/>
                  <w:vAlign w:val="center"/>
                </w:tcPr>
                <w:p>
                  <w:pPr>
                    <w:jc w:val="center"/>
                    <w:rPr>
                      <w:rFonts w:hint="eastAsia" w:cs="Times New Roman"/>
                      <w:szCs w:val="21"/>
                    </w:rPr>
                  </w:pPr>
                  <w:r>
                    <w:rPr>
                      <w:rFonts w:hint="eastAsia"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jc w:val="center"/>
                    <w:rPr>
                      <w:rFonts w:cs="Times New Roman"/>
                      <w:szCs w:val="21"/>
                    </w:rPr>
                  </w:pPr>
                  <w:r>
                    <w:rPr>
                      <w:rFonts w:hint="eastAsia" w:cs="Times New Roman"/>
                      <w:szCs w:val="21"/>
                    </w:rPr>
                    <w:t>第七十三条</w:t>
                  </w:r>
                </w:p>
              </w:tc>
              <w:tc>
                <w:tcPr>
                  <w:tcW w:w="2551" w:type="pct"/>
                  <w:noWrap w:val="0"/>
                  <w:vAlign w:val="center"/>
                </w:tcPr>
                <w:p>
                  <w:pPr>
                    <w:jc w:val="left"/>
                    <w:rPr>
                      <w:rFonts w:hint="eastAsia" w:cs="Times New Roman"/>
                      <w:szCs w:val="21"/>
                    </w:rPr>
                  </w:pPr>
                  <w:r>
                    <w:rPr>
                      <w:rFonts w:hint="eastAsia" w:cs="Times New Roman"/>
                      <w:szCs w:val="21"/>
                    </w:rPr>
                    <w:t>禁止在嘉陵江流域河湖管理范围内倾倒、填埋、堆放、弃置、处理固体废物。</w:t>
                  </w:r>
                </w:p>
              </w:tc>
              <w:tc>
                <w:tcPr>
                  <w:tcW w:w="1476" w:type="pct"/>
                  <w:noWrap w:val="0"/>
                  <w:vAlign w:val="center"/>
                </w:tcPr>
                <w:p>
                  <w:pPr>
                    <w:jc w:val="center"/>
                    <w:rPr>
                      <w:rFonts w:hint="eastAsia" w:cs="Times New Roman"/>
                      <w:szCs w:val="21"/>
                    </w:rPr>
                  </w:pPr>
                  <w:r>
                    <w:rPr>
                      <w:rFonts w:cs="Times New Roman"/>
                      <w:szCs w:val="21"/>
                    </w:rPr>
                    <w:t>本项目固体废物严格按照相关要求进行收集和处置</w:t>
                  </w:r>
                  <w:r>
                    <w:rPr>
                      <w:rFonts w:hint="eastAsia" w:cs="Times New Roman"/>
                      <w:szCs w:val="21"/>
                    </w:rPr>
                    <w:t>，满足环保要求</w:t>
                  </w:r>
                </w:p>
              </w:tc>
              <w:tc>
                <w:tcPr>
                  <w:tcW w:w="421" w:type="pct"/>
                  <w:noWrap w:val="0"/>
                  <w:vAlign w:val="center"/>
                </w:tcPr>
                <w:p>
                  <w:pPr>
                    <w:jc w:val="center"/>
                    <w:rPr>
                      <w:rFonts w:hint="eastAsia" w:cs="Times New Roman"/>
                      <w:szCs w:val="21"/>
                    </w:rPr>
                  </w:pPr>
                  <w:r>
                    <w:rPr>
                      <w:rFonts w:hint="eastAsia"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jc w:val="center"/>
                    <w:rPr>
                      <w:rFonts w:cs="Times New Roman"/>
                      <w:szCs w:val="21"/>
                    </w:rPr>
                  </w:pPr>
                  <w:r>
                    <w:rPr>
                      <w:rFonts w:hint="eastAsia" w:cs="Times New Roman"/>
                      <w:szCs w:val="21"/>
                    </w:rPr>
                    <w:t>第八十条</w:t>
                  </w:r>
                </w:p>
              </w:tc>
              <w:tc>
                <w:tcPr>
                  <w:tcW w:w="2551" w:type="pct"/>
                  <w:noWrap w:val="0"/>
                  <w:vAlign w:val="center"/>
                </w:tcPr>
                <w:p>
                  <w:pPr>
                    <w:jc w:val="left"/>
                    <w:rPr>
                      <w:rFonts w:hint="eastAsia" w:cs="Times New Roman"/>
                      <w:szCs w:val="21"/>
                    </w:rPr>
                  </w:pPr>
                  <w:r>
                    <w:rPr>
                      <w:rFonts w:hint="eastAsia" w:cs="Times New Roman"/>
                      <w:szCs w:val="21"/>
                    </w:rPr>
                    <w:t>限期禁止生产、销售、进口、使用、转让严重污染水环境的工艺和设备。</w:t>
                  </w:r>
                </w:p>
              </w:tc>
              <w:tc>
                <w:tcPr>
                  <w:tcW w:w="1476" w:type="pct"/>
                  <w:noWrap w:val="0"/>
                  <w:vAlign w:val="center"/>
                </w:tcPr>
                <w:p>
                  <w:pPr>
                    <w:jc w:val="center"/>
                    <w:rPr>
                      <w:rFonts w:cs="Times New Roman"/>
                      <w:szCs w:val="21"/>
                    </w:rPr>
                  </w:pPr>
                  <w:r>
                    <w:rPr>
                      <w:rFonts w:cs="Times New Roman"/>
                      <w:szCs w:val="21"/>
                    </w:rPr>
                    <w:t>项目所用的设备、工艺不属于严重污染水环境的工艺和设备</w:t>
                  </w:r>
                </w:p>
              </w:tc>
              <w:tc>
                <w:tcPr>
                  <w:tcW w:w="421" w:type="pct"/>
                  <w:noWrap w:val="0"/>
                  <w:vAlign w:val="center"/>
                </w:tcPr>
                <w:p>
                  <w:pPr>
                    <w:jc w:val="center"/>
                    <w:rPr>
                      <w:rFonts w:hint="eastAsia" w:cs="Times New Roman"/>
                      <w:szCs w:val="21"/>
                    </w:rPr>
                  </w:pPr>
                  <w:r>
                    <w:rPr>
                      <w:rFonts w:hint="eastAsia" w:cs="Times New Roman"/>
                      <w:szCs w:val="21"/>
                    </w:rPr>
                    <w:t>符合</w:t>
                  </w:r>
                </w:p>
              </w:tc>
            </w:tr>
          </w:tbl>
          <w:p>
            <w:pPr>
              <w:spacing w:line="276" w:lineRule="auto"/>
              <w:ind w:firstLine="420" w:firstLineChars="200"/>
              <w:rPr>
                <w:rFonts w:hint="eastAsia" w:cs="Times New Roman"/>
                <w:szCs w:val="21"/>
              </w:rPr>
            </w:pPr>
          </w:p>
          <w:p>
            <w:pPr>
              <w:spacing w:line="276" w:lineRule="auto"/>
              <w:ind w:firstLine="422" w:firstLineChars="200"/>
              <w:rPr>
                <w:rFonts w:hint="eastAsia" w:cs="Times New Roman"/>
                <w:b/>
                <w:szCs w:val="21"/>
              </w:rPr>
            </w:pPr>
            <w:r>
              <w:rPr>
                <w:rFonts w:hint="eastAsia" w:cs="Times New Roman"/>
                <w:b/>
                <w:szCs w:val="21"/>
              </w:rPr>
              <w:t>综上分析，本项目符合三线一单环境分区管控要求，同时也符合《中华人民共和国长江保护法》《四川省、重庆市长江经济带发展负面清单实施细则（试行，2022年版）》《四川省嘉陵江流域生态环境保护条例》等相关环境准入清单的要求。</w:t>
            </w:r>
          </w:p>
          <w:p>
            <w:pPr>
              <w:spacing w:line="276" w:lineRule="auto"/>
              <w:ind w:firstLine="422" w:firstLineChars="200"/>
              <w:rPr>
                <w:rFonts w:hint="eastAsia" w:cs="Times New Roman"/>
                <w:b/>
                <w:szCs w:val="21"/>
              </w:rPr>
            </w:pPr>
          </w:p>
          <w:p>
            <w:pPr>
              <w:spacing w:line="276" w:lineRule="auto"/>
              <w:ind w:firstLine="420" w:firstLineChars="200"/>
              <w:rPr>
                <w:rFonts w:hint="eastAsia" w:cs="Times New Roman"/>
                <w:szCs w:val="21"/>
              </w:rPr>
            </w:pPr>
          </w:p>
          <w:p>
            <w:pPr>
              <w:pStyle w:val="2"/>
              <w:rPr>
                <w:rFonts w:hint="eastAsia"/>
              </w:rPr>
            </w:pPr>
          </w:p>
          <w:p>
            <w:pPr>
              <w:spacing w:line="276" w:lineRule="auto"/>
              <w:ind w:firstLine="420" w:firstLineChars="200"/>
              <w:rPr>
                <w:rFonts w:hint="eastAsia" w:cs="Times New Roman"/>
                <w:color w:val="FF00FF"/>
                <w:szCs w:val="21"/>
              </w:rPr>
            </w:pPr>
          </w:p>
          <w:p>
            <w:pPr>
              <w:spacing w:line="276" w:lineRule="auto"/>
              <w:ind w:firstLine="420" w:firstLineChars="200"/>
              <w:rPr>
                <w:rFonts w:hint="eastAsia" w:cs="Times New Roman"/>
                <w:color w:val="FF00FF"/>
                <w:szCs w:val="21"/>
              </w:rPr>
            </w:pPr>
          </w:p>
          <w:p>
            <w:pPr>
              <w:spacing w:line="276" w:lineRule="auto"/>
              <w:ind w:firstLine="420" w:firstLineChars="200"/>
              <w:rPr>
                <w:rFonts w:hint="eastAsia" w:cs="Times New Roman"/>
                <w:color w:val="FF00FF"/>
                <w:szCs w:val="21"/>
              </w:rPr>
            </w:pPr>
          </w:p>
          <w:p>
            <w:pPr>
              <w:spacing w:line="276" w:lineRule="auto"/>
              <w:ind w:firstLine="420" w:firstLineChars="200"/>
              <w:rPr>
                <w:rFonts w:hint="eastAsia" w:cs="Times New Roman"/>
                <w:color w:val="FF00FF"/>
                <w:szCs w:val="21"/>
              </w:rPr>
            </w:pPr>
          </w:p>
          <w:p>
            <w:pPr>
              <w:spacing w:line="276" w:lineRule="auto"/>
              <w:ind w:firstLine="420" w:firstLineChars="200"/>
              <w:rPr>
                <w:rFonts w:hint="eastAsia" w:cs="Times New Roman"/>
                <w:color w:val="FF00FF"/>
                <w:szCs w:val="21"/>
              </w:rPr>
            </w:pPr>
          </w:p>
          <w:p>
            <w:pPr>
              <w:spacing w:line="276" w:lineRule="auto"/>
              <w:ind w:firstLine="420" w:firstLineChars="200"/>
              <w:rPr>
                <w:rFonts w:hint="eastAsia" w:cs="Times New Roman"/>
                <w:color w:val="FF00FF"/>
                <w:szCs w:val="21"/>
              </w:rPr>
            </w:pPr>
          </w:p>
          <w:p>
            <w:pPr>
              <w:spacing w:line="276" w:lineRule="auto"/>
              <w:ind w:firstLine="420" w:firstLineChars="200"/>
              <w:rPr>
                <w:rFonts w:hint="eastAsia" w:cs="Times New Roman"/>
                <w:color w:val="FF00FF"/>
                <w:szCs w:val="21"/>
              </w:rPr>
            </w:pPr>
          </w:p>
          <w:p>
            <w:pPr>
              <w:spacing w:line="276" w:lineRule="auto"/>
              <w:ind w:firstLine="420" w:firstLineChars="200"/>
              <w:rPr>
                <w:rFonts w:hint="eastAsia" w:cs="Times New Roman"/>
                <w:color w:val="FF00FF"/>
                <w:szCs w:val="21"/>
              </w:rPr>
            </w:pPr>
          </w:p>
          <w:p>
            <w:pPr>
              <w:spacing w:line="276" w:lineRule="auto"/>
              <w:ind w:firstLine="420" w:firstLineChars="200"/>
              <w:rPr>
                <w:rFonts w:hint="eastAsia" w:cs="Times New Roman"/>
                <w:color w:val="FF00FF"/>
                <w:szCs w:val="21"/>
              </w:rPr>
            </w:pPr>
          </w:p>
          <w:p>
            <w:pPr>
              <w:spacing w:line="276" w:lineRule="auto"/>
              <w:rPr>
                <w:rFonts w:cs="Times New Roman"/>
                <w:color w:val="FF00FF"/>
                <w:szCs w:val="21"/>
              </w:rPr>
            </w:pPr>
          </w:p>
        </w:tc>
      </w:tr>
    </w:tbl>
    <w:p>
      <w:pPr>
        <w:spacing w:line="360" w:lineRule="auto"/>
        <w:rPr>
          <w:b/>
          <w:color w:val="FF00FF"/>
          <w:sz w:val="28"/>
          <w:szCs w:val="28"/>
        </w:rPr>
        <w:sectPr>
          <w:footerReference r:id="rId3" w:type="default"/>
          <w:pgSz w:w="11906" w:h="16838"/>
          <w:pgMar w:top="1134" w:right="1134" w:bottom="1134" w:left="1418" w:header="851" w:footer="992" w:gutter="0"/>
          <w:pgNumType w:start="1"/>
          <w:cols w:space="720" w:num="1"/>
          <w:docGrid w:type="lines" w:linePitch="312" w:charSpace="0"/>
        </w:sectPr>
      </w:pPr>
    </w:p>
    <w:p>
      <w:pPr>
        <w:pStyle w:val="60"/>
        <w:jc w:val="center"/>
        <w:rPr>
          <w:rFonts w:ascii="黑体" w:hAnsi="黑体" w:eastAsia="黑体"/>
          <w:b w:val="0"/>
          <w:sz w:val="30"/>
          <w:szCs w:val="30"/>
        </w:rPr>
      </w:pPr>
      <w:r>
        <w:rPr>
          <w:rFonts w:hint="eastAsia" w:ascii="黑体" w:hAnsi="黑体" w:eastAsia="黑体"/>
          <w:b w:val="0"/>
          <w:sz w:val="30"/>
          <w:szCs w:val="30"/>
        </w:rPr>
        <w:t>二、建设项目工程分析</w:t>
      </w:r>
    </w:p>
    <w:tbl>
      <w:tblPr>
        <w:tblStyle w:val="26"/>
        <w:tblW w:w="9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vAlign w:val="center"/>
          </w:tcPr>
          <w:p>
            <w:pPr>
              <w:spacing w:line="276" w:lineRule="auto"/>
              <w:jc w:val="center"/>
              <w:rPr>
                <w:rFonts w:cs="Times New Roman"/>
                <w:szCs w:val="21"/>
              </w:rPr>
            </w:pPr>
            <w:r>
              <w:rPr>
                <w:rFonts w:cs="Times New Roman"/>
                <w:szCs w:val="21"/>
              </w:rPr>
              <w:t>建设内容</w:t>
            </w:r>
          </w:p>
        </w:tc>
        <w:tc>
          <w:tcPr>
            <w:tcW w:w="9221" w:type="dxa"/>
            <w:noWrap w:val="0"/>
            <w:vAlign w:val="center"/>
          </w:tcPr>
          <w:p>
            <w:pPr>
              <w:spacing w:line="276" w:lineRule="auto"/>
              <w:ind w:firstLine="422" w:firstLineChars="200"/>
              <w:rPr>
                <w:b/>
                <w:szCs w:val="21"/>
              </w:rPr>
            </w:pPr>
            <w:r>
              <w:rPr>
                <w:rFonts w:hint="eastAsia"/>
                <w:b/>
                <w:szCs w:val="21"/>
              </w:rPr>
              <w:t>1、项目由来</w:t>
            </w:r>
          </w:p>
          <w:p>
            <w:pPr>
              <w:spacing w:line="276" w:lineRule="auto"/>
              <w:ind w:firstLine="420" w:firstLineChars="200"/>
              <w:rPr>
                <w:rFonts w:hint="eastAsia"/>
                <w:bCs/>
                <w:szCs w:val="21"/>
              </w:rPr>
            </w:pPr>
            <w:r>
              <w:rPr>
                <w:bCs/>
                <w:szCs w:val="21"/>
              </w:rPr>
              <w:t>达州市莲花湖水厂工程于达州市发改委2011年批准建设（达市发改审〔2011〕168号），一期一阶段建设规模7.5万m</w:t>
            </w:r>
            <w:r>
              <w:rPr>
                <w:bCs/>
                <w:szCs w:val="21"/>
                <w:vertAlign w:val="superscript"/>
              </w:rPr>
              <w:t>3</w:t>
            </w:r>
            <w:r>
              <w:rPr>
                <w:bCs/>
                <w:szCs w:val="21"/>
              </w:rPr>
              <w:t>/d，</w:t>
            </w:r>
            <w:r>
              <w:rPr>
                <w:rFonts w:hint="eastAsia"/>
                <w:bCs/>
                <w:szCs w:val="21"/>
              </w:rPr>
              <w:t>该项目环境影响报告表于2013年11月18日经原四川省环境保护厅以“川环审批〔2013〕700号”进行批复建设，项目</w:t>
            </w:r>
            <w:r>
              <w:rPr>
                <w:bCs/>
                <w:szCs w:val="21"/>
              </w:rPr>
              <w:t>于2015年建成通水</w:t>
            </w:r>
            <w:r>
              <w:rPr>
                <w:rFonts w:hint="eastAsia"/>
                <w:bCs/>
                <w:szCs w:val="21"/>
              </w:rPr>
              <w:t>，于2021年12月31日完成竣工环境保护自主验收</w:t>
            </w:r>
            <w:r>
              <w:rPr>
                <w:bCs/>
                <w:szCs w:val="21"/>
              </w:rPr>
              <w:t>。</w:t>
            </w:r>
          </w:p>
          <w:p>
            <w:pPr>
              <w:spacing w:line="276" w:lineRule="auto"/>
              <w:ind w:firstLine="420" w:firstLineChars="200"/>
              <w:rPr>
                <w:rFonts w:hint="eastAsia"/>
                <w:bCs/>
                <w:szCs w:val="21"/>
              </w:rPr>
            </w:pPr>
            <w:r>
              <w:rPr>
                <w:bCs/>
                <w:szCs w:val="21"/>
              </w:rPr>
              <w:t>近年来，随着达州市城市范围的扩大、经济的腾飞、城镇人口的迅猛增加和人民生活水平的逐步提高，供水服务范围不断扩大，特别是通川经开区、空港片区的建立和西城片区的飞速发展，使城市供水矛盾日益突出，无论从量到质都提出了更高的时代要求。再加上正在开展引水入竹工程前期工作，达州现有水厂供水量和供水水压已经不能满足人民生活、生产用水需求。为了解决城市供水紧缺的矛盾，确保饮用水水质，同时也是为了配合西部大开发的发展建设，达州市莲花湖水厂一期二阶段及配套管网工程的建设迫在眉睫。</w:t>
            </w:r>
          </w:p>
          <w:p>
            <w:pPr>
              <w:spacing w:line="276" w:lineRule="auto"/>
              <w:ind w:firstLine="420" w:firstLineChars="200"/>
              <w:rPr>
                <w:rFonts w:hint="eastAsia"/>
                <w:bCs/>
                <w:szCs w:val="21"/>
              </w:rPr>
            </w:pPr>
            <w:r>
              <w:rPr>
                <w:rFonts w:hint="eastAsia"/>
                <w:bCs/>
                <w:szCs w:val="21"/>
              </w:rPr>
              <w:t>本项目为自来水生产和供应工程，其行业类别属于“自来水生产和供应</w:t>
            </w:r>
            <w:r>
              <w:rPr>
                <w:bCs/>
                <w:szCs w:val="21"/>
              </w:rPr>
              <w:t>D4610</w:t>
            </w:r>
            <w:r>
              <w:rPr>
                <w:rFonts w:hint="eastAsia"/>
                <w:bCs/>
                <w:szCs w:val="21"/>
              </w:rPr>
              <w:t>”，经查阅《建设项目环境影响评价分类管理名录》（2021年版），项目属于“四十三、水的生产和供应业—94.自来水生产和供应461（不含供应工程；不含村庄供应工程）”类别，应编制环境影响报告表。具体分析见下表。</w:t>
            </w:r>
          </w:p>
          <w:p>
            <w:pPr>
              <w:pStyle w:val="9"/>
              <w:ind w:firstLine="0" w:firstLineChars="0"/>
              <w:jc w:val="center"/>
              <w:rPr>
                <w:rFonts w:hint="eastAsia"/>
                <w:b/>
                <w:bCs/>
                <w:sz w:val="18"/>
                <w:szCs w:val="18"/>
              </w:rPr>
            </w:pPr>
            <w:r>
              <w:rPr>
                <w:rFonts w:hint="eastAsia"/>
                <w:b/>
                <w:bCs/>
                <w:sz w:val="18"/>
                <w:szCs w:val="18"/>
              </w:rPr>
              <w:t>表2-1  本项目环评类别判定表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3276"/>
              <w:gridCol w:w="759"/>
              <w:gridCol w:w="759"/>
              <w:gridCol w:w="759"/>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tcBorders>
                    <w:tl2br w:val="single" w:color="auto" w:sz="4" w:space="0"/>
                  </w:tcBorders>
                  <w:noWrap w:val="0"/>
                  <w:vAlign w:val="center"/>
                </w:tcPr>
                <w:p>
                  <w:pPr>
                    <w:jc w:val="center"/>
                    <w:rPr>
                      <w:rFonts w:ascii="宋体" w:hAnsi="宋体" w:cs="Times New Roman"/>
                      <w:b/>
                      <w:bCs/>
                      <w:sz w:val="18"/>
                      <w:szCs w:val="18"/>
                    </w:rPr>
                  </w:pPr>
                  <w:r>
                    <w:rPr>
                      <w:rFonts w:ascii="宋体" w:hAnsi="宋体" w:cs="Times New Roman"/>
                      <w:b/>
                      <w:bCs/>
                      <w:sz w:val="18"/>
                      <w:szCs w:val="18"/>
                    </w:rPr>
                    <w:t>环评类别</w:t>
                  </w:r>
                </w:p>
                <w:p>
                  <w:pPr>
                    <w:jc w:val="center"/>
                    <w:rPr>
                      <w:rFonts w:ascii="宋体" w:hAnsi="宋体" w:cs="Times New Roman"/>
                      <w:b/>
                      <w:bCs/>
                      <w:sz w:val="18"/>
                      <w:szCs w:val="18"/>
                    </w:rPr>
                  </w:pPr>
                  <w:r>
                    <w:rPr>
                      <w:rFonts w:ascii="宋体" w:hAnsi="宋体" w:cs="Times New Roman"/>
                      <w:b/>
                      <w:sz w:val="18"/>
                      <w:szCs w:val="18"/>
                    </w:rPr>
                    <w:t>项目类别</w:t>
                  </w:r>
                </w:p>
              </w:tc>
              <w:tc>
                <w:tcPr>
                  <w:tcW w:w="0" w:type="auto"/>
                  <w:noWrap w:val="0"/>
                  <w:vAlign w:val="center"/>
                </w:tcPr>
                <w:p>
                  <w:pPr>
                    <w:jc w:val="center"/>
                    <w:rPr>
                      <w:rFonts w:ascii="宋体" w:hAnsi="宋体" w:cs="Times New Roman"/>
                      <w:b/>
                      <w:bCs/>
                      <w:sz w:val="18"/>
                      <w:szCs w:val="18"/>
                    </w:rPr>
                  </w:pPr>
                  <w:r>
                    <w:rPr>
                      <w:rFonts w:ascii="宋体" w:hAnsi="宋体" w:cs="Times New Roman"/>
                      <w:b/>
                      <w:bCs/>
                      <w:sz w:val="18"/>
                      <w:szCs w:val="18"/>
                    </w:rPr>
                    <w:t>报告书</w:t>
                  </w:r>
                </w:p>
              </w:tc>
              <w:tc>
                <w:tcPr>
                  <w:tcW w:w="0" w:type="auto"/>
                  <w:noWrap w:val="0"/>
                  <w:vAlign w:val="center"/>
                </w:tcPr>
                <w:p>
                  <w:pPr>
                    <w:jc w:val="center"/>
                    <w:rPr>
                      <w:rFonts w:ascii="宋体" w:hAnsi="宋体" w:cs="Times New Roman"/>
                      <w:b/>
                      <w:bCs/>
                      <w:sz w:val="18"/>
                      <w:szCs w:val="18"/>
                    </w:rPr>
                  </w:pPr>
                  <w:r>
                    <w:rPr>
                      <w:rFonts w:ascii="宋体" w:hAnsi="宋体" w:cs="Times New Roman"/>
                      <w:b/>
                      <w:bCs/>
                      <w:sz w:val="18"/>
                      <w:szCs w:val="18"/>
                    </w:rPr>
                    <w:t>报告表</w:t>
                  </w:r>
                </w:p>
              </w:tc>
              <w:tc>
                <w:tcPr>
                  <w:tcW w:w="0" w:type="auto"/>
                  <w:noWrap w:val="0"/>
                  <w:vAlign w:val="center"/>
                </w:tcPr>
                <w:p>
                  <w:pPr>
                    <w:jc w:val="center"/>
                    <w:rPr>
                      <w:rFonts w:ascii="宋体" w:hAnsi="宋体" w:cs="Times New Roman"/>
                      <w:b/>
                      <w:bCs/>
                      <w:sz w:val="18"/>
                      <w:szCs w:val="18"/>
                    </w:rPr>
                  </w:pPr>
                  <w:r>
                    <w:rPr>
                      <w:rFonts w:ascii="宋体" w:hAnsi="宋体" w:cs="Times New Roman"/>
                      <w:b/>
                      <w:bCs/>
                      <w:sz w:val="18"/>
                      <w:szCs w:val="18"/>
                    </w:rPr>
                    <w:t>登记表</w:t>
                  </w:r>
                </w:p>
              </w:tc>
              <w:tc>
                <w:tcPr>
                  <w:tcW w:w="0" w:type="auto"/>
                  <w:noWrap w:val="0"/>
                  <w:vAlign w:val="center"/>
                </w:tcPr>
                <w:p>
                  <w:pPr>
                    <w:jc w:val="center"/>
                    <w:rPr>
                      <w:rFonts w:ascii="宋体" w:hAnsi="宋体" w:cs="Times New Roman"/>
                      <w:b/>
                      <w:bCs/>
                      <w:sz w:val="18"/>
                      <w:szCs w:val="18"/>
                    </w:rPr>
                  </w:pPr>
                  <w:r>
                    <w:rPr>
                      <w:rFonts w:ascii="宋体" w:hAnsi="宋体" w:cs="Times New Roman"/>
                      <w:b/>
                      <w:bCs/>
                      <w:sz w:val="18"/>
                      <w:szCs w:val="18"/>
                    </w:rPr>
                    <w:t>本栏目环境</w:t>
                  </w:r>
                </w:p>
                <w:p>
                  <w:pPr>
                    <w:jc w:val="center"/>
                    <w:rPr>
                      <w:rFonts w:ascii="宋体" w:hAnsi="宋体" w:cs="Times New Roman"/>
                      <w:b/>
                      <w:bCs/>
                      <w:sz w:val="18"/>
                      <w:szCs w:val="18"/>
                    </w:rPr>
                  </w:pPr>
                  <w:r>
                    <w:rPr>
                      <w:rFonts w:ascii="宋体" w:hAnsi="宋体" w:cs="Times New Roman"/>
                      <w:b/>
                      <w:bCs/>
                      <w:sz w:val="18"/>
                      <w:szCs w:val="18"/>
                    </w:rPr>
                    <w:t>敏感区含义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6"/>
                  <w:noWrap w:val="0"/>
                  <w:vAlign w:val="center"/>
                </w:tcPr>
                <w:p>
                  <w:pPr>
                    <w:rPr>
                      <w:rFonts w:ascii="宋体" w:hAnsi="宋体" w:cs="Times New Roman"/>
                      <w:bCs/>
                      <w:sz w:val="18"/>
                      <w:szCs w:val="18"/>
                    </w:rPr>
                  </w:pPr>
                  <w:r>
                    <w:rPr>
                      <w:rFonts w:ascii="宋体" w:hAnsi="宋体" w:cs="Times New Roman"/>
                      <w:bCs/>
                      <w:sz w:val="18"/>
                      <w:szCs w:val="18"/>
                    </w:rPr>
                    <w:t>四十三、水的生产和供应业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rFonts w:ascii="宋体" w:hAnsi="宋体" w:cs="Times New Roman"/>
                      <w:bCs/>
                      <w:sz w:val="18"/>
                      <w:szCs w:val="18"/>
                    </w:rPr>
                  </w:pPr>
                  <w:r>
                    <w:rPr>
                      <w:rFonts w:ascii="宋体" w:hAnsi="宋体" w:cs="Times New Roman"/>
                      <w:bCs/>
                      <w:sz w:val="18"/>
                      <w:szCs w:val="18"/>
                    </w:rPr>
                    <w:t>94</w:t>
                  </w:r>
                </w:p>
              </w:tc>
              <w:tc>
                <w:tcPr>
                  <w:tcW w:w="0" w:type="auto"/>
                  <w:noWrap w:val="0"/>
                  <w:vAlign w:val="center"/>
                </w:tcPr>
                <w:p>
                  <w:pPr>
                    <w:jc w:val="center"/>
                    <w:rPr>
                      <w:rFonts w:ascii="宋体" w:hAnsi="宋体" w:cs="Times New Roman"/>
                      <w:bCs/>
                      <w:sz w:val="18"/>
                      <w:szCs w:val="18"/>
                    </w:rPr>
                  </w:pPr>
                  <w:r>
                    <w:rPr>
                      <w:rFonts w:ascii="宋体" w:hAnsi="宋体" w:cs="Times New Roman"/>
                      <w:bCs/>
                      <w:sz w:val="18"/>
                      <w:szCs w:val="18"/>
                    </w:rPr>
                    <w:t>自来水生产和供应461</w:t>
                  </w:r>
                </w:p>
                <w:p>
                  <w:pPr>
                    <w:jc w:val="center"/>
                    <w:rPr>
                      <w:rFonts w:ascii="宋体" w:hAnsi="宋体" w:cs="Times New Roman"/>
                      <w:bCs/>
                      <w:sz w:val="18"/>
                      <w:szCs w:val="18"/>
                    </w:rPr>
                  </w:pPr>
                  <w:r>
                    <w:rPr>
                      <w:rFonts w:ascii="宋体" w:hAnsi="宋体" w:cs="Times New Roman"/>
                      <w:bCs/>
                      <w:sz w:val="18"/>
                      <w:szCs w:val="18"/>
                    </w:rPr>
                    <w:t>（不含供应工程；不含村庄供应工程）</w:t>
                  </w:r>
                </w:p>
              </w:tc>
              <w:tc>
                <w:tcPr>
                  <w:tcW w:w="0" w:type="auto"/>
                  <w:noWrap w:val="0"/>
                  <w:vAlign w:val="center"/>
                </w:tcPr>
                <w:p>
                  <w:pPr>
                    <w:jc w:val="center"/>
                    <w:rPr>
                      <w:rFonts w:ascii="宋体" w:hAnsi="宋体" w:cs="Times New Roman"/>
                      <w:bCs/>
                      <w:sz w:val="18"/>
                      <w:szCs w:val="18"/>
                    </w:rPr>
                  </w:pPr>
                  <w:r>
                    <w:rPr>
                      <w:rFonts w:ascii="宋体" w:hAnsi="宋体" w:cs="Times New Roman"/>
                      <w:bCs/>
                      <w:sz w:val="18"/>
                      <w:szCs w:val="18"/>
                    </w:rPr>
                    <w:t>/</w:t>
                  </w:r>
                </w:p>
              </w:tc>
              <w:tc>
                <w:tcPr>
                  <w:tcW w:w="0" w:type="auto"/>
                  <w:noWrap w:val="0"/>
                  <w:vAlign w:val="center"/>
                </w:tcPr>
                <w:p>
                  <w:pPr>
                    <w:jc w:val="center"/>
                    <w:rPr>
                      <w:rFonts w:ascii="宋体" w:hAnsi="宋体" w:cs="Times New Roman"/>
                      <w:bCs/>
                      <w:sz w:val="18"/>
                      <w:szCs w:val="18"/>
                    </w:rPr>
                  </w:pPr>
                  <w:r>
                    <w:rPr>
                      <w:rFonts w:ascii="宋体" w:hAnsi="宋体" w:cs="Times New Roman"/>
                      <w:bCs/>
                      <w:sz w:val="18"/>
                      <w:szCs w:val="18"/>
                    </w:rPr>
                    <w:t>全部</w:t>
                  </w:r>
                </w:p>
              </w:tc>
              <w:tc>
                <w:tcPr>
                  <w:tcW w:w="0" w:type="auto"/>
                  <w:noWrap w:val="0"/>
                  <w:vAlign w:val="center"/>
                </w:tcPr>
                <w:p>
                  <w:pPr>
                    <w:jc w:val="center"/>
                    <w:rPr>
                      <w:rFonts w:ascii="宋体" w:hAnsi="宋体" w:cs="Times New Roman"/>
                      <w:bCs/>
                      <w:sz w:val="18"/>
                      <w:szCs w:val="18"/>
                    </w:rPr>
                  </w:pPr>
                  <w:r>
                    <w:rPr>
                      <w:rFonts w:ascii="宋体" w:hAnsi="宋体" w:cs="Times New Roman"/>
                      <w:bCs/>
                      <w:sz w:val="18"/>
                      <w:szCs w:val="18"/>
                    </w:rPr>
                    <w:t>/</w:t>
                  </w:r>
                </w:p>
              </w:tc>
              <w:tc>
                <w:tcPr>
                  <w:tcW w:w="0" w:type="auto"/>
                  <w:noWrap w:val="0"/>
                  <w:vAlign w:val="center"/>
                </w:tcPr>
                <w:p>
                  <w:pPr>
                    <w:jc w:val="center"/>
                    <w:rPr>
                      <w:rFonts w:ascii="宋体" w:hAnsi="宋体"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rFonts w:ascii="宋体" w:hAnsi="宋体" w:cs="Times New Roman"/>
                      <w:bCs/>
                      <w:sz w:val="18"/>
                      <w:szCs w:val="18"/>
                    </w:rPr>
                  </w:pPr>
                  <w:r>
                    <w:rPr>
                      <w:rFonts w:ascii="宋体" w:hAnsi="宋体" w:cs="Times New Roman"/>
                      <w:bCs/>
                      <w:sz w:val="18"/>
                      <w:szCs w:val="18"/>
                    </w:rPr>
                    <w:t>本项目建设内容</w:t>
                  </w:r>
                </w:p>
              </w:tc>
              <w:tc>
                <w:tcPr>
                  <w:tcW w:w="0" w:type="auto"/>
                  <w:gridSpan w:val="5"/>
                  <w:noWrap w:val="0"/>
                  <w:vAlign w:val="center"/>
                </w:tcPr>
                <w:p>
                  <w:pPr>
                    <w:jc w:val="left"/>
                    <w:rPr>
                      <w:rFonts w:ascii="宋体" w:hAnsi="宋体" w:cs="Times New Roman"/>
                      <w:szCs w:val="21"/>
                    </w:rPr>
                  </w:pPr>
                  <w:r>
                    <w:rPr>
                      <w:rFonts w:ascii="宋体" w:hAnsi="宋体" w:cs="Times New Roman"/>
                      <w:szCs w:val="21"/>
                    </w:rPr>
                    <w:t>（1）净水厂：扩建7.5万m³/d日供水能力的净水厂</w:t>
                  </w:r>
                  <w:r>
                    <w:rPr>
                      <w:rFonts w:hint="eastAsia" w:ascii="宋体" w:hAnsi="宋体" w:cs="Times New Roman"/>
                      <w:szCs w:val="21"/>
                    </w:rPr>
                    <w:t>工程</w:t>
                  </w:r>
                  <w:r>
                    <w:rPr>
                      <w:rFonts w:ascii="宋体" w:hAnsi="宋体" w:cs="Times New Roman"/>
                      <w:szCs w:val="21"/>
                    </w:rPr>
                    <w:t>1座；</w:t>
                  </w:r>
                </w:p>
                <w:p>
                  <w:pPr>
                    <w:jc w:val="left"/>
                    <w:rPr>
                      <w:rFonts w:ascii="宋体" w:hAnsi="宋体" w:cs="Times New Roman"/>
                      <w:bCs/>
                      <w:sz w:val="18"/>
                      <w:szCs w:val="18"/>
                    </w:rPr>
                  </w:pPr>
                  <w:r>
                    <w:rPr>
                      <w:rFonts w:ascii="宋体" w:hAnsi="宋体" w:cs="Times New Roman"/>
                      <w:szCs w:val="21"/>
                    </w:rPr>
                    <w:t>（2）自来水供应工程：DN1000</w:t>
                  </w:r>
                  <w:r>
                    <w:rPr>
                      <w:rFonts w:hint="eastAsia" w:ascii="宋体" w:hAnsi="宋体" w:cs="Times New Roman"/>
                      <w:szCs w:val="21"/>
                    </w:rPr>
                    <w:t>—</w:t>
                  </w:r>
                  <w:r>
                    <w:rPr>
                      <w:rFonts w:ascii="宋体" w:hAnsi="宋体" w:cs="Times New Roman"/>
                      <w:szCs w:val="21"/>
                    </w:rPr>
                    <w:t>DN1200配水管道约35.9km。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rFonts w:ascii="宋体" w:hAnsi="宋体" w:cs="Times New Roman"/>
                      <w:bCs/>
                      <w:sz w:val="18"/>
                      <w:szCs w:val="18"/>
                    </w:rPr>
                  </w:pPr>
                  <w:r>
                    <w:rPr>
                      <w:rFonts w:ascii="宋体" w:hAnsi="宋体" w:cs="Times New Roman"/>
                      <w:bCs/>
                      <w:sz w:val="18"/>
                      <w:szCs w:val="18"/>
                    </w:rPr>
                    <w:t>判定结果</w:t>
                  </w:r>
                </w:p>
              </w:tc>
              <w:tc>
                <w:tcPr>
                  <w:tcW w:w="0" w:type="auto"/>
                  <w:gridSpan w:val="5"/>
                  <w:noWrap w:val="0"/>
                  <w:vAlign w:val="center"/>
                </w:tcPr>
                <w:p>
                  <w:pPr>
                    <w:jc w:val="left"/>
                    <w:rPr>
                      <w:rFonts w:hint="eastAsia" w:ascii="宋体" w:hAnsi="宋体" w:cs="Times New Roman"/>
                      <w:bCs/>
                      <w:sz w:val="18"/>
                      <w:szCs w:val="18"/>
                    </w:rPr>
                  </w:pPr>
                  <w:r>
                    <w:rPr>
                      <w:rFonts w:hint="eastAsia" w:ascii="宋体" w:hAnsi="宋体" w:cs="Times New Roman"/>
                      <w:bCs/>
                      <w:sz w:val="18"/>
                      <w:szCs w:val="18"/>
                    </w:rPr>
                    <w:t>（1）环评类别为编制环境影响报告表；</w:t>
                  </w:r>
                </w:p>
                <w:p>
                  <w:pPr>
                    <w:jc w:val="left"/>
                    <w:rPr>
                      <w:rFonts w:hint="eastAsia" w:ascii="宋体" w:hAnsi="宋体" w:cs="Times New Roman"/>
                      <w:bCs/>
                      <w:sz w:val="18"/>
                      <w:szCs w:val="18"/>
                    </w:rPr>
                  </w:pPr>
                  <w:r>
                    <w:rPr>
                      <w:rFonts w:hint="eastAsia" w:ascii="宋体" w:hAnsi="宋体" w:cs="Times New Roman"/>
                      <w:bCs/>
                      <w:sz w:val="18"/>
                      <w:szCs w:val="18"/>
                    </w:rPr>
                    <w:t>（2）由于配水管道属于自来水供应工程，按分类名录该部分可以不做环评。</w:t>
                  </w:r>
                </w:p>
              </w:tc>
            </w:tr>
          </w:tbl>
          <w:p>
            <w:pPr>
              <w:rPr>
                <w:rFonts w:hint="eastAsia"/>
              </w:rPr>
            </w:pPr>
          </w:p>
          <w:p>
            <w:pPr>
              <w:pStyle w:val="2"/>
              <w:ind w:left="0" w:leftChars="0" w:firstLine="422"/>
              <w:rPr>
                <w:rFonts w:hint="eastAsia"/>
                <w:b/>
              </w:rPr>
            </w:pPr>
            <w:r>
              <w:rPr>
                <w:rFonts w:hint="eastAsia"/>
                <w:b/>
                <w:bCs/>
                <w:szCs w:val="21"/>
              </w:rPr>
              <w:t>本项目设计仅包括自来水厂和供水管网工程，不包括原水取水和输水工程，故对该部分不做评价。鉴于</w:t>
            </w:r>
            <w:r>
              <w:rPr>
                <w:rFonts w:hint="eastAsia"/>
                <w:b/>
              </w:rPr>
              <w:t>配水管道属于自来水供应工程，按分类名录该部分可以不做环评。因此，本环境影响报告表的评价范围仅包括净水厂工程。</w:t>
            </w:r>
          </w:p>
          <w:p>
            <w:pPr>
              <w:spacing w:line="276" w:lineRule="auto"/>
              <w:ind w:firstLine="420" w:firstLineChars="200"/>
              <w:rPr>
                <w:rFonts w:hint="eastAsia"/>
                <w:bCs/>
                <w:szCs w:val="21"/>
              </w:rPr>
            </w:pPr>
            <w:r>
              <w:rPr>
                <w:rFonts w:hint="eastAsia"/>
                <w:bCs/>
                <w:szCs w:val="21"/>
              </w:rPr>
              <w:t>受建设单位委托，我公司在掌握了充分的资料数据基础上，对有关环境现状和影响进行分析后，按照《建设项目环境影响报告表编制技术指南（污染影响类）（试行）》相关标准和规范的要求，编制完成了《达州市莲花湖水厂一期二阶段及配套管网工程环境影响报告表》（送审本）。</w:t>
            </w:r>
          </w:p>
          <w:p>
            <w:pPr>
              <w:spacing w:line="276" w:lineRule="auto"/>
              <w:ind w:firstLine="422" w:firstLineChars="200"/>
              <w:rPr>
                <w:rFonts w:cs="Times New Roman"/>
                <w:b/>
                <w:szCs w:val="21"/>
              </w:rPr>
            </w:pPr>
            <w:r>
              <w:rPr>
                <w:rFonts w:hint="eastAsia" w:cs="Times New Roman"/>
                <w:b/>
                <w:szCs w:val="21"/>
              </w:rPr>
              <w:t>2、</w:t>
            </w:r>
            <w:r>
              <w:rPr>
                <w:rFonts w:cs="Times New Roman"/>
                <w:b/>
                <w:szCs w:val="21"/>
              </w:rPr>
              <w:t>项目概况</w:t>
            </w:r>
          </w:p>
          <w:p>
            <w:pPr>
              <w:spacing w:line="276" w:lineRule="auto"/>
              <w:ind w:firstLine="422" w:firstLineChars="200"/>
              <w:rPr>
                <w:szCs w:val="21"/>
              </w:rPr>
            </w:pPr>
            <w:r>
              <w:rPr>
                <w:rFonts w:hint="eastAsia"/>
                <w:b/>
                <w:bCs/>
                <w:szCs w:val="21"/>
              </w:rPr>
              <w:t>项目名称：</w:t>
            </w:r>
            <w:r>
              <w:rPr>
                <w:rFonts w:hint="eastAsia"/>
                <w:bCs/>
                <w:szCs w:val="21"/>
              </w:rPr>
              <w:t>达州市莲花湖水厂一期二阶段及配套管网工程</w:t>
            </w:r>
          </w:p>
          <w:p>
            <w:pPr>
              <w:spacing w:line="276" w:lineRule="auto"/>
              <w:ind w:firstLine="422" w:firstLineChars="200"/>
              <w:rPr>
                <w:szCs w:val="21"/>
              </w:rPr>
            </w:pPr>
            <w:r>
              <w:rPr>
                <w:rFonts w:hint="eastAsia"/>
                <w:b/>
                <w:bCs/>
                <w:szCs w:val="21"/>
              </w:rPr>
              <w:t>建设单位：</w:t>
            </w:r>
            <w:r>
              <w:rPr>
                <w:rFonts w:hint="eastAsia"/>
                <w:szCs w:val="21"/>
              </w:rPr>
              <w:t>达州水务集团有限公司</w:t>
            </w:r>
          </w:p>
          <w:p>
            <w:pPr>
              <w:spacing w:line="276" w:lineRule="auto"/>
              <w:ind w:firstLine="422" w:firstLineChars="200"/>
              <w:rPr>
                <w:rFonts w:cs="Times New Roman"/>
                <w:szCs w:val="21"/>
              </w:rPr>
            </w:pPr>
            <w:r>
              <w:rPr>
                <w:rFonts w:hint="eastAsia"/>
                <w:b/>
                <w:bCs/>
                <w:szCs w:val="21"/>
              </w:rPr>
              <w:t>建设地点：</w:t>
            </w:r>
            <w:r>
              <w:rPr>
                <w:rFonts w:hint="eastAsia" w:cs="Times New Roman"/>
                <w:szCs w:val="21"/>
              </w:rPr>
              <w:t>达州通川区邱家店社区、新酢坊社区（现莲花湖水厂西侧）</w:t>
            </w:r>
          </w:p>
          <w:p>
            <w:pPr>
              <w:spacing w:line="276" w:lineRule="auto"/>
              <w:ind w:firstLine="422" w:firstLineChars="200"/>
              <w:rPr>
                <w:rFonts w:hint="eastAsia"/>
                <w:szCs w:val="21"/>
              </w:rPr>
            </w:pPr>
            <w:r>
              <w:rPr>
                <w:rFonts w:hint="eastAsia"/>
                <w:b/>
                <w:bCs/>
                <w:szCs w:val="21"/>
              </w:rPr>
              <w:t>建设性质：</w:t>
            </w:r>
            <w:r>
              <w:rPr>
                <w:rFonts w:hint="eastAsia"/>
                <w:szCs w:val="21"/>
              </w:rPr>
              <w:t>扩建</w:t>
            </w:r>
          </w:p>
          <w:p>
            <w:pPr>
              <w:spacing w:line="276" w:lineRule="auto"/>
              <w:ind w:firstLine="422" w:firstLineChars="200"/>
              <w:rPr>
                <w:szCs w:val="21"/>
              </w:rPr>
            </w:pPr>
            <w:r>
              <w:rPr>
                <w:rFonts w:hint="eastAsia"/>
                <w:b/>
                <w:bCs/>
                <w:szCs w:val="21"/>
              </w:rPr>
              <w:t>项目投资：</w:t>
            </w:r>
            <w:r>
              <w:rPr>
                <w:rFonts w:hint="eastAsia"/>
                <w:szCs w:val="21"/>
              </w:rPr>
              <w:t>总投资</w:t>
            </w:r>
            <w:r>
              <w:rPr>
                <w:rFonts w:cs="Times New Roman"/>
                <w:szCs w:val="21"/>
              </w:rPr>
              <w:t>62064</w:t>
            </w:r>
            <w:r>
              <w:rPr>
                <w:szCs w:val="21"/>
              </w:rPr>
              <w:t>万元</w:t>
            </w:r>
          </w:p>
          <w:p>
            <w:pPr>
              <w:spacing w:line="276" w:lineRule="auto"/>
              <w:ind w:firstLine="422" w:firstLineChars="200"/>
              <w:rPr>
                <w:rFonts w:hint="eastAsia"/>
                <w:szCs w:val="21"/>
              </w:rPr>
            </w:pPr>
            <w:r>
              <w:rPr>
                <w:rFonts w:hint="eastAsia"/>
                <w:b/>
                <w:bCs/>
                <w:szCs w:val="21"/>
              </w:rPr>
              <w:t>供水用途：</w:t>
            </w:r>
            <w:r>
              <w:rPr>
                <w:rFonts w:hint="eastAsia"/>
                <w:szCs w:val="21"/>
              </w:rPr>
              <w:t>饮用水</w:t>
            </w:r>
          </w:p>
          <w:p>
            <w:pPr>
              <w:spacing w:line="276" w:lineRule="auto"/>
              <w:ind w:firstLine="422" w:firstLineChars="200"/>
              <w:rPr>
                <w:rFonts w:hint="eastAsia"/>
                <w:szCs w:val="21"/>
              </w:rPr>
            </w:pPr>
            <w:r>
              <w:rPr>
                <w:rFonts w:hint="eastAsia"/>
                <w:b/>
                <w:bCs/>
                <w:szCs w:val="21"/>
              </w:rPr>
              <w:t>净水</w:t>
            </w:r>
            <w:r>
              <w:rPr>
                <w:rFonts w:hint="eastAsia"/>
                <w:b/>
                <w:szCs w:val="21"/>
              </w:rPr>
              <w:t>工艺：</w:t>
            </w:r>
            <w:r>
              <w:rPr>
                <w:rFonts w:hint="eastAsia"/>
                <w:szCs w:val="21"/>
              </w:rPr>
              <w:t>采用“原水→配水井→</w:t>
            </w:r>
            <w:r>
              <w:rPr>
                <w:szCs w:val="21"/>
              </w:rPr>
              <w:t>预沉絮凝沉淀池</w:t>
            </w:r>
            <w:r>
              <w:rPr>
                <w:rFonts w:hint="eastAsia"/>
                <w:szCs w:val="21"/>
              </w:rPr>
              <w:t>→V型滤池→二氧化氯消毒→清水池→管输至用水户”。</w:t>
            </w:r>
          </w:p>
          <w:p>
            <w:pPr>
              <w:pStyle w:val="24"/>
              <w:spacing w:before="0" w:beforeAutospacing="0" w:after="0" w:afterAutospacing="0" w:line="360" w:lineRule="auto"/>
              <w:ind w:firstLine="422" w:firstLineChars="200"/>
              <w:jc w:val="both"/>
              <w:rPr>
                <w:rFonts w:ascii="Times New Roman" w:hAnsi="Times New Roman"/>
                <w:b/>
                <w:sz w:val="21"/>
                <w:szCs w:val="21"/>
              </w:rPr>
            </w:pPr>
            <w:r>
              <w:rPr>
                <w:rFonts w:hint="eastAsia" w:ascii="Times New Roman" w:hAnsi="Times New Roman"/>
                <w:b/>
                <w:sz w:val="21"/>
                <w:szCs w:val="21"/>
              </w:rPr>
              <w:t>3</w:t>
            </w:r>
            <w:r>
              <w:rPr>
                <w:rFonts w:ascii="Times New Roman" w:hAnsi="Times New Roman"/>
                <w:b/>
                <w:sz w:val="21"/>
                <w:szCs w:val="21"/>
              </w:rPr>
              <w:t>、建设内容和规模</w:t>
            </w:r>
          </w:p>
          <w:p>
            <w:pPr>
              <w:spacing w:before="156" w:beforeLines="50" w:line="360" w:lineRule="auto"/>
              <w:ind w:firstLine="420" w:firstLineChars="200"/>
              <w:rPr>
                <w:szCs w:val="21"/>
              </w:rPr>
            </w:pPr>
            <w:r>
              <w:rPr>
                <w:szCs w:val="21"/>
              </w:rPr>
              <w:t>项目在莲花湖水厂</w:t>
            </w:r>
            <w:r>
              <w:rPr>
                <w:rFonts w:hint="eastAsia"/>
                <w:szCs w:val="21"/>
              </w:rPr>
              <w:t>西侧</w:t>
            </w:r>
            <w:r>
              <w:rPr>
                <w:szCs w:val="21"/>
              </w:rPr>
              <w:t>增加7.5万m³/d日供水能力的净水厂，采用常规水处理工艺，</w:t>
            </w:r>
            <w:r>
              <w:rPr>
                <w:rFonts w:hint="eastAsia"/>
                <w:szCs w:val="21"/>
              </w:rPr>
              <w:t>“原水→配水井→</w:t>
            </w:r>
            <w:r>
              <w:rPr>
                <w:szCs w:val="21"/>
              </w:rPr>
              <w:t>预沉絮凝沉淀池</w:t>
            </w:r>
            <w:r>
              <w:rPr>
                <w:rFonts w:hint="eastAsia"/>
                <w:szCs w:val="21"/>
              </w:rPr>
              <w:t>→V型滤池→二氧化氯消毒→清水池→管输至用水户”</w:t>
            </w:r>
            <w:r>
              <w:rPr>
                <w:szCs w:val="21"/>
              </w:rPr>
              <w:t>，污泥脱水利用现状浓缩池+板框脱水机的脱水工艺，消毒采用二氧化氯消毒方式。</w:t>
            </w:r>
          </w:p>
          <w:p>
            <w:pPr>
              <w:spacing w:before="156" w:beforeLines="50" w:line="360" w:lineRule="auto"/>
              <w:ind w:firstLine="422" w:firstLineChars="200"/>
              <w:rPr>
                <w:szCs w:val="21"/>
              </w:rPr>
            </w:pPr>
            <w:r>
              <w:rPr>
                <w:rFonts w:hint="eastAsia"/>
                <w:b/>
                <w:bCs/>
                <w:szCs w:val="21"/>
              </w:rPr>
              <w:t>4</w:t>
            </w:r>
            <w:r>
              <w:rPr>
                <w:b/>
                <w:bCs/>
                <w:szCs w:val="21"/>
              </w:rPr>
              <w:t>、项目组成及主要环境问题</w:t>
            </w:r>
          </w:p>
          <w:p>
            <w:pPr>
              <w:spacing w:line="360" w:lineRule="auto"/>
              <w:ind w:firstLine="420" w:firstLineChars="200"/>
              <w:rPr>
                <w:rFonts w:hint="eastAsia"/>
                <w:szCs w:val="21"/>
              </w:rPr>
            </w:pPr>
            <w:r>
              <w:rPr>
                <w:szCs w:val="21"/>
              </w:rPr>
              <w:t>项目主要组成及主要环境问题见下表。</w:t>
            </w:r>
          </w:p>
          <w:p>
            <w:pPr>
              <w:ind w:firstLine="482"/>
              <w:jc w:val="center"/>
              <w:rPr>
                <w:rFonts w:hint="eastAsia"/>
                <w:b/>
                <w:bCs/>
                <w:sz w:val="18"/>
                <w:szCs w:val="18"/>
              </w:rPr>
            </w:pPr>
            <w:r>
              <w:rPr>
                <w:b/>
                <w:bCs/>
                <w:sz w:val="18"/>
                <w:szCs w:val="18"/>
              </w:rPr>
              <w:t>表2-</w:t>
            </w:r>
            <w:r>
              <w:rPr>
                <w:rFonts w:hint="eastAsia"/>
                <w:b/>
                <w:bCs/>
                <w:sz w:val="18"/>
                <w:szCs w:val="18"/>
              </w:rPr>
              <w:t>2</w:t>
            </w:r>
            <w:r>
              <w:rPr>
                <w:b/>
                <w:bCs/>
                <w:sz w:val="18"/>
                <w:szCs w:val="18"/>
              </w:rPr>
              <w:t>：项目组成及主要的环境问题一览表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1009"/>
              <w:gridCol w:w="611"/>
              <w:gridCol w:w="3266"/>
              <w:gridCol w:w="1286"/>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775" w:type="dxa"/>
                  <w:gridSpan w:val="2"/>
                  <w:vMerge w:val="restart"/>
                  <w:noWrap w:val="0"/>
                  <w:vAlign w:val="center"/>
                </w:tcPr>
                <w:p>
                  <w:pPr>
                    <w:autoSpaceDE w:val="0"/>
                    <w:autoSpaceDN w:val="0"/>
                    <w:adjustRightInd w:val="0"/>
                    <w:spacing w:line="340" w:lineRule="exact"/>
                    <w:jc w:val="center"/>
                    <w:rPr>
                      <w:b/>
                      <w:kern w:val="0"/>
                      <w:sz w:val="18"/>
                      <w:szCs w:val="18"/>
                    </w:rPr>
                  </w:pPr>
                  <w:r>
                    <w:rPr>
                      <w:b/>
                      <w:sz w:val="18"/>
                      <w:szCs w:val="18"/>
                    </w:rPr>
                    <w:t>项目组成</w:t>
                  </w:r>
                </w:p>
              </w:tc>
              <w:tc>
                <w:tcPr>
                  <w:tcW w:w="3877" w:type="dxa"/>
                  <w:gridSpan w:val="2"/>
                  <w:vMerge w:val="restart"/>
                  <w:noWrap w:val="0"/>
                  <w:vAlign w:val="center"/>
                </w:tcPr>
                <w:p>
                  <w:pPr>
                    <w:autoSpaceDE w:val="0"/>
                    <w:autoSpaceDN w:val="0"/>
                    <w:adjustRightInd w:val="0"/>
                    <w:spacing w:line="340" w:lineRule="exact"/>
                    <w:jc w:val="center"/>
                    <w:rPr>
                      <w:b/>
                      <w:kern w:val="0"/>
                      <w:sz w:val="18"/>
                      <w:szCs w:val="18"/>
                    </w:rPr>
                  </w:pPr>
                  <w:r>
                    <w:rPr>
                      <w:b/>
                      <w:sz w:val="18"/>
                      <w:szCs w:val="18"/>
                    </w:rPr>
                    <w:t>建设内容及规模</w:t>
                  </w:r>
                </w:p>
              </w:tc>
              <w:tc>
                <w:tcPr>
                  <w:tcW w:w="2373" w:type="dxa"/>
                  <w:gridSpan w:val="2"/>
                  <w:noWrap w:val="0"/>
                  <w:vAlign w:val="center"/>
                </w:tcPr>
                <w:p>
                  <w:pPr>
                    <w:autoSpaceDE w:val="0"/>
                    <w:autoSpaceDN w:val="0"/>
                    <w:adjustRightInd w:val="0"/>
                    <w:spacing w:line="340" w:lineRule="exact"/>
                    <w:jc w:val="center"/>
                    <w:rPr>
                      <w:b/>
                      <w:kern w:val="0"/>
                      <w:sz w:val="18"/>
                      <w:szCs w:val="18"/>
                    </w:rPr>
                  </w:pPr>
                  <w:r>
                    <w:rPr>
                      <w:b/>
                      <w:sz w:val="18"/>
                      <w:szCs w:val="18"/>
                    </w:rPr>
                    <w:t>可能产生的主要环境问题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775" w:type="dxa"/>
                  <w:gridSpan w:val="2"/>
                  <w:vMerge w:val="continue"/>
                  <w:noWrap w:val="0"/>
                  <w:vAlign w:val="center"/>
                </w:tcPr>
                <w:p>
                  <w:pPr>
                    <w:autoSpaceDE w:val="0"/>
                    <w:autoSpaceDN w:val="0"/>
                    <w:adjustRightInd w:val="0"/>
                    <w:spacing w:line="340" w:lineRule="exact"/>
                    <w:jc w:val="center"/>
                    <w:rPr>
                      <w:b/>
                      <w:kern w:val="0"/>
                      <w:sz w:val="18"/>
                      <w:szCs w:val="18"/>
                    </w:rPr>
                  </w:pPr>
                </w:p>
              </w:tc>
              <w:tc>
                <w:tcPr>
                  <w:tcW w:w="3877" w:type="dxa"/>
                  <w:gridSpan w:val="2"/>
                  <w:vMerge w:val="continue"/>
                  <w:noWrap w:val="0"/>
                  <w:vAlign w:val="center"/>
                </w:tcPr>
                <w:p>
                  <w:pPr>
                    <w:spacing w:line="340" w:lineRule="exact"/>
                    <w:rPr>
                      <w:b/>
                      <w:sz w:val="18"/>
                      <w:szCs w:val="18"/>
                    </w:rPr>
                  </w:pPr>
                </w:p>
              </w:tc>
              <w:tc>
                <w:tcPr>
                  <w:tcW w:w="1286" w:type="dxa"/>
                  <w:noWrap w:val="0"/>
                  <w:vAlign w:val="center"/>
                </w:tcPr>
                <w:p>
                  <w:pPr>
                    <w:spacing w:line="340" w:lineRule="exact"/>
                    <w:jc w:val="center"/>
                    <w:rPr>
                      <w:b/>
                      <w:sz w:val="18"/>
                      <w:szCs w:val="18"/>
                    </w:rPr>
                  </w:pPr>
                  <w:r>
                    <w:rPr>
                      <w:b/>
                      <w:sz w:val="18"/>
                      <w:szCs w:val="18"/>
                    </w:rPr>
                    <w:t>施工期</w:t>
                  </w:r>
                </w:p>
              </w:tc>
              <w:tc>
                <w:tcPr>
                  <w:tcW w:w="1087" w:type="dxa"/>
                  <w:noWrap w:val="0"/>
                  <w:vAlign w:val="center"/>
                </w:tcPr>
                <w:p>
                  <w:pPr>
                    <w:spacing w:line="340" w:lineRule="exact"/>
                    <w:jc w:val="center"/>
                    <w:rPr>
                      <w:b/>
                      <w:sz w:val="18"/>
                      <w:szCs w:val="18"/>
                    </w:rPr>
                  </w:pPr>
                  <w:r>
                    <w:rPr>
                      <w:b/>
                      <w:sz w:val="18"/>
                      <w:szCs w:val="18"/>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6" w:type="dxa"/>
                  <w:vMerge w:val="restart"/>
                  <w:noWrap w:val="0"/>
                  <w:vAlign w:val="center"/>
                </w:tcPr>
                <w:p>
                  <w:pPr>
                    <w:autoSpaceDE w:val="0"/>
                    <w:autoSpaceDN w:val="0"/>
                    <w:adjustRightInd w:val="0"/>
                    <w:spacing w:line="340" w:lineRule="exact"/>
                    <w:jc w:val="center"/>
                    <w:rPr>
                      <w:kern w:val="0"/>
                      <w:sz w:val="18"/>
                      <w:szCs w:val="18"/>
                    </w:rPr>
                  </w:pPr>
                  <w:r>
                    <w:rPr>
                      <w:kern w:val="0"/>
                      <w:sz w:val="18"/>
                      <w:szCs w:val="18"/>
                    </w:rPr>
                    <w:t>主体</w:t>
                  </w:r>
                </w:p>
                <w:p>
                  <w:pPr>
                    <w:autoSpaceDE w:val="0"/>
                    <w:autoSpaceDN w:val="0"/>
                    <w:adjustRightInd w:val="0"/>
                    <w:spacing w:line="340" w:lineRule="exact"/>
                    <w:jc w:val="center"/>
                    <w:rPr>
                      <w:kern w:val="0"/>
                      <w:sz w:val="18"/>
                      <w:szCs w:val="18"/>
                    </w:rPr>
                  </w:pPr>
                  <w:r>
                    <w:rPr>
                      <w:kern w:val="0"/>
                      <w:sz w:val="18"/>
                      <w:szCs w:val="18"/>
                    </w:rPr>
                    <w:t>工程</w:t>
                  </w:r>
                </w:p>
              </w:tc>
              <w:tc>
                <w:tcPr>
                  <w:tcW w:w="1009" w:type="dxa"/>
                  <w:vMerge w:val="restart"/>
                  <w:noWrap w:val="0"/>
                  <w:vAlign w:val="center"/>
                </w:tcPr>
                <w:p>
                  <w:pPr>
                    <w:autoSpaceDE w:val="0"/>
                    <w:autoSpaceDN w:val="0"/>
                    <w:adjustRightInd w:val="0"/>
                    <w:spacing w:line="340" w:lineRule="exact"/>
                    <w:jc w:val="center"/>
                    <w:rPr>
                      <w:rFonts w:hint="eastAsia"/>
                      <w:sz w:val="18"/>
                      <w:szCs w:val="18"/>
                    </w:rPr>
                  </w:pPr>
                  <w:r>
                    <w:rPr>
                      <w:sz w:val="18"/>
                      <w:szCs w:val="18"/>
                    </w:rPr>
                    <w:t>净水</w:t>
                  </w:r>
                  <w:r>
                    <w:rPr>
                      <w:rFonts w:hint="eastAsia"/>
                      <w:sz w:val="18"/>
                      <w:szCs w:val="18"/>
                    </w:rPr>
                    <w:t>厂</w:t>
                  </w:r>
                </w:p>
                <w:p>
                  <w:pPr>
                    <w:autoSpaceDE w:val="0"/>
                    <w:autoSpaceDN w:val="0"/>
                    <w:adjustRightInd w:val="0"/>
                    <w:spacing w:line="340" w:lineRule="exact"/>
                    <w:jc w:val="center"/>
                    <w:rPr>
                      <w:kern w:val="0"/>
                      <w:sz w:val="18"/>
                      <w:szCs w:val="18"/>
                    </w:rPr>
                  </w:pPr>
                  <w:r>
                    <w:rPr>
                      <w:sz w:val="18"/>
                      <w:szCs w:val="18"/>
                    </w:rPr>
                    <w:t>工程</w:t>
                  </w:r>
                </w:p>
              </w:tc>
              <w:tc>
                <w:tcPr>
                  <w:tcW w:w="3877" w:type="dxa"/>
                  <w:gridSpan w:val="2"/>
                  <w:noWrap w:val="0"/>
                  <w:vAlign w:val="center"/>
                </w:tcPr>
                <w:p>
                  <w:pPr>
                    <w:spacing w:line="340" w:lineRule="exact"/>
                    <w:rPr>
                      <w:sz w:val="18"/>
                      <w:szCs w:val="18"/>
                    </w:rPr>
                  </w:pPr>
                  <w:r>
                    <w:rPr>
                      <w:rFonts w:hint="eastAsia"/>
                      <w:kern w:val="0"/>
                      <w:sz w:val="18"/>
                      <w:szCs w:val="18"/>
                    </w:rPr>
                    <w:t>（1）</w:t>
                  </w:r>
                  <w:r>
                    <w:rPr>
                      <w:kern w:val="0"/>
                      <w:sz w:val="18"/>
                      <w:szCs w:val="18"/>
                    </w:rPr>
                    <w:t>配水井：L×B×</w:t>
                  </w:r>
                  <w:r>
                    <w:rPr>
                      <w:rFonts w:hint="eastAsia"/>
                      <w:kern w:val="0"/>
                      <w:sz w:val="18"/>
                      <w:szCs w:val="18"/>
                    </w:rPr>
                    <w:t>H</w:t>
                  </w:r>
                  <w:r>
                    <w:rPr>
                      <w:kern w:val="0"/>
                      <w:sz w:val="18"/>
                      <w:szCs w:val="18"/>
                    </w:rPr>
                    <w:t>=20</w:t>
                  </w:r>
                  <w:r>
                    <w:rPr>
                      <w:rFonts w:hint="eastAsia"/>
                      <w:kern w:val="0"/>
                      <w:sz w:val="18"/>
                      <w:szCs w:val="18"/>
                    </w:rPr>
                    <w:t>.75</w:t>
                  </w:r>
                  <w:r>
                    <w:rPr>
                      <w:kern w:val="0"/>
                      <w:sz w:val="18"/>
                      <w:szCs w:val="18"/>
                    </w:rPr>
                    <w:t>×10.0×</w:t>
                  </w:r>
                  <w:r>
                    <w:rPr>
                      <w:rFonts w:hint="eastAsia"/>
                      <w:kern w:val="0"/>
                      <w:sz w:val="18"/>
                      <w:szCs w:val="18"/>
                    </w:rPr>
                    <w:t>6.8</w:t>
                  </w:r>
                  <w:r>
                    <w:rPr>
                      <w:kern w:val="0"/>
                      <w:sz w:val="18"/>
                      <w:szCs w:val="18"/>
                    </w:rPr>
                    <w:t>m，</w:t>
                  </w:r>
                  <w:r>
                    <w:rPr>
                      <w:rFonts w:hint="eastAsia"/>
                      <w:kern w:val="0"/>
                      <w:sz w:val="18"/>
                      <w:szCs w:val="18"/>
                    </w:rPr>
                    <w:t>钢筋砼</w:t>
                  </w:r>
                  <w:r>
                    <w:rPr>
                      <w:kern w:val="0"/>
                      <w:sz w:val="18"/>
                      <w:szCs w:val="18"/>
                    </w:rPr>
                    <w:t>，</w:t>
                  </w:r>
                  <w:r>
                    <w:rPr>
                      <w:rFonts w:hint="eastAsia"/>
                      <w:kern w:val="0"/>
                      <w:sz w:val="18"/>
                      <w:szCs w:val="18"/>
                    </w:rPr>
                    <w:t>新建</w:t>
                  </w:r>
                  <w:r>
                    <w:rPr>
                      <w:kern w:val="0"/>
                      <w:sz w:val="18"/>
                      <w:szCs w:val="18"/>
                    </w:rPr>
                    <w:t>1座</w:t>
                  </w:r>
                </w:p>
              </w:tc>
              <w:tc>
                <w:tcPr>
                  <w:tcW w:w="1286" w:type="dxa"/>
                  <w:vMerge w:val="restart"/>
                  <w:noWrap w:val="0"/>
                  <w:vAlign w:val="center"/>
                </w:tcPr>
                <w:p>
                  <w:pPr>
                    <w:spacing w:line="340" w:lineRule="exact"/>
                    <w:jc w:val="center"/>
                    <w:rPr>
                      <w:rFonts w:hint="eastAsia"/>
                      <w:sz w:val="18"/>
                      <w:szCs w:val="18"/>
                    </w:rPr>
                  </w:pPr>
                </w:p>
                <w:p>
                  <w:pPr>
                    <w:spacing w:line="340" w:lineRule="exact"/>
                    <w:jc w:val="center"/>
                    <w:rPr>
                      <w:rFonts w:hint="eastAsia"/>
                      <w:sz w:val="18"/>
                      <w:szCs w:val="18"/>
                    </w:rPr>
                  </w:pPr>
                </w:p>
                <w:p>
                  <w:pPr>
                    <w:spacing w:line="340" w:lineRule="exact"/>
                    <w:jc w:val="center"/>
                    <w:rPr>
                      <w:rFonts w:hint="eastAsia"/>
                      <w:sz w:val="18"/>
                      <w:szCs w:val="18"/>
                    </w:rPr>
                  </w:pPr>
                </w:p>
                <w:p>
                  <w:pPr>
                    <w:spacing w:line="340" w:lineRule="exact"/>
                    <w:jc w:val="center"/>
                    <w:rPr>
                      <w:rFonts w:hint="eastAsia"/>
                      <w:sz w:val="18"/>
                      <w:szCs w:val="18"/>
                    </w:rPr>
                  </w:pPr>
                </w:p>
                <w:p>
                  <w:pPr>
                    <w:spacing w:line="340" w:lineRule="exact"/>
                    <w:jc w:val="center"/>
                    <w:rPr>
                      <w:rFonts w:hint="eastAsia"/>
                      <w:sz w:val="18"/>
                      <w:szCs w:val="18"/>
                    </w:rPr>
                  </w:pPr>
                </w:p>
                <w:p>
                  <w:pPr>
                    <w:spacing w:line="340" w:lineRule="exact"/>
                    <w:jc w:val="center"/>
                    <w:rPr>
                      <w:rFonts w:hint="eastAsia"/>
                      <w:sz w:val="18"/>
                      <w:szCs w:val="18"/>
                    </w:rPr>
                  </w:pPr>
                </w:p>
                <w:p>
                  <w:pPr>
                    <w:spacing w:line="340" w:lineRule="exact"/>
                    <w:jc w:val="center"/>
                    <w:rPr>
                      <w:rFonts w:hint="eastAsia"/>
                      <w:sz w:val="18"/>
                      <w:szCs w:val="18"/>
                    </w:rPr>
                  </w:pPr>
                </w:p>
                <w:p>
                  <w:pPr>
                    <w:spacing w:line="340" w:lineRule="exact"/>
                    <w:jc w:val="center"/>
                    <w:rPr>
                      <w:rFonts w:hint="eastAsia"/>
                      <w:sz w:val="18"/>
                      <w:szCs w:val="18"/>
                    </w:rPr>
                  </w:pPr>
                </w:p>
                <w:p>
                  <w:pPr>
                    <w:spacing w:line="340" w:lineRule="exact"/>
                    <w:jc w:val="center"/>
                    <w:rPr>
                      <w:rFonts w:hint="eastAsia"/>
                      <w:sz w:val="18"/>
                      <w:szCs w:val="18"/>
                    </w:rPr>
                  </w:pPr>
                </w:p>
                <w:p>
                  <w:pPr>
                    <w:spacing w:line="340" w:lineRule="exact"/>
                    <w:jc w:val="center"/>
                    <w:rPr>
                      <w:rFonts w:hint="eastAsia"/>
                      <w:sz w:val="18"/>
                      <w:szCs w:val="18"/>
                    </w:rPr>
                  </w:pPr>
                  <w:r>
                    <w:rPr>
                      <w:sz w:val="18"/>
                      <w:szCs w:val="18"/>
                    </w:rPr>
                    <w:t>施工扬尘、施工废水、施工噪声、固废等</w:t>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tc>
              <w:tc>
                <w:tcPr>
                  <w:tcW w:w="1087" w:type="dxa"/>
                  <w:noWrap w:val="0"/>
                  <w:vAlign w:val="center"/>
                </w:tcPr>
                <w:p>
                  <w:pPr>
                    <w:spacing w:line="340" w:lineRule="exact"/>
                    <w:jc w:val="center"/>
                    <w:rPr>
                      <w:rFonts w:hint="eastAsia"/>
                      <w:sz w:val="18"/>
                      <w:szCs w:val="18"/>
                    </w:rPr>
                  </w:pPr>
                  <w:r>
                    <w:rPr>
                      <w:rFonts w:hint="eastAsia"/>
                      <w:sz w:val="18"/>
                      <w:szCs w:val="18"/>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66" w:type="dxa"/>
                  <w:vMerge w:val="continue"/>
                  <w:noWrap w:val="0"/>
                  <w:vAlign w:val="center"/>
                </w:tcPr>
                <w:p>
                  <w:pPr>
                    <w:autoSpaceDE w:val="0"/>
                    <w:autoSpaceDN w:val="0"/>
                    <w:adjustRightInd w:val="0"/>
                    <w:spacing w:line="340" w:lineRule="exact"/>
                    <w:jc w:val="center"/>
                    <w:rPr>
                      <w:color w:val="FF00FF"/>
                      <w:kern w:val="0"/>
                      <w:sz w:val="18"/>
                      <w:szCs w:val="18"/>
                    </w:rPr>
                  </w:pPr>
                </w:p>
              </w:tc>
              <w:tc>
                <w:tcPr>
                  <w:tcW w:w="1009" w:type="dxa"/>
                  <w:vMerge w:val="continue"/>
                  <w:noWrap w:val="0"/>
                  <w:vAlign w:val="center"/>
                </w:tcPr>
                <w:p>
                  <w:pPr>
                    <w:autoSpaceDE w:val="0"/>
                    <w:autoSpaceDN w:val="0"/>
                    <w:adjustRightInd w:val="0"/>
                    <w:spacing w:line="340" w:lineRule="exact"/>
                    <w:jc w:val="center"/>
                    <w:rPr>
                      <w:color w:val="FF00FF"/>
                      <w:sz w:val="18"/>
                      <w:szCs w:val="18"/>
                    </w:rPr>
                  </w:pPr>
                </w:p>
              </w:tc>
              <w:tc>
                <w:tcPr>
                  <w:tcW w:w="3877" w:type="dxa"/>
                  <w:gridSpan w:val="2"/>
                  <w:noWrap w:val="0"/>
                  <w:vAlign w:val="center"/>
                </w:tcPr>
                <w:p>
                  <w:pPr>
                    <w:widowControl/>
                    <w:spacing w:line="340" w:lineRule="exact"/>
                    <w:rPr>
                      <w:rFonts w:hint="eastAsia"/>
                      <w:kern w:val="0"/>
                      <w:sz w:val="18"/>
                      <w:szCs w:val="18"/>
                    </w:rPr>
                  </w:pPr>
                  <w:r>
                    <w:rPr>
                      <w:rFonts w:hint="eastAsia"/>
                      <w:kern w:val="0"/>
                      <w:sz w:val="18"/>
                      <w:szCs w:val="18"/>
                    </w:rPr>
                    <w:t>（2）</w:t>
                  </w:r>
                  <w:r>
                    <w:rPr>
                      <w:kern w:val="0"/>
                      <w:sz w:val="18"/>
                      <w:szCs w:val="18"/>
                    </w:rPr>
                    <w:t>预沉絮凝沉淀池：L×B×H=</w:t>
                  </w:r>
                  <w:r>
                    <w:rPr>
                      <w:rFonts w:hint="eastAsia"/>
                      <w:kern w:val="0"/>
                      <w:sz w:val="18"/>
                      <w:szCs w:val="18"/>
                    </w:rPr>
                    <w:t>51.95</w:t>
                  </w:r>
                  <w:r>
                    <w:rPr>
                      <w:kern w:val="0"/>
                      <w:sz w:val="18"/>
                      <w:szCs w:val="18"/>
                    </w:rPr>
                    <w:t>×</w:t>
                  </w:r>
                  <w:r>
                    <w:rPr>
                      <w:rFonts w:hint="eastAsia"/>
                      <w:kern w:val="0"/>
                      <w:sz w:val="18"/>
                      <w:szCs w:val="18"/>
                    </w:rPr>
                    <w:t>43.1</w:t>
                  </w:r>
                  <w:r>
                    <w:rPr>
                      <w:kern w:val="0"/>
                      <w:sz w:val="18"/>
                      <w:szCs w:val="18"/>
                    </w:rPr>
                    <w:t>×（5.</w:t>
                  </w:r>
                  <w:r>
                    <w:rPr>
                      <w:rFonts w:hint="eastAsia"/>
                      <w:kern w:val="0"/>
                      <w:sz w:val="18"/>
                      <w:szCs w:val="18"/>
                    </w:rPr>
                    <w:t>5-</w:t>
                  </w:r>
                  <w:r>
                    <w:rPr>
                      <w:kern w:val="0"/>
                      <w:sz w:val="18"/>
                      <w:szCs w:val="18"/>
                    </w:rPr>
                    <w:t>7.0）</w:t>
                  </w:r>
                  <w:r>
                    <w:rPr>
                      <w:rFonts w:hint="eastAsia"/>
                      <w:kern w:val="0"/>
                      <w:sz w:val="18"/>
                      <w:szCs w:val="18"/>
                    </w:rPr>
                    <w:t>m，新建</w:t>
                  </w:r>
                  <w:r>
                    <w:rPr>
                      <w:kern w:val="0"/>
                      <w:sz w:val="18"/>
                      <w:szCs w:val="18"/>
                    </w:rPr>
                    <w:t>1座</w:t>
                  </w:r>
                  <w:r>
                    <w:rPr>
                      <w:rFonts w:hint="eastAsia"/>
                      <w:kern w:val="0"/>
                      <w:sz w:val="18"/>
                      <w:szCs w:val="18"/>
                    </w:rPr>
                    <w:t>，钢筋砼、框架结构</w:t>
                  </w:r>
                </w:p>
              </w:tc>
              <w:tc>
                <w:tcPr>
                  <w:tcW w:w="1286" w:type="dxa"/>
                  <w:vMerge w:val="continue"/>
                  <w:noWrap w:val="0"/>
                  <w:vAlign w:val="center"/>
                </w:tcPr>
                <w:p>
                  <w:pPr>
                    <w:autoSpaceDE w:val="0"/>
                    <w:autoSpaceDN w:val="0"/>
                    <w:adjustRightInd w:val="0"/>
                    <w:spacing w:line="340" w:lineRule="exact"/>
                    <w:jc w:val="center"/>
                    <w:rPr>
                      <w:color w:val="FF00FF"/>
                      <w:sz w:val="18"/>
                      <w:szCs w:val="18"/>
                    </w:rPr>
                  </w:pPr>
                </w:p>
              </w:tc>
              <w:tc>
                <w:tcPr>
                  <w:tcW w:w="1087" w:type="dxa"/>
                  <w:noWrap w:val="0"/>
                  <w:vAlign w:val="center"/>
                </w:tcPr>
                <w:p>
                  <w:pPr>
                    <w:spacing w:line="340" w:lineRule="exact"/>
                    <w:jc w:val="center"/>
                    <w:rPr>
                      <w:rFonts w:hint="eastAsia"/>
                      <w:sz w:val="18"/>
                      <w:szCs w:val="18"/>
                    </w:rPr>
                  </w:pPr>
                  <w:r>
                    <w:rPr>
                      <w:rFonts w:hint="eastAsia"/>
                      <w:sz w:val="18"/>
                      <w:szCs w:val="18"/>
                    </w:rPr>
                    <w:t>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66" w:type="dxa"/>
                  <w:vMerge w:val="continue"/>
                  <w:noWrap w:val="0"/>
                  <w:vAlign w:val="center"/>
                </w:tcPr>
                <w:p>
                  <w:pPr>
                    <w:autoSpaceDE w:val="0"/>
                    <w:autoSpaceDN w:val="0"/>
                    <w:adjustRightInd w:val="0"/>
                    <w:spacing w:line="340" w:lineRule="exact"/>
                    <w:jc w:val="center"/>
                    <w:rPr>
                      <w:color w:val="FF00FF"/>
                      <w:kern w:val="0"/>
                      <w:sz w:val="18"/>
                      <w:szCs w:val="18"/>
                    </w:rPr>
                  </w:pPr>
                </w:p>
              </w:tc>
              <w:tc>
                <w:tcPr>
                  <w:tcW w:w="1009" w:type="dxa"/>
                  <w:vMerge w:val="continue"/>
                  <w:noWrap w:val="0"/>
                  <w:vAlign w:val="center"/>
                </w:tcPr>
                <w:p>
                  <w:pPr>
                    <w:autoSpaceDE w:val="0"/>
                    <w:autoSpaceDN w:val="0"/>
                    <w:adjustRightInd w:val="0"/>
                    <w:spacing w:line="340" w:lineRule="exact"/>
                    <w:jc w:val="center"/>
                    <w:rPr>
                      <w:color w:val="FF00FF"/>
                      <w:sz w:val="18"/>
                      <w:szCs w:val="18"/>
                    </w:rPr>
                  </w:pPr>
                </w:p>
              </w:tc>
              <w:tc>
                <w:tcPr>
                  <w:tcW w:w="3877" w:type="dxa"/>
                  <w:gridSpan w:val="2"/>
                  <w:noWrap w:val="0"/>
                  <w:vAlign w:val="center"/>
                </w:tcPr>
                <w:p>
                  <w:pPr>
                    <w:widowControl/>
                    <w:spacing w:line="340" w:lineRule="exact"/>
                    <w:rPr>
                      <w:rFonts w:hint="eastAsia"/>
                      <w:kern w:val="0"/>
                      <w:sz w:val="18"/>
                      <w:szCs w:val="18"/>
                    </w:rPr>
                  </w:pPr>
                  <w:r>
                    <w:rPr>
                      <w:rFonts w:hint="eastAsia"/>
                      <w:kern w:val="0"/>
                      <w:sz w:val="18"/>
                      <w:szCs w:val="18"/>
                    </w:rPr>
                    <w:t>（3）</w:t>
                  </w:r>
                  <w:r>
                    <w:rPr>
                      <w:kern w:val="0"/>
                      <w:sz w:val="18"/>
                      <w:szCs w:val="18"/>
                    </w:rPr>
                    <w:t>V型滤池：V型滤池与回收水池合建，平面尺寸L×B×H=18.35×53.7×（5.07</w:t>
                  </w:r>
                  <w:r>
                    <w:rPr>
                      <w:rFonts w:hint="eastAsia"/>
                      <w:kern w:val="0"/>
                      <w:sz w:val="18"/>
                      <w:szCs w:val="18"/>
                    </w:rPr>
                    <w:t>-8.8</w:t>
                  </w:r>
                  <w:r>
                    <w:rPr>
                      <w:kern w:val="0"/>
                      <w:sz w:val="18"/>
                      <w:szCs w:val="18"/>
                    </w:rPr>
                    <w:t>）</w:t>
                  </w:r>
                  <w:r>
                    <w:rPr>
                      <w:rFonts w:hint="eastAsia"/>
                      <w:kern w:val="0"/>
                      <w:sz w:val="18"/>
                      <w:szCs w:val="18"/>
                    </w:rPr>
                    <w:t>m，新建</w:t>
                  </w:r>
                  <w:r>
                    <w:rPr>
                      <w:kern w:val="0"/>
                      <w:sz w:val="18"/>
                      <w:szCs w:val="18"/>
                    </w:rPr>
                    <w:t>1座</w:t>
                  </w:r>
                  <w:r>
                    <w:rPr>
                      <w:rFonts w:hint="eastAsia"/>
                      <w:kern w:val="0"/>
                      <w:sz w:val="18"/>
                      <w:szCs w:val="18"/>
                    </w:rPr>
                    <w:t>，钢筋砼、框架结构</w:t>
                  </w:r>
                </w:p>
              </w:tc>
              <w:tc>
                <w:tcPr>
                  <w:tcW w:w="1286" w:type="dxa"/>
                  <w:vMerge w:val="continue"/>
                  <w:noWrap w:val="0"/>
                  <w:vAlign w:val="center"/>
                </w:tcPr>
                <w:p>
                  <w:pPr>
                    <w:autoSpaceDE w:val="0"/>
                    <w:autoSpaceDN w:val="0"/>
                    <w:adjustRightInd w:val="0"/>
                    <w:spacing w:line="340" w:lineRule="exact"/>
                    <w:jc w:val="center"/>
                    <w:rPr>
                      <w:color w:val="FF00FF"/>
                      <w:sz w:val="18"/>
                      <w:szCs w:val="18"/>
                    </w:rPr>
                  </w:pPr>
                </w:p>
              </w:tc>
              <w:tc>
                <w:tcPr>
                  <w:tcW w:w="1087" w:type="dxa"/>
                  <w:noWrap w:val="0"/>
                  <w:vAlign w:val="center"/>
                </w:tcPr>
                <w:p>
                  <w:pPr>
                    <w:spacing w:line="340" w:lineRule="exact"/>
                    <w:jc w:val="center"/>
                    <w:rPr>
                      <w:rFonts w:hint="eastAsia"/>
                      <w:sz w:val="18"/>
                      <w:szCs w:val="18"/>
                    </w:rPr>
                  </w:pPr>
                  <w:r>
                    <w:rPr>
                      <w:rFonts w:hint="eastAsia"/>
                      <w:sz w:val="18"/>
                      <w:szCs w:val="18"/>
                    </w:rPr>
                    <w:t>废水、噪声、固废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66" w:type="dxa"/>
                  <w:vMerge w:val="continue"/>
                  <w:noWrap w:val="0"/>
                  <w:vAlign w:val="center"/>
                </w:tcPr>
                <w:p>
                  <w:pPr>
                    <w:autoSpaceDE w:val="0"/>
                    <w:autoSpaceDN w:val="0"/>
                    <w:adjustRightInd w:val="0"/>
                    <w:spacing w:line="340" w:lineRule="exact"/>
                    <w:jc w:val="center"/>
                    <w:rPr>
                      <w:color w:val="FF00FF"/>
                      <w:kern w:val="0"/>
                      <w:sz w:val="18"/>
                      <w:szCs w:val="18"/>
                    </w:rPr>
                  </w:pPr>
                </w:p>
              </w:tc>
              <w:tc>
                <w:tcPr>
                  <w:tcW w:w="1009" w:type="dxa"/>
                  <w:vMerge w:val="continue"/>
                  <w:noWrap w:val="0"/>
                  <w:vAlign w:val="center"/>
                </w:tcPr>
                <w:p>
                  <w:pPr>
                    <w:autoSpaceDE w:val="0"/>
                    <w:autoSpaceDN w:val="0"/>
                    <w:adjustRightInd w:val="0"/>
                    <w:spacing w:line="340" w:lineRule="exact"/>
                    <w:jc w:val="center"/>
                    <w:rPr>
                      <w:color w:val="FF00FF"/>
                      <w:sz w:val="18"/>
                      <w:szCs w:val="18"/>
                    </w:rPr>
                  </w:pPr>
                </w:p>
              </w:tc>
              <w:tc>
                <w:tcPr>
                  <w:tcW w:w="3877" w:type="dxa"/>
                  <w:gridSpan w:val="2"/>
                  <w:noWrap w:val="0"/>
                  <w:vAlign w:val="center"/>
                </w:tcPr>
                <w:p>
                  <w:pPr>
                    <w:widowControl/>
                    <w:spacing w:line="340" w:lineRule="exact"/>
                    <w:rPr>
                      <w:rFonts w:hint="eastAsia"/>
                      <w:kern w:val="0"/>
                      <w:sz w:val="18"/>
                      <w:szCs w:val="18"/>
                    </w:rPr>
                  </w:pPr>
                  <w:r>
                    <w:rPr>
                      <w:rFonts w:hint="eastAsia"/>
                      <w:kern w:val="0"/>
                      <w:sz w:val="18"/>
                      <w:szCs w:val="18"/>
                    </w:rPr>
                    <w:t>（4）</w:t>
                  </w:r>
                  <w:r>
                    <w:rPr>
                      <w:kern w:val="0"/>
                      <w:sz w:val="18"/>
                      <w:szCs w:val="18"/>
                    </w:rPr>
                    <w:t>清水池：</w:t>
                  </w:r>
                  <w:r>
                    <w:rPr>
                      <w:rFonts w:hint="eastAsia"/>
                      <w:kern w:val="0"/>
                      <w:sz w:val="18"/>
                      <w:szCs w:val="18"/>
                    </w:rPr>
                    <w:t>新建</w:t>
                  </w:r>
                  <w:r>
                    <w:rPr>
                      <w:kern w:val="0"/>
                      <w:sz w:val="18"/>
                      <w:szCs w:val="18"/>
                    </w:rPr>
                    <w:t>1座清水池，分两格，单</w:t>
                  </w:r>
                  <w:r>
                    <w:rPr>
                      <w:rFonts w:hint="eastAsia"/>
                      <w:kern w:val="0"/>
                      <w:sz w:val="18"/>
                      <w:szCs w:val="18"/>
                    </w:rPr>
                    <w:t>格</w:t>
                  </w:r>
                  <w:r>
                    <w:rPr>
                      <w:kern w:val="0"/>
                      <w:sz w:val="18"/>
                      <w:szCs w:val="18"/>
                    </w:rPr>
                    <w:t>平面尺寸为56.0×50.0×6</w:t>
                  </w:r>
                  <w:r>
                    <w:rPr>
                      <w:rFonts w:hint="eastAsia"/>
                      <w:kern w:val="0"/>
                      <w:sz w:val="18"/>
                      <w:szCs w:val="18"/>
                    </w:rPr>
                    <w:t>.0</w:t>
                  </w:r>
                  <w:r>
                    <w:rPr>
                      <w:kern w:val="0"/>
                      <w:sz w:val="18"/>
                      <w:szCs w:val="18"/>
                    </w:rPr>
                    <w:t>m，有效水深5.3m</w:t>
                  </w:r>
                  <w:r>
                    <w:rPr>
                      <w:rFonts w:hint="eastAsia"/>
                      <w:kern w:val="0"/>
                      <w:sz w:val="18"/>
                      <w:szCs w:val="18"/>
                    </w:rPr>
                    <w:t>，钢筋砼结构</w:t>
                  </w:r>
                </w:p>
              </w:tc>
              <w:tc>
                <w:tcPr>
                  <w:tcW w:w="1286" w:type="dxa"/>
                  <w:vMerge w:val="continue"/>
                  <w:noWrap w:val="0"/>
                  <w:vAlign w:val="center"/>
                </w:tcPr>
                <w:p>
                  <w:pPr>
                    <w:autoSpaceDE w:val="0"/>
                    <w:autoSpaceDN w:val="0"/>
                    <w:adjustRightInd w:val="0"/>
                    <w:spacing w:line="340" w:lineRule="exact"/>
                    <w:jc w:val="center"/>
                    <w:rPr>
                      <w:color w:val="FF00FF"/>
                      <w:sz w:val="18"/>
                      <w:szCs w:val="18"/>
                    </w:rPr>
                  </w:pPr>
                </w:p>
              </w:tc>
              <w:tc>
                <w:tcPr>
                  <w:tcW w:w="1087" w:type="dxa"/>
                  <w:noWrap w:val="0"/>
                  <w:vAlign w:val="center"/>
                </w:tcPr>
                <w:p>
                  <w:pPr>
                    <w:spacing w:line="340" w:lineRule="exact"/>
                    <w:jc w:val="center"/>
                    <w:rPr>
                      <w:rFonts w:hint="eastAsia"/>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66" w:type="dxa"/>
                  <w:vMerge w:val="restart"/>
                  <w:noWrap w:val="0"/>
                  <w:vAlign w:val="center"/>
                </w:tcPr>
                <w:p>
                  <w:pPr>
                    <w:spacing w:line="320" w:lineRule="exact"/>
                    <w:jc w:val="center"/>
                    <w:rPr>
                      <w:sz w:val="18"/>
                      <w:szCs w:val="18"/>
                    </w:rPr>
                  </w:pPr>
                  <w:r>
                    <w:rPr>
                      <w:sz w:val="18"/>
                      <w:szCs w:val="18"/>
                    </w:rPr>
                    <w:t>辅助</w:t>
                  </w:r>
                </w:p>
                <w:p>
                  <w:pPr>
                    <w:spacing w:line="320" w:lineRule="exact"/>
                    <w:jc w:val="center"/>
                    <w:rPr>
                      <w:sz w:val="18"/>
                      <w:szCs w:val="18"/>
                    </w:rPr>
                  </w:pPr>
                  <w:r>
                    <w:rPr>
                      <w:sz w:val="18"/>
                      <w:szCs w:val="18"/>
                    </w:rPr>
                    <w:t>公用</w:t>
                  </w:r>
                </w:p>
                <w:p>
                  <w:pPr>
                    <w:autoSpaceDE w:val="0"/>
                    <w:autoSpaceDN w:val="0"/>
                    <w:adjustRightInd w:val="0"/>
                    <w:spacing w:line="320" w:lineRule="exact"/>
                    <w:jc w:val="center"/>
                    <w:rPr>
                      <w:kern w:val="0"/>
                      <w:sz w:val="18"/>
                      <w:szCs w:val="18"/>
                    </w:rPr>
                  </w:pPr>
                  <w:r>
                    <w:rPr>
                      <w:sz w:val="18"/>
                      <w:szCs w:val="18"/>
                    </w:rPr>
                    <w:t>工程</w:t>
                  </w:r>
                </w:p>
              </w:tc>
              <w:tc>
                <w:tcPr>
                  <w:tcW w:w="1009" w:type="dxa"/>
                  <w:vMerge w:val="restart"/>
                  <w:noWrap w:val="0"/>
                  <w:vAlign w:val="center"/>
                </w:tcPr>
                <w:p>
                  <w:pPr>
                    <w:spacing w:line="320" w:lineRule="exact"/>
                    <w:jc w:val="center"/>
                    <w:rPr>
                      <w:sz w:val="18"/>
                      <w:szCs w:val="18"/>
                    </w:rPr>
                  </w:pPr>
                  <w:r>
                    <w:rPr>
                      <w:sz w:val="18"/>
                      <w:szCs w:val="18"/>
                    </w:rPr>
                    <w:t>供电</w:t>
                  </w:r>
                </w:p>
              </w:tc>
              <w:tc>
                <w:tcPr>
                  <w:tcW w:w="3877" w:type="dxa"/>
                  <w:gridSpan w:val="2"/>
                  <w:noWrap w:val="0"/>
                  <w:vAlign w:val="center"/>
                </w:tcPr>
                <w:p>
                  <w:pPr>
                    <w:spacing w:line="320" w:lineRule="exact"/>
                    <w:rPr>
                      <w:sz w:val="18"/>
                      <w:szCs w:val="18"/>
                    </w:rPr>
                  </w:pPr>
                  <w:r>
                    <w:rPr>
                      <w:rFonts w:hint="eastAsia"/>
                      <w:sz w:val="18"/>
                      <w:szCs w:val="18"/>
                    </w:rPr>
                    <w:t>常规供电：设置</w:t>
                  </w:r>
                  <w:r>
                    <w:rPr>
                      <w:sz w:val="18"/>
                      <w:szCs w:val="18"/>
                    </w:rPr>
                    <w:t>2台</w:t>
                  </w:r>
                  <w:r>
                    <w:rPr>
                      <w:rFonts w:hint="eastAsia"/>
                      <w:sz w:val="18"/>
                      <w:szCs w:val="18"/>
                    </w:rPr>
                    <w:t>500KVA</w:t>
                  </w:r>
                  <w:r>
                    <w:rPr>
                      <w:sz w:val="18"/>
                      <w:szCs w:val="18"/>
                    </w:rPr>
                    <w:t>变压器；</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r>
                    <w:rPr>
                      <w:rFonts w:hint="eastAsia"/>
                      <w:sz w:val="18"/>
                      <w:szCs w:val="18"/>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66" w:type="dxa"/>
                  <w:vMerge w:val="continue"/>
                  <w:noWrap w:val="0"/>
                  <w:vAlign w:val="center"/>
                </w:tcPr>
                <w:p>
                  <w:pPr>
                    <w:spacing w:line="320" w:lineRule="exact"/>
                    <w:jc w:val="center"/>
                    <w:rPr>
                      <w:sz w:val="18"/>
                      <w:szCs w:val="18"/>
                    </w:rPr>
                  </w:pPr>
                </w:p>
              </w:tc>
              <w:tc>
                <w:tcPr>
                  <w:tcW w:w="1009" w:type="dxa"/>
                  <w:vMerge w:val="continue"/>
                  <w:noWrap w:val="0"/>
                  <w:vAlign w:val="center"/>
                </w:tcPr>
                <w:p>
                  <w:pPr>
                    <w:spacing w:line="320" w:lineRule="exact"/>
                    <w:jc w:val="center"/>
                    <w:rPr>
                      <w:sz w:val="18"/>
                      <w:szCs w:val="18"/>
                    </w:rPr>
                  </w:pPr>
                </w:p>
              </w:tc>
              <w:tc>
                <w:tcPr>
                  <w:tcW w:w="3877" w:type="dxa"/>
                  <w:gridSpan w:val="2"/>
                  <w:noWrap w:val="0"/>
                  <w:vAlign w:val="center"/>
                </w:tcPr>
                <w:p>
                  <w:pPr>
                    <w:spacing w:line="320" w:lineRule="exact"/>
                    <w:rPr>
                      <w:sz w:val="18"/>
                      <w:szCs w:val="18"/>
                    </w:rPr>
                  </w:pPr>
                  <w:r>
                    <w:rPr>
                      <w:rFonts w:hint="eastAsia"/>
                      <w:sz w:val="18"/>
                      <w:szCs w:val="18"/>
                    </w:rPr>
                    <w:t>应急电源：</w:t>
                  </w:r>
                  <w:r>
                    <w:rPr>
                      <w:sz w:val="18"/>
                      <w:szCs w:val="18"/>
                    </w:rPr>
                    <w:t>调度中心</w:t>
                  </w:r>
                  <w:r>
                    <w:rPr>
                      <w:rFonts w:hint="eastAsia"/>
                      <w:sz w:val="18"/>
                      <w:szCs w:val="18"/>
                    </w:rPr>
                    <w:t>1F设置 ~400V常载功率400kW</w:t>
                  </w:r>
                  <w:r>
                    <w:rPr>
                      <w:sz w:val="18"/>
                      <w:szCs w:val="18"/>
                    </w:rPr>
                    <w:t>柴油发电机1台作应急电源</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sz w:val="18"/>
                      <w:szCs w:val="18"/>
                    </w:rPr>
                  </w:pPr>
                  <w:r>
                    <w:rPr>
                      <w:rFonts w:hint="eastAsia"/>
                      <w:sz w:val="18"/>
                      <w:szCs w:val="18"/>
                    </w:rPr>
                    <w:t>噪声、废气、环境风险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66" w:type="dxa"/>
                  <w:vMerge w:val="continue"/>
                  <w:noWrap w:val="0"/>
                  <w:vAlign w:val="center"/>
                </w:tcPr>
                <w:p>
                  <w:pPr>
                    <w:spacing w:line="320" w:lineRule="exact"/>
                    <w:jc w:val="center"/>
                    <w:rPr>
                      <w:sz w:val="18"/>
                      <w:szCs w:val="18"/>
                    </w:rPr>
                  </w:pPr>
                </w:p>
              </w:tc>
              <w:tc>
                <w:tcPr>
                  <w:tcW w:w="1009" w:type="dxa"/>
                  <w:noWrap w:val="0"/>
                  <w:vAlign w:val="center"/>
                </w:tcPr>
                <w:p>
                  <w:pPr>
                    <w:spacing w:line="320" w:lineRule="exact"/>
                    <w:jc w:val="center"/>
                    <w:rPr>
                      <w:rFonts w:hint="eastAsia"/>
                      <w:sz w:val="18"/>
                      <w:szCs w:val="18"/>
                    </w:rPr>
                  </w:pPr>
                  <w:r>
                    <w:rPr>
                      <w:rFonts w:hint="eastAsia"/>
                      <w:sz w:val="18"/>
                      <w:szCs w:val="18"/>
                    </w:rPr>
                    <w:t>加氯间</w:t>
                  </w:r>
                </w:p>
              </w:tc>
              <w:tc>
                <w:tcPr>
                  <w:tcW w:w="3877" w:type="dxa"/>
                  <w:gridSpan w:val="2"/>
                  <w:noWrap w:val="0"/>
                  <w:vAlign w:val="center"/>
                </w:tcPr>
                <w:p>
                  <w:pPr>
                    <w:spacing w:line="320" w:lineRule="exact"/>
                    <w:rPr>
                      <w:rFonts w:hint="eastAsia"/>
                      <w:sz w:val="18"/>
                      <w:szCs w:val="18"/>
                    </w:rPr>
                  </w:pPr>
                  <w:r>
                    <w:rPr>
                      <w:kern w:val="0"/>
                      <w:sz w:val="18"/>
                      <w:szCs w:val="18"/>
                    </w:rPr>
                    <w:t>利旧（现状已建，仅增加设备）</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sz w:val="18"/>
                      <w:szCs w:val="18"/>
                    </w:rPr>
                  </w:pPr>
                  <w:r>
                    <w:rPr>
                      <w:rFonts w:hint="eastAsia"/>
                      <w:sz w:val="18"/>
                      <w:szCs w:val="18"/>
                    </w:rPr>
                    <w:t>噪声、环境风险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66" w:type="dxa"/>
                  <w:vMerge w:val="continue"/>
                  <w:noWrap w:val="0"/>
                  <w:vAlign w:val="center"/>
                </w:tcPr>
                <w:p>
                  <w:pPr>
                    <w:spacing w:line="320" w:lineRule="exact"/>
                    <w:jc w:val="center"/>
                    <w:rPr>
                      <w:sz w:val="18"/>
                      <w:szCs w:val="18"/>
                    </w:rPr>
                  </w:pPr>
                </w:p>
              </w:tc>
              <w:tc>
                <w:tcPr>
                  <w:tcW w:w="1009" w:type="dxa"/>
                  <w:noWrap w:val="0"/>
                  <w:vAlign w:val="center"/>
                </w:tcPr>
                <w:p>
                  <w:pPr>
                    <w:spacing w:line="320" w:lineRule="exact"/>
                    <w:jc w:val="center"/>
                    <w:rPr>
                      <w:rFonts w:hint="eastAsia"/>
                      <w:sz w:val="18"/>
                      <w:szCs w:val="18"/>
                    </w:rPr>
                  </w:pPr>
                  <w:r>
                    <w:rPr>
                      <w:kern w:val="0"/>
                      <w:sz w:val="18"/>
                      <w:szCs w:val="18"/>
                    </w:rPr>
                    <w:t>加药间</w:t>
                  </w:r>
                </w:p>
              </w:tc>
              <w:tc>
                <w:tcPr>
                  <w:tcW w:w="3877" w:type="dxa"/>
                  <w:gridSpan w:val="2"/>
                  <w:noWrap w:val="0"/>
                  <w:vAlign w:val="center"/>
                </w:tcPr>
                <w:p>
                  <w:pPr>
                    <w:spacing w:line="320" w:lineRule="exact"/>
                    <w:rPr>
                      <w:rFonts w:hint="eastAsia"/>
                      <w:sz w:val="18"/>
                      <w:szCs w:val="18"/>
                    </w:rPr>
                  </w:pPr>
                  <w:r>
                    <w:rPr>
                      <w:kern w:val="0"/>
                      <w:sz w:val="18"/>
                      <w:szCs w:val="18"/>
                    </w:rPr>
                    <w:t>利旧（现状已建，仅增加设备）</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sz w:val="18"/>
                      <w:szCs w:val="18"/>
                    </w:rPr>
                  </w:pPr>
                  <w:r>
                    <w:rPr>
                      <w:rFonts w:hint="eastAsia"/>
                      <w:sz w:val="18"/>
                      <w:szCs w:val="18"/>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66" w:type="dxa"/>
                  <w:vMerge w:val="continue"/>
                  <w:noWrap w:val="0"/>
                  <w:vAlign w:val="center"/>
                </w:tcPr>
                <w:p>
                  <w:pPr>
                    <w:spacing w:line="320" w:lineRule="exact"/>
                    <w:jc w:val="center"/>
                    <w:rPr>
                      <w:sz w:val="18"/>
                      <w:szCs w:val="18"/>
                    </w:rPr>
                  </w:pPr>
                </w:p>
              </w:tc>
              <w:tc>
                <w:tcPr>
                  <w:tcW w:w="1009" w:type="dxa"/>
                  <w:noWrap w:val="0"/>
                  <w:vAlign w:val="center"/>
                </w:tcPr>
                <w:p>
                  <w:pPr>
                    <w:spacing w:line="320" w:lineRule="exact"/>
                    <w:jc w:val="center"/>
                    <w:rPr>
                      <w:rFonts w:hint="eastAsia"/>
                      <w:kern w:val="0"/>
                      <w:sz w:val="18"/>
                      <w:szCs w:val="18"/>
                    </w:rPr>
                  </w:pPr>
                  <w:r>
                    <w:rPr>
                      <w:kern w:val="0"/>
                      <w:sz w:val="18"/>
                      <w:szCs w:val="18"/>
                    </w:rPr>
                    <w:t>污泥调节浓缩贮泥池</w:t>
                  </w:r>
                </w:p>
              </w:tc>
              <w:tc>
                <w:tcPr>
                  <w:tcW w:w="3877" w:type="dxa"/>
                  <w:gridSpan w:val="2"/>
                  <w:noWrap w:val="0"/>
                  <w:vAlign w:val="center"/>
                </w:tcPr>
                <w:p>
                  <w:pPr>
                    <w:spacing w:line="320" w:lineRule="exact"/>
                    <w:rPr>
                      <w:kern w:val="0"/>
                      <w:sz w:val="18"/>
                      <w:szCs w:val="18"/>
                    </w:rPr>
                  </w:pPr>
                  <w:r>
                    <w:rPr>
                      <w:kern w:val="0"/>
                      <w:sz w:val="18"/>
                      <w:szCs w:val="18"/>
                    </w:rPr>
                    <w:t>利旧（现状已建，</w:t>
                  </w:r>
                  <w:r>
                    <w:rPr>
                      <w:rFonts w:hint="eastAsia"/>
                      <w:kern w:val="0"/>
                      <w:sz w:val="18"/>
                      <w:szCs w:val="18"/>
                    </w:rPr>
                    <w:t>不</w:t>
                  </w:r>
                  <w:r>
                    <w:rPr>
                      <w:kern w:val="0"/>
                      <w:sz w:val="18"/>
                      <w:szCs w:val="18"/>
                    </w:rPr>
                    <w:t>增加设备）</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sz w:val="18"/>
                      <w:szCs w:val="18"/>
                    </w:rPr>
                  </w:pPr>
                  <w:r>
                    <w:rPr>
                      <w:rFonts w:hint="eastAsia"/>
                      <w:sz w:val="18"/>
                      <w:szCs w:val="18"/>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66" w:type="dxa"/>
                  <w:vMerge w:val="continue"/>
                  <w:noWrap w:val="0"/>
                  <w:vAlign w:val="center"/>
                </w:tcPr>
                <w:p>
                  <w:pPr>
                    <w:spacing w:line="320" w:lineRule="exact"/>
                    <w:jc w:val="center"/>
                    <w:rPr>
                      <w:sz w:val="18"/>
                      <w:szCs w:val="18"/>
                    </w:rPr>
                  </w:pPr>
                </w:p>
              </w:tc>
              <w:tc>
                <w:tcPr>
                  <w:tcW w:w="1009" w:type="dxa"/>
                  <w:noWrap w:val="0"/>
                  <w:vAlign w:val="center"/>
                </w:tcPr>
                <w:p>
                  <w:pPr>
                    <w:spacing w:line="320" w:lineRule="exact"/>
                    <w:jc w:val="center"/>
                    <w:rPr>
                      <w:rFonts w:hint="eastAsia"/>
                      <w:kern w:val="0"/>
                      <w:sz w:val="18"/>
                      <w:szCs w:val="18"/>
                    </w:rPr>
                  </w:pPr>
                  <w:r>
                    <w:rPr>
                      <w:kern w:val="0"/>
                      <w:sz w:val="18"/>
                      <w:szCs w:val="18"/>
                    </w:rPr>
                    <w:t>污泥脱水机房</w:t>
                  </w:r>
                </w:p>
              </w:tc>
              <w:tc>
                <w:tcPr>
                  <w:tcW w:w="3877" w:type="dxa"/>
                  <w:gridSpan w:val="2"/>
                  <w:noWrap w:val="0"/>
                  <w:vAlign w:val="center"/>
                </w:tcPr>
                <w:p>
                  <w:pPr>
                    <w:spacing w:line="320" w:lineRule="exact"/>
                    <w:rPr>
                      <w:kern w:val="0"/>
                      <w:sz w:val="18"/>
                      <w:szCs w:val="18"/>
                    </w:rPr>
                  </w:pPr>
                  <w:r>
                    <w:rPr>
                      <w:kern w:val="0"/>
                      <w:sz w:val="18"/>
                      <w:szCs w:val="18"/>
                    </w:rPr>
                    <w:t>利旧（现状已建，</w:t>
                  </w:r>
                  <w:r>
                    <w:rPr>
                      <w:rFonts w:hint="eastAsia"/>
                      <w:kern w:val="0"/>
                      <w:sz w:val="18"/>
                      <w:szCs w:val="18"/>
                    </w:rPr>
                    <w:t>不</w:t>
                  </w:r>
                  <w:r>
                    <w:rPr>
                      <w:kern w:val="0"/>
                      <w:sz w:val="18"/>
                      <w:szCs w:val="18"/>
                    </w:rPr>
                    <w:t>增加设备）</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sz w:val="18"/>
                      <w:szCs w:val="18"/>
                    </w:rPr>
                  </w:pPr>
                  <w:r>
                    <w:rPr>
                      <w:rFonts w:hint="eastAsia"/>
                      <w:sz w:val="18"/>
                      <w:szCs w:val="18"/>
                    </w:rPr>
                    <w:t>噪声、废水、污泥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spacing w:line="320" w:lineRule="exact"/>
                    <w:jc w:val="center"/>
                    <w:rPr>
                      <w:color w:val="FF00FF"/>
                      <w:sz w:val="18"/>
                      <w:szCs w:val="18"/>
                    </w:rPr>
                  </w:pPr>
                </w:p>
              </w:tc>
              <w:tc>
                <w:tcPr>
                  <w:tcW w:w="1009" w:type="dxa"/>
                  <w:noWrap w:val="0"/>
                  <w:vAlign w:val="center"/>
                </w:tcPr>
                <w:p>
                  <w:pPr>
                    <w:spacing w:line="320" w:lineRule="exact"/>
                    <w:jc w:val="center"/>
                    <w:rPr>
                      <w:rFonts w:hint="eastAsia"/>
                      <w:sz w:val="18"/>
                      <w:szCs w:val="18"/>
                    </w:rPr>
                  </w:pPr>
                  <w:r>
                    <w:rPr>
                      <w:kern w:val="0"/>
                      <w:sz w:val="18"/>
                      <w:szCs w:val="18"/>
                    </w:rPr>
                    <w:t>送水泵房</w:t>
                  </w:r>
                </w:p>
              </w:tc>
              <w:tc>
                <w:tcPr>
                  <w:tcW w:w="3877" w:type="dxa"/>
                  <w:gridSpan w:val="2"/>
                  <w:noWrap w:val="0"/>
                  <w:vAlign w:val="center"/>
                </w:tcPr>
                <w:p>
                  <w:pPr>
                    <w:spacing w:line="320" w:lineRule="exact"/>
                    <w:jc w:val="left"/>
                    <w:rPr>
                      <w:sz w:val="18"/>
                      <w:szCs w:val="18"/>
                    </w:rPr>
                  </w:pPr>
                  <w:r>
                    <w:rPr>
                      <w:kern w:val="0"/>
                      <w:sz w:val="18"/>
                      <w:szCs w:val="18"/>
                    </w:rPr>
                    <w:t>利旧（现状已建，仅增加设备）</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sz w:val="18"/>
                      <w:szCs w:val="18"/>
                    </w:rPr>
                  </w:pPr>
                  <w:r>
                    <w:rPr>
                      <w:sz w:val="18"/>
                      <w:szCs w:val="18"/>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spacing w:line="320" w:lineRule="exact"/>
                    <w:jc w:val="center"/>
                    <w:rPr>
                      <w:color w:val="FF00FF"/>
                      <w:sz w:val="18"/>
                      <w:szCs w:val="18"/>
                    </w:rPr>
                  </w:pPr>
                </w:p>
              </w:tc>
              <w:tc>
                <w:tcPr>
                  <w:tcW w:w="1009" w:type="dxa"/>
                  <w:noWrap w:val="0"/>
                  <w:vAlign w:val="center"/>
                </w:tcPr>
                <w:p>
                  <w:pPr>
                    <w:spacing w:line="320" w:lineRule="exact"/>
                    <w:jc w:val="center"/>
                    <w:rPr>
                      <w:rFonts w:hint="eastAsia"/>
                      <w:kern w:val="0"/>
                      <w:sz w:val="18"/>
                      <w:szCs w:val="18"/>
                    </w:rPr>
                  </w:pPr>
                  <w:r>
                    <w:rPr>
                      <w:rFonts w:hint="eastAsia"/>
                      <w:kern w:val="0"/>
                      <w:sz w:val="18"/>
                      <w:szCs w:val="18"/>
                    </w:rPr>
                    <w:t>调流</w:t>
                  </w:r>
                </w:p>
                <w:p>
                  <w:pPr>
                    <w:spacing w:line="320" w:lineRule="exact"/>
                    <w:jc w:val="center"/>
                    <w:rPr>
                      <w:rFonts w:hint="eastAsia"/>
                      <w:kern w:val="0"/>
                      <w:sz w:val="18"/>
                      <w:szCs w:val="18"/>
                    </w:rPr>
                  </w:pPr>
                  <w:r>
                    <w:rPr>
                      <w:rFonts w:hint="eastAsia"/>
                      <w:kern w:val="0"/>
                      <w:sz w:val="18"/>
                      <w:szCs w:val="18"/>
                    </w:rPr>
                    <w:t>调压间</w:t>
                  </w:r>
                </w:p>
              </w:tc>
              <w:tc>
                <w:tcPr>
                  <w:tcW w:w="3877" w:type="dxa"/>
                  <w:gridSpan w:val="2"/>
                  <w:noWrap w:val="0"/>
                  <w:vAlign w:val="center"/>
                </w:tcPr>
                <w:p>
                  <w:pPr>
                    <w:spacing w:line="320" w:lineRule="exact"/>
                    <w:jc w:val="left"/>
                    <w:rPr>
                      <w:kern w:val="0"/>
                      <w:sz w:val="18"/>
                      <w:szCs w:val="18"/>
                    </w:rPr>
                  </w:pPr>
                  <w:r>
                    <w:rPr>
                      <w:rFonts w:hint="eastAsia"/>
                      <w:kern w:val="0"/>
                      <w:sz w:val="18"/>
                      <w:szCs w:val="18"/>
                    </w:rPr>
                    <w:t>新建</w:t>
                  </w:r>
                  <w:r>
                    <w:rPr>
                      <w:kern w:val="0"/>
                      <w:sz w:val="18"/>
                      <w:szCs w:val="18"/>
                    </w:rPr>
                    <w:t>1</w:t>
                  </w:r>
                  <w:r>
                    <w:rPr>
                      <w:rFonts w:hint="eastAsia"/>
                      <w:kern w:val="0"/>
                      <w:sz w:val="18"/>
                      <w:szCs w:val="18"/>
                    </w:rPr>
                    <w:t>座</w:t>
                  </w:r>
                  <w:r>
                    <w:rPr>
                      <w:kern w:val="0"/>
                      <w:sz w:val="18"/>
                      <w:szCs w:val="18"/>
                    </w:rPr>
                    <w:t>，L×B×H=</w:t>
                  </w:r>
                  <w:r>
                    <w:rPr>
                      <w:rFonts w:hint="eastAsia"/>
                      <w:kern w:val="0"/>
                      <w:sz w:val="18"/>
                      <w:szCs w:val="18"/>
                    </w:rPr>
                    <w:t>7.8</w:t>
                  </w:r>
                  <w:r>
                    <w:rPr>
                      <w:kern w:val="0"/>
                      <w:sz w:val="18"/>
                      <w:szCs w:val="18"/>
                    </w:rPr>
                    <w:t>×</w:t>
                  </w:r>
                  <w:r>
                    <w:rPr>
                      <w:rFonts w:hint="eastAsia"/>
                      <w:kern w:val="0"/>
                      <w:sz w:val="18"/>
                      <w:szCs w:val="18"/>
                    </w:rPr>
                    <w:t>6.3</w:t>
                  </w:r>
                  <w:r>
                    <w:rPr>
                      <w:kern w:val="0"/>
                      <w:sz w:val="18"/>
                      <w:szCs w:val="18"/>
                    </w:rPr>
                    <w:t>×（</w:t>
                  </w:r>
                  <w:r>
                    <w:rPr>
                      <w:rFonts w:hint="eastAsia"/>
                      <w:kern w:val="0"/>
                      <w:sz w:val="18"/>
                      <w:szCs w:val="18"/>
                    </w:rPr>
                    <w:t>2.75+5.7</w:t>
                  </w:r>
                  <w:r>
                    <w:rPr>
                      <w:kern w:val="0"/>
                      <w:sz w:val="18"/>
                      <w:szCs w:val="18"/>
                    </w:rPr>
                    <w:t>）</w:t>
                  </w:r>
                  <w:r>
                    <w:rPr>
                      <w:rFonts w:hint="eastAsia"/>
                      <w:kern w:val="0"/>
                      <w:sz w:val="18"/>
                      <w:szCs w:val="18"/>
                    </w:rPr>
                    <w:t>m，钢筋砼、</w:t>
                  </w:r>
                  <w:r>
                    <w:rPr>
                      <w:kern w:val="0"/>
                      <w:sz w:val="18"/>
                      <w:szCs w:val="18"/>
                    </w:rPr>
                    <w:t>框架结构</w:t>
                  </w:r>
                  <w:r>
                    <w:rPr>
                      <w:rFonts w:hint="eastAsia"/>
                      <w:kern w:val="0"/>
                      <w:sz w:val="18"/>
                      <w:szCs w:val="18"/>
                    </w:rPr>
                    <w:t>，作为水厂阀门用房，无设备</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6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09" w:type="dxa"/>
                  <w:noWrap w:val="0"/>
                  <w:vAlign w:val="center"/>
                </w:tcPr>
                <w:p>
                  <w:pPr>
                    <w:spacing w:line="320" w:lineRule="exact"/>
                    <w:jc w:val="center"/>
                    <w:rPr>
                      <w:rFonts w:hint="eastAsia"/>
                      <w:kern w:val="0"/>
                      <w:sz w:val="18"/>
                      <w:szCs w:val="18"/>
                    </w:rPr>
                  </w:pPr>
                  <w:r>
                    <w:rPr>
                      <w:kern w:val="0"/>
                      <w:sz w:val="18"/>
                      <w:szCs w:val="18"/>
                    </w:rPr>
                    <w:t>应急</w:t>
                  </w:r>
                </w:p>
                <w:p>
                  <w:pPr>
                    <w:spacing w:line="320" w:lineRule="exact"/>
                    <w:jc w:val="center"/>
                    <w:rPr>
                      <w:rFonts w:hint="eastAsia"/>
                      <w:color w:val="FF00FF"/>
                      <w:sz w:val="18"/>
                      <w:szCs w:val="18"/>
                    </w:rPr>
                  </w:pPr>
                  <w:r>
                    <w:rPr>
                      <w:rFonts w:hint="eastAsia"/>
                      <w:kern w:val="0"/>
                      <w:sz w:val="18"/>
                      <w:szCs w:val="18"/>
                    </w:rPr>
                    <w:t>加药间</w:t>
                  </w:r>
                </w:p>
              </w:tc>
              <w:tc>
                <w:tcPr>
                  <w:tcW w:w="3877" w:type="dxa"/>
                  <w:gridSpan w:val="2"/>
                  <w:noWrap w:val="0"/>
                  <w:vAlign w:val="center"/>
                </w:tcPr>
                <w:p>
                  <w:pPr>
                    <w:spacing w:line="320" w:lineRule="exact"/>
                    <w:rPr>
                      <w:color w:val="FF00FF"/>
                      <w:sz w:val="18"/>
                      <w:szCs w:val="18"/>
                    </w:rPr>
                  </w:pPr>
                  <w:r>
                    <w:rPr>
                      <w:kern w:val="0"/>
                      <w:sz w:val="18"/>
                      <w:szCs w:val="18"/>
                    </w:rPr>
                    <w:t>L×B×H=</w:t>
                  </w:r>
                  <w:r>
                    <w:rPr>
                      <w:rFonts w:hint="eastAsia"/>
                      <w:kern w:val="0"/>
                      <w:sz w:val="18"/>
                      <w:szCs w:val="18"/>
                    </w:rPr>
                    <w:t>31.5</w:t>
                  </w:r>
                  <w:r>
                    <w:rPr>
                      <w:kern w:val="0"/>
                      <w:sz w:val="18"/>
                      <w:szCs w:val="18"/>
                    </w:rPr>
                    <w:t>×</w:t>
                  </w:r>
                  <w:r>
                    <w:rPr>
                      <w:rFonts w:hint="eastAsia"/>
                      <w:kern w:val="0"/>
                      <w:sz w:val="18"/>
                      <w:szCs w:val="18"/>
                    </w:rPr>
                    <w:t>9</w:t>
                  </w:r>
                  <w:r>
                    <w:rPr>
                      <w:kern w:val="0"/>
                      <w:sz w:val="18"/>
                      <w:szCs w:val="18"/>
                    </w:rPr>
                    <w:t>×（5.</w:t>
                  </w:r>
                  <w:r>
                    <w:rPr>
                      <w:rFonts w:hint="eastAsia"/>
                      <w:kern w:val="0"/>
                      <w:sz w:val="18"/>
                      <w:szCs w:val="18"/>
                    </w:rPr>
                    <w:t>4-10.5</w:t>
                  </w:r>
                  <w:r>
                    <w:rPr>
                      <w:kern w:val="0"/>
                      <w:sz w:val="18"/>
                      <w:szCs w:val="18"/>
                    </w:rPr>
                    <w:t>）</w:t>
                  </w:r>
                  <w:r>
                    <w:rPr>
                      <w:rFonts w:hint="eastAsia"/>
                      <w:kern w:val="0"/>
                      <w:sz w:val="18"/>
                      <w:szCs w:val="18"/>
                    </w:rPr>
                    <w:t>m，新建</w:t>
                  </w:r>
                  <w:r>
                    <w:rPr>
                      <w:kern w:val="0"/>
                      <w:sz w:val="18"/>
                      <w:szCs w:val="18"/>
                    </w:rPr>
                    <w:t>1</w:t>
                  </w:r>
                  <w:r>
                    <w:rPr>
                      <w:rFonts w:hint="eastAsia"/>
                      <w:kern w:val="0"/>
                      <w:sz w:val="18"/>
                      <w:szCs w:val="18"/>
                    </w:rPr>
                    <w:t>栋</w:t>
                  </w:r>
                  <w:r>
                    <w:rPr>
                      <w:kern w:val="0"/>
                      <w:sz w:val="18"/>
                      <w:szCs w:val="18"/>
                    </w:rPr>
                    <w:t>，框架结构。用于为应对原水突发情况的污染和调节原水pH值及碱度</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r>
                    <w:rPr>
                      <w:rFonts w:hint="eastAsia"/>
                      <w:kern w:val="0"/>
                      <w:sz w:val="18"/>
                      <w:szCs w:val="18"/>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09" w:type="dxa"/>
                  <w:noWrap w:val="0"/>
                  <w:vAlign w:val="center"/>
                </w:tcPr>
                <w:p>
                  <w:pPr>
                    <w:spacing w:line="320" w:lineRule="exact"/>
                    <w:jc w:val="center"/>
                    <w:rPr>
                      <w:sz w:val="18"/>
                      <w:szCs w:val="18"/>
                    </w:rPr>
                  </w:pPr>
                  <w:r>
                    <w:rPr>
                      <w:sz w:val="18"/>
                      <w:szCs w:val="18"/>
                    </w:rPr>
                    <w:t>水质化验</w:t>
                  </w:r>
                </w:p>
              </w:tc>
              <w:tc>
                <w:tcPr>
                  <w:tcW w:w="3877" w:type="dxa"/>
                  <w:gridSpan w:val="2"/>
                  <w:noWrap w:val="0"/>
                  <w:vAlign w:val="center"/>
                </w:tcPr>
                <w:p>
                  <w:pPr>
                    <w:spacing w:line="320" w:lineRule="exact"/>
                    <w:rPr>
                      <w:sz w:val="18"/>
                      <w:szCs w:val="18"/>
                    </w:rPr>
                  </w:pPr>
                  <w:r>
                    <w:rPr>
                      <w:sz w:val="18"/>
                      <w:szCs w:val="18"/>
                    </w:rPr>
                    <w:t>依托</w:t>
                  </w:r>
                  <w:r>
                    <w:rPr>
                      <w:rFonts w:hint="eastAsia"/>
                      <w:sz w:val="18"/>
                      <w:szCs w:val="18"/>
                    </w:rPr>
                    <w:t>水务集团吴家沟水厂</w:t>
                  </w:r>
                  <w:r>
                    <w:rPr>
                      <w:sz w:val="18"/>
                      <w:szCs w:val="18"/>
                    </w:rPr>
                    <w:t>现有工程，不单独设置</w:t>
                  </w:r>
                </w:p>
              </w:tc>
              <w:tc>
                <w:tcPr>
                  <w:tcW w:w="1286" w:type="dxa"/>
                  <w:vMerge w:val="continue"/>
                  <w:noWrap w:val="0"/>
                  <w:vAlign w:val="center"/>
                </w:tcPr>
                <w:p>
                  <w:pPr>
                    <w:autoSpaceDE w:val="0"/>
                    <w:autoSpaceDN w:val="0"/>
                    <w:adjustRightInd w:val="0"/>
                    <w:spacing w:line="320" w:lineRule="exact"/>
                    <w:jc w:val="center"/>
                    <w:rPr>
                      <w:kern w:val="0"/>
                      <w:sz w:val="18"/>
                      <w:szCs w:val="18"/>
                    </w:rPr>
                  </w:pPr>
                </w:p>
              </w:tc>
              <w:tc>
                <w:tcPr>
                  <w:tcW w:w="1087" w:type="dxa"/>
                  <w:noWrap w:val="0"/>
                  <w:vAlign w:val="center"/>
                </w:tcPr>
                <w:p>
                  <w:pPr>
                    <w:autoSpaceDE w:val="0"/>
                    <w:autoSpaceDN w:val="0"/>
                    <w:adjustRightInd w:val="0"/>
                    <w:spacing w:line="320" w:lineRule="exact"/>
                    <w:jc w:val="center"/>
                    <w:rPr>
                      <w:kern w:val="0"/>
                      <w:sz w:val="18"/>
                      <w:szCs w:val="18"/>
                    </w:rPr>
                  </w:pPr>
                  <w:r>
                    <w:rPr>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66" w:type="dxa"/>
                  <w:vMerge w:val="restart"/>
                  <w:noWrap w:val="0"/>
                  <w:vAlign w:val="center"/>
                </w:tcPr>
                <w:p>
                  <w:pPr>
                    <w:autoSpaceDE w:val="0"/>
                    <w:autoSpaceDN w:val="0"/>
                    <w:adjustRightInd w:val="0"/>
                    <w:spacing w:line="320" w:lineRule="exact"/>
                    <w:jc w:val="center"/>
                    <w:rPr>
                      <w:rFonts w:hint="eastAsia"/>
                      <w:kern w:val="0"/>
                      <w:sz w:val="18"/>
                      <w:szCs w:val="18"/>
                    </w:rPr>
                  </w:pPr>
                  <w:r>
                    <w:rPr>
                      <w:rFonts w:hint="eastAsia"/>
                      <w:kern w:val="0"/>
                      <w:sz w:val="18"/>
                      <w:szCs w:val="18"/>
                    </w:rPr>
                    <w:t>办公及生活</w:t>
                  </w:r>
                </w:p>
              </w:tc>
              <w:tc>
                <w:tcPr>
                  <w:tcW w:w="1009" w:type="dxa"/>
                  <w:noWrap w:val="0"/>
                  <w:vAlign w:val="center"/>
                </w:tcPr>
                <w:p>
                  <w:pPr>
                    <w:spacing w:line="320" w:lineRule="exact"/>
                    <w:jc w:val="center"/>
                    <w:rPr>
                      <w:sz w:val="18"/>
                      <w:szCs w:val="18"/>
                    </w:rPr>
                  </w:pPr>
                  <w:r>
                    <w:rPr>
                      <w:rFonts w:hint="eastAsia"/>
                      <w:sz w:val="18"/>
                      <w:szCs w:val="18"/>
                    </w:rPr>
                    <w:t>供水调度中心</w:t>
                  </w:r>
                </w:p>
              </w:tc>
              <w:tc>
                <w:tcPr>
                  <w:tcW w:w="3877" w:type="dxa"/>
                  <w:gridSpan w:val="2"/>
                  <w:noWrap w:val="0"/>
                  <w:vAlign w:val="center"/>
                </w:tcPr>
                <w:p>
                  <w:pPr>
                    <w:pStyle w:val="2"/>
                    <w:ind w:left="0" w:leftChars="0" w:firstLine="0" w:firstLineChars="0"/>
                    <w:rPr>
                      <w:rFonts w:hint="eastAsia"/>
                    </w:rPr>
                  </w:pPr>
                  <w:r>
                    <w:rPr>
                      <w:kern w:val="0"/>
                      <w:sz w:val="18"/>
                      <w:szCs w:val="18"/>
                    </w:rPr>
                    <w:t>L×B×H=</w:t>
                  </w:r>
                  <w:r>
                    <w:rPr>
                      <w:rFonts w:hint="eastAsia"/>
                      <w:kern w:val="0"/>
                      <w:sz w:val="18"/>
                      <w:szCs w:val="18"/>
                    </w:rPr>
                    <w:t>60.3</w:t>
                  </w:r>
                  <w:r>
                    <w:rPr>
                      <w:kern w:val="0"/>
                      <w:sz w:val="18"/>
                      <w:szCs w:val="18"/>
                    </w:rPr>
                    <w:t>×</w:t>
                  </w:r>
                  <w:r>
                    <w:rPr>
                      <w:rFonts w:hint="eastAsia"/>
                      <w:kern w:val="0"/>
                      <w:sz w:val="18"/>
                      <w:szCs w:val="18"/>
                    </w:rPr>
                    <w:t>17.9，新建1栋</w:t>
                  </w:r>
                  <w:r>
                    <w:rPr>
                      <w:kern w:val="0"/>
                      <w:sz w:val="18"/>
                      <w:szCs w:val="18"/>
                    </w:rPr>
                    <w:t>，框架结构</w:t>
                  </w:r>
                  <w:r>
                    <w:rPr>
                      <w:rFonts w:hint="eastAsia"/>
                      <w:kern w:val="0"/>
                      <w:sz w:val="18"/>
                      <w:szCs w:val="18"/>
                    </w:rPr>
                    <w:t>共6F。其中1F设置员工食堂、柴油发电机房</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r>
                    <w:rPr>
                      <w:rFonts w:hint="eastAsia"/>
                      <w:kern w:val="0"/>
                      <w:sz w:val="18"/>
                      <w:szCs w:val="18"/>
                    </w:rPr>
                    <w:t>生活垃圾、生活污水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autoSpaceDE w:val="0"/>
                    <w:autoSpaceDN w:val="0"/>
                    <w:adjustRightInd w:val="0"/>
                    <w:spacing w:line="320" w:lineRule="exact"/>
                    <w:jc w:val="center"/>
                    <w:rPr>
                      <w:rFonts w:hint="eastAsia"/>
                      <w:kern w:val="0"/>
                      <w:sz w:val="18"/>
                      <w:szCs w:val="18"/>
                    </w:rPr>
                  </w:pPr>
                </w:p>
              </w:tc>
              <w:tc>
                <w:tcPr>
                  <w:tcW w:w="1009" w:type="dxa"/>
                  <w:noWrap w:val="0"/>
                  <w:vAlign w:val="center"/>
                </w:tcPr>
                <w:p>
                  <w:pPr>
                    <w:spacing w:line="320" w:lineRule="exact"/>
                    <w:jc w:val="center"/>
                    <w:rPr>
                      <w:rFonts w:hint="eastAsia"/>
                      <w:sz w:val="18"/>
                      <w:szCs w:val="18"/>
                    </w:rPr>
                  </w:pPr>
                  <w:r>
                    <w:rPr>
                      <w:rFonts w:hint="eastAsia"/>
                      <w:kern w:val="0"/>
                      <w:sz w:val="18"/>
                      <w:szCs w:val="18"/>
                    </w:rPr>
                    <w:t>门卫室</w:t>
                  </w:r>
                </w:p>
              </w:tc>
              <w:tc>
                <w:tcPr>
                  <w:tcW w:w="3877" w:type="dxa"/>
                  <w:gridSpan w:val="2"/>
                  <w:noWrap w:val="0"/>
                  <w:vAlign w:val="center"/>
                </w:tcPr>
                <w:p>
                  <w:pPr>
                    <w:spacing w:line="320" w:lineRule="exact"/>
                    <w:rPr>
                      <w:kern w:val="0"/>
                      <w:sz w:val="18"/>
                      <w:szCs w:val="18"/>
                    </w:rPr>
                  </w:pPr>
                  <w:r>
                    <w:rPr>
                      <w:kern w:val="0"/>
                      <w:sz w:val="18"/>
                      <w:szCs w:val="18"/>
                    </w:rPr>
                    <w:t>L×B×H=</w:t>
                  </w:r>
                  <w:r>
                    <w:rPr>
                      <w:rFonts w:hint="eastAsia"/>
                      <w:kern w:val="0"/>
                      <w:sz w:val="18"/>
                      <w:szCs w:val="18"/>
                    </w:rPr>
                    <w:t>6.0</w:t>
                  </w:r>
                  <w:r>
                    <w:rPr>
                      <w:kern w:val="0"/>
                      <w:sz w:val="18"/>
                      <w:szCs w:val="18"/>
                    </w:rPr>
                    <w:t>×</w:t>
                  </w:r>
                  <w:r>
                    <w:rPr>
                      <w:rFonts w:hint="eastAsia"/>
                      <w:kern w:val="0"/>
                      <w:sz w:val="18"/>
                      <w:szCs w:val="18"/>
                    </w:rPr>
                    <w:t>3.9</w:t>
                  </w:r>
                  <w:r>
                    <w:rPr>
                      <w:kern w:val="0"/>
                      <w:sz w:val="18"/>
                      <w:szCs w:val="18"/>
                    </w:rPr>
                    <w:t>×</w:t>
                  </w:r>
                  <w:r>
                    <w:rPr>
                      <w:rFonts w:hint="eastAsia"/>
                      <w:kern w:val="0"/>
                      <w:sz w:val="18"/>
                      <w:szCs w:val="18"/>
                    </w:rPr>
                    <w:t>3.3m，新建2栋</w:t>
                  </w:r>
                  <w:r>
                    <w:rPr>
                      <w:kern w:val="0"/>
                      <w:sz w:val="18"/>
                      <w:szCs w:val="18"/>
                    </w:rPr>
                    <w:t>，框架结构</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r>
                    <w:rPr>
                      <w:rFonts w:hint="eastAsia"/>
                      <w:kern w:val="0"/>
                      <w:sz w:val="18"/>
                      <w:szCs w:val="18"/>
                    </w:rPr>
                    <w:t>生活垃圾、生活污水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restart"/>
                  <w:noWrap w:val="0"/>
                  <w:vAlign w:val="center"/>
                </w:tcPr>
                <w:p>
                  <w:pPr>
                    <w:autoSpaceDE w:val="0"/>
                    <w:autoSpaceDN w:val="0"/>
                    <w:adjustRightInd w:val="0"/>
                    <w:spacing w:line="320" w:lineRule="exact"/>
                    <w:jc w:val="center"/>
                    <w:rPr>
                      <w:caps/>
                      <w:sz w:val="18"/>
                      <w:szCs w:val="18"/>
                    </w:rPr>
                  </w:pPr>
                  <w:r>
                    <w:rPr>
                      <w:caps/>
                      <w:sz w:val="18"/>
                      <w:szCs w:val="18"/>
                    </w:rPr>
                    <w:t>环保</w:t>
                  </w:r>
                </w:p>
                <w:p>
                  <w:pPr>
                    <w:autoSpaceDE w:val="0"/>
                    <w:autoSpaceDN w:val="0"/>
                    <w:adjustRightInd w:val="0"/>
                    <w:spacing w:line="320" w:lineRule="exact"/>
                    <w:jc w:val="center"/>
                    <w:rPr>
                      <w:kern w:val="0"/>
                      <w:sz w:val="18"/>
                      <w:szCs w:val="18"/>
                    </w:rPr>
                  </w:pPr>
                  <w:r>
                    <w:rPr>
                      <w:caps/>
                      <w:sz w:val="18"/>
                      <w:szCs w:val="18"/>
                    </w:rPr>
                    <w:t>工程</w:t>
                  </w:r>
                </w:p>
              </w:tc>
              <w:tc>
                <w:tcPr>
                  <w:tcW w:w="1009" w:type="dxa"/>
                  <w:vMerge w:val="restart"/>
                  <w:noWrap w:val="0"/>
                  <w:vAlign w:val="center"/>
                </w:tcPr>
                <w:p>
                  <w:pPr>
                    <w:spacing w:line="320" w:lineRule="exact"/>
                    <w:jc w:val="center"/>
                    <w:rPr>
                      <w:sz w:val="18"/>
                      <w:szCs w:val="18"/>
                    </w:rPr>
                  </w:pPr>
                  <w:r>
                    <w:rPr>
                      <w:sz w:val="18"/>
                      <w:szCs w:val="18"/>
                    </w:rPr>
                    <w:t>废气防治</w:t>
                  </w:r>
                </w:p>
              </w:tc>
              <w:tc>
                <w:tcPr>
                  <w:tcW w:w="3877" w:type="dxa"/>
                  <w:gridSpan w:val="2"/>
                  <w:noWrap w:val="0"/>
                  <w:vAlign w:val="center"/>
                </w:tcPr>
                <w:p>
                  <w:pPr>
                    <w:spacing w:line="320" w:lineRule="exact"/>
                    <w:rPr>
                      <w:sz w:val="18"/>
                      <w:szCs w:val="18"/>
                    </w:rPr>
                  </w:pPr>
                  <w:r>
                    <w:rPr>
                      <w:sz w:val="18"/>
                      <w:szCs w:val="18"/>
                    </w:rPr>
                    <w:t>柴油发电机尾气：设专用排气筒将尾气引至</w:t>
                  </w:r>
                  <w:r>
                    <w:rPr>
                      <w:rFonts w:hint="eastAsia"/>
                      <w:sz w:val="18"/>
                      <w:szCs w:val="18"/>
                    </w:rPr>
                    <w:t>调度中心</w:t>
                  </w:r>
                  <w:r>
                    <w:rPr>
                      <w:sz w:val="18"/>
                      <w:szCs w:val="18"/>
                    </w:rPr>
                    <w:t>屋顶高空排放</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r>
                    <w:rPr>
                      <w:kern w:val="0"/>
                      <w:sz w:val="18"/>
                      <w:szCs w:val="18"/>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autoSpaceDE w:val="0"/>
                    <w:autoSpaceDN w:val="0"/>
                    <w:adjustRightInd w:val="0"/>
                    <w:spacing w:line="320" w:lineRule="exact"/>
                    <w:jc w:val="center"/>
                    <w:rPr>
                      <w:caps/>
                      <w:sz w:val="18"/>
                      <w:szCs w:val="18"/>
                    </w:rPr>
                  </w:pPr>
                </w:p>
              </w:tc>
              <w:tc>
                <w:tcPr>
                  <w:tcW w:w="1009" w:type="dxa"/>
                  <w:vMerge w:val="continue"/>
                  <w:noWrap w:val="0"/>
                  <w:vAlign w:val="center"/>
                </w:tcPr>
                <w:p>
                  <w:pPr>
                    <w:spacing w:line="320" w:lineRule="exact"/>
                    <w:jc w:val="center"/>
                    <w:rPr>
                      <w:sz w:val="18"/>
                      <w:szCs w:val="18"/>
                    </w:rPr>
                  </w:pPr>
                </w:p>
              </w:tc>
              <w:tc>
                <w:tcPr>
                  <w:tcW w:w="3877" w:type="dxa"/>
                  <w:gridSpan w:val="2"/>
                  <w:noWrap w:val="0"/>
                  <w:vAlign w:val="center"/>
                </w:tcPr>
                <w:p>
                  <w:pPr>
                    <w:spacing w:line="320" w:lineRule="exact"/>
                    <w:rPr>
                      <w:rFonts w:hint="eastAsia"/>
                      <w:sz w:val="18"/>
                      <w:szCs w:val="18"/>
                    </w:rPr>
                  </w:pPr>
                  <w:r>
                    <w:rPr>
                      <w:rFonts w:hint="eastAsia"/>
                      <w:sz w:val="18"/>
                      <w:szCs w:val="18"/>
                    </w:rPr>
                    <w:t>食堂油烟废气：设油烟净化器1套处理，废气经专用烟道于调度中心楼顶排放</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r>
                    <w:rPr>
                      <w:rFonts w:hint="eastAsia"/>
                      <w:kern w:val="0"/>
                      <w:sz w:val="18"/>
                      <w:szCs w:val="18"/>
                    </w:rPr>
                    <w:t>噪声、废油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autoSpaceDE w:val="0"/>
                    <w:autoSpaceDN w:val="0"/>
                    <w:adjustRightInd w:val="0"/>
                    <w:spacing w:line="320" w:lineRule="exact"/>
                    <w:jc w:val="center"/>
                    <w:rPr>
                      <w:caps/>
                      <w:color w:val="FF00FF"/>
                      <w:sz w:val="18"/>
                      <w:szCs w:val="18"/>
                    </w:rPr>
                  </w:pPr>
                </w:p>
              </w:tc>
              <w:tc>
                <w:tcPr>
                  <w:tcW w:w="1009" w:type="dxa"/>
                  <w:vMerge w:val="restart"/>
                  <w:noWrap w:val="0"/>
                  <w:vAlign w:val="center"/>
                </w:tcPr>
                <w:p>
                  <w:pPr>
                    <w:spacing w:line="320" w:lineRule="exact"/>
                    <w:jc w:val="center"/>
                    <w:rPr>
                      <w:sz w:val="18"/>
                      <w:szCs w:val="18"/>
                    </w:rPr>
                  </w:pPr>
                  <w:r>
                    <w:rPr>
                      <w:sz w:val="18"/>
                      <w:szCs w:val="18"/>
                    </w:rPr>
                    <w:t>废水治理</w:t>
                  </w:r>
                </w:p>
              </w:tc>
              <w:tc>
                <w:tcPr>
                  <w:tcW w:w="3877" w:type="dxa"/>
                  <w:gridSpan w:val="2"/>
                  <w:noWrap w:val="0"/>
                  <w:vAlign w:val="center"/>
                </w:tcPr>
                <w:p>
                  <w:pPr>
                    <w:spacing w:line="320" w:lineRule="exact"/>
                    <w:rPr>
                      <w:rFonts w:hint="eastAsia"/>
                      <w:sz w:val="18"/>
                      <w:szCs w:val="18"/>
                    </w:rPr>
                  </w:pPr>
                  <w:r>
                    <w:rPr>
                      <w:sz w:val="18"/>
                      <w:szCs w:val="18"/>
                    </w:rPr>
                    <w:t>生活污水：</w:t>
                  </w:r>
                  <w:r>
                    <w:rPr>
                      <w:rFonts w:hint="eastAsia"/>
                      <w:sz w:val="18"/>
                      <w:szCs w:val="18"/>
                    </w:rPr>
                    <w:t>调度中心设化粪池（食堂含油废水先经隔油处理）预处理后，</w:t>
                  </w:r>
                  <w:r>
                    <w:rPr>
                      <w:sz w:val="18"/>
                      <w:szCs w:val="18"/>
                    </w:rPr>
                    <w:t>排入市政管网</w:t>
                  </w:r>
                  <w:r>
                    <w:rPr>
                      <w:rFonts w:hint="eastAsia"/>
                      <w:sz w:val="18"/>
                      <w:szCs w:val="18"/>
                    </w:rPr>
                    <w:t>引至达州市城市污水厂处理</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r>
                    <w:rPr>
                      <w:rFonts w:hint="eastAsia"/>
                      <w:kern w:val="0"/>
                      <w:sz w:val="18"/>
                      <w:szCs w:val="18"/>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autoSpaceDE w:val="0"/>
                    <w:autoSpaceDN w:val="0"/>
                    <w:adjustRightInd w:val="0"/>
                    <w:spacing w:line="320" w:lineRule="exact"/>
                    <w:jc w:val="center"/>
                    <w:rPr>
                      <w:caps/>
                      <w:color w:val="FF00FF"/>
                      <w:sz w:val="18"/>
                      <w:szCs w:val="18"/>
                    </w:rPr>
                  </w:pPr>
                </w:p>
              </w:tc>
              <w:tc>
                <w:tcPr>
                  <w:tcW w:w="1009" w:type="dxa"/>
                  <w:vMerge w:val="continue"/>
                  <w:noWrap w:val="0"/>
                  <w:vAlign w:val="center"/>
                </w:tcPr>
                <w:p>
                  <w:pPr>
                    <w:spacing w:line="320" w:lineRule="exact"/>
                    <w:jc w:val="center"/>
                    <w:rPr>
                      <w:color w:val="FF00FF"/>
                      <w:sz w:val="18"/>
                      <w:szCs w:val="18"/>
                    </w:rPr>
                  </w:pPr>
                </w:p>
              </w:tc>
              <w:tc>
                <w:tcPr>
                  <w:tcW w:w="3877" w:type="dxa"/>
                  <w:gridSpan w:val="2"/>
                  <w:noWrap w:val="0"/>
                  <w:vAlign w:val="center"/>
                </w:tcPr>
                <w:p>
                  <w:pPr>
                    <w:spacing w:line="320" w:lineRule="exact"/>
                    <w:rPr>
                      <w:rFonts w:hint="eastAsia"/>
                      <w:sz w:val="18"/>
                      <w:szCs w:val="18"/>
                    </w:rPr>
                  </w:pPr>
                  <w:r>
                    <w:rPr>
                      <w:sz w:val="18"/>
                      <w:szCs w:val="18"/>
                    </w:rPr>
                    <w:t>生产废水：本项目</w:t>
                  </w:r>
                  <w:r>
                    <w:rPr>
                      <w:rFonts w:hint="eastAsia"/>
                      <w:sz w:val="18"/>
                      <w:szCs w:val="18"/>
                    </w:rPr>
                    <w:t>生产过程滤池反冲洗水回流至配水井回用，不外排；污泥压滤液排入市政污水管网引至达州市污水处理厂处理</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r>
                    <w:rPr>
                      <w:rFonts w:hint="eastAsia"/>
                      <w:kern w:val="0"/>
                      <w:sz w:val="18"/>
                      <w:szCs w:val="18"/>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autoSpaceDE w:val="0"/>
                    <w:autoSpaceDN w:val="0"/>
                    <w:adjustRightInd w:val="0"/>
                    <w:spacing w:line="320" w:lineRule="exact"/>
                    <w:jc w:val="center"/>
                    <w:rPr>
                      <w:caps/>
                      <w:color w:val="FF00FF"/>
                      <w:sz w:val="18"/>
                      <w:szCs w:val="18"/>
                    </w:rPr>
                  </w:pPr>
                </w:p>
              </w:tc>
              <w:tc>
                <w:tcPr>
                  <w:tcW w:w="1009" w:type="dxa"/>
                  <w:noWrap w:val="0"/>
                  <w:vAlign w:val="center"/>
                </w:tcPr>
                <w:p>
                  <w:pPr>
                    <w:spacing w:line="320" w:lineRule="exact"/>
                    <w:jc w:val="center"/>
                    <w:rPr>
                      <w:sz w:val="18"/>
                      <w:szCs w:val="18"/>
                    </w:rPr>
                  </w:pPr>
                  <w:r>
                    <w:rPr>
                      <w:sz w:val="18"/>
                      <w:szCs w:val="18"/>
                    </w:rPr>
                    <w:t>噪声防治</w:t>
                  </w:r>
                </w:p>
              </w:tc>
              <w:tc>
                <w:tcPr>
                  <w:tcW w:w="3877" w:type="dxa"/>
                  <w:gridSpan w:val="2"/>
                  <w:noWrap w:val="0"/>
                  <w:vAlign w:val="center"/>
                </w:tcPr>
                <w:p>
                  <w:pPr>
                    <w:spacing w:line="320" w:lineRule="exact"/>
                    <w:rPr>
                      <w:rFonts w:hint="eastAsia"/>
                      <w:sz w:val="18"/>
                      <w:szCs w:val="18"/>
                    </w:rPr>
                  </w:pPr>
                  <w:r>
                    <w:rPr>
                      <w:rFonts w:hint="eastAsia"/>
                      <w:sz w:val="18"/>
                      <w:szCs w:val="18"/>
                    </w:rPr>
                    <w:t>选用低噪声设备；各类污水泵采用潜水泵，噪声源位于液面以下；高噪声设备置于单独的房间内，安装设备基础减震器，供水泵房设置吸声隔声材料降噪</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autoSpaceDE w:val="0"/>
                    <w:autoSpaceDN w:val="0"/>
                    <w:adjustRightInd w:val="0"/>
                    <w:spacing w:line="320" w:lineRule="exact"/>
                    <w:jc w:val="center"/>
                    <w:rPr>
                      <w:caps/>
                      <w:color w:val="FF00FF"/>
                      <w:sz w:val="18"/>
                      <w:szCs w:val="18"/>
                    </w:rPr>
                  </w:pPr>
                </w:p>
              </w:tc>
              <w:tc>
                <w:tcPr>
                  <w:tcW w:w="1009" w:type="dxa"/>
                  <w:vMerge w:val="restart"/>
                  <w:noWrap w:val="0"/>
                  <w:vAlign w:val="center"/>
                </w:tcPr>
                <w:p>
                  <w:pPr>
                    <w:spacing w:line="320" w:lineRule="exact"/>
                    <w:jc w:val="center"/>
                    <w:rPr>
                      <w:sz w:val="18"/>
                      <w:szCs w:val="18"/>
                    </w:rPr>
                  </w:pPr>
                  <w:r>
                    <w:rPr>
                      <w:sz w:val="18"/>
                      <w:szCs w:val="18"/>
                    </w:rPr>
                    <w:t>固体废物</w:t>
                  </w:r>
                </w:p>
              </w:tc>
              <w:tc>
                <w:tcPr>
                  <w:tcW w:w="3877" w:type="dxa"/>
                  <w:gridSpan w:val="2"/>
                  <w:noWrap w:val="0"/>
                  <w:vAlign w:val="center"/>
                </w:tcPr>
                <w:p>
                  <w:pPr>
                    <w:spacing w:line="320" w:lineRule="exact"/>
                    <w:rPr>
                      <w:rFonts w:hint="eastAsia"/>
                      <w:sz w:val="18"/>
                      <w:szCs w:val="18"/>
                    </w:rPr>
                  </w:pPr>
                  <w:r>
                    <w:rPr>
                      <w:rFonts w:hint="eastAsia"/>
                      <w:sz w:val="18"/>
                      <w:szCs w:val="18"/>
                    </w:rPr>
                    <w:t>压滤污泥：利用现有2台板框压滤机进行脱水处理，利用现有收集点收集，定期外运至城市建筑垃圾场填埋处理</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autoSpaceDE w:val="0"/>
                    <w:autoSpaceDN w:val="0"/>
                    <w:adjustRightInd w:val="0"/>
                    <w:spacing w:line="320" w:lineRule="exact"/>
                    <w:jc w:val="center"/>
                    <w:rPr>
                      <w:caps/>
                      <w:color w:val="FF00FF"/>
                      <w:sz w:val="18"/>
                      <w:szCs w:val="18"/>
                    </w:rPr>
                  </w:pPr>
                </w:p>
              </w:tc>
              <w:tc>
                <w:tcPr>
                  <w:tcW w:w="1009" w:type="dxa"/>
                  <w:vMerge w:val="continue"/>
                  <w:noWrap w:val="0"/>
                  <w:vAlign w:val="center"/>
                </w:tcPr>
                <w:p>
                  <w:pPr>
                    <w:spacing w:line="320" w:lineRule="exact"/>
                    <w:jc w:val="center"/>
                    <w:rPr>
                      <w:sz w:val="18"/>
                      <w:szCs w:val="18"/>
                    </w:rPr>
                  </w:pPr>
                </w:p>
              </w:tc>
              <w:tc>
                <w:tcPr>
                  <w:tcW w:w="3877" w:type="dxa"/>
                  <w:gridSpan w:val="2"/>
                  <w:noWrap w:val="0"/>
                  <w:vAlign w:val="center"/>
                </w:tcPr>
                <w:p>
                  <w:pPr>
                    <w:spacing w:line="320" w:lineRule="exact"/>
                    <w:rPr>
                      <w:rFonts w:hint="eastAsia"/>
                      <w:sz w:val="18"/>
                      <w:szCs w:val="18"/>
                    </w:rPr>
                  </w:pPr>
                  <w:r>
                    <w:rPr>
                      <w:rFonts w:hint="eastAsia"/>
                      <w:sz w:val="18"/>
                      <w:szCs w:val="18"/>
                    </w:rPr>
                    <w:t>设备检修：本项目由水务集团负责检修，检修废物由水务集团统一处置，不设危废暂存间</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autoSpaceDE w:val="0"/>
                    <w:autoSpaceDN w:val="0"/>
                    <w:adjustRightInd w:val="0"/>
                    <w:spacing w:line="320" w:lineRule="exact"/>
                    <w:jc w:val="center"/>
                    <w:rPr>
                      <w:caps/>
                      <w:color w:val="FF00FF"/>
                      <w:sz w:val="18"/>
                      <w:szCs w:val="18"/>
                    </w:rPr>
                  </w:pPr>
                </w:p>
              </w:tc>
              <w:tc>
                <w:tcPr>
                  <w:tcW w:w="1009" w:type="dxa"/>
                  <w:vMerge w:val="continue"/>
                  <w:noWrap w:val="0"/>
                  <w:vAlign w:val="center"/>
                </w:tcPr>
                <w:p>
                  <w:pPr>
                    <w:spacing w:line="320" w:lineRule="exact"/>
                    <w:jc w:val="center"/>
                    <w:rPr>
                      <w:sz w:val="18"/>
                      <w:szCs w:val="18"/>
                    </w:rPr>
                  </w:pPr>
                </w:p>
              </w:tc>
              <w:tc>
                <w:tcPr>
                  <w:tcW w:w="3877" w:type="dxa"/>
                  <w:gridSpan w:val="2"/>
                  <w:noWrap w:val="0"/>
                  <w:vAlign w:val="center"/>
                </w:tcPr>
                <w:p>
                  <w:pPr>
                    <w:spacing w:line="320" w:lineRule="exact"/>
                    <w:rPr>
                      <w:rFonts w:hint="eastAsia"/>
                      <w:sz w:val="18"/>
                      <w:szCs w:val="18"/>
                    </w:rPr>
                  </w:pPr>
                  <w:r>
                    <w:rPr>
                      <w:rFonts w:hint="eastAsia"/>
                      <w:sz w:val="18"/>
                      <w:szCs w:val="18"/>
                    </w:rPr>
                    <w:t>生活垃圾：</w:t>
                  </w:r>
                  <w:r>
                    <w:rPr>
                      <w:sz w:val="18"/>
                      <w:szCs w:val="18"/>
                    </w:rPr>
                    <w:t>设垃圾桶，袋装收集后</w:t>
                  </w:r>
                  <w:r>
                    <w:rPr>
                      <w:rFonts w:hint="eastAsia"/>
                      <w:sz w:val="18"/>
                      <w:szCs w:val="18"/>
                    </w:rPr>
                    <w:t>环卫清运</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r>
                    <w:rPr>
                      <w:rFonts w:hint="eastAsia"/>
                      <w:kern w:val="0"/>
                      <w:sz w:val="18"/>
                      <w:szCs w:val="18"/>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autoSpaceDE w:val="0"/>
                    <w:autoSpaceDN w:val="0"/>
                    <w:adjustRightInd w:val="0"/>
                    <w:spacing w:line="320" w:lineRule="exact"/>
                    <w:jc w:val="center"/>
                    <w:rPr>
                      <w:caps/>
                      <w:color w:val="FF00FF"/>
                      <w:sz w:val="18"/>
                      <w:szCs w:val="18"/>
                    </w:rPr>
                  </w:pPr>
                </w:p>
              </w:tc>
              <w:tc>
                <w:tcPr>
                  <w:tcW w:w="1009" w:type="dxa"/>
                  <w:vMerge w:val="continue"/>
                  <w:noWrap w:val="0"/>
                  <w:vAlign w:val="center"/>
                </w:tcPr>
                <w:p>
                  <w:pPr>
                    <w:spacing w:line="320" w:lineRule="exact"/>
                    <w:jc w:val="center"/>
                    <w:rPr>
                      <w:sz w:val="18"/>
                      <w:szCs w:val="18"/>
                    </w:rPr>
                  </w:pPr>
                </w:p>
              </w:tc>
              <w:tc>
                <w:tcPr>
                  <w:tcW w:w="3877" w:type="dxa"/>
                  <w:gridSpan w:val="2"/>
                  <w:noWrap w:val="0"/>
                  <w:vAlign w:val="center"/>
                </w:tcPr>
                <w:p>
                  <w:pPr>
                    <w:spacing w:line="320" w:lineRule="exact"/>
                    <w:rPr>
                      <w:rFonts w:hint="eastAsia"/>
                      <w:sz w:val="18"/>
                      <w:szCs w:val="18"/>
                    </w:rPr>
                  </w:pPr>
                  <w:r>
                    <w:rPr>
                      <w:rFonts w:hint="eastAsia"/>
                      <w:sz w:val="18"/>
                      <w:szCs w:val="18"/>
                    </w:rPr>
                    <w:t>餐厨垃圾：食堂餐厨垃圾委托平华(达州)环境科技有限公司收运处理</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r>
                    <w:rPr>
                      <w:rFonts w:hint="eastAsia"/>
                      <w:kern w:val="0"/>
                      <w:sz w:val="18"/>
                      <w:szCs w:val="18"/>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autoSpaceDE w:val="0"/>
                    <w:autoSpaceDN w:val="0"/>
                    <w:adjustRightInd w:val="0"/>
                    <w:spacing w:line="320" w:lineRule="exact"/>
                    <w:jc w:val="center"/>
                    <w:rPr>
                      <w:caps/>
                      <w:color w:val="FF00FF"/>
                      <w:sz w:val="18"/>
                      <w:szCs w:val="18"/>
                    </w:rPr>
                  </w:pPr>
                </w:p>
              </w:tc>
              <w:tc>
                <w:tcPr>
                  <w:tcW w:w="1009" w:type="dxa"/>
                  <w:vMerge w:val="restart"/>
                  <w:noWrap w:val="0"/>
                  <w:vAlign w:val="center"/>
                </w:tcPr>
                <w:p>
                  <w:pPr>
                    <w:spacing w:line="320" w:lineRule="exact"/>
                    <w:jc w:val="center"/>
                    <w:rPr>
                      <w:rFonts w:hint="eastAsia"/>
                      <w:sz w:val="18"/>
                      <w:szCs w:val="18"/>
                    </w:rPr>
                  </w:pPr>
                  <w:r>
                    <w:rPr>
                      <w:rFonts w:hint="eastAsia"/>
                      <w:sz w:val="18"/>
                      <w:szCs w:val="18"/>
                    </w:rPr>
                    <w:t>环境风险及地下水防渗</w:t>
                  </w:r>
                </w:p>
              </w:tc>
              <w:tc>
                <w:tcPr>
                  <w:tcW w:w="611" w:type="dxa"/>
                  <w:vMerge w:val="restart"/>
                  <w:noWrap w:val="0"/>
                  <w:vAlign w:val="center"/>
                </w:tcPr>
                <w:p>
                  <w:pPr>
                    <w:spacing w:line="320" w:lineRule="exact"/>
                    <w:rPr>
                      <w:rFonts w:hint="eastAsia"/>
                      <w:sz w:val="18"/>
                      <w:szCs w:val="18"/>
                    </w:rPr>
                  </w:pPr>
                  <w:r>
                    <w:rPr>
                      <w:rFonts w:hint="eastAsia"/>
                      <w:sz w:val="18"/>
                      <w:szCs w:val="18"/>
                    </w:rPr>
                    <w:t>重点防渗区</w:t>
                  </w:r>
                </w:p>
              </w:tc>
              <w:tc>
                <w:tcPr>
                  <w:tcW w:w="3266" w:type="dxa"/>
                  <w:noWrap w:val="0"/>
                  <w:vAlign w:val="center"/>
                </w:tcPr>
                <w:p>
                  <w:pPr>
                    <w:spacing w:line="320" w:lineRule="exact"/>
                    <w:rPr>
                      <w:rFonts w:hint="eastAsia"/>
                      <w:sz w:val="18"/>
                      <w:szCs w:val="18"/>
                    </w:rPr>
                  </w:pPr>
                  <w:r>
                    <w:rPr>
                      <w:rFonts w:hint="eastAsia"/>
                      <w:sz w:val="18"/>
                      <w:szCs w:val="18"/>
                    </w:rPr>
                    <w:t>加氯间：化学溶液贮罐区已采取防渗措施，并设置围堰，满足环保要求</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autoSpaceDE w:val="0"/>
                    <w:autoSpaceDN w:val="0"/>
                    <w:adjustRightInd w:val="0"/>
                    <w:spacing w:line="320" w:lineRule="exact"/>
                    <w:jc w:val="center"/>
                    <w:rPr>
                      <w:caps/>
                      <w:color w:val="FF00FF"/>
                      <w:sz w:val="18"/>
                      <w:szCs w:val="18"/>
                    </w:rPr>
                  </w:pPr>
                </w:p>
              </w:tc>
              <w:tc>
                <w:tcPr>
                  <w:tcW w:w="1009" w:type="dxa"/>
                  <w:vMerge w:val="continue"/>
                  <w:noWrap w:val="0"/>
                  <w:vAlign w:val="center"/>
                </w:tcPr>
                <w:p>
                  <w:pPr>
                    <w:spacing w:line="320" w:lineRule="exact"/>
                    <w:jc w:val="center"/>
                    <w:rPr>
                      <w:rFonts w:hint="eastAsia"/>
                      <w:sz w:val="18"/>
                      <w:szCs w:val="18"/>
                    </w:rPr>
                  </w:pPr>
                </w:p>
              </w:tc>
              <w:tc>
                <w:tcPr>
                  <w:tcW w:w="611" w:type="dxa"/>
                  <w:vMerge w:val="continue"/>
                  <w:noWrap w:val="0"/>
                  <w:vAlign w:val="center"/>
                </w:tcPr>
                <w:p>
                  <w:pPr>
                    <w:spacing w:line="320" w:lineRule="exact"/>
                    <w:rPr>
                      <w:rFonts w:hint="eastAsia"/>
                      <w:sz w:val="18"/>
                      <w:szCs w:val="18"/>
                    </w:rPr>
                  </w:pPr>
                </w:p>
              </w:tc>
              <w:tc>
                <w:tcPr>
                  <w:tcW w:w="3266" w:type="dxa"/>
                  <w:noWrap w:val="0"/>
                  <w:vAlign w:val="center"/>
                </w:tcPr>
                <w:p>
                  <w:pPr>
                    <w:spacing w:line="320" w:lineRule="exact"/>
                    <w:rPr>
                      <w:rFonts w:hint="eastAsia"/>
                      <w:sz w:val="18"/>
                      <w:szCs w:val="18"/>
                    </w:rPr>
                  </w:pPr>
                  <w:r>
                    <w:rPr>
                      <w:rFonts w:hint="eastAsia"/>
                      <w:sz w:val="18"/>
                      <w:szCs w:val="18"/>
                    </w:rPr>
                    <w:t>柴油发电机房、应急加药间：采用防渗混凝土+2mm厚HDPE防渗层进行防渗、防腐处理</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autoSpaceDE w:val="0"/>
                    <w:autoSpaceDN w:val="0"/>
                    <w:adjustRightInd w:val="0"/>
                    <w:spacing w:line="320" w:lineRule="exact"/>
                    <w:jc w:val="center"/>
                    <w:rPr>
                      <w:caps/>
                      <w:color w:val="FF00FF"/>
                      <w:sz w:val="18"/>
                      <w:szCs w:val="18"/>
                    </w:rPr>
                  </w:pPr>
                </w:p>
              </w:tc>
              <w:tc>
                <w:tcPr>
                  <w:tcW w:w="1009" w:type="dxa"/>
                  <w:vMerge w:val="continue"/>
                  <w:noWrap w:val="0"/>
                  <w:vAlign w:val="center"/>
                </w:tcPr>
                <w:p>
                  <w:pPr>
                    <w:spacing w:line="320" w:lineRule="exact"/>
                    <w:jc w:val="center"/>
                    <w:rPr>
                      <w:sz w:val="18"/>
                      <w:szCs w:val="18"/>
                    </w:rPr>
                  </w:pPr>
                </w:p>
              </w:tc>
              <w:tc>
                <w:tcPr>
                  <w:tcW w:w="611" w:type="dxa"/>
                  <w:noWrap w:val="0"/>
                  <w:vAlign w:val="center"/>
                </w:tcPr>
                <w:p>
                  <w:pPr>
                    <w:spacing w:line="320" w:lineRule="exact"/>
                    <w:rPr>
                      <w:rFonts w:hint="eastAsia"/>
                      <w:sz w:val="18"/>
                      <w:szCs w:val="18"/>
                    </w:rPr>
                  </w:pPr>
                  <w:r>
                    <w:rPr>
                      <w:rFonts w:hint="eastAsia"/>
                      <w:sz w:val="18"/>
                      <w:szCs w:val="18"/>
                    </w:rPr>
                    <w:t>一般防渗区</w:t>
                  </w:r>
                </w:p>
              </w:tc>
              <w:tc>
                <w:tcPr>
                  <w:tcW w:w="3266" w:type="dxa"/>
                  <w:noWrap w:val="0"/>
                  <w:vAlign w:val="center"/>
                </w:tcPr>
                <w:p>
                  <w:pPr>
                    <w:spacing w:line="320" w:lineRule="exact"/>
                    <w:rPr>
                      <w:rFonts w:hint="eastAsia"/>
                      <w:sz w:val="18"/>
                      <w:szCs w:val="18"/>
                    </w:rPr>
                  </w:pPr>
                  <w:r>
                    <w:rPr>
                      <w:rFonts w:hint="eastAsia"/>
                      <w:sz w:val="18"/>
                      <w:szCs w:val="18"/>
                    </w:rPr>
                    <w:t>反冲洗及回流泵房、回收水池、排泥浓缩贮泥池、污泥脱水机房（含污泥暂存间）、化粪池等采用25cmC30防渗混凝土防渗</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6" w:type="dxa"/>
                  <w:vMerge w:val="continue"/>
                  <w:noWrap w:val="0"/>
                  <w:vAlign w:val="center"/>
                </w:tcPr>
                <w:p>
                  <w:pPr>
                    <w:autoSpaceDE w:val="0"/>
                    <w:autoSpaceDN w:val="0"/>
                    <w:adjustRightInd w:val="0"/>
                    <w:spacing w:line="320" w:lineRule="exact"/>
                    <w:jc w:val="center"/>
                    <w:rPr>
                      <w:caps/>
                      <w:color w:val="FF00FF"/>
                      <w:sz w:val="18"/>
                      <w:szCs w:val="18"/>
                    </w:rPr>
                  </w:pPr>
                </w:p>
              </w:tc>
              <w:tc>
                <w:tcPr>
                  <w:tcW w:w="1009" w:type="dxa"/>
                  <w:vMerge w:val="continue"/>
                  <w:noWrap w:val="0"/>
                  <w:vAlign w:val="center"/>
                </w:tcPr>
                <w:p>
                  <w:pPr>
                    <w:spacing w:line="320" w:lineRule="exact"/>
                    <w:jc w:val="center"/>
                    <w:rPr>
                      <w:sz w:val="18"/>
                      <w:szCs w:val="18"/>
                    </w:rPr>
                  </w:pPr>
                </w:p>
              </w:tc>
              <w:tc>
                <w:tcPr>
                  <w:tcW w:w="611" w:type="dxa"/>
                  <w:noWrap w:val="0"/>
                  <w:vAlign w:val="center"/>
                </w:tcPr>
                <w:p>
                  <w:pPr>
                    <w:spacing w:line="320" w:lineRule="exact"/>
                    <w:rPr>
                      <w:rFonts w:hint="eastAsia"/>
                      <w:sz w:val="18"/>
                      <w:szCs w:val="18"/>
                    </w:rPr>
                  </w:pPr>
                  <w:r>
                    <w:rPr>
                      <w:rFonts w:hint="eastAsia"/>
                      <w:sz w:val="18"/>
                      <w:szCs w:val="18"/>
                    </w:rPr>
                    <w:t>简单防渗区</w:t>
                  </w:r>
                </w:p>
              </w:tc>
              <w:tc>
                <w:tcPr>
                  <w:tcW w:w="3266" w:type="dxa"/>
                  <w:noWrap w:val="0"/>
                  <w:vAlign w:val="center"/>
                </w:tcPr>
                <w:p>
                  <w:pPr>
                    <w:spacing w:line="320" w:lineRule="exact"/>
                    <w:rPr>
                      <w:rFonts w:hint="eastAsia"/>
                      <w:sz w:val="18"/>
                      <w:szCs w:val="18"/>
                    </w:rPr>
                  </w:pPr>
                  <w:r>
                    <w:rPr>
                      <w:rFonts w:hint="eastAsia"/>
                      <w:sz w:val="18"/>
                      <w:szCs w:val="18"/>
                    </w:rPr>
                    <w:t>除上述区域外和绿化设施外，其余区域采用混凝土硬化。</w:t>
                  </w:r>
                </w:p>
              </w:tc>
              <w:tc>
                <w:tcPr>
                  <w:tcW w:w="1286" w:type="dxa"/>
                  <w:vMerge w:val="continue"/>
                  <w:noWrap w:val="0"/>
                  <w:vAlign w:val="center"/>
                </w:tcPr>
                <w:p>
                  <w:pPr>
                    <w:autoSpaceDE w:val="0"/>
                    <w:autoSpaceDN w:val="0"/>
                    <w:adjustRightInd w:val="0"/>
                    <w:spacing w:line="320" w:lineRule="exact"/>
                    <w:jc w:val="center"/>
                    <w:rPr>
                      <w:color w:val="FF00FF"/>
                      <w:kern w:val="0"/>
                      <w:sz w:val="18"/>
                      <w:szCs w:val="18"/>
                    </w:rPr>
                  </w:pPr>
                </w:p>
              </w:tc>
              <w:tc>
                <w:tcPr>
                  <w:tcW w:w="1087" w:type="dxa"/>
                  <w:noWrap w:val="0"/>
                  <w:vAlign w:val="center"/>
                </w:tcPr>
                <w:p>
                  <w:pPr>
                    <w:autoSpaceDE w:val="0"/>
                    <w:autoSpaceDN w:val="0"/>
                    <w:adjustRightInd w:val="0"/>
                    <w:spacing w:line="320" w:lineRule="exact"/>
                    <w:jc w:val="center"/>
                    <w:rPr>
                      <w:rFonts w:hint="eastAsia"/>
                      <w:kern w:val="0"/>
                      <w:sz w:val="18"/>
                      <w:szCs w:val="18"/>
                    </w:rPr>
                  </w:pPr>
                </w:p>
              </w:tc>
            </w:tr>
          </w:tbl>
          <w:p>
            <w:pPr>
              <w:spacing w:line="360" w:lineRule="auto"/>
              <w:ind w:firstLine="422" w:firstLineChars="200"/>
              <w:rPr>
                <w:b/>
                <w:bCs/>
                <w:szCs w:val="21"/>
              </w:rPr>
            </w:pPr>
            <w:r>
              <w:rPr>
                <w:rFonts w:hint="eastAsia"/>
                <w:b/>
                <w:bCs/>
                <w:szCs w:val="21"/>
              </w:rPr>
              <w:t>5</w:t>
            </w:r>
            <w:r>
              <w:rPr>
                <w:b/>
                <w:bCs/>
                <w:szCs w:val="21"/>
              </w:rPr>
              <w:t>、项目主要工程量</w:t>
            </w:r>
          </w:p>
          <w:p>
            <w:pPr>
              <w:spacing w:line="360" w:lineRule="auto"/>
              <w:ind w:firstLine="420" w:firstLineChars="200"/>
              <w:rPr>
                <w:szCs w:val="21"/>
              </w:rPr>
            </w:pPr>
            <w:r>
              <w:rPr>
                <w:szCs w:val="21"/>
              </w:rPr>
              <w:t>项目主要设备见下表。</w:t>
            </w:r>
          </w:p>
          <w:p>
            <w:pPr>
              <w:pStyle w:val="9"/>
              <w:ind w:firstLine="361"/>
              <w:jc w:val="center"/>
              <w:rPr>
                <w:rFonts w:hint="eastAsia"/>
                <w:b/>
                <w:bCs/>
                <w:sz w:val="18"/>
                <w:szCs w:val="18"/>
              </w:rPr>
            </w:pPr>
          </w:p>
          <w:p>
            <w:pPr>
              <w:pStyle w:val="9"/>
              <w:ind w:firstLine="361"/>
              <w:jc w:val="center"/>
              <w:rPr>
                <w:rFonts w:hint="eastAsia"/>
                <w:b/>
                <w:bCs/>
                <w:sz w:val="18"/>
                <w:szCs w:val="18"/>
              </w:rPr>
            </w:pPr>
          </w:p>
          <w:p>
            <w:pPr>
              <w:pStyle w:val="9"/>
              <w:ind w:firstLine="361"/>
              <w:jc w:val="center"/>
              <w:rPr>
                <w:rFonts w:hint="eastAsia"/>
                <w:b/>
                <w:bCs/>
                <w:sz w:val="18"/>
                <w:szCs w:val="18"/>
              </w:rPr>
            </w:pPr>
          </w:p>
          <w:p>
            <w:pPr>
              <w:pStyle w:val="9"/>
              <w:ind w:firstLine="361"/>
              <w:jc w:val="center"/>
              <w:rPr>
                <w:rFonts w:hint="eastAsia"/>
                <w:b/>
                <w:bCs/>
                <w:sz w:val="18"/>
                <w:szCs w:val="18"/>
              </w:rPr>
            </w:pPr>
            <w:r>
              <w:rPr>
                <w:b/>
                <w:bCs/>
                <w:sz w:val="18"/>
                <w:szCs w:val="18"/>
              </w:rPr>
              <w:t>表2-</w:t>
            </w:r>
            <w:r>
              <w:rPr>
                <w:rFonts w:hint="eastAsia"/>
                <w:b/>
                <w:bCs/>
                <w:sz w:val="18"/>
                <w:szCs w:val="18"/>
              </w:rPr>
              <w:t>3</w:t>
            </w:r>
            <w:r>
              <w:rPr>
                <w:b/>
                <w:bCs/>
                <w:sz w:val="18"/>
                <w:szCs w:val="18"/>
              </w:rPr>
              <w:t>：净水厂主要工艺设备一览表</w:t>
            </w:r>
          </w:p>
          <w:tbl>
            <w:tblPr>
              <w:tblStyle w:val="28"/>
              <w:tblW w:w="9108" w:type="dxa"/>
              <w:tblInd w:w="3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96"/>
              <w:gridCol w:w="884"/>
              <w:gridCol w:w="1218"/>
              <w:gridCol w:w="3211"/>
              <w:gridCol w:w="878"/>
              <w:gridCol w:w="1079"/>
              <w:gridCol w:w="14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39" w:hRule="atLeast"/>
              </w:trPr>
              <w:tc>
                <w:tcPr>
                  <w:tcW w:w="373" w:type="dxa"/>
                  <w:shd w:val="clear" w:color="auto" w:fill="auto"/>
                  <w:noWrap w:val="0"/>
                  <w:vAlign w:val="center"/>
                </w:tcPr>
                <w:p>
                  <w:pPr>
                    <w:pStyle w:val="111"/>
                    <w:spacing w:line="276" w:lineRule="auto"/>
                    <w:jc w:val="both"/>
                    <w:rPr>
                      <w:color w:val="auto"/>
                      <w:szCs w:val="18"/>
                    </w:rPr>
                  </w:pPr>
                  <w:r>
                    <w:rPr>
                      <w:color w:val="auto"/>
                      <w:szCs w:val="18"/>
                    </w:rPr>
                    <w:t>序号</w:t>
                  </w:r>
                </w:p>
              </w:tc>
              <w:tc>
                <w:tcPr>
                  <w:tcW w:w="887" w:type="dxa"/>
                  <w:shd w:val="clear" w:color="auto" w:fill="auto"/>
                  <w:noWrap w:val="0"/>
                  <w:vAlign w:val="center"/>
                </w:tcPr>
                <w:p>
                  <w:pPr>
                    <w:pStyle w:val="111"/>
                    <w:spacing w:line="276" w:lineRule="auto"/>
                    <w:jc w:val="both"/>
                    <w:rPr>
                      <w:color w:val="auto"/>
                      <w:szCs w:val="18"/>
                    </w:rPr>
                  </w:pPr>
                  <w:r>
                    <w:rPr>
                      <w:color w:val="auto"/>
                      <w:szCs w:val="18"/>
                    </w:rPr>
                    <w:t>构筑物名称</w:t>
                  </w:r>
                </w:p>
              </w:tc>
              <w:tc>
                <w:tcPr>
                  <w:tcW w:w="1221" w:type="dxa"/>
                  <w:shd w:val="clear" w:color="auto" w:fill="auto"/>
                  <w:noWrap w:val="0"/>
                  <w:vAlign w:val="center"/>
                </w:tcPr>
                <w:p>
                  <w:pPr>
                    <w:pStyle w:val="111"/>
                    <w:spacing w:line="276" w:lineRule="auto"/>
                    <w:jc w:val="both"/>
                    <w:rPr>
                      <w:color w:val="auto"/>
                      <w:szCs w:val="18"/>
                    </w:rPr>
                  </w:pPr>
                  <w:r>
                    <w:rPr>
                      <w:color w:val="auto"/>
                      <w:szCs w:val="18"/>
                    </w:rPr>
                    <w:t>设备名称</w:t>
                  </w:r>
                </w:p>
              </w:tc>
              <w:tc>
                <w:tcPr>
                  <w:tcW w:w="3219" w:type="dxa"/>
                  <w:shd w:val="clear" w:color="auto" w:fill="auto"/>
                  <w:noWrap w:val="0"/>
                  <w:vAlign w:val="center"/>
                </w:tcPr>
                <w:p>
                  <w:pPr>
                    <w:pStyle w:val="111"/>
                    <w:spacing w:line="276" w:lineRule="auto"/>
                    <w:jc w:val="both"/>
                    <w:rPr>
                      <w:color w:val="auto"/>
                      <w:szCs w:val="18"/>
                    </w:rPr>
                  </w:pPr>
                  <w:r>
                    <w:rPr>
                      <w:color w:val="auto"/>
                      <w:szCs w:val="18"/>
                    </w:rPr>
                    <w:t>规格、性能</w:t>
                  </w:r>
                </w:p>
              </w:tc>
              <w:tc>
                <w:tcPr>
                  <w:tcW w:w="880" w:type="dxa"/>
                  <w:shd w:val="clear" w:color="auto" w:fill="auto"/>
                  <w:noWrap w:val="0"/>
                  <w:vAlign w:val="center"/>
                </w:tcPr>
                <w:p>
                  <w:pPr>
                    <w:pStyle w:val="111"/>
                    <w:spacing w:line="276" w:lineRule="auto"/>
                    <w:jc w:val="both"/>
                    <w:rPr>
                      <w:color w:val="auto"/>
                      <w:szCs w:val="18"/>
                    </w:rPr>
                  </w:pPr>
                  <w:r>
                    <w:rPr>
                      <w:color w:val="auto"/>
                      <w:szCs w:val="18"/>
                    </w:rPr>
                    <w:t>单位</w:t>
                  </w:r>
                </w:p>
              </w:tc>
              <w:tc>
                <w:tcPr>
                  <w:tcW w:w="1082" w:type="dxa"/>
                  <w:shd w:val="clear" w:color="auto" w:fill="auto"/>
                  <w:noWrap w:val="0"/>
                  <w:vAlign w:val="center"/>
                </w:tcPr>
                <w:p>
                  <w:pPr>
                    <w:pStyle w:val="111"/>
                    <w:spacing w:line="276" w:lineRule="auto"/>
                    <w:jc w:val="both"/>
                    <w:rPr>
                      <w:color w:val="auto"/>
                      <w:szCs w:val="18"/>
                    </w:rPr>
                  </w:pPr>
                  <w:r>
                    <w:rPr>
                      <w:color w:val="auto"/>
                      <w:szCs w:val="18"/>
                    </w:rPr>
                    <w:t>数量</w:t>
                  </w:r>
                </w:p>
              </w:tc>
              <w:tc>
                <w:tcPr>
                  <w:tcW w:w="1446" w:type="dxa"/>
                  <w:shd w:val="clear" w:color="auto" w:fill="auto"/>
                  <w:noWrap w:val="0"/>
                  <w:vAlign w:val="center"/>
                </w:tcPr>
                <w:p>
                  <w:pPr>
                    <w:pStyle w:val="111"/>
                    <w:spacing w:line="276" w:lineRule="auto"/>
                    <w:jc w:val="both"/>
                    <w:rPr>
                      <w:color w:val="auto"/>
                      <w:szCs w:val="18"/>
                    </w:rPr>
                  </w:pPr>
                  <w:r>
                    <w:rPr>
                      <w:color w:val="auto"/>
                      <w:szCs w:val="1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8" w:hRule="atLeast"/>
              </w:trPr>
              <w:tc>
                <w:tcPr>
                  <w:tcW w:w="373" w:type="dxa"/>
                  <w:vMerge w:val="restart"/>
                  <w:shd w:val="clear" w:color="auto" w:fill="auto"/>
                  <w:noWrap w:val="0"/>
                  <w:vAlign w:val="center"/>
                </w:tcPr>
                <w:p>
                  <w:pPr>
                    <w:spacing w:line="276" w:lineRule="auto"/>
                    <w:jc w:val="center"/>
                    <w:rPr>
                      <w:sz w:val="18"/>
                      <w:szCs w:val="18"/>
                    </w:rPr>
                  </w:pPr>
                  <w:r>
                    <w:rPr>
                      <w:sz w:val="18"/>
                      <w:szCs w:val="18"/>
                    </w:rPr>
                    <w:t>一</w:t>
                  </w:r>
                </w:p>
              </w:tc>
              <w:tc>
                <w:tcPr>
                  <w:tcW w:w="887" w:type="dxa"/>
                  <w:vMerge w:val="restart"/>
                  <w:shd w:val="clear" w:color="auto" w:fill="auto"/>
                  <w:noWrap w:val="0"/>
                  <w:vAlign w:val="center"/>
                </w:tcPr>
                <w:p>
                  <w:pPr>
                    <w:pStyle w:val="111"/>
                    <w:spacing w:line="276" w:lineRule="auto"/>
                    <w:jc w:val="both"/>
                    <w:rPr>
                      <w:color w:val="auto"/>
                      <w:szCs w:val="18"/>
                    </w:rPr>
                  </w:pPr>
                  <w:r>
                    <w:rPr>
                      <w:color w:val="auto"/>
                      <w:szCs w:val="18"/>
                    </w:rPr>
                    <w:t>配水井（新建）</w:t>
                  </w:r>
                </w:p>
              </w:tc>
              <w:tc>
                <w:tcPr>
                  <w:tcW w:w="1221" w:type="dxa"/>
                  <w:shd w:val="clear" w:color="auto" w:fill="auto"/>
                  <w:noWrap w:val="0"/>
                  <w:vAlign w:val="center"/>
                </w:tcPr>
                <w:p>
                  <w:pPr>
                    <w:pStyle w:val="111"/>
                    <w:spacing w:line="276" w:lineRule="auto"/>
                    <w:jc w:val="both"/>
                    <w:rPr>
                      <w:color w:val="auto"/>
                      <w:szCs w:val="18"/>
                    </w:rPr>
                  </w:pPr>
                  <w:r>
                    <w:rPr>
                      <w:color w:val="auto"/>
                      <w:szCs w:val="18"/>
                    </w:rPr>
                    <w:t>附壁式圆闸门</w:t>
                  </w:r>
                </w:p>
              </w:tc>
              <w:tc>
                <w:tcPr>
                  <w:tcW w:w="3219" w:type="dxa"/>
                  <w:shd w:val="clear" w:color="auto" w:fill="auto"/>
                  <w:noWrap w:val="0"/>
                  <w:vAlign w:val="center"/>
                </w:tcPr>
                <w:p>
                  <w:pPr>
                    <w:pStyle w:val="111"/>
                    <w:spacing w:line="276" w:lineRule="auto"/>
                    <w:jc w:val="both"/>
                    <w:rPr>
                      <w:color w:val="auto"/>
                      <w:szCs w:val="18"/>
                    </w:rPr>
                  </w:pPr>
                  <w:r>
                    <w:rPr>
                      <w:color w:val="auto"/>
                      <w:szCs w:val="18"/>
                    </w:rPr>
                    <w:t>AxB=1400x1400，H</w:t>
                  </w:r>
                  <w:r>
                    <w:rPr>
                      <w:color w:val="auto"/>
                      <w:szCs w:val="18"/>
                      <w:vertAlign w:val="subscript"/>
                    </w:rPr>
                    <w:t>中心</w:t>
                  </w:r>
                  <w:r>
                    <w:rPr>
                      <w:color w:val="auto"/>
                      <w:szCs w:val="18"/>
                    </w:rPr>
                    <w:t>=</w:t>
                  </w:r>
                  <w:r>
                    <w:rPr>
                      <w:rFonts w:hint="eastAsia"/>
                      <w:color w:val="auto"/>
                      <w:szCs w:val="18"/>
                    </w:rPr>
                    <w:t>3.4m</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1</w:t>
                  </w:r>
                </w:p>
              </w:tc>
              <w:tc>
                <w:tcPr>
                  <w:tcW w:w="1446" w:type="dxa"/>
                  <w:shd w:val="clear" w:color="auto" w:fill="auto"/>
                  <w:noWrap w:val="0"/>
                  <w:vAlign w:val="center"/>
                </w:tcPr>
                <w:p>
                  <w:pPr>
                    <w:pStyle w:val="111"/>
                    <w:spacing w:line="276" w:lineRule="auto"/>
                    <w:jc w:val="both"/>
                    <w:rPr>
                      <w:color w:val="auto"/>
                      <w:szCs w:val="18"/>
                    </w:rPr>
                  </w:pPr>
                  <w:r>
                    <w:rPr>
                      <w:color w:val="auto"/>
                      <w:szCs w:val="18"/>
                    </w:rPr>
                    <w:t>配套手电启闭机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8" w:hRule="atLeast"/>
              </w:trPr>
              <w:tc>
                <w:tcPr>
                  <w:tcW w:w="373" w:type="dxa"/>
                  <w:vMerge w:val="continue"/>
                  <w:shd w:val="clear" w:color="auto" w:fill="auto"/>
                  <w:noWrap w:val="0"/>
                  <w:vAlign w:val="center"/>
                </w:tcPr>
                <w:p>
                  <w:pPr>
                    <w:spacing w:line="276" w:lineRule="auto"/>
                    <w:rPr>
                      <w:sz w:val="18"/>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液动角式隔膜排泥阀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DN200 P=1.0MPa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18</w:t>
                  </w:r>
                </w:p>
              </w:tc>
              <w:tc>
                <w:tcPr>
                  <w:tcW w:w="1446" w:type="dxa"/>
                  <w:shd w:val="clear" w:color="auto" w:fill="auto"/>
                  <w:noWrap w:val="0"/>
                  <w:vAlign w:val="center"/>
                </w:tcPr>
                <w:p>
                  <w:pPr>
                    <w:pStyle w:val="111"/>
                    <w:spacing w:line="276" w:lineRule="auto"/>
                    <w:jc w:val="both"/>
                    <w:rPr>
                      <w:color w:val="auto"/>
                      <w:szCs w:val="18"/>
                    </w:rPr>
                  </w:pPr>
                  <w:r>
                    <w:rPr>
                      <w:color w:val="auto"/>
                      <w:szCs w:val="18"/>
                    </w:rPr>
                    <w:t>用于排泥管排泥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8" w:hRule="atLeast"/>
              </w:trPr>
              <w:tc>
                <w:tcPr>
                  <w:tcW w:w="373" w:type="dxa"/>
                  <w:vMerge w:val="continue"/>
                  <w:shd w:val="clear" w:color="auto" w:fill="auto"/>
                  <w:noWrap w:val="0"/>
                  <w:vAlign w:val="center"/>
                </w:tcPr>
                <w:p>
                  <w:pPr>
                    <w:spacing w:line="276" w:lineRule="auto"/>
                    <w:rPr>
                      <w:sz w:val="18"/>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手动双法兰软密封蝶阀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DN200 P=1.0MPa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18</w:t>
                  </w:r>
                </w:p>
              </w:tc>
              <w:tc>
                <w:tcPr>
                  <w:tcW w:w="1446" w:type="dxa"/>
                  <w:shd w:val="clear" w:color="auto" w:fill="auto"/>
                  <w:noWrap w:val="0"/>
                  <w:vAlign w:val="center"/>
                </w:tcPr>
                <w:p>
                  <w:pPr>
                    <w:pStyle w:val="111"/>
                    <w:spacing w:line="276" w:lineRule="auto"/>
                    <w:jc w:val="both"/>
                    <w:rPr>
                      <w:color w:val="auto"/>
                      <w:szCs w:val="18"/>
                    </w:rPr>
                  </w:pPr>
                  <w:r>
                    <w:rPr>
                      <w:color w:val="auto"/>
                      <w:szCs w:val="18"/>
                    </w:rPr>
                    <w:t>用于排泥管排泥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7" w:hRule="atLeast"/>
              </w:trPr>
              <w:tc>
                <w:tcPr>
                  <w:tcW w:w="373" w:type="dxa"/>
                  <w:vMerge w:val="continue"/>
                  <w:shd w:val="clear" w:color="auto" w:fill="auto"/>
                  <w:noWrap w:val="0"/>
                  <w:vAlign w:val="center"/>
                </w:tcPr>
                <w:p>
                  <w:pPr>
                    <w:pStyle w:val="111"/>
                    <w:spacing w:line="276" w:lineRule="auto"/>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二位</w:t>
                  </w:r>
                  <w:r>
                    <w:rPr>
                      <w:rFonts w:hint="eastAsia"/>
                      <w:color w:val="auto"/>
                      <w:szCs w:val="18"/>
                    </w:rPr>
                    <w:t>五</w:t>
                  </w:r>
                  <w:r>
                    <w:rPr>
                      <w:color w:val="auto"/>
                      <w:szCs w:val="18"/>
                    </w:rPr>
                    <w:t>通电磁阀</w:t>
                  </w:r>
                </w:p>
              </w:tc>
              <w:tc>
                <w:tcPr>
                  <w:tcW w:w="3219" w:type="dxa"/>
                  <w:shd w:val="clear" w:color="auto" w:fill="auto"/>
                  <w:noWrap w:val="0"/>
                  <w:vAlign w:val="center"/>
                </w:tcPr>
                <w:p>
                  <w:pPr>
                    <w:pStyle w:val="111"/>
                    <w:spacing w:line="276" w:lineRule="auto"/>
                    <w:jc w:val="both"/>
                    <w:rPr>
                      <w:color w:val="auto"/>
                      <w:szCs w:val="18"/>
                    </w:rPr>
                  </w:pPr>
                  <w:r>
                    <w:rPr>
                      <w:color w:val="auto"/>
                      <w:szCs w:val="18"/>
                    </w:rPr>
                    <w:t>G024直动式  PN=0-1.0Mpa 工作电压24VDC</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18</w:t>
                  </w:r>
                </w:p>
              </w:tc>
              <w:tc>
                <w:tcPr>
                  <w:tcW w:w="1446" w:type="dxa"/>
                  <w:shd w:val="clear" w:color="auto" w:fill="auto"/>
                  <w:noWrap w:val="0"/>
                  <w:vAlign w:val="center"/>
                </w:tcPr>
                <w:p>
                  <w:pPr>
                    <w:pStyle w:val="111"/>
                    <w:spacing w:line="276" w:lineRule="auto"/>
                    <w:jc w:val="both"/>
                    <w:rPr>
                      <w:color w:val="auto"/>
                      <w:szCs w:val="18"/>
                    </w:rPr>
                  </w:pPr>
                  <w:r>
                    <w:rPr>
                      <w:color w:val="auto"/>
                      <w:szCs w:val="18"/>
                    </w:rPr>
                    <w:t>欧美品牌与排泥阀配套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6" w:hRule="atLeast"/>
              </w:trPr>
              <w:tc>
                <w:tcPr>
                  <w:tcW w:w="373" w:type="dxa"/>
                  <w:vMerge w:val="restart"/>
                  <w:shd w:val="clear" w:color="auto" w:fill="auto"/>
                  <w:noWrap w:val="0"/>
                  <w:vAlign w:val="center"/>
                </w:tcPr>
                <w:p>
                  <w:pPr>
                    <w:widowControl/>
                    <w:spacing w:line="276" w:lineRule="auto"/>
                    <w:textAlignment w:val="center"/>
                    <w:rPr>
                      <w:sz w:val="18"/>
                      <w:szCs w:val="18"/>
                    </w:rPr>
                  </w:pPr>
                  <w:r>
                    <w:rPr>
                      <w:sz w:val="18"/>
                      <w:szCs w:val="18"/>
                    </w:rPr>
                    <w:t>二</w:t>
                  </w:r>
                </w:p>
              </w:tc>
              <w:tc>
                <w:tcPr>
                  <w:tcW w:w="887" w:type="dxa"/>
                  <w:vMerge w:val="restart"/>
                  <w:shd w:val="clear" w:color="auto" w:fill="auto"/>
                  <w:noWrap w:val="0"/>
                  <w:vAlign w:val="center"/>
                </w:tcPr>
                <w:p>
                  <w:pPr>
                    <w:widowControl/>
                    <w:spacing w:line="276" w:lineRule="auto"/>
                    <w:textAlignment w:val="center"/>
                    <w:rPr>
                      <w:sz w:val="18"/>
                      <w:szCs w:val="18"/>
                    </w:rPr>
                  </w:pPr>
                  <w:r>
                    <w:rPr>
                      <w:sz w:val="18"/>
                      <w:szCs w:val="18"/>
                    </w:rPr>
                    <w:t>预沉絮凝沉淀池（新建）</w:t>
                  </w:r>
                </w:p>
              </w:tc>
              <w:tc>
                <w:tcPr>
                  <w:tcW w:w="1221" w:type="dxa"/>
                  <w:shd w:val="clear" w:color="auto" w:fill="auto"/>
                  <w:noWrap w:val="0"/>
                  <w:vAlign w:val="center"/>
                </w:tcPr>
                <w:p>
                  <w:pPr>
                    <w:widowControl/>
                    <w:spacing w:line="276" w:lineRule="auto"/>
                    <w:textAlignment w:val="center"/>
                    <w:rPr>
                      <w:sz w:val="18"/>
                      <w:szCs w:val="18"/>
                    </w:rPr>
                  </w:pPr>
                  <w:r>
                    <w:rPr>
                      <w:sz w:val="18"/>
                      <w:szCs w:val="18"/>
                    </w:rPr>
                    <w:t>快速混合搅拌机</w:t>
                  </w:r>
                </w:p>
              </w:tc>
              <w:tc>
                <w:tcPr>
                  <w:tcW w:w="3219" w:type="dxa"/>
                  <w:shd w:val="clear" w:color="auto" w:fill="auto"/>
                  <w:noWrap w:val="0"/>
                  <w:vAlign w:val="center"/>
                </w:tcPr>
                <w:p>
                  <w:pPr>
                    <w:widowControl/>
                    <w:spacing w:line="276" w:lineRule="auto"/>
                    <w:textAlignment w:val="center"/>
                    <w:rPr>
                      <w:sz w:val="18"/>
                      <w:szCs w:val="18"/>
                    </w:rPr>
                  </w:pPr>
                  <w:r>
                    <w:rPr>
                      <w:sz w:val="18"/>
                      <w:szCs w:val="18"/>
                    </w:rPr>
                    <w:t>N=3.0kW</w:t>
                  </w:r>
                </w:p>
              </w:tc>
              <w:tc>
                <w:tcPr>
                  <w:tcW w:w="880" w:type="dxa"/>
                  <w:shd w:val="clear" w:color="auto" w:fill="auto"/>
                  <w:noWrap w:val="0"/>
                  <w:vAlign w:val="center"/>
                </w:tcPr>
                <w:p>
                  <w:pPr>
                    <w:widowControl/>
                    <w:spacing w:line="276" w:lineRule="auto"/>
                    <w:textAlignment w:val="center"/>
                    <w:rPr>
                      <w:sz w:val="18"/>
                      <w:szCs w:val="18"/>
                    </w:rPr>
                  </w:pPr>
                  <w:r>
                    <w:rPr>
                      <w:sz w:val="18"/>
                      <w:szCs w:val="18"/>
                    </w:rPr>
                    <w:t>套</w:t>
                  </w:r>
                </w:p>
              </w:tc>
              <w:tc>
                <w:tcPr>
                  <w:tcW w:w="1082" w:type="dxa"/>
                  <w:shd w:val="clear" w:color="auto" w:fill="auto"/>
                  <w:noWrap w:val="0"/>
                  <w:vAlign w:val="center"/>
                </w:tcPr>
                <w:p>
                  <w:pPr>
                    <w:widowControl/>
                    <w:spacing w:line="276" w:lineRule="auto"/>
                    <w:textAlignment w:val="center"/>
                    <w:rPr>
                      <w:sz w:val="18"/>
                      <w:szCs w:val="18"/>
                    </w:rPr>
                  </w:pPr>
                  <w:r>
                    <w:rPr>
                      <w:sz w:val="18"/>
                      <w:szCs w:val="18"/>
                    </w:rPr>
                    <w:t>4</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6" w:hRule="atLeast"/>
              </w:trPr>
              <w:tc>
                <w:tcPr>
                  <w:tcW w:w="373" w:type="dxa"/>
                  <w:vMerge w:val="continue"/>
                  <w:shd w:val="clear" w:color="auto" w:fill="auto"/>
                  <w:noWrap w:val="0"/>
                  <w:vAlign w:val="center"/>
                </w:tcPr>
                <w:p>
                  <w:pPr>
                    <w:widowControl/>
                    <w:spacing w:line="276" w:lineRule="auto"/>
                    <w:textAlignment w:val="center"/>
                    <w:rPr>
                      <w:sz w:val="18"/>
                      <w:szCs w:val="18"/>
                    </w:rPr>
                  </w:pPr>
                </w:p>
              </w:tc>
              <w:tc>
                <w:tcPr>
                  <w:tcW w:w="887" w:type="dxa"/>
                  <w:vMerge w:val="continue"/>
                  <w:shd w:val="clear" w:color="auto" w:fill="auto"/>
                  <w:noWrap w:val="0"/>
                  <w:vAlign w:val="center"/>
                </w:tcPr>
                <w:p>
                  <w:pPr>
                    <w:widowControl/>
                    <w:spacing w:line="276" w:lineRule="auto"/>
                    <w:textAlignment w:val="center"/>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溢流堰门</w:t>
                  </w:r>
                </w:p>
              </w:tc>
              <w:tc>
                <w:tcPr>
                  <w:tcW w:w="3219" w:type="dxa"/>
                  <w:shd w:val="clear" w:color="auto" w:fill="auto"/>
                  <w:noWrap w:val="0"/>
                  <w:vAlign w:val="center"/>
                </w:tcPr>
                <w:p>
                  <w:pPr>
                    <w:widowControl/>
                    <w:spacing w:line="276" w:lineRule="auto"/>
                    <w:textAlignment w:val="center"/>
                    <w:rPr>
                      <w:sz w:val="18"/>
                      <w:szCs w:val="18"/>
                    </w:rPr>
                  </w:pPr>
                  <w:r>
                    <w:rPr>
                      <w:sz w:val="18"/>
                      <w:szCs w:val="18"/>
                    </w:rPr>
                    <w:t>BxH=1500x500, H=850</w:t>
                  </w:r>
                </w:p>
              </w:tc>
              <w:tc>
                <w:tcPr>
                  <w:tcW w:w="880" w:type="dxa"/>
                  <w:shd w:val="clear" w:color="auto" w:fill="auto"/>
                  <w:noWrap w:val="0"/>
                  <w:vAlign w:val="center"/>
                </w:tcPr>
                <w:p>
                  <w:pPr>
                    <w:widowControl/>
                    <w:spacing w:line="276" w:lineRule="auto"/>
                    <w:textAlignment w:val="center"/>
                    <w:rPr>
                      <w:sz w:val="18"/>
                      <w:szCs w:val="18"/>
                    </w:rPr>
                  </w:pPr>
                  <w:r>
                    <w:rPr>
                      <w:sz w:val="18"/>
                      <w:szCs w:val="18"/>
                    </w:rPr>
                    <w:t>套</w:t>
                  </w:r>
                </w:p>
              </w:tc>
              <w:tc>
                <w:tcPr>
                  <w:tcW w:w="1082" w:type="dxa"/>
                  <w:shd w:val="clear" w:color="auto" w:fill="auto"/>
                  <w:noWrap w:val="0"/>
                  <w:vAlign w:val="center"/>
                </w:tcPr>
                <w:p>
                  <w:pPr>
                    <w:widowControl/>
                    <w:spacing w:line="276" w:lineRule="auto"/>
                    <w:textAlignment w:val="center"/>
                    <w:rPr>
                      <w:sz w:val="18"/>
                      <w:szCs w:val="18"/>
                    </w:rPr>
                  </w:pPr>
                  <w:r>
                    <w:rPr>
                      <w:sz w:val="18"/>
                      <w:szCs w:val="18"/>
                    </w:rPr>
                    <w:t>2</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6" w:hRule="atLeast"/>
              </w:trPr>
              <w:tc>
                <w:tcPr>
                  <w:tcW w:w="373" w:type="dxa"/>
                  <w:vMerge w:val="continue"/>
                  <w:shd w:val="clear" w:color="auto" w:fill="auto"/>
                  <w:noWrap w:val="0"/>
                  <w:vAlign w:val="center"/>
                </w:tcPr>
                <w:p>
                  <w:pPr>
                    <w:widowControl/>
                    <w:spacing w:line="276" w:lineRule="auto"/>
                    <w:textAlignment w:val="center"/>
                    <w:rPr>
                      <w:sz w:val="18"/>
                      <w:szCs w:val="18"/>
                    </w:rPr>
                  </w:pPr>
                </w:p>
              </w:tc>
              <w:tc>
                <w:tcPr>
                  <w:tcW w:w="887" w:type="dxa"/>
                  <w:vMerge w:val="continue"/>
                  <w:shd w:val="clear" w:color="auto" w:fill="auto"/>
                  <w:noWrap w:val="0"/>
                  <w:vAlign w:val="center"/>
                </w:tcPr>
                <w:p>
                  <w:pPr>
                    <w:widowControl/>
                    <w:spacing w:line="276" w:lineRule="auto"/>
                    <w:textAlignment w:val="center"/>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网格1</w:t>
                  </w:r>
                </w:p>
              </w:tc>
              <w:tc>
                <w:tcPr>
                  <w:tcW w:w="3219" w:type="dxa"/>
                  <w:shd w:val="clear" w:color="auto" w:fill="auto"/>
                  <w:noWrap w:val="0"/>
                  <w:vAlign w:val="center"/>
                </w:tcPr>
                <w:p>
                  <w:pPr>
                    <w:widowControl/>
                    <w:spacing w:line="276" w:lineRule="auto"/>
                    <w:textAlignment w:val="center"/>
                    <w:rPr>
                      <w:sz w:val="18"/>
                      <w:szCs w:val="18"/>
                    </w:rPr>
                  </w:pPr>
                  <w:r>
                    <w:rPr>
                      <w:sz w:val="18"/>
                      <w:szCs w:val="18"/>
                    </w:rPr>
                    <w:t>LxB=2300x2300 开孔比0.388</w:t>
                  </w:r>
                </w:p>
              </w:tc>
              <w:tc>
                <w:tcPr>
                  <w:tcW w:w="880" w:type="dxa"/>
                  <w:shd w:val="clear" w:color="auto" w:fill="auto"/>
                  <w:noWrap w:val="0"/>
                  <w:vAlign w:val="center"/>
                </w:tcPr>
                <w:p>
                  <w:pPr>
                    <w:widowControl/>
                    <w:spacing w:line="276" w:lineRule="auto"/>
                    <w:textAlignment w:val="center"/>
                    <w:rPr>
                      <w:sz w:val="18"/>
                      <w:szCs w:val="18"/>
                    </w:rPr>
                  </w:pPr>
                  <w:r>
                    <w:rPr>
                      <w:sz w:val="18"/>
                      <w:szCs w:val="18"/>
                    </w:rPr>
                    <w:t>块</w:t>
                  </w:r>
                </w:p>
              </w:tc>
              <w:tc>
                <w:tcPr>
                  <w:tcW w:w="1082" w:type="dxa"/>
                  <w:shd w:val="clear" w:color="auto" w:fill="auto"/>
                  <w:noWrap w:val="0"/>
                  <w:vAlign w:val="center"/>
                </w:tcPr>
                <w:p>
                  <w:pPr>
                    <w:widowControl/>
                    <w:spacing w:line="276" w:lineRule="auto"/>
                    <w:textAlignment w:val="center"/>
                    <w:rPr>
                      <w:sz w:val="18"/>
                      <w:szCs w:val="18"/>
                    </w:rPr>
                  </w:pPr>
                  <w:r>
                    <w:rPr>
                      <w:rFonts w:hint="eastAsia"/>
                      <w:sz w:val="18"/>
                      <w:szCs w:val="18"/>
                    </w:rPr>
                    <w:t>56</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6" w:hRule="atLeast"/>
              </w:trPr>
              <w:tc>
                <w:tcPr>
                  <w:tcW w:w="373" w:type="dxa"/>
                  <w:vMerge w:val="continue"/>
                  <w:shd w:val="clear" w:color="auto" w:fill="auto"/>
                  <w:noWrap w:val="0"/>
                  <w:vAlign w:val="center"/>
                </w:tcPr>
                <w:p>
                  <w:pPr>
                    <w:widowControl/>
                    <w:spacing w:line="276" w:lineRule="auto"/>
                    <w:textAlignment w:val="center"/>
                    <w:rPr>
                      <w:sz w:val="18"/>
                      <w:szCs w:val="18"/>
                    </w:rPr>
                  </w:pPr>
                </w:p>
              </w:tc>
              <w:tc>
                <w:tcPr>
                  <w:tcW w:w="887" w:type="dxa"/>
                  <w:vMerge w:val="continue"/>
                  <w:shd w:val="clear" w:color="auto" w:fill="auto"/>
                  <w:noWrap w:val="0"/>
                  <w:vAlign w:val="center"/>
                </w:tcPr>
                <w:p>
                  <w:pPr>
                    <w:widowControl/>
                    <w:spacing w:line="276" w:lineRule="auto"/>
                    <w:textAlignment w:val="center"/>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网格2</w:t>
                  </w:r>
                </w:p>
              </w:tc>
              <w:tc>
                <w:tcPr>
                  <w:tcW w:w="3219" w:type="dxa"/>
                  <w:shd w:val="clear" w:color="auto" w:fill="auto"/>
                  <w:noWrap w:val="0"/>
                  <w:vAlign w:val="center"/>
                </w:tcPr>
                <w:p>
                  <w:pPr>
                    <w:widowControl/>
                    <w:spacing w:line="276" w:lineRule="auto"/>
                    <w:textAlignment w:val="center"/>
                    <w:rPr>
                      <w:sz w:val="18"/>
                      <w:szCs w:val="18"/>
                    </w:rPr>
                  </w:pPr>
                  <w:r>
                    <w:rPr>
                      <w:sz w:val="18"/>
                      <w:szCs w:val="18"/>
                    </w:rPr>
                    <w:t>LxB=2300x2300 开孔比0.338</w:t>
                  </w:r>
                </w:p>
              </w:tc>
              <w:tc>
                <w:tcPr>
                  <w:tcW w:w="880" w:type="dxa"/>
                  <w:shd w:val="clear" w:color="auto" w:fill="auto"/>
                  <w:noWrap w:val="0"/>
                  <w:vAlign w:val="center"/>
                </w:tcPr>
                <w:p>
                  <w:pPr>
                    <w:widowControl/>
                    <w:spacing w:line="276" w:lineRule="auto"/>
                    <w:textAlignment w:val="center"/>
                    <w:rPr>
                      <w:sz w:val="18"/>
                      <w:szCs w:val="18"/>
                    </w:rPr>
                  </w:pPr>
                  <w:r>
                    <w:rPr>
                      <w:sz w:val="18"/>
                      <w:szCs w:val="18"/>
                    </w:rPr>
                    <w:t>块</w:t>
                  </w:r>
                </w:p>
              </w:tc>
              <w:tc>
                <w:tcPr>
                  <w:tcW w:w="1082" w:type="dxa"/>
                  <w:shd w:val="clear" w:color="auto" w:fill="auto"/>
                  <w:noWrap w:val="0"/>
                  <w:vAlign w:val="center"/>
                </w:tcPr>
                <w:p>
                  <w:pPr>
                    <w:widowControl/>
                    <w:spacing w:line="276" w:lineRule="auto"/>
                    <w:textAlignment w:val="center"/>
                    <w:rPr>
                      <w:sz w:val="18"/>
                      <w:szCs w:val="18"/>
                    </w:rPr>
                  </w:pPr>
                  <w:r>
                    <w:rPr>
                      <w:rFonts w:hint="eastAsia"/>
                      <w:sz w:val="18"/>
                      <w:szCs w:val="18"/>
                    </w:rPr>
                    <w:t>30</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6" w:hRule="atLeast"/>
              </w:trPr>
              <w:tc>
                <w:tcPr>
                  <w:tcW w:w="373" w:type="dxa"/>
                  <w:vMerge w:val="continue"/>
                  <w:shd w:val="clear" w:color="auto" w:fill="auto"/>
                  <w:noWrap w:val="0"/>
                  <w:vAlign w:val="center"/>
                </w:tcPr>
                <w:p>
                  <w:pPr>
                    <w:widowControl/>
                    <w:spacing w:line="276" w:lineRule="auto"/>
                    <w:textAlignment w:val="center"/>
                    <w:rPr>
                      <w:sz w:val="18"/>
                      <w:szCs w:val="18"/>
                    </w:rPr>
                  </w:pPr>
                </w:p>
              </w:tc>
              <w:tc>
                <w:tcPr>
                  <w:tcW w:w="887" w:type="dxa"/>
                  <w:vMerge w:val="continue"/>
                  <w:shd w:val="clear" w:color="auto" w:fill="auto"/>
                  <w:noWrap w:val="0"/>
                  <w:vAlign w:val="center"/>
                </w:tcPr>
                <w:p>
                  <w:pPr>
                    <w:widowControl/>
                    <w:spacing w:line="276" w:lineRule="auto"/>
                    <w:textAlignment w:val="center"/>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网格3</w:t>
                  </w:r>
                </w:p>
              </w:tc>
              <w:tc>
                <w:tcPr>
                  <w:tcW w:w="3219" w:type="dxa"/>
                  <w:shd w:val="clear" w:color="auto" w:fill="auto"/>
                  <w:noWrap w:val="0"/>
                  <w:vAlign w:val="center"/>
                </w:tcPr>
                <w:p>
                  <w:pPr>
                    <w:widowControl/>
                    <w:spacing w:line="276" w:lineRule="auto"/>
                    <w:textAlignment w:val="center"/>
                    <w:rPr>
                      <w:sz w:val="18"/>
                      <w:szCs w:val="18"/>
                    </w:rPr>
                  </w:pPr>
                  <w:r>
                    <w:rPr>
                      <w:sz w:val="18"/>
                      <w:szCs w:val="18"/>
                    </w:rPr>
                    <w:t>LxB=2300x2300 开孔比0.316</w:t>
                  </w:r>
                </w:p>
              </w:tc>
              <w:tc>
                <w:tcPr>
                  <w:tcW w:w="880" w:type="dxa"/>
                  <w:shd w:val="clear" w:color="auto" w:fill="auto"/>
                  <w:noWrap w:val="0"/>
                  <w:vAlign w:val="center"/>
                </w:tcPr>
                <w:p>
                  <w:pPr>
                    <w:widowControl/>
                    <w:spacing w:line="276" w:lineRule="auto"/>
                    <w:textAlignment w:val="center"/>
                    <w:rPr>
                      <w:sz w:val="18"/>
                      <w:szCs w:val="18"/>
                    </w:rPr>
                  </w:pPr>
                  <w:r>
                    <w:rPr>
                      <w:sz w:val="18"/>
                      <w:szCs w:val="18"/>
                    </w:rPr>
                    <w:t>块</w:t>
                  </w:r>
                </w:p>
              </w:tc>
              <w:tc>
                <w:tcPr>
                  <w:tcW w:w="1082" w:type="dxa"/>
                  <w:shd w:val="clear" w:color="auto" w:fill="auto"/>
                  <w:noWrap w:val="0"/>
                  <w:vAlign w:val="center"/>
                </w:tcPr>
                <w:p>
                  <w:pPr>
                    <w:widowControl/>
                    <w:spacing w:line="276" w:lineRule="auto"/>
                    <w:textAlignment w:val="center"/>
                    <w:rPr>
                      <w:sz w:val="18"/>
                      <w:szCs w:val="18"/>
                    </w:rPr>
                  </w:pPr>
                  <w:r>
                    <w:rPr>
                      <w:rFonts w:hint="eastAsia"/>
                      <w:sz w:val="18"/>
                      <w:szCs w:val="18"/>
                    </w:rPr>
                    <w:t>20</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6" w:hRule="atLeast"/>
              </w:trPr>
              <w:tc>
                <w:tcPr>
                  <w:tcW w:w="373" w:type="dxa"/>
                  <w:vMerge w:val="continue"/>
                  <w:shd w:val="clear" w:color="auto" w:fill="auto"/>
                  <w:noWrap w:val="0"/>
                  <w:vAlign w:val="center"/>
                </w:tcPr>
                <w:p>
                  <w:pPr>
                    <w:widowControl/>
                    <w:spacing w:line="276" w:lineRule="auto"/>
                    <w:textAlignment w:val="center"/>
                    <w:rPr>
                      <w:sz w:val="18"/>
                      <w:szCs w:val="18"/>
                    </w:rPr>
                  </w:pPr>
                </w:p>
              </w:tc>
              <w:tc>
                <w:tcPr>
                  <w:tcW w:w="887" w:type="dxa"/>
                  <w:vMerge w:val="continue"/>
                  <w:shd w:val="clear" w:color="auto" w:fill="auto"/>
                  <w:noWrap w:val="0"/>
                  <w:vAlign w:val="center"/>
                </w:tcPr>
                <w:p>
                  <w:pPr>
                    <w:widowControl/>
                    <w:spacing w:line="276" w:lineRule="auto"/>
                    <w:textAlignment w:val="center"/>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网格4</w:t>
                  </w:r>
                </w:p>
              </w:tc>
              <w:tc>
                <w:tcPr>
                  <w:tcW w:w="3219" w:type="dxa"/>
                  <w:shd w:val="clear" w:color="auto" w:fill="auto"/>
                  <w:noWrap w:val="0"/>
                  <w:vAlign w:val="center"/>
                </w:tcPr>
                <w:p>
                  <w:pPr>
                    <w:widowControl/>
                    <w:spacing w:line="276" w:lineRule="auto"/>
                    <w:textAlignment w:val="center"/>
                    <w:rPr>
                      <w:sz w:val="18"/>
                      <w:szCs w:val="18"/>
                    </w:rPr>
                  </w:pPr>
                  <w:r>
                    <w:rPr>
                      <w:sz w:val="18"/>
                      <w:szCs w:val="18"/>
                    </w:rPr>
                    <w:t>LxB=2300x2300 开孔比0.288</w:t>
                  </w:r>
                </w:p>
              </w:tc>
              <w:tc>
                <w:tcPr>
                  <w:tcW w:w="880" w:type="dxa"/>
                  <w:shd w:val="clear" w:color="auto" w:fill="auto"/>
                  <w:noWrap w:val="0"/>
                  <w:vAlign w:val="center"/>
                </w:tcPr>
                <w:p>
                  <w:pPr>
                    <w:widowControl/>
                    <w:spacing w:line="276" w:lineRule="auto"/>
                    <w:textAlignment w:val="center"/>
                    <w:rPr>
                      <w:sz w:val="18"/>
                      <w:szCs w:val="18"/>
                    </w:rPr>
                  </w:pPr>
                  <w:r>
                    <w:rPr>
                      <w:sz w:val="18"/>
                      <w:szCs w:val="18"/>
                    </w:rPr>
                    <w:t>块</w:t>
                  </w:r>
                </w:p>
              </w:tc>
              <w:tc>
                <w:tcPr>
                  <w:tcW w:w="1082" w:type="dxa"/>
                  <w:shd w:val="clear" w:color="auto" w:fill="auto"/>
                  <w:noWrap w:val="0"/>
                  <w:vAlign w:val="center"/>
                </w:tcPr>
                <w:p>
                  <w:pPr>
                    <w:widowControl/>
                    <w:spacing w:line="276" w:lineRule="auto"/>
                    <w:textAlignment w:val="center"/>
                    <w:rPr>
                      <w:sz w:val="18"/>
                      <w:szCs w:val="18"/>
                    </w:rPr>
                  </w:pPr>
                  <w:r>
                    <w:rPr>
                      <w:rFonts w:hint="eastAsia"/>
                      <w:sz w:val="18"/>
                      <w:szCs w:val="18"/>
                    </w:rPr>
                    <w:t>6</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6" w:hRule="atLeast"/>
              </w:trPr>
              <w:tc>
                <w:tcPr>
                  <w:tcW w:w="373" w:type="dxa"/>
                  <w:vMerge w:val="continue"/>
                  <w:shd w:val="clear" w:color="auto" w:fill="auto"/>
                  <w:noWrap w:val="0"/>
                  <w:vAlign w:val="center"/>
                </w:tcPr>
                <w:p>
                  <w:pPr>
                    <w:widowControl/>
                    <w:spacing w:line="276" w:lineRule="auto"/>
                    <w:textAlignment w:val="center"/>
                    <w:rPr>
                      <w:sz w:val="18"/>
                      <w:szCs w:val="18"/>
                    </w:rPr>
                  </w:pPr>
                </w:p>
              </w:tc>
              <w:tc>
                <w:tcPr>
                  <w:tcW w:w="887" w:type="dxa"/>
                  <w:vMerge w:val="continue"/>
                  <w:shd w:val="clear" w:color="auto" w:fill="auto"/>
                  <w:noWrap w:val="0"/>
                  <w:vAlign w:val="center"/>
                </w:tcPr>
                <w:p>
                  <w:pPr>
                    <w:widowControl/>
                    <w:spacing w:line="276" w:lineRule="auto"/>
                    <w:textAlignment w:val="center"/>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液动型池底阀</w:t>
                  </w:r>
                </w:p>
              </w:tc>
              <w:tc>
                <w:tcPr>
                  <w:tcW w:w="3219" w:type="dxa"/>
                  <w:shd w:val="clear" w:color="auto" w:fill="auto"/>
                  <w:noWrap w:val="0"/>
                  <w:vAlign w:val="center"/>
                </w:tcPr>
                <w:p>
                  <w:pPr>
                    <w:widowControl/>
                    <w:spacing w:line="276" w:lineRule="auto"/>
                    <w:textAlignment w:val="center"/>
                    <w:rPr>
                      <w:sz w:val="18"/>
                      <w:szCs w:val="18"/>
                    </w:rPr>
                  </w:pPr>
                  <w:r>
                    <w:rPr>
                      <w:sz w:val="18"/>
                      <w:szCs w:val="18"/>
                    </w:rPr>
                    <w:t>DN200 PN=1.0Mpa</w:t>
                  </w:r>
                </w:p>
              </w:tc>
              <w:tc>
                <w:tcPr>
                  <w:tcW w:w="880" w:type="dxa"/>
                  <w:shd w:val="clear" w:color="auto" w:fill="auto"/>
                  <w:noWrap w:val="0"/>
                  <w:vAlign w:val="center"/>
                </w:tcPr>
                <w:p>
                  <w:pPr>
                    <w:widowControl/>
                    <w:spacing w:line="276" w:lineRule="auto"/>
                    <w:textAlignment w:val="center"/>
                    <w:rPr>
                      <w:sz w:val="18"/>
                      <w:szCs w:val="18"/>
                    </w:rPr>
                  </w:pPr>
                  <w:r>
                    <w:rPr>
                      <w:sz w:val="18"/>
                      <w:szCs w:val="18"/>
                    </w:rPr>
                    <w:t>套</w:t>
                  </w:r>
                </w:p>
              </w:tc>
              <w:tc>
                <w:tcPr>
                  <w:tcW w:w="1082" w:type="dxa"/>
                  <w:shd w:val="clear" w:color="auto" w:fill="auto"/>
                  <w:noWrap w:val="0"/>
                  <w:vAlign w:val="center"/>
                </w:tcPr>
                <w:p>
                  <w:pPr>
                    <w:widowControl/>
                    <w:spacing w:line="276" w:lineRule="auto"/>
                    <w:textAlignment w:val="center"/>
                    <w:rPr>
                      <w:sz w:val="18"/>
                      <w:szCs w:val="18"/>
                    </w:rPr>
                  </w:pPr>
                  <w:r>
                    <w:rPr>
                      <w:sz w:val="18"/>
                      <w:szCs w:val="18"/>
                    </w:rPr>
                    <w:t>144</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6" w:hRule="atLeast"/>
              </w:trPr>
              <w:tc>
                <w:tcPr>
                  <w:tcW w:w="373" w:type="dxa"/>
                  <w:vMerge w:val="continue"/>
                  <w:shd w:val="clear" w:color="auto" w:fill="auto"/>
                  <w:noWrap w:val="0"/>
                  <w:vAlign w:val="center"/>
                </w:tcPr>
                <w:p>
                  <w:pPr>
                    <w:widowControl/>
                    <w:spacing w:line="276" w:lineRule="auto"/>
                    <w:textAlignment w:val="center"/>
                    <w:rPr>
                      <w:sz w:val="18"/>
                      <w:szCs w:val="18"/>
                    </w:rPr>
                  </w:pPr>
                </w:p>
              </w:tc>
              <w:tc>
                <w:tcPr>
                  <w:tcW w:w="887" w:type="dxa"/>
                  <w:vMerge w:val="continue"/>
                  <w:shd w:val="clear" w:color="auto" w:fill="auto"/>
                  <w:noWrap w:val="0"/>
                  <w:vAlign w:val="center"/>
                </w:tcPr>
                <w:p>
                  <w:pPr>
                    <w:widowControl/>
                    <w:spacing w:line="276" w:lineRule="auto"/>
                    <w:textAlignment w:val="center"/>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液动角式排泥阀</w:t>
                  </w:r>
                </w:p>
              </w:tc>
              <w:tc>
                <w:tcPr>
                  <w:tcW w:w="3219" w:type="dxa"/>
                  <w:shd w:val="clear" w:color="auto" w:fill="auto"/>
                  <w:noWrap w:val="0"/>
                  <w:vAlign w:val="center"/>
                </w:tcPr>
                <w:p>
                  <w:pPr>
                    <w:widowControl/>
                    <w:spacing w:line="276" w:lineRule="auto"/>
                    <w:textAlignment w:val="center"/>
                    <w:rPr>
                      <w:sz w:val="18"/>
                      <w:szCs w:val="18"/>
                    </w:rPr>
                  </w:pPr>
                  <w:r>
                    <w:rPr>
                      <w:sz w:val="18"/>
                      <w:szCs w:val="18"/>
                    </w:rPr>
                    <w:t>DN200 PN=1.0Mpa</w:t>
                  </w:r>
                </w:p>
              </w:tc>
              <w:tc>
                <w:tcPr>
                  <w:tcW w:w="880" w:type="dxa"/>
                  <w:shd w:val="clear" w:color="auto" w:fill="auto"/>
                  <w:noWrap w:val="0"/>
                  <w:vAlign w:val="center"/>
                </w:tcPr>
                <w:p>
                  <w:pPr>
                    <w:widowControl/>
                    <w:spacing w:line="276" w:lineRule="auto"/>
                    <w:textAlignment w:val="center"/>
                    <w:rPr>
                      <w:sz w:val="18"/>
                      <w:szCs w:val="18"/>
                    </w:rPr>
                  </w:pPr>
                  <w:r>
                    <w:rPr>
                      <w:sz w:val="18"/>
                      <w:szCs w:val="18"/>
                    </w:rPr>
                    <w:t>套</w:t>
                  </w:r>
                </w:p>
              </w:tc>
              <w:tc>
                <w:tcPr>
                  <w:tcW w:w="1082" w:type="dxa"/>
                  <w:shd w:val="clear" w:color="auto" w:fill="auto"/>
                  <w:noWrap w:val="0"/>
                  <w:vAlign w:val="center"/>
                </w:tcPr>
                <w:p>
                  <w:pPr>
                    <w:widowControl/>
                    <w:spacing w:line="276" w:lineRule="auto"/>
                    <w:textAlignment w:val="center"/>
                    <w:rPr>
                      <w:sz w:val="18"/>
                      <w:szCs w:val="18"/>
                    </w:rPr>
                  </w:pPr>
                  <w:r>
                    <w:rPr>
                      <w:sz w:val="18"/>
                      <w:szCs w:val="18"/>
                    </w:rPr>
                    <w:t>32</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6" w:hRule="atLeast"/>
              </w:trPr>
              <w:tc>
                <w:tcPr>
                  <w:tcW w:w="373" w:type="dxa"/>
                  <w:vMerge w:val="continue"/>
                  <w:shd w:val="clear" w:color="auto" w:fill="auto"/>
                  <w:noWrap w:val="0"/>
                  <w:vAlign w:val="center"/>
                </w:tcPr>
                <w:p>
                  <w:pPr>
                    <w:widowControl/>
                    <w:spacing w:line="276" w:lineRule="auto"/>
                    <w:textAlignment w:val="center"/>
                    <w:rPr>
                      <w:sz w:val="18"/>
                      <w:szCs w:val="18"/>
                    </w:rPr>
                  </w:pPr>
                </w:p>
              </w:tc>
              <w:tc>
                <w:tcPr>
                  <w:tcW w:w="887" w:type="dxa"/>
                  <w:vMerge w:val="continue"/>
                  <w:shd w:val="clear" w:color="auto" w:fill="auto"/>
                  <w:noWrap w:val="0"/>
                  <w:vAlign w:val="center"/>
                </w:tcPr>
                <w:p>
                  <w:pPr>
                    <w:widowControl/>
                    <w:spacing w:line="276" w:lineRule="auto"/>
                    <w:textAlignment w:val="center"/>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电磁四通阀</w:t>
                  </w:r>
                </w:p>
              </w:tc>
              <w:tc>
                <w:tcPr>
                  <w:tcW w:w="3219" w:type="dxa"/>
                  <w:shd w:val="clear" w:color="auto" w:fill="auto"/>
                  <w:noWrap w:val="0"/>
                  <w:vAlign w:val="center"/>
                </w:tcPr>
                <w:p>
                  <w:pPr>
                    <w:widowControl/>
                    <w:spacing w:line="276" w:lineRule="auto"/>
                    <w:textAlignment w:val="center"/>
                    <w:rPr>
                      <w:sz w:val="18"/>
                      <w:szCs w:val="18"/>
                    </w:rPr>
                  </w:pPr>
                  <w:r>
                    <w:rPr>
                      <w:sz w:val="18"/>
                      <w:szCs w:val="18"/>
                    </w:rPr>
                    <w:t>DN15</w:t>
                  </w:r>
                </w:p>
              </w:tc>
              <w:tc>
                <w:tcPr>
                  <w:tcW w:w="880" w:type="dxa"/>
                  <w:shd w:val="clear" w:color="auto" w:fill="auto"/>
                  <w:noWrap w:val="0"/>
                  <w:vAlign w:val="center"/>
                </w:tcPr>
                <w:p>
                  <w:pPr>
                    <w:widowControl/>
                    <w:spacing w:line="276" w:lineRule="auto"/>
                    <w:textAlignment w:val="center"/>
                    <w:rPr>
                      <w:sz w:val="18"/>
                      <w:szCs w:val="18"/>
                    </w:rPr>
                  </w:pPr>
                  <w:r>
                    <w:rPr>
                      <w:sz w:val="18"/>
                      <w:szCs w:val="18"/>
                    </w:rPr>
                    <w:t>套</w:t>
                  </w:r>
                </w:p>
              </w:tc>
              <w:tc>
                <w:tcPr>
                  <w:tcW w:w="1082" w:type="dxa"/>
                  <w:shd w:val="clear" w:color="auto" w:fill="auto"/>
                  <w:noWrap w:val="0"/>
                  <w:vAlign w:val="center"/>
                </w:tcPr>
                <w:p>
                  <w:pPr>
                    <w:widowControl/>
                    <w:spacing w:line="276" w:lineRule="auto"/>
                    <w:textAlignment w:val="center"/>
                    <w:rPr>
                      <w:sz w:val="18"/>
                      <w:szCs w:val="18"/>
                    </w:rPr>
                  </w:pPr>
                  <w:r>
                    <w:rPr>
                      <w:sz w:val="18"/>
                      <w:szCs w:val="18"/>
                    </w:rPr>
                    <w:t>176</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9" w:hRule="atLeast"/>
              </w:trPr>
              <w:tc>
                <w:tcPr>
                  <w:tcW w:w="373" w:type="dxa"/>
                  <w:vMerge w:val="continue"/>
                  <w:shd w:val="clear" w:color="auto" w:fill="auto"/>
                  <w:noWrap w:val="0"/>
                  <w:vAlign w:val="center"/>
                </w:tcPr>
                <w:p>
                  <w:pPr>
                    <w:widowControl/>
                    <w:spacing w:line="276" w:lineRule="auto"/>
                    <w:textAlignment w:val="center"/>
                    <w:rPr>
                      <w:sz w:val="18"/>
                      <w:szCs w:val="18"/>
                    </w:rPr>
                  </w:pPr>
                </w:p>
              </w:tc>
              <w:tc>
                <w:tcPr>
                  <w:tcW w:w="887" w:type="dxa"/>
                  <w:vMerge w:val="continue"/>
                  <w:shd w:val="clear" w:color="auto" w:fill="auto"/>
                  <w:noWrap w:val="0"/>
                  <w:vAlign w:val="center"/>
                </w:tcPr>
                <w:p>
                  <w:pPr>
                    <w:widowControl/>
                    <w:spacing w:line="276" w:lineRule="auto"/>
                    <w:textAlignment w:val="center"/>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刮泥机</w:t>
                  </w:r>
                </w:p>
              </w:tc>
              <w:tc>
                <w:tcPr>
                  <w:tcW w:w="3219" w:type="dxa"/>
                  <w:shd w:val="clear" w:color="auto" w:fill="auto"/>
                  <w:noWrap w:val="0"/>
                  <w:vAlign w:val="center"/>
                </w:tcPr>
                <w:p>
                  <w:pPr>
                    <w:widowControl/>
                    <w:spacing w:line="276" w:lineRule="auto"/>
                    <w:textAlignment w:val="center"/>
                    <w:rPr>
                      <w:sz w:val="18"/>
                      <w:szCs w:val="18"/>
                    </w:rPr>
                  </w:pPr>
                  <w:r>
                    <w:rPr>
                      <w:sz w:val="18"/>
                      <w:szCs w:val="18"/>
                    </w:rPr>
                    <w:t>BxL=9.75x6.7m，N=1.1kW</w:t>
                  </w:r>
                </w:p>
              </w:tc>
              <w:tc>
                <w:tcPr>
                  <w:tcW w:w="880" w:type="dxa"/>
                  <w:shd w:val="clear" w:color="auto" w:fill="auto"/>
                  <w:noWrap w:val="0"/>
                  <w:vAlign w:val="center"/>
                </w:tcPr>
                <w:p>
                  <w:pPr>
                    <w:widowControl/>
                    <w:spacing w:line="276" w:lineRule="auto"/>
                    <w:textAlignment w:val="center"/>
                    <w:rPr>
                      <w:sz w:val="18"/>
                      <w:szCs w:val="18"/>
                    </w:rPr>
                  </w:pPr>
                  <w:r>
                    <w:rPr>
                      <w:sz w:val="18"/>
                      <w:szCs w:val="18"/>
                    </w:rPr>
                    <w:t>套</w:t>
                  </w:r>
                </w:p>
              </w:tc>
              <w:tc>
                <w:tcPr>
                  <w:tcW w:w="1082" w:type="dxa"/>
                  <w:shd w:val="clear" w:color="auto" w:fill="auto"/>
                  <w:noWrap w:val="0"/>
                  <w:vAlign w:val="center"/>
                </w:tcPr>
                <w:p>
                  <w:pPr>
                    <w:widowControl/>
                    <w:spacing w:line="276" w:lineRule="auto"/>
                    <w:textAlignment w:val="center"/>
                    <w:rPr>
                      <w:sz w:val="18"/>
                      <w:szCs w:val="18"/>
                    </w:rPr>
                  </w:pPr>
                  <w:r>
                    <w:rPr>
                      <w:sz w:val="18"/>
                      <w:szCs w:val="18"/>
                    </w:rPr>
                    <w:t>4</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4" w:hRule="atLeast"/>
              </w:trPr>
              <w:tc>
                <w:tcPr>
                  <w:tcW w:w="373" w:type="dxa"/>
                  <w:vMerge w:val="continue"/>
                  <w:shd w:val="clear" w:color="auto" w:fill="auto"/>
                  <w:noWrap w:val="0"/>
                  <w:vAlign w:val="center"/>
                </w:tcPr>
                <w:p>
                  <w:pPr>
                    <w:widowControl/>
                    <w:spacing w:line="276" w:lineRule="auto"/>
                    <w:textAlignment w:val="center"/>
                    <w:rPr>
                      <w:sz w:val="18"/>
                      <w:szCs w:val="18"/>
                    </w:rPr>
                  </w:pPr>
                </w:p>
              </w:tc>
              <w:tc>
                <w:tcPr>
                  <w:tcW w:w="887" w:type="dxa"/>
                  <w:vMerge w:val="continue"/>
                  <w:shd w:val="clear" w:color="auto" w:fill="auto"/>
                  <w:noWrap w:val="0"/>
                  <w:vAlign w:val="center"/>
                </w:tcPr>
                <w:p>
                  <w:pPr>
                    <w:widowControl/>
                    <w:spacing w:line="276" w:lineRule="auto"/>
                    <w:textAlignment w:val="center"/>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刮泥机</w:t>
                  </w:r>
                </w:p>
              </w:tc>
              <w:tc>
                <w:tcPr>
                  <w:tcW w:w="3219" w:type="dxa"/>
                  <w:shd w:val="clear" w:color="auto" w:fill="auto"/>
                  <w:noWrap w:val="0"/>
                  <w:vAlign w:val="center"/>
                </w:tcPr>
                <w:p>
                  <w:pPr>
                    <w:widowControl/>
                    <w:spacing w:line="276" w:lineRule="auto"/>
                    <w:textAlignment w:val="center"/>
                    <w:rPr>
                      <w:sz w:val="18"/>
                      <w:szCs w:val="18"/>
                    </w:rPr>
                  </w:pPr>
                  <w:r>
                    <w:rPr>
                      <w:sz w:val="18"/>
                      <w:szCs w:val="18"/>
                    </w:rPr>
                    <w:t>BxL=</w:t>
                  </w:r>
                  <w:r>
                    <w:rPr>
                      <w:rFonts w:hint="eastAsia"/>
                      <w:sz w:val="18"/>
                      <w:szCs w:val="18"/>
                    </w:rPr>
                    <w:t>7.3</w:t>
                  </w:r>
                  <w:r>
                    <w:rPr>
                      <w:sz w:val="18"/>
                      <w:szCs w:val="18"/>
                    </w:rPr>
                    <w:t>x</w:t>
                  </w:r>
                  <w:r>
                    <w:rPr>
                      <w:rFonts w:hint="eastAsia"/>
                      <w:sz w:val="18"/>
                      <w:szCs w:val="18"/>
                    </w:rPr>
                    <w:t>17.0</w:t>
                  </w:r>
                  <w:r>
                    <w:rPr>
                      <w:sz w:val="18"/>
                      <w:szCs w:val="18"/>
                    </w:rPr>
                    <w:t>m，N=</w:t>
                  </w:r>
                  <w:r>
                    <w:rPr>
                      <w:rFonts w:hint="eastAsia"/>
                      <w:sz w:val="18"/>
                      <w:szCs w:val="18"/>
                    </w:rPr>
                    <w:t>2.2</w:t>
                  </w:r>
                  <w:r>
                    <w:rPr>
                      <w:sz w:val="18"/>
                      <w:szCs w:val="18"/>
                    </w:rPr>
                    <w:t>kW</w:t>
                  </w:r>
                </w:p>
              </w:tc>
              <w:tc>
                <w:tcPr>
                  <w:tcW w:w="880" w:type="dxa"/>
                  <w:shd w:val="clear" w:color="auto" w:fill="auto"/>
                  <w:noWrap w:val="0"/>
                  <w:vAlign w:val="center"/>
                </w:tcPr>
                <w:p>
                  <w:pPr>
                    <w:widowControl/>
                    <w:spacing w:line="276" w:lineRule="auto"/>
                    <w:textAlignment w:val="center"/>
                    <w:rPr>
                      <w:sz w:val="18"/>
                      <w:szCs w:val="18"/>
                    </w:rPr>
                  </w:pPr>
                  <w:r>
                    <w:rPr>
                      <w:sz w:val="18"/>
                      <w:szCs w:val="18"/>
                    </w:rPr>
                    <w:t>套</w:t>
                  </w:r>
                </w:p>
              </w:tc>
              <w:tc>
                <w:tcPr>
                  <w:tcW w:w="1082" w:type="dxa"/>
                  <w:shd w:val="clear" w:color="auto" w:fill="auto"/>
                  <w:noWrap w:val="0"/>
                  <w:vAlign w:val="center"/>
                </w:tcPr>
                <w:p>
                  <w:pPr>
                    <w:widowControl/>
                    <w:spacing w:line="276" w:lineRule="auto"/>
                    <w:textAlignment w:val="center"/>
                    <w:rPr>
                      <w:sz w:val="18"/>
                      <w:szCs w:val="18"/>
                    </w:rPr>
                  </w:pPr>
                  <w:r>
                    <w:rPr>
                      <w:sz w:val="18"/>
                      <w:szCs w:val="18"/>
                    </w:rPr>
                    <w:t>4</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8" w:hRule="atLeast"/>
              </w:trPr>
              <w:tc>
                <w:tcPr>
                  <w:tcW w:w="373" w:type="dxa"/>
                  <w:vMerge w:val="continue"/>
                  <w:shd w:val="clear" w:color="auto" w:fill="auto"/>
                  <w:noWrap w:val="0"/>
                  <w:vAlign w:val="center"/>
                </w:tcPr>
                <w:p>
                  <w:pPr>
                    <w:widowControl/>
                    <w:spacing w:line="276" w:lineRule="auto"/>
                    <w:textAlignment w:val="center"/>
                    <w:rPr>
                      <w:sz w:val="18"/>
                      <w:szCs w:val="18"/>
                    </w:rPr>
                  </w:pPr>
                </w:p>
              </w:tc>
              <w:tc>
                <w:tcPr>
                  <w:tcW w:w="887" w:type="dxa"/>
                  <w:vMerge w:val="continue"/>
                  <w:shd w:val="clear" w:color="auto" w:fill="auto"/>
                  <w:noWrap w:val="0"/>
                  <w:vAlign w:val="center"/>
                </w:tcPr>
                <w:p>
                  <w:pPr>
                    <w:widowControl/>
                    <w:spacing w:line="276" w:lineRule="auto"/>
                    <w:textAlignment w:val="center"/>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刮泥机</w:t>
                  </w:r>
                </w:p>
              </w:tc>
              <w:tc>
                <w:tcPr>
                  <w:tcW w:w="3219" w:type="dxa"/>
                  <w:shd w:val="clear" w:color="auto" w:fill="auto"/>
                  <w:noWrap w:val="0"/>
                  <w:vAlign w:val="center"/>
                </w:tcPr>
                <w:p>
                  <w:pPr>
                    <w:widowControl/>
                    <w:spacing w:line="276" w:lineRule="auto"/>
                    <w:textAlignment w:val="center"/>
                    <w:rPr>
                      <w:sz w:val="18"/>
                      <w:szCs w:val="18"/>
                    </w:rPr>
                  </w:pPr>
                  <w:r>
                    <w:rPr>
                      <w:sz w:val="18"/>
                      <w:szCs w:val="18"/>
                    </w:rPr>
                    <w:t>BxL=</w:t>
                  </w:r>
                  <w:r>
                    <w:rPr>
                      <w:rFonts w:hint="eastAsia"/>
                      <w:sz w:val="18"/>
                      <w:szCs w:val="18"/>
                    </w:rPr>
                    <w:t>4.5</w:t>
                  </w:r>
                  <w:r>
                    <w:rPr>
                      <w:sz w:val="18"/>
                      <w:szCs w:val="18"/>
                    </w:rPr>
                    <w:t>x17.0m，N=1.1kW</w:t>
                  </w:r>
                </w:p>
              </w:tc>
              <w:tc>
                <w:tcPr>
                  <w:tcW w:w="880" w:type="dxa"/>
                  <w:shd w:val="clear" w:color="auto" w:fill="auto"/>
                  <w:noWrap w:val="0"/>
                  <w:vAlign w:val="center"/>
                </w:tcPr>
                <w:p>
                  <w:pPr>
                    <w:widowControl/>
                    <w:spacing w:line="276" w:lineRule="auto"/>
                    <w:textAlignment w:val="center"/>
                    <w:rPr>
                      <w:sz w:val="18"/>
                      <w:szCs w:val="18"/>
                    </w:rPr>
                  </w:pPr>
                  <w:r>
                    <w:rPr>
                      <w:sz w:val="18"/>
                      <w:szCs w:val="18"/>
                    </w:rPr>
                    <w:t>套</w:t>
                  </w:r>
                </w:p>
              </w:tc>
              <w:tc>
                <w:tcPr>
                  <w:tcW w:w="1082" w:type="dxa"/>
                  <w:shd w:val="clear" w:color="auto" w:fill="auto"/>
                  <w:noWrap w:val="0"/>
                  <w:vAlign w:val="center"/>
                </w:tcPr>
                <w:p>
                  <w:pPr>
                    <w:widowControl/>
                    <w:spacing w:line="276" w:lineRule="auto"/>
                    <w:textAlignment w:val="center"/>
                    <w:rPr>
                      <w:sz w:val="18"/>
                      <w:szCs w:val="18"/>
                    </w:rPr>
                  </w:pPr>
                  <w:r>
                    <w:rPr>
                      <w:rFonts w:hint="eastAsia"/>
                      <w:sz w:val="18"/>
                      <w:szCs w:val="18"/>
                    </w:rPr>
                    <w:t>2</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63" w:hRule="atLeast"/>
              </w:trPr>
              <w:tc>
                <w:tcPr>
                  <w:tcW w:w="373" w:type="dxa"/>
                  <w:vMerge w:val="continue"/>
                  <w:shd w:val="clear" w:color="auto" w:fill="auto"/>
                  <w:noWrap w:val="0"/>
                  <w:vAlign w:val="center"/>
                </w:tcPr>
                <w:p>
                  <w:pPr>
                    <w:widowControl/>
                    <w:spacing w:line="276" w:lineRule="auto"/>
                    <w:textAlignment w:val="center"/>
                    <w:rPr>
                      <w:sz w:val="18"/>
                      <w:szCs w:val="18"/>
                    </w:rPr>
                  </w:pPr>
                </w:p>
              </w:tc>
              <w:tc>
                <w:tcPr>
                  <w:tcW w:w="887" w:type="dxa"/>
                  <w:vMerge w:val="continue"/>
                  <w:shd w:val="clear" w:color="auto" w:fill="auto"/>
                  <w:noWrap w:val="0"/>
                  <w:vAlign w:val="center"/>
                </w:tcPr>
                <w:p>
                  <w:pPr>
                    <w:widowControl/>
                    <w:spacing w:line="276" w:lineRule="auto"/>
                    <w:textAlignment w:val="center"/>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不锈钢集水槽</w:t>
                  </w:r>
                </w:p>
              </w:tc>
              <w:tc>
                <w:tcPr>
                  <w:tcW w:w="3219" w:type="dxa"/>
                  <w:shd w:val="clear" w:color="auto" w:fill="auto"/>
                  <w:noWrap w:val="0"/>
                  <w:vAlign w:val="center"/>
                </w:tcPr>
                <w:p>
                  <w:pPr>
                    <w:widowControl/>
                    <w:spacing w:line="276" w:lineRule="auto"/>
                    <w:textAlignment w:val="center"/>
                    <w:rPr>
                      <w:sz w:val="18"/>
                      <w:szCs w:val="18"/>
                    </w:rPr>
                  </w:pPr>
                  <w:r>
                    <w:rPr>
                      <w:sz w:val="18"/>
                      <w:szCs w:val="18"/>
                    </w:rPr>
                    <w:t>B=400 L=7000 H=470</w:t>
                  </w:r>
                </w:p>
              </w:tc>
              <w:tc>
                <w:tcPr>
                  <w:tcW w:w="880" w:type="dxa"/>
                  <w:shd w:val="clear" w:color="auto" w:fill="auto"/>
                  <w:noWrap w:val="0"/>
                  <w:vAlign w:val="center"/>
                </w:tcPr>
                <w:p>
                  <w:pPr>
                    <w:widowControl/>
                    <w:spacing w:line="276" w:lineRule="auto"/>
                    <w:textAlignment w:val="center"/>
                    <w:rPr>
                      <w:sz w:val="18"/>
                      <w:szCs w:val="18"/>
                    </w:rPr>
                  </w:pPr>
                  <w:r>
                    <w:rPr>
                      <w:sz w:val="18"/>
                      <w:szCs w:val="18"/>
                    </w:rPr>
                    <w:t>根</w:t>
                  </w:r>
                </w:p>
              </w:tc>
              <w:tc>
                <w:tcPr>
                  <w:tcW w:w="1082" w:type="dxa"/>
                  <w:shd w:val="clear" w:color="auto" w:fill="auto"/>
                  <w:noWrap w:val="0"/>
                  <w:vAlign w:val="center"/>
                </w:tcPr>
                <w:p>
                  <w:pPr>
                    <w:widowControl/>
                    <w:spacing w:line="276" w:lineRule="auto"/>
                    <w:textAlignment w:val="center"/>
                    <w:rPr>
                      <w:sz w:val="18"/>
                      <w:szCs w:val="18"/>
                    </w:rPr>
                  </w:pPr>
                  <w:r>
                    <w:rPr>
                      <w:sz w:val="18"/>
                      <w:szCs w:val="18"/>
                    </w:rPr>
                    <w:t>20</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widowControl/>
                    <w:spacing w:line="276" w:lineRule="auto"/>
                    <w:rPr>
                      <w:sz w:val="18"/>
                      <w:szCs w:val="18"/>
                    </w:rPr>
                  </w:pPr>
                </w:p>
              </w:tc>
              <w:tc>
                <w:tcPr>
                  <w:tcW w:w="887" w:type="dxa"/>
                  <w:vMerge w:val="continue"/>
                  <w:shd w:val="clear" w:color="auto" w:fill="auto"/>
                  <w:noWrap w:val="0"/>
                  <w:vAlign w:val="center"/>
                </w:tcPr>
                <w:p>
                  <w:pPr>
                    <w:widowControl/>
                    <w:spacing w:line="276" w:lineRule="auto"/>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不锈钢集水槽</w:t>
                  </w:r>
                </w:p>
              </w:tc>
              <w:tc>
                <w:tcPr>
                  <w:tcW w:w="3219" w:type="dxa"/>
                  <w:shd w:val="clear" w:color="auto" w:fill="auto"/>
                  <w:noWrap w:val="0"/>
                  <w:vAlign w:val="center"/>
                </w:tcPr>
                <w:p>
                  <w:pPr>
                    <w:widowControl/>
                    <w:spacing w:line="276" w:lineRule="auto"/>
                    <w:textAlignment w:val="center"/>
                    <w:rPr>
                      <w:sz w:val="18"/>
                      <w:szCs w:val="18"/>
                    </w:rPr>
                  </w:pPr>
                  <w:r>
                    <w:rPr>
                      <w:sz w:val="18"/>
                      <w:szCs w:val="18"/>
                    </w:rPr>
                    <w:t>B=300 L=7650 H=470</w:t>
                  </w:r>
                </w:p>
              </w:tc>
              <w:tc>
                <w:tcPr>
                  <w:tcW w:w="880" w:type="dxa"/>
                  <w:shd w:val="clear" w:color="auto" w:fill="auto"/>
                  <w:noWrap w:val="0"/>
                  <w:vAlign w:val="center"/>
                </w:tcPr>
                <w:p>
                  <w:pPr>
                    <w:widowControl/>
                    <w:spacing w:line="276" w:lineRule="auto"/>
                    <w:textAlignment w:val="center"/>
                    <w:rPr>
                      <w:sz w:val="18"/>
                      <w:szCs w:val="18"/>
                    </w:rPr>
                  </w:pPr>
                  <w:r>
                    <w:rPr>
                      <w:sz w:val="18"/>
                      <w:szCs w:val="18"/>
                    </w:rPr>
                    <w:t>根</w:t>
                  </w:r>
                </w:p>
              </w:tc>
              <w:tc>
                <w:tcPr>
                  <w:tcW w:w="1082" w:type="dxa"/>
                  <w:shd w:val="clear" w:color="auto" w:fill="auto"/>
                  <w:noWrap w:val="0"/>
                  <w:vAlign w:val="center"/>
                </w:tcPr>
                <w:p>
                  <w:pPr>
                    <w:widowControl/>
                    <w:spacing w:line="276" w:lineRule="auto"/>
                    <w:textAlignment w:val="center"/>
                    <w:rPr>
                      <w:sz w:val="18"/>
                      <w:szCs w:val="18"/>
                    </w:rPr>
                  </w:pPr>
                  <w:r>
                    <w:rPr>
                      <w:sz w:val="18"/>
                      <w:szCs w:val="18"/>
                    </w:rPr>
                    <w:t>32</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1" w:hRule="atLeast"/>
              </w:trPr>
              <w:tc>
                <w:tcPr>
                  <w:tcW w:w="373" w:type="dxa"/>
                  <w:vMerge w:val="continue"/>
                  <w:shd w:val="clear" w:color="auto" w:fill="auto"/>
                  <w:noWrap w:val="0"/>
                  <w:vAlign w:val="center"/>
                </w:tcPr>
                <w:p>
                  <w:pPr>
                    <w:widowControl/>
                    <w:spacing w:line="276" w:lineRule="auto"/>
                    <w:rPr>
                      <w:sz w:val="18"/>
                      <w:szCs w:val="18"/>
                    </w:rPr>
                  </w:pPr>
                </w:p>
              </w:tc>
              <w:tc>
                <w:tcPr>
                  <w:tcW w:w="887" w:type="dxa"/>
                  <w:vMerge w:val="continue"/>
                  <w:shd w:val="clear" w:color="auto" w:fill="auto"/>
                  <w:noWrap w:val="0"/>
                  <w:vAlign w:val="center"/>
                </w:tcPr>
                <w:p>
                  <w:pPr>
                    <w:widowControl/>
                    <w:spacing w:line="276" w:lineRule="auto"/>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rFonts w:hint="eastAsia"/>
                      <w:sz w:val="18"/>
                      <w:szCs w:val="18"/>
                    </w:rPr>
                    <w:t>小间距斜板沉淀设备</w:t>
                  </w:r>
                </w:p>
              </w:tc>
              <w:tc>
                <w:tcPr>
                  <w:tcW w:w="3219" w:type="dxa"/>
                  <w:shd w:val="clear" w:color="auto" w:fill="auto"/>
                  <w:noWrap w:val="0"/>
                  <w:vAlign w:val="center"/>
                </w:tcPr>
                <w:p>
                  <w:pPr>
                    <w:widowControl/>
                    <w:spacing w:line="276" w:lineRule="auto"/>
                    <w:textAlignment w:val="center"/>
                    <w:rPr>
                      <w:sz w:val="18"/>
                      <w:szCs w:val="18"/>
                    </w:rPr>
                  </w:pPr>
                  <w:r>
                    <w:rPr>
                      <w:rStyle w:val="95"/>
                      <w:sz w:val="18"/>
                      <w:szCs w:val="18"/>
                    </w:rPr>
                    <w:t>9750x6700x870</w:t>
                  </w:r>
                </w:p>
              </w:tc>
              <w:tc>
                <w:tcPr>
                  <w:tcW w:w="880" w:type="dxa"/>
                  <w:shd w:val="clear" w:color="auto" w:fill="auto"/>
                  <w:noWrap w:val="0"/>
                  <w:vAlign w:val="center"/>
                </w:tcPr>
                <w:p>
                  <w:pPr>
                    <w:widowControl/>
                    <w:spacing w:line="276" w:lineRule="auto"/>
                    <w:textAlignment w:val="center"/>
                    <w:rPr>
                      <w:sz w:val="18"/>
                      <w:szCs w:val="18"/>
                    </w:rPr>
                  </w:pPr>
                  <w:r>
                    <w:rPr>
                      <w:rFonts w:hint="eastAsia"/>
                      <w:sz w:val="18"/>
                      <w:szCs w:val="18"/>
                    </w:rPr>
                    <w:t>套</w:t>
                  </w:r>
                </w:p>
              </w:tc>
              <w:tc>
                <w:tcPr>
                  <w:tcW w:w="1082" w:type="dxa"/>
                  <w:shd w:val="clear" w:color="auto" w:fill="auto"/>
                  <w:noWrap w:val="0"/>
                  <w:vAlign w:val="center"/>
                </w:tcPr>
                <w:p>
                  <w:pPr>
                    <w:widowControl/>
                    <w:spacing w:line="276" w:lineRule="auto"/>
                    <w:textAlignment w:val="center"/>
                    <w:rPr>
                      <w:sz w:val="18"/>
                      <w:szCs w:val="18"/>
                    </w:rPr>
                  </w:pPr>
                  <w:r>
                    <w:rPr>
                      <w:rFonts w:hint="eastAsia"/>
                      <w:sz w:val="18"/>
                      <w:szCs w:val="18"/>
                    </w:rPr>
                    <w:t>4</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2" w:hRule="atLeast"/>
              </w:trPr>
              <w:tc>
                <w:tcPr>
                  <w:tcW w:w="373" w:type="dxa"/>
                  <w:vMerge w:val="continue"/>
                  <w:shd w:val="clear" w:color="auto" w:fill="auto"/>
                  <w:noWrap w:val="0"/>
                  <w:vAlign w:val="center"/>
                </w:tcPr>
                <w:p>
                  <w:pPr>
                    <w:widowControl/>
                    <w:spacing w:line="276" w:lineRule="auto"/>
                    <w:rPr>
                      <w:sz w:val="18"/>
                      <w:szCs w:val="18"/>
                    </w:rPr>
                  </w:pPr>
                </w:p>
              </w:tc>
              <w:tc>
                <w:tcPr>
                  <w:tcW w:w="887" w:type="dxa"/>
                  <w:vMerge w:val="continue"/>
                  <w:shd w:val="clear" w:color="auto" w:fill="auto"/>
                  <w:noWrap w:val="0"/>
                  <w:vAlign w:val="center"/>
                </w:tcPr>
                <w:p>
                  <w:pPr>
                    <w:widowControl/>
                    <w:spacing w:line="276" w:lineRule="auto"/>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rFonts w:hint="eastAsia"/>
                      <w:sz w:val="18"/>
                      <w:szCs w:val="18"/>
                    </w:rPr>
                    <w:t>小间距斜板沉淀设备</w:t>
                  </w:r>
                </w:p>
              </w:tc>
              <w:tc>
                <w:tcPr>
                  <w:tcW w:w="3219" w:type="dxa"/>
                  <w:shd w:val="clear" w:color="auto" w:fill="auto"/>
                  <w:noWrap w:val="0"/>
                  <w:vAlign w:val="center"/>
                </w:tcPr>
                <w:p>
                  <w:pPr>
                    <w:widowControl/>
                    <w:spacing w:line="276" w:lineRule="auto"/>
                    <w:textAlignment w:val="center"/>
                    <w:rPr>
                      <w:sz w:val="18"/>
                      <w:szCs w:val="18"/>
                    </w:rPr>
                  </w:pPr>
                  <w:r>
                    <w:rPr>
                      <w:rStyle w:val="95"/>
                      <w:sz w:val="18"/>
                      <w:szCs w:val="18"/>
                    </w:rPr>
                    <w:t>17000x7300x870</w:t>
                  </w:r>
                </w:p>
              </w:tc>
              <w:tc>
                <w:tcPr>
                  <w:tcW w:w="880" w:type="dxa"/>
                  <w:shd w:val="clear" w:color="auto" w:fill="auto"/>
                  <w:noWrap w:val="0"/>
                  <w:vAlign w:val="center"/>
                </w:tcPr>
                <w:p>
                  <w:pPr>
                    <w:widowControl/>
                    <w:spacing w:line="276" w:lineRule="auto"/>
                    <w:textAlignment w:val="center"/>
                    <w:rPr>
                      <w:sz w:val="18"/>
                      <w:szCs w:val="18"/>
                    </w:rPr>
                  </w:pPr>
                  <w:r>
                    <w:rPr>
                      <w:rFonts w:hint="eastAsia"/>
                      <w:sz w:val="18"/>
                      <w:szCs w:val="18"/>
                    </w:rPr>
                    <w:t>套</w:t>
                  </w:r>
                </w:p>
              </w:tc>
              <w:tc>
                <w:tcPr>
                  <w:tcW w:w="1082" w:type="dxa"/>
                  <w:shd w:val="clear" w:color="auto" w:fill="auto"/>
                  <w:noWrap w:val="0"/>
                  <w:vAlign w:val="center"/>
                </w:tcPr>
                <w:p>
                  <w:pPr>
                    <w:widowControl/>
                    <w:spacing w:line="276" w:lineRule="auto"/>
                    <w:textAlignment w:val="center"/>
                    <w:rPr>
                      <w:sz w:val="18"/>
                      <w:szCs w:val="18"/>
                    </w:rPr>
                  </w:pPr>
                  <w:r>
                    <w:rPr>
                      <w:rFonts w:hint="eastAsia"/>
                      <w:sz w:val="18"/>
                      <w:szCs w:val="18"/>
                    </w:rPr>
                    <w:t>4</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8" w:hRule="atLeast"/>
              </w:trPr>
              <w:tc>
                <w:tcPr>
                  <w:tcW w:w="373" w:type="dxa"/>
                  <w:vMerge w:val="continue"/>
                  <w:shd w:val="clear" w:color="auto" w:fill="auto"/>
                  <w:noWrap w:val="0"/>
                  <w:vAlign w:val="center"/>
                </w:tcPr>
                <w:p>
                  <w:pPr>
                    <w:widowControl/>
                    <w:spacing w:line="276" w:lineRule="auto"/>
                    <w:rPr>
                      <w:sz w:val="18"/>
                      <w:szCs w:val="18"/>
                    </w:rPr>
                  </w:pPr>
                </w:p>
              </w:tc>
              <w:tc>
                <w:tcPr>
                  <w:tcW w:w="887" w:type="dxa"/>
                  <w:vMerge w:val="continue"/>
                  <w:shd w:val="clear" w:color="auto" w:fill="auto"/>
                  <w:noWrap w:val="0"/>
                  <w:vAlign w:val="center"/>
                </w:tcPr>
                <w:p>
                  <w:pPr>
                    <w:widowControl/>
                    <w:spacing w:line="276" w:lineRule="auto"/>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潜污泵</w:t>
                  </w:r>
                </w:p>
              </w:tc>
              <w:tc>
                <w:tcPr>
                  <w:tcW w:w="3219" w:type="dxa"/>
                  <w:shd w:val="clear" w:color="auto" w:fill="auto"/>
                  <w:noWrap w:val="0"/>
                  <w:vAlign w:val="center"/>
                </w:tcPr>
                <w:p>
                  <w:pPr>
                    <w:widowControl/>
                    <w:spacing w:line="276" w:lineRule="auto"/>
                    <w:textAlignment w:val="center"/>
                    <w:rPr>
                      <w:sz w:val="18"/>
                      <w:szCs w:val="18"/>
                    </w:rPr>
                  </w:pPr>
                  <w:r>
                    <w:rPr>
                      <w:sz w:val="18"/>
                      <w:szCs w:val="18"/>
                    </w:rPr>
                    <w:t>Q=100m</w:t>
                  </w:r>
                  <w:r>
                    <w:rPr>
                      <w:sz w:val="18"/>
                      <w:szCs w:val="18"/>
                      <w:vertAlign w:val="superscript"/>
                    </w:rPr>
                    <w:t>3</w:t>
                  </w:r>
                  <w:r>
                    <w:rPr>
                      <w:sz w:val="18"/>
                      <w:szCs w:val="18"/>
                    </w:rPr>
                    <w:t>/h, H=7.0m, N=5.5kW</w:t>
                  </w:r>
                </w:p>
              </w:tc>
              <w:tc>
                <w:tcPr>
                  <w:tcW w:w="880" w:type="dxa"/>
                  <w:shd w:val="clear" w:color="auto" w:fill="auto"/>
                  <w:noWrap w:val="0"/>
                  <w:vAlign w:val="center"/>
                </w:tcPr>
                <w:p>
                  <w:pPr>
                    <w:widowControl/>
                    <w:spacing w:line="276" w:lineRule="auto"/>
                    <w:textAlignment w:val="center"/>
                    <w:rPr>
                      <w:sz w:val="18"/>
                      <w:szCs w:val="18"/>
                    </w:rPr>
                  </w:pPr>
                  <w:r>
                    <w:rPr>
                      <w:sz w:val="18"/>
                      <w:szCs w:val="18"/>
                    </w:rPr>
                    <w:t>台</w:t>
                  </w:r>
                </w:p>
              </w:tc>
              <w:tc>
                <w:tcPr>
                  <w:tcW w:w="1082" w:type="dxa"/>
                  <w:shd w:val="clear" w:color="auto" w:fill="auto"/>
                  <w:noWrap w:val="0"/>
                  <w:vAlign w:val="center"/>
                </w:tcPr>
                <w:p>
                  <w:pPr>
                    <w:widowControl/>
                    <w:spacing w:line="276" w:lineRule="auto"/>
                    <w:textAlignment w:val="center"/>
                    <w:rPr>
                      <w:sz w:val="18"/>
                      <w:szCs w:val="18"/>
                    </w:rPr>
                  </w:pPr>
                  <w:r>
                    <w:rPr>
                      <w:sz w:val="18"/>
                      <w:szCs w:val="18"/>
                    </w:rPr>
                    <w:t>4</w:t>
                  </w:r>
                </w:p>
              </w:tc>
              <w:tc>
                <w:tcPr>
                  <w:tcW w:w="1446" w:type="dxa"/>
                  <w:shd w:val="clear" w:color="auto" w:fill="auto"/>
                  <w:noWrap w:val="0"/>
                  <w:vAlign w:val="center"/>
                </w:tcPr>
                <w:p>
                  <w:pPr>
                    <w:widowControl/>
                    <w:spacing w:line="276" w:lineRule="auto"/>
                    <w:textAlignment w:val="center"/>
                    <w:rPr>
                      <w:sz w:val="18"/>
                      <w:szCs w:val="18"/>
                    </w:rPr>
                  </w:pPr>
                  <w:r>
                    <w:rPr>
                      <w:sz w:val="18"/>
                      <w:szCs w:val="18"/>
                    </w:rPr>
                    <w:t>2用2备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4" w:hRule="atLeast"/>
              </w:trPr>
              <w:tc>
                <w:tcPr>
                  <w:tcW w:w="373" w:type="dxa"/>
                  <w:vMerge w:val="continue"/>
                  <w:shd w:val="clear" w:color="auto" w:fill="auto"/>
                  <w:noWrap w:val="0"/>
                  <w:vAlign w:val="center"/>
                </w:tcPr>
                <w:p>
                  <w:pPr>
                    <w:widowControl/>
                    <w:spacing w:line="276" w:lineRule="auto"/>
                    <w:rPr>
                      <w:sz w:val="18"/>
                      <w:szCs w:val="18"/>
                    </w:rPr>
                  </w:pPr>
                </w:p>
              </w:tc>
              <w:tc>
                <w:tcPr>
                  <w:tcW w:w="887" w:type="dxa"/>
                  <w:vMerge w:val="continue"/>
                  <w:shd w:val="clear" w:color="auto" w:fill="auto"/>
                  <w:noWrap w:val="0"/>
                  <w:vAlign w:val="center"/>
                </w:tcPr>
                <w:p>
                  <w:pPr>
                    <w:widowControl/>
                    <w:spacing w:line="276" w:lineRule="auto"/>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sz w:val="18"/>
                      <w:szCs w:val="18"/>
                    </w:rPr>
                    <w:t>插板闸门</w:t>
                  </w:r>
                </w:p>
              </w:tc>
              <w:tc>
                <w:tcPr>
                  <w:tcW w:w="3219" w:type="dxa"/>
                  <w:shd w:val="clear" w:color="auto" w:fill="auto"/>
                  <w:noWrap w:val="0"/>
                  <w:vAlign w:val="center"/>
                </w:tcPr>
                <w:p>
                  <w:pPr>
                    <w:widowControl/>
                    <w:spacing w:line="276" w:lineRule="auto"/>
                    <w:textAlignment w:val="center"/>
                    <w:rPr>
                      <w:sz w:val="18"/>
                      <w:szCs w:val="18"/>
                    </w:rPr>
                  </w:pPr>
                  <w:r>
                    <w:rPr>
                      <w:sz w:val="18"/>
                      <w:szCs w:val="18"/>
                    </w:rPr>
                    <w:t>2000x1250</w:t>
                  </w:r>
                </w:p>
              </w:tc>
              <w:tc>
                <w:tcPr>
                  <w:tcW w:w="880" w:type="dxa"/>
                  <w:shd w:val="clear" w:color="auto" w:fill="auto"/>
                  <w:noWrap w:val="0"/>
                  <w:vAlign w:val="center"/>
                </w:tcPr>
                <w:p>
                  <w:pPr>
                    <w:widowControl/>
                    <w:spacing w:line="276" w:lineRule="auto"/>
                    <w:textAlignment w:val="center"/>
                    <w:rPr>
                      <w:sz w:val="18"/>
                      <w:szCs w:val="18"/>
                    </w:rPr>
                  </w:pPr>
                  <w:r>
                    <w:rPr>
                      <w:sz w:val="18"/>
                      <w:szCs w:val="18"/>
                    </w:rPr>
                    <w:t>台</w:t>
                  </w:r>
                </w:p>
              </w:tc>
              <w:tc>
                <w:tcPr>
                  <w:tcW w:w="1082" w:type="dxa"/>
                  <w:shd w:val="clear" w:color="auto" w:fill="auto"/>
                  <w:noWrap w:val="0"/>
                  <w:vAlign w:val="center"/>
                </w:tcPr>
                <w:p>
                  <w:pPr>
                    <w:widowControl/>
                    <w:spacing w:line="276" w:lineRule="auto"/>
                    <w:textAlignment w:val="center"/>
                    <w:rPr>
                      <w:sz w:val="18"/>
                      <w:szCs w:val="18"/>
                    </w:rPr>
                  </w:pPr>
                  <w:r>
                    <w:rPr>
                      <w:sz w:val="18"/>
                      <w:szCs w:val="18"/>
                    </w:rPr>
                    <w:t>2</w:t>
                  </w:r>
                </w:p>
              </w:tc>
              <w:tc>
                <w:tcPr>
                  <w:tcW w:w="1446" w:type="dxa"/>
                  <w:shd w:val="clear" w:color="auto" w:fill="auto"/>
                  <w:noWrap w:val="0"/>
                  <w:vAlign w:val="center"/>
                </w:tcPr>
                <w:p>
                  <w:pPr>
                    <w:widowControl/>
                    <w:spacing w:line="276" w:lineRule="auto"/>
                    <w:textAlignment w:val="center"/>
                    <w:rPr>
                      <w:sz w:val="18"/>
                      <w:szCs w:val="18"/>
                    </w:rPr>
                  </w:pPr>
                  <w:r>
                    <w:rPr>
                      <w:sz w:val="18"/>
                      <w:szCs w:val="18"/>
                    </w:rPr>
                    <w:t>配套启闭机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4" w:hRule="atLeast"/>
              </w:trPr>
              <w:tc>
                <w:tcPr>
                  <w:tcW w:w="373" w:type="dxa"/>
                  <w:vMerge w:val="continue"/>
                  <w:shd w:val="clear" w:color="auto" w:fill="auto"/>
                  <w:noWrap w:val="0"/>
                  <w:vAlign w:val="center"/>
                </w:tcPr>
                <w:p>
                  <w:pPr>
                    <w:widowControl/>
                    <w:spacing w:line="276" w:lineRule="auto"/>
                    <w:rPr>
                      <w:sz w:val="18"/>
                      <w:szCs w:val="18"/>
                    </w:rPr>
                  </w:pPr>
                </w:p>
              </w:tc>
              <w:tc>
                <w:tcPr>
                  <w:tcW w:w="887" w:type="dxa"/>
                  <w:vMerge w:val="continue"/>
                  <w:shd w:val="clear" w:color="auto" w:fill="auto"/>
                  <w:noWrap w:val="0"/>
                  <w:vAlign w:val="center"/>
                </w:tcPr>
                <w:p>
                  <w:pPr>
                    <w:widowControl/>
                    <w:spacing w:line="276" w:lineRule="auto"/>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rFonts w:hint="eastAsia"/>
                      <w:sz w:val="18"/>
                      <w:szCs w:val="18"/>
                    </w:rPr>
                    <w:t>手动双法兰软密封蝶阀</w:t>
                  </w:r>
                </w:p>
              </w:tc>
              <w:tc>
                <w:tcPr>
                  <w:tcW w:w="3219" w:type="dxa"/>
                  <w:shd w:val="clear" w:color="auto" w:fill="auto"/>
                  <w:noWrap w:val="0"/>
                  <w:vAlign w:val="center"/>
                </w:tcPr>
                <w:p>
                  <w:pPr>
                    <w:widowControl/>
                    <w:spacing w:line="276" w:lineRule="auto"/>
                    <w:textAlignment w:val="center"/>
                    <w:rPr>
                      <w:sz w:val="18"/>
                      <w:szCs w:val="18"/>
                    </w:rPr>
                  </w:pPr>
                  <w:r>
                    <w:rPr>
                      <w:rFonts w:hint="eastAsia"/>
                      <w:sz w:val="18"/>
                      <w:szCs w:val="18"/>
                    </w:rPr>
                    <w:t>DN800，PN=1.0MPa</w:t>
                  </w:r>
                </w:p>
              </w:tc>
              <w:tc>
                <w:tcPr>
                  <w:tcW w:w="880" w:type="dxa"/>
                  <w:shd w:val="clear" w:color="auto" w:fill="auto"/>
                  <w:noWrap w:val="0"/>
                  <w:vAlign w:val="center"/>
                </w:tcPr>
                <w:p>
                  <w:pPr>
                    <w:widowControl/>
                    <w:spacing w:line="276" w:lineRule="auto"/>
                    <w:textAlignment w:val="center"/>
                    <w:rPr>
                      <w:sz w:val="18"/>
                      <w:szCs w:val="18"/>
                    </w:rPr>
                  </w:pPr>
                  <w:r>
                    <w:rPr>
                      <w:rFonts w:hint="eastAsia"/>
                      <w:sz w:val="18"/>
                      <w:szCs w:val="18"/>
                    </w:rPr>
                    <w:t>个</w:t>
                  </w:r>
                </w:p>
              </w:tc>
              <w:tc>
                <w:tcPr>
                  <w:tcW w:w="1082" w:type="dxa"/>
                  <w:shd w:val="clear" w:color="auto" w:fill="auto"/>
                  <w:noWrap w:val="0"/>
                  <w:vAlign w:val="center"/>
                </w:tcPr>
                <w:p>
                  <w:pPr>
                    <w:widowControl/>
                    <w:spacing w:line="276" w:lineRule="auto"/>
                    <w:textAlignment w:val="center"/>
                    <w:rPr>
                      <w:sz w:val="18"/>
                      <w:szCs w:val="18"/>
                    </w:rPr>
                  </w:pPr>
                  <w:r>
                    <w:rPr>
                      <w:rFonts w:hint="eastAsia"/>
                      <w:sz w:val="18"/>
                      <w:szCs w:val="18"/>
                    </w:rPr>
                    <w:t>2</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73" w:type="dxa"/>
                  <w:vMerge w:val="continue"/>
                  <w:shd w:val="clear" w:color="auto" w:fill="auto"/>
                  <w:noWrap w:val="0"/>
                  <w:vAlign w:val="center"/>
                </w:tcPr>
                <w:p>
                  <w:pPr>
                    <w:widowControl/>
                    <w:spacing w:line="276" w:lineRule="auto"/>
                    <w:rPr>
                      <w:sz w:val="18"/>
                      <w:szCs w:val="18"/>
                    </w:rPr>
                  </w:pPr>
                </w:p>
              </w:tc>
              <w:tc>
                <w:tcPr>
                  <w:tcW w:w="887" w:type="dxa"/>
                  <w:vMerge w:val="continue"/>
                  <w:shd w:val="clear" w:color="auto" w:fill="auto"/>
                  <w:noWrap w:val="0"/>
                  <w:vAlign w:val="center"/>
                </w:tcPr>
                <w:p>
                  <w:pPr>
                    <w:widowControl/>
                    <w:spacing w:line="276" w:lineRule="auto"/>
                    <w:rPr>
                      <w:sz w:val="18"/>
                      <w:szCs w:val="18"/>
                    </w:rPr>
                  </w:pPr>
                </w:p>
              </w:tc>
              <w:tc>
                <w:tcPr>
                  <w:tcW w:w="1221" w:type="dxa"/>
                  <w:shd w:val="clear" w:color="auto" w:fill="auto"/>
                  <w:noWrap w:val="0"/>
                  <w:vAlign w:val="center"/>
                </w:tcPr>
                <w:p>
                  <w:pPr>
                    <w:widowControl/>
                    <w:spacing w:line="276" w:lineRule="auto"/>
                    <w:textAlignment w:val="center"/>
                    <w:rPr>
                      <w:sz w:val="18"/>
                      <w:szCs w:val="18"/>
                    </w:rPr>
                  </w:pPr>
                  <w:r>
                    <w:rPr>
                      <w:rFonts w:hint="eastAsia"/>
                      <w:sz w:val="18"/>
                      <w:szCs w:val="18"/>
                    </w:rPr>
                    <w:t>双法兰限位伸缩接头</w:t>
                  </w:r>
                </w:p>
              </w:tc>
              <w:tc>
                <w:tcPr>
                  <w:tcW w:w="3219" w:type="dxa"/>
                  <w:shd w:val="clear" w:color="auto" w:fill="auto"/>
                  <w:noWrap w:val="0"/>
                  <w:vAlign w:val="center"/>
                </w:tcPr>
                <w:p>
                  <w:pPr>
                    <w:widowControl/>
                    <w:spacing w:line="276" w:lineRule="auto"/>
                    <w:textAlignment w:val="center"/>
                    <w:rPr>
                      <w:sz w:val="18"/>
                      <w:szCs w:val="18"/>
                    </w:rPr>
                  </w:pPr>
                  <w:r>
                    <w:rPr>
                      <w:rFonts w:hint="eastAsia"/>
                      <w:sz w:val="18"/>
                      <w:szCs w:val="18"/>
                    </w:rPr>
                    <w:t>DN800，PN=1.0MPa</w:t>
                  </w:r>
                </w:p>
              </w:tc>
              <w:tc>
                <w:tcPr>
                  <w:tcW w:w="880" w:type="dxa"/>
                  <w:shd w:val="clear" w:color="auto" w:fill="auto"/>
                  <w:noWrap w:val="0"/>
                  <w:vAlign w:val="center"/>
                </w:tcPr>
                <w:p>
                  <w:pPr>
                    <w:widowControl/>
                    <w:spacing w:line="276" w:lineRule="auto"/>
                    <w:textAlignment w:val="center"/>
                    <w:rPr>
                      <w:sz w:val="18"/>
                      <w:szCs w:val="18"/>
                    </w:rPr>
                  </w:pPr>
                  <w:r>
                    <w:rPr>
                      <w:rFonts w:hint="eastAsia"/>
                      <w:sz w:val="18"/>
                      <w:szCs w:val="18"/>
                    </w:rPr>
                    <w:t>个</w:t>
                  </w:r>
                </w:p>
              </w:tc>
              <w:tc>
                <w:tcPr>
                  <w:tcW w:w="1082" w:type="dxa"/>
                  <w:shd w:val="clear" w:color="auto" w:fill="auto"/>
                  <w:noWrap w:val="0"/>
                  <w:vAlign w:val="center"/>
                </w:tcPr>
                <w:p>
                  <w:pPr>
                    <w:widowControl/>
                    <w:spacing w:line="276" w:lineRule="auto"/>
                    <w:textAlignment w:val="center"/>
                    <w:rPr>
                      <w:sz w:val="18"/>
                      <w:szCs w:val="18"/>
                    </w:rPr>
                  </w:pPr>
                  <w:r>
                    <w:rPr>
                      <w:rFonts w:hint="eastAsia"/>
                      <w:sz w:val="18"/>
                      <w:szCs w:val="18"/>
                    </w:rPr>
                    <w:t>2</w:t>
                  </w:r>
                </w:p>
              </w:tc>
              <w:tc>
                <w:tcPr>
                  <w:tcW w:w="1446" w:type="dxa"/>
                  <w:shd w:val="clear" w:color="auto" w:fill="auto"/>
                  <w:noWrap w:val="0"/>
                  <w:vAlign w:val="center"/>
                </w:tcPr>
                <w:p>
                  <w:pPr>
                    <w:widowControl/>
                    <w:spacing w:line="276" w:lineRule="auto"/>
                    <w:textAlignment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restart"/>
                  <w:shd w:val="clear" w:color="auto" w:fill="auto"/>
                  <w:noWrap w:val="0"/>
                  <w:vAlign w:val="center"/>
                </w:tcPr>
                <w:p>
                  <w:pPr>
                    <w:spacing w:line="276" w:lineRule="auto"/>
                    <w:jc w:val="center"/>
                    <w:rPr>
                      <w:sz w:val="18"/>
                      <w:szCs w:val="18"/>
                    </w:rPr>
                  </w:pPr>
                  <w:r>
                    <w:rPr>
                      <w:sz w:val="18"/>
                      <w:szCs w:val="18"/>
                    </w:rPr>
                    <w:t>三</w:t>
                  </w:r>
                </w:p>
                <w:p>
                  <w:pPr>
                    <w:pStyle w:val="111"/>
                    <w:spacing w:line="276" w:lineRule="auto"/>
                    <w:ind w:firstLine="422"/>
                    <w:jc w:val="both"/>
                    <w:rPr>
                      <w:color w:val="auto"/>
                      <w:szCs w:val="18"/>
                    </w:rPr>
                  </w:pPr>
                </w:p>
                <w:p>
                  <w:pPr>
                    <w:pStyle w:val="111"/>
                    <w:spacing w:line="276" w:lineRule="auto"/>
                    <w:ind w:firstLine="422"/>
                    <w:jc w:val="both"/>
                    <w:rPr>
                      <w:color w:val="auto"/>
                      <w:szCs w:val="18"/>
                    </w:rPr>
                  </w:pPr>
                </w:p>
                <w:p>
                  <w:pPr>
                    <w:pStyle w:val="111"/>
                    <w:spacing w:line="276" w:lineRule="auto"/>
                    <w:ind w:firstLine="422"/>
                    <w:jc w:val="both"/>
                    <w:rPr>
                      <w:color w:val="auto"/>
                      <w:szCs w:val="18"/>
                    </w:rPr>
                  </w:pPr>
                </w:p>
              </w:tc>
              <w:tc>
                <w:tcPr>
                  <w:tcW w:w="887" w:type="dxa"/>
                  <w:vMerge w:val="restart"/>
                  <w:shd w:val="clear" w:color="auto" w:fill="auto"/>
                  <w:noWrap w:val="0"/>
                  <w:vAlign w:val="center"/>
                </w:tcPr>
                <w:p>
                  <w:pPr>
                    <w:pStyle w:val="111"/>
                    <w:spacing w:line="276" w:lineRule="auto"/>
                    <w:jc w:val="both"/>
                    <w:rPr>
                      <w:color w:val="auto"/>
                      <w:szCs w:val="18"/>
                    </w:rPr>
                  </w:pPr>
                  <w:r>
                    <w:rPr>
                      <w:color w:val="auto"/>
                      <w:szCs w:val="18"/>
                    </w:rPr>
                    <w:t>V型滤池（新建）</w:t>
                  </w:r>
                </w:p>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出水气动调节蝶阀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DN450  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6</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反冲进水气动蝶阀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DN450  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6</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反冲进气气动蝶阀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DN250  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6</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初滤水气动排放蝶阀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DN300  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6</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气</w:t>
                  </w:r>
                  <w:r>
                    <w:rPr>
                      <w:rFonts w:hint="eastAsia"/>
                      <w:color w:val="auto"/>
                      <w:szCs w:val="18"/>
                    </w:rPr>
                    <w:t>排水气动蝶阀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DN500  PN=</w:t>
                  </w:r>
                  <w:r>
                    <w:rPr>
                      <w:rFonts w:hint="eastAsia"/>
                      <w:color w:val="auto"/>
                      <w:szCs w:val="18"/>
                    </w:rPr>
                    <w:t>1.0</w:t>
                  </w:r>
                  <w:r>
                    <w:rPr>
                      <w:color w:val="auto"/>
                      <w:szCs w:val="18"/>
                    </w:rPr>
                    <w:t>MPa</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6</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气动进水闸板</w:t>
                  </w:r>
                </w:p>
              </w:tc>
              <w:tc>
                <w:tcPr>
                  <w:tcW w:w="3219" w:type="dxa"/>
                  <w:shd w:val="clear" w:color="auto" w:fill="auto"/>
                  <w:noWrap w:val="0"/>
                  <w:vAlign w:val="center"/>
                </w:tcPr>
                <w:p>
                  <w:pPr>
                    <w:pStyle w:val="111"/>
                    <w:spacing w:line="276" w:lineRule="auto"/>
                    <w:jc w:val="both"/>
                    <w:rPr>
                      <w:color w:val="auto"/>
                      <w:szCs w:val="18"/>
                    </w:rPr>
                  </w:pPr>
                  <w:r>
                    <w:rPr>
                      <w:color w:val="auto"/>
                      <w:szCs w:val="18"/>
                    </w:rPr>
                    <w:t>400×400</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6</w:t>
                  </w:r>
                </w:p>
              </w:tc>
              <w:tc>
                <w:tcPr>
                  <w:tcW w:w="1446" w:type="dxa"/>
                  <w:shd w:val="clear" w:color="auto" w:fill="auto"/>
                  <w:noWrap w:val="0"/>
                  <w:vAlign w:val="center"/>
                </w:tcPr>
                <w:p>
                  <w:pPr>
                    <w:pStyle w:val="111"/>
                    <w:spacing w:line="276" w:lineRule="auto"/>
                    <w:jc w:val="both"/>
                    <w:rPr>
                      <w:color w:val="auto"/>
                      <w:szCs w:val="18"/>
                    </w:rPr>
                  </w:pPr>
                  <w:r>
                    <w:rPr>
                      <w:color w:val="auto"/>
                      <w:szCs w:val="18"/>
                    </w:rPr>
                    <w:t>配套启闭机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表洗手动闸板阀</w:t>
                  </w:r>
                </w:p>
              </w:tc>
              <w:tc>
                <w:tcPr>
                  <w:tcW w:w="3219" w:type="dxa"/>
                  <w:shd w:val="clear" w:color="auto" w:fill="auto"/>
                  <w:noWrap w:val="0"/>
                  <w:vAlign w:val="center"/>
                </w:tcPr>
                <w:p>
                  <w:pPr>
                    <w:pStyle w:val="111"/>
                    <w:spacing w:line="276" w:lineRule="auto"/>
                    <w:jc w:val="both"/>
                    <w:rPr>
                      <w:color w:val="auto"/>
                      <w:szCs w:val="18"/>
                    </w:rPr>
                  </w:pPr>
                  <w:r>
                    <w:rPr>
                      <w:color w:val="auto"/>
                      <w:szCs w:val="18"/>
                    </w:rPr>
                    <w:t>400×400</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6</w:t>
                  </w:r>
                </w:p>
              </w:tc>
              <w:tc>
                <w:tcPr>
                  <w:tcW w:w="1446" w:type="dxa"/>
                  <w:shd w:val="clear" w:color="auto" w:fill="auto"/>
                  <w:noWrap w:val="0"/>
                  <w:vAlign w:val="center"/>
                </w:tcPr>
                <w:p>
                  <w:pPr>
                    <w:pStyle w:val="111"/>
                    <w:spacing w:line="276" w:lineRule="auto"/>
                    <w:jc w:val="both"/>
                    <w:rPr>
                      <w:color w:val="auto"/>
                      <w:szCs w:val="18"/>
                    </w:rPr>
                  </w:pPr>
                  <w:r>
                    <w:rPr>
                      <w:color w:val="auto"/>
                      <w:szCs w:val="18"/>
                    </w:rPr>
                    <w:t>配套启闭机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排气气动蝶阀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DN80  PN=1.6MPa</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6</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电动葫芦</w:t>
                  </w:r>
                </w:p>
              </w:tc>
              <w:tc>
                <w:tcPr>
                  <w:tcW w:w="3219" w:type="dxa"/>
                  <w:shd w:val="clear" w:color="auto" w:fill="auto"/>
                  <w:noWrap w:val="0"/>
                  <w:vAlign w:val="center"/>
                </w:tcPr>
                <w:p>
                  <w:pPr>
                    <w:pStyle w:val="111"/>
                    <w:spacing w:line="276" w:lineRule="auto"/>
                    <w:jc w:val="both"/>
                    <w:rPr>
                      <w:color w:val="auto"/>
                      <w:szCs w:val="18"/>
                    </w:rPr>
                  </w:pPr>
                  <w:r>
                    <w:rPr>
                      <w:color w:val="auto"/>
                      <w:szCs w:val="18"/>
                    </w:rPr>
                    <w:t>T=0.5t，H=6.0m，N=1.2kW</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1</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法兰式</w:t>
                  </w:r>
                  <w:r>
                    <w:rPr>
                      <w:rFonts w:hint="eastAsia"/>
                      <w:color w:val="auto"/>
                      <w:szCs w:val="18"/>
                    </w:rPr>
                    <w:t>手动蝶阀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w:t>
                  </w:r>
                  <w:r>
                    <w:rPr>
                      <w:rFonts w:hint="eastAsia"/>
                      <w:color w:val="auto"/>
                      <w:szCs w:val="18"/>
                    </w:rPr>
                    <w:t>2</w:t>
                  </w:r>
                  <w:r>
                    <w:rPr>
                      <w:color w:val="auto"/>
                      <w:szCs w:val="18"/>
                    </w:rPr>
                    <w:t>00，PN=1.0MPa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2</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法兰式</w:t>
                  </w:r>
                  <w:r>
                    <w:rPr>
                      <w:rFonts w:hint="eastAsia"/>
                      <w:color w:val="auto"/>
                      <w:szCs w:val="18"/>
                    </w:rPr>
                    <w:t>手动蝶阀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w:t>
                  </w:r>
                  <w:r>
                    <w:rPr>
                      <w:rFonts w:hint="eastAsia"/>
                      <w:color w:val="auto"/>
                      <w:szCs w:val="18"/>
                    </w:rPr>
                    <w:t>1</w:t>
                  </w:r>
                  <w:r>
                    <w:rPr>
                      <w:color w:val="auto"/>
                      <w:szCs w:val="18"/>
                    </w:rPr>
                    <w:t>50，PN=1.0MPa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6</w:t>
                  </w:r>
                </w:p>
              </w:tc>
              <w:tc>
                <w:tcPr>
                  <w:tcW w:w="1446" w:type="dxa"/>
                  <w:shd w:val="clear" w:color="auto" w:fill="auto"/>
                  <w:noWrap w:val="0"/>
                  <w:vAlign w:val="center"/>
                </w:tcPr>
                <w:p>
                  <w:pPr>
                    <w:pStyle w:val="111"/>
                    <w:spacing w:line="276" w:lineRule="auto"/>
                    <w:jc w:val="both"/>
                    <w:rPr>
                      <w:color w:val="auto"/>
                      <w:szCs w:val="18"/>
                    </w:rPr>
                  </w:pPr>
                  <w:r>
                    <w:rPr>
                      <w:rFonts w:hint="eastAsia"/>
                      <w:color w:val="auto"/>
                      <w:szCs w:val="18"/>
                    </w:rPr>
                    <w:t>滤池放空管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法兰式</w:t>
                  </w:r>
                  <w:r>
                    <w:rPr>
                      <w:rFonts w:hint="eastAsia"/>
                      <w:color w:val="auto"/>
                      <w:szCs w:val="18"/>
                    </w:rPr>
                    <w:t>手动蝶阀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DN50，PN=1.0MPa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8</w:t>
                  </w:r>
                </w:p>
              </w:tc>
              <w:tc>
                <w:tcPr>
                  <w:tcW w:w="1446" w:type="dxa"/>
                  <w:shd w:val="clear" w:color="auto" w:fill="auto"/>
                  <w:noWrap w:val="0"/>
                  <w:vAlign w:val="center"/>
                </w:tcPr>
                <w:p>
                  <w:pPr>
                    <w:pStyle w:val="111"/>
                    <w:spacing w:line="276" w:lineRule="auto"/>
                    <w:jc w:val="both"/>
                    <w:rPr>
                      <w:color w:val="auto"/>
                      <w:szCs w:val="18"/>
                    </w:rPr>
                  </w:pPr>
                  <w:r>
                    <w:rPr>
                      <w:rFonts w:hint="eastAsia"/>
                      <w:color w:val="auto"/>
                      <w:szCs w:val="18"/>
                    </w:rPr>
                    <w:t>进水槽放空管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35" w:hRule="atLeast"/>
              </w:trPr>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微阻缓闭消声止回阀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w:t>
                  </w:r>
                  <w:r>
                    <w:rPr>
                      <w:rFonts w:hint="eastAsia"/>
                      <w:color w:val="auto"/>
                      <w:szCs w:val="18"/>
                    </w:rPr>
                    <w:t>2</w:t>
                  </w:r>
                  <w:r>
                    <w:rPr>
                      <w:color w:val="auto"/>
                      <w:szCs w:val="18"/>
                    </w:rPr>
                    <w:t>00  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2</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4" w:hRule="atLeast"/>
              </w:trPr>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潜污泵</w:t>
                  </w:r>
                </w:p>
              </w:tc>
              <w:tc>
                <w:tcPr>
                  <w:tcW w:w="3219" w:type="dxa"/>
                  <w:shd w:val="clear" w:color="auto" w:fill="auto"/>
                  <w:noWrap w:val="0"/>
                  <w:vAlign w:val="center"/>
                </w:tcPr>
                <w:p>
                  <w:pPr>
                    <w:pStyle w:val="111"/>
                    <w:spacing w:line="276" w:lineRule="auto"/>
                    <w:jc w:val="both"/>
                    <w:rPr>
                      <w:color w:val="auto"/>
                      <w:szCs w:val="18"/>
                    </w:rPr>
                  </w:pPr>
                  <w:r>
                    <w:rPr>
                      <w:color w:val="auto"/>
                      <w:szCs w:val="18"/>
                    </w:rPr>
                    <w:t>Q=</w:t>
                  </w:r>
                  <w:r>
                    <w:rPr>
                      <w:rFonts w:hint="eastAsia"/>
                      <w:color w:val="auto"/>
                      <w:szCs w:val="18"/>
                    </w:rPr>
                    <w:t>200</w:t>
                  </w:r>
                  <w:r>
                    <w:rPr>
                      <w:color w:val="auto"/>
                      <w:szCs w:val="18"/>
                    </w:rPr>
                    <w:t>m</w:t>
                  </w:r>
                  <w:r>
                    <w:rPr>
                      <w:color w:val="auto"/>
                      <w:szCs w:val="18"/>
                      <w:vertAlign w:val="superscript"/>
                    </w:rPr>
                    <w:t>3</w:t>
                  </w:r>
                  <w:r>
                    <w:rPr>
                      <w:color w:val="auto"/>
                      <w:szCs w:val="18"/>
                    </w:rPr>
                    <w:t>/h，H=12m，N=1</w:t>
                  </w:r>
                  <w:r>
                    <w:rPr>
                      <w:rFonts w:hint="eastAsia"/>
                      <w:color w:val="auto"/>
                      <w:szCs w:val="18"/>
                    </w:rPr>
                    <w:t>3.</w:t>
                  </w:r>
                  <w:r>
                    <w:rPr>
                      <w:color w:val="auto"/>
                      <w:szCs w:val="18"/>
                    </w:rPr>
                    <w:t xml:space="preserve">5kW  </w:t>
                  </w:r>
                </w:p>
              </w:tc>
              <w:tc>
                <w:tcPr>
                  <w:tcW w:w="880" w:type="dxa"/>
                  <w:shd w:val="clear" w:color="auto" w:fill="auto"/>
                  <w:noWrap w:val="0"/>
                  <w:vAlign w:val="center"/>
                </w:tcPr>
                <w:p>
                  <w:pPr>
                    <w:pStyle w:val="111"/>
                    <w:spacing w:line="276" w:lineRule="auto"/>
                    <w:jc w:val="both"/>
                    <w:rPr>
                      <w:color w:val="auto"/>
                      <w:szCs w:val="18"/>
                    </w:rPr>
                  </w:pPr>
                  <w:r>
                    <w:rPr>
                      <w:color w:val="auto"/>
                      <w:szCs w:val="18"/>
                    </w:rPr>
                    <w:t>台</w:t>
                  </w:r>
                </w:p>
              </w:tc>
              <w:tc>
                <w:tcPr>
                  <w:tcW w:w="1082" w:type="dxa"/>
                  <w:shd w:val="clear" w:color="auto" w:fill="auto"/>
                  <w:noWrap w:val="0"/>
                  <w:vAlign w:val="center"/>
                </w:tcPr>
                <w:p>
                  <w:pPr>
                    <w:pStyle w:val="111"/>
                    <w:spacing w:line="276" w:lineRule="auto"/>
                    <w:jc w:val="both"/>
                    <w:rPr>
                      <w:color w:val="auto"/>
                      <w:szCs w:val="18"/>
                    </w:rPr>
                  </w:pPr>
                  <w:r>
                    <w:rPr>
                      <w:color w:val="auto"/>
                      <w:szCs w:val="18"/>
                    </w:rPr>
                    <w:t>2</w:t>
                  </w:r>
                </w:p>
              </w:tc>
              <w:tc>
                <w:tcPr>
                  <w:tcW w:w="1446" w:type="dxa"/>
                  <w:shd w:val="clear" w:color="auto" w:fill="auto"/>
                  <w:noWrap w:val="0"/>
                  <w:vAlign w:val="center"/>
                </w:tcPr>
                <w:p>
                  <w:pPr>
                    <w:pStyle w:val="111"/>
                    <w:spacing w:line="276" w:lineRule="auto"/>
                    <w:jc w:val="both"/>
                    <w:rPr>
                      <w:color w:val="auto"/>
                      <w:szCs w:val="18"/>
                    </w:rPr>
                  </w:pPr>
                  <w:r>
                    <w:rPr>
                      <w:color w:val="auto"/>
                      <w:szCs w:val="18"/>
                    </w:rPr>
                    <w:t>1用1备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4" w:hRule="atLeast"/>
              </w:trPr>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rFonts w:hint="eastAsia"/>
                      <w:color w:val="auto"/>
                      <w:szCs w:val="18"/>
                    </w:rPr>
                    <w:t>双法兰限位伸缩接头</w:t>
                  </w:r>
                </w:p>
              </w:tc>
              <w:tc>
                <w:tcPr>
                  <w:tcW w:w="3219" w:type="dxa"/>
                  <w:shd w:val="clear" w:color="auto" w:fill="auto"/>
                  <w:noWrap w:val="0"/>
                  <w:vAlign w:val="center"/>
                </w:tcPr>
                <w:p>
                  <w:pPr>
                    <w:pStyle w:val="111"/>
                    <w:spacing w:line="276" w:lineRule="auto"/>
                    <w:jc w:val="both"/>
                    <w:rPr>
                      <w:color w:val="auto"/>
                      <w:szCs w:val="18"/>
                    </w:rPr>
                  </w:pPr>
                  <w:r>
                    <w:rPr>
                      <w:color w:val="auto"/>
                      <w:szCs w:val="18"/>
                    </w:rPr>
                    <w:t>DN500  PN=1.0MPa</w:t>
                  </w:r>
                </w:p>
              </w:tc>
              <w:tc>
                <w:tcPr>
                  <w:tcW w:w="880" w:type="dxa"/>
                  <w:shd w:val="clear" w:color="auto" w:fill="auto"/>
                  <w:noWrap w:val="0"/>
                  <w:vAlign w:val="center"/>
                </w:tcPr>
                <w:p>
                  <w:pPr>
                    <w:pStyle w:val="111"/>
                    <w:spacing w:line="276" w:lineRule="auto"/>
                    <w:jc w:val="both"/>
                    <w:rPr>
                      <w:color w:val="auto"/>
                      <w:szCs w:val="18"/>
                    </w:rPr>
                  </w:pPr>
                  <w:r>
                    <w:rPr>
                      <w:rFonts w:hint="eastAsia"/>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6</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4" w:hRule="atLeast"/>
              </w:trPr>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rFonts w:hint="eastAsia"/>
                      <w:color w:val="auto"/>
                      <w:szCs w:val="18"/>
                    </w:rPr>
                    <w:t>双法兰限位伸缩接头</w:t>
                  </w:r>
                </w:p>
              </w:tc>
              <w:tc>
                <w:tcPr>
                  <w:tcW w:w="3219" w:type="dxa"/>
                  <w:shd w:val="clear" w:color="auto" w:fill="auto"/>
                  <w:noWrap w:val="0"/>
                  <w:vAlign w:val="center"/>
                </w:tcPr>
                <w:p>
                  <w:pPr>
                    <w:pStyle w:val="111"/>
                    <w:spacing w:line="276" w:lineRule="auto"/>
                    <w:jc w:val="both"/>
                    <w:rPr>
                      <w:color w:val="auto"/>
                      <w:szCs w:val="18"/>
                    </w:rPr>
                  </w:pPr>
                  <w:r>
                    <w:rPr>
                      <w:color w:val="auto"/>
                      <w:szCs w:val="18"/>
                    </w:rPr>
                    <w:t>DN</w:t>
                  </w:r>
                  <w:r>
                    <w:rPr>
                      <w:rFonts w:hint="eastAsia"/>
                      <w:color w:val="auto"/>
                      <w:szCs w:val="18"/>
                    </w:rPr>
                    <w:t>45</w:t>
                  </w:r>
                  <w:r>
                    <w:rPr>
                      <w:color w:val="auto"/>
                      <w:szCs w:val="18"/>
                    </w:rPr>
                    <w:t>0  PN=1.0MPa</w:t>
                  </w:r>
                </w:p>
              </w:tc>
              <w:tc>
                <w:tcPr>
                  <w:tcW w:w="880" w:type="dxa"/>
                  <w:shd w:val="clear" w:color="auto" w:fill="auto"/>
                  <w:noWrap w:val="0"/>
                  <w:vAlign w:val="center"/>
                </w:tcPr>
                <w:p>
                  <w:pPr>
                    <w:pStyle w:val="111"/>
                    <w:spacing w:line="276" w:lineRule="auto"/>
                    <w:jc w:val="both"/>
                    <w:rPr>
                      <w:color w:val="auto"/>
                      <w:szCs w:val="18"/>
                    </w:rPr>
                  </w:pPr>
                  <w:r>
                    <w:rPr>
                      <w:rFonts w:hint="eastAsia"/>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12</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4" w:hRule="atLeast"/>
              </w:trPr>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rFonts w:hint="eastAsia"/>
                      <w:color w:val="auto"/>
                      <w:szCs w:val="18"/>
                    </w:rPr>
                    <w:t>双法兰限位伸缩接头</w:t>
                  </w:r>
                </w:p>
              </w:tc>
              <w:tc>
                <w:tcPr>
                  <w:tcW w:w="3219" w:type="dxa"/>
                  <w:shd w:val="clear" w:color="auto" w:fill="auto"/>
                  <w:noWrap w:val="0"/>
                  <w:vAlign w:val="center"/>
                </w:tcPr>
                <w:p>
                  <w:pPr>
                    <w:pStyle w:val="111"/>
                    <w:spacing w:line="276" w:lineRule="auto"/>
                    <w:jc w:val="both"/>
                    <w:rPr>
                      <w:color w:val="auto"/>
                      <w:szCs w:val="18"/>
                    </w:rPr>
                  </w:pPr>
                  <w:r>
                    <w:rPr>
                      <w:color w:val="auto"/>
                      <w:szCs w:val="18"/>
                    </w:rPr>
                    <w:t>DN</w:t>
                  </w:r>
                  <w:r>
                    <w:rPr>
                      <w:rFonts w:hint="eastAsia"/>
                      <w:color w:val="auto"/>
                      <w:szCs w:val="18"/>
                    </w:rPr>
                    <w:t>30</w:t>
                  </w:r>
                  <w:r>
                    <w:rPr>
                      <w:color w:val="auto"/>
                      <w:szCs w:val="18"/>
                    </w:rPr>
                    <w:t>0  PN=1.0MPa</w:t>
                  </w:r>
                </w:p>
              </w:tc>
              <w:tc>
                <w:tcPr>
                  <w:tcW w:w="880" w:type="dxa"/>
                  <w:shd w:val="clear" w:color="auto" w:fill="auto"/>
                  <w:noWrap w:val="0"/>
                  <w:vAlign w:val="center"/>
                </w:tcPr>
                <w:p>
                  <w:pPr>
                    <w:pStyle w:val="111"/>
                    <w:spacing w:line="276" w:lineRule="auto"/>
                    <w:jc w:val="both"/>
                    <w:rPr>
                      <w:color w:val="auto"/>
                      <w:szCs w:val="18"/>
                    </w:rPr>
                  </w:pPr>
                  <w:r>
                    <w:rPr>
                      <w:rFonts w:hint="eastAsia"/>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6</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5" w:hRule="atLeast"/>
              </w:trPr>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rFonts w:hint="eastAsia"/>
                      <w:color w:val="auto"/>
                      <w:szCs w:val="18"/>
                    </w:rPr>
                    <w:t>双法兰限位伸缩接头</w:t>
                  </w:r>
                </w:p>
              </w:tc>
              <w:tc>
                <w:tcPr>
                  <w:tcW w:w="3219" w:type="dxa"/>
                  <w:shd w:val="clear" w:color="auto" w:fill="auto"/>
                  <w:noWrap w:val="0"/>
                  <w:vAlign w:val="center"/>
                </w:tcPr>
                <w:p>
                  <w:pPr>
                    <w:pStyle w:val="111"/>
                    <w:spacing w:line="276" w:lineRule="auto"/>
                    <w:jc w:val="both"/>
                    <w:rPr>
                      <w:color w:val="auto"/>
                      <w:szCs w:val="18"/>
                    </w:rPr>
                  </w:pPr>
                  <w:r>
                    <w:rPr>
                      <w:color w:val="auto"/>
                      <w:szCs w:val="18"/>
                    </w:rPr>
                    <w:t>DN</w:t>
                  </w:r>
                  <w:r>
                    <w:rPr>
                      <w:rFonts w:hint="eastAsia"/>
                      <w:color w:val="auto"/>
                      <w:szCs w:val="18"/>
                    </w:rPr>
                    <w:t>25</w:t>
                  </w:r>
                  <w:r>
                    <w:rPr>
                      <w:color w:val="auto"/>
                      <w:szCs w:val="18"/>
                    </w:rPr>
                    <w:t>0  PN=1.0MPa</w:t>
                  </w:r>
                </w:p>
              </w:tc>
              <w:tc>
                <w:tcPr>
                  <w:tcW w:w="880" w:type="dxa"/>
                  <w:shd w:val="clear" w:color="auto" w:fill="auto"/>
                  <w:noWrap w:val="0"/>
                  <w:vAlign w:val="center"/>
                </w:tcPr>
                <w:p>
                  <w:pPr>
                    <w:pStyle w:val="111"/>
                    <w:spacing w:line="276" w:lineRule="auto"/>
                    <w:jc w:val="both"/>
                    <w:rPr>
                      <w:color w:val="auto"/>
                      <w:szCs w:val="18"/>
                    </w:rPr>
                  </w:pPr>
                  <w:r>
                    <w:rPr>
                      <w:rFonts w:hint="eastAsia"/>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6</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5" w:hRule="atLeast"/>
              </w:trPr>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双法兰传力伸缩接头</w:t>
                  </w:r>
                </w:p>
              </w:tc>
              <w:tc>
                <w:tcPr>
                  <w:tcW w:w="3219" w:type="dxa"/>
                  <w:shd w:val="clear" w:color="auto" w:fill="auto"/>
                  <w:noWrap w:val="0"/>
                  <w:vAlign w:val="center"/>
                </w:tcPr>
                <w:p>
                  <w:pPr>
                    <w:pStyle w:val="111"/>
                    <w:spacing w:line="276" w:lineRule="auto"/>
                    <w:jc w:val="both"/>
                    <w:rPr>
                      <w:color w:val="auto"/>
                      <w:szCs w:val="18"/>
                    </w:rPr>
                  </w:pPr>
                  <w:r>
                    <w:rPr>
                      <w:color w:val="auto"/>
                      <w:szCs w:val="18"/>
                    </w:rPr>
                    <w:t>DN200  PN=1.6MPa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color w:val="auto"/>
                      <w:szCs w:val="18"/>
                    </w:rPr>
                    <w:t>2</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2" w:hRule="atLeast"/>
              </w:trPr>
              <w:tc>
                <w:tcPr>
                  <w:tcW w:w="373" w:type="dxa"/>
                  <w:vMerge w:val="restart"/>
                  <w:shd w:val="clear" w:color="auto" w:fill="auto"/>
                  <w:noWrap w:val="0"/>
                  <w:vAlign w:val="center"/>
                </w:tcPr>
                <w:p>
                  <w:pPr>
                    <w:spacing w:line="276" w:lineRule="auto"/>
                    <w:rPr>
                      <w:sz w:val="18"/>
                      <w:szCs w:val="18"/>
                    </w:rPr>
                  </w:pPr>
                  <w:r>
                    <w:rPr>
                      <w:sz w:val="18"/>
                      <w:szCs w:val="18"/>
                    </w:rPr>
                    <w:t>四</w:t>
                  </w:r>
                </w:p>
              </w:tc>
              <w:tc>
                <w:tcPr>
                  <w:tcW w:w="887" w:type="dxa"/>
                  <w:vMerge w:val="restart"/>
                  <w:shd w:val="clear" w:color="auto" w:fill="auto"/>
                  <w:noWrap w:val="0"/>
                  <w:vAlign w:val="center"/>
                </w:tcPr>
                <w:p>
                  <w:pPr>
                    <w:pStyle w:val="111"/>
                    <w:spacing w:line="276" w:lineRule="auto"/>
                    <w:jc w:val="both"/>
                    <w:rPr>
                      <w:color w:val="auto"/>
                      <w:szCs w:val="18"/>
                    </w:rPr>
                  </w:pPr>
                  <w:r>
                    <w:rPr>
                      <w:color w:val="auto"/>
                      <w:szCs w:val="18"/>
                    </w:rPr>
                    <w:t>清水池（新建）</w:t>
                  </w:r>
                </w:p>
              </w:tc>
              <w:tc>
                <w:tcPr>
                  <w:tcW w:w="1221" w:type="dxa"/>
                  <w:shd w:val="clear" w:color="auto" w:fill="auto"/>
                  <w:noWrap w:val="0"/>
                  <w:vAlign w:val="center"/>
                </w:tcPr>
                <w:p>
                  <w:pPr>
                    <w:pStyle w:val="111"/>
                    <w:spacing w:line="276" w:lineRule="auto"/>
                    <w:jc w:val="both"/>
                    <w:rPr>
                      <w:color w:val="auto"/>
                      <w:szCs w:val="18"/>
                    </w:rPr>
                  </w:pPr>
                  <w:r>
                    <w:rPr>
                      <w:color w:val="auto"/>
                      <w:szCs w:val="18"/>
                    </w:rPr>
                    <w:t>手动双法兰蝶阀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w:t>
                  </w:r>
                  <w:r>
                    <w:rPr>
                      <w:rFonts w:hint="eastAsia"/>
                      <w:color w:val="auto"/>
                      <w:szCs w:val="18"/>
                    </w:rPr>
                    <w:t>10</w:t>
                  </w:r>
                  <w:r>
                    <w:rPr>
                      <w:color w:val="auto"/>
                      <w:szCs w:val="18"/>
                    </w:rPr>
                    <w:t>00，PN=1.0MPa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color w:val="auto"/>
                      <w:szCs w:val="18"/>
                    </w:rPr>
                    <w:t>4</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2" w:hRule="atLeast"/>
              </w:trPr>
              <w:tc>
                <w:tcPr>
                  <w:tcW w:w="373" w:type="dxa"/>
                  <w:vMerge w:val="continue"/>
                  <w:shd w:val="clear" w:color="auto" w:fill="auto"/>
                  <w:noWrap w:val="0"/>
                  <w:vAlign w:val="center"/>
                </w:tcPr>
                <w:p>
                  <w:pPr>
                    <w:spacing w:line="276" w:lineRule="auto"/>
                    <w:rPr>
                      <w:sz w:val="18"/>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rFonts w:hint="eastAsia"/>
                      <w:color w:val="auto"/>
                      <w:szCs w:val="18"/>
                    </w:rPr>
                    <w:t>手动软密封闸阀</w:t>
                  </w:r>
                </w:p>
              </w:tc>
              <w:tc>
                <w:tcPr>
                  <w:tcW w:w="3219" w:type="dxa"/>
                  <w:shd w:val="clear" w:color="auto" w:fill="auto"/>
                  <w:noWrap w:val="0"/>
                  <w:vAlign w:val="center"/>
                </w:tcPr>
                <w:p>
                  <w:pPr>
                    <w:pStyle w:val="111"/>
                    <w:spacing w:line="276" w:lineRule="auto"/>
                    <w:jc w:val="both"/>
                    <w:rPr>
                      <w:color w:val="auto"/>
                      <w:szCs w:val="18"/>
                    </w:rPr>
                  </w:pPr>
                  <w:r>
                    <w:rPr>
                      <w:rFonts w:hint="eastAsia"/>
                      <w:color w:val="auto"/>
                      <w:szCs w:val="18"/>
                    </w:rPr>
                    <w:t>DN300，PN1.0MPa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2</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2" w:hRule="atLeast"/>
              </w:trPr>
              <w:tc>
                <w:tcPr>
                  <w:tcW w:w="373" w:type="dxa"/>
                  <w:vMerge w:val="continue"/>
                  <w:shd w:val="clear" w:color="auto" w:fill="auto"/>
                  <w:noWrap w:val="0"/>
                  <w:vAlign w:val="center"/>
                </w:tcPr>
                <w:p>
                  <w:pPr>
                    <w:spacing w:line="276" w:lineRule="auto"/>
                    <w:rPr>
                      <w:sz w:val="18"/>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双法兰限位伸缩接头</w:t>
                  </w:r>
                </w:p>
              </w:tc>
              <w:tc>
                <w:tcPr>
                  <w:tcW w:w="3219" w:type="dxa"/>
                  <w:shd w:val="clear" w:color="auto" w:fill="auto"/>
                  <w:noWrap w:val="0"/>
                  <w:vAlign w:val="center"/>
                </w:tcPr>
                <w:p>
                  <w:pPr>
                    <w:pStyle w:val="111"/>
                    <w:spacing w:line="276" w:lineRule="auto"/>
                    <w:jc w:val="both"/>
                    <w:rPr>
                      <w:color w:val="auto"/>
                      <w:szCs w:val="18"/>
                    </w:rPr>
                  </w:pPr>
                  <w:r>
                    <w:rPr>
                      <w:color w:val="auto"/>
                      <w:szCs w:val="18"/>
                    </w:rPr>
                    <w:t>DN</w:t>
                  </w:r>
                  <w:r>
                    <w:rPr>
                      <w:rFonts w:hint="eastAsia"/>
                      <w:color w:val="auto"/>
                      <w:szCs w:val="18"/>
                    </w:rPr>
                    <w:t>100</w:t>
                  </w:r>
                  <w:r>
                    <w:rPr>
                      <w:color w:val="auto"/>
                      <w:szCs w:val="18"/>
                    </w:rPr>
                    <w:t>0，PN=1.0MPa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color w:val="auto"/>
                      <w:szCs w:val="18"/>
                    </w:rPr>
                    <w:t>4</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2" w:hRule="atLeast"/>
              </w:trPr>
              <w:tc>
                <w:tcPr>
                  <w:tcW w:w="373" w:type="dxa"/>
                  <w:vMerge w:val="continue"/>
                  <w:shd w:val="clear" w:color="auto" w:fill="auto"/>
                  <w:noWrap w:val="0"/>
                  <w:vAlign w:val="center"/>
                </w:tcPr>
                <w:p>
                  <w:pPr>
                    <w:spacing w:line="276" w:lineRule="auto"/>
                    <w:rPr>
                      <w:sz w:val="18"/>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双法兰限位伸缩接头</w:t>
                  </w:r>
                </w:p>
              </w:tc>
              <w:tc>
                <w:tcPr>
                  <w:tcW w:w="3219" w:type="dxa"/>
                  <w:shd w:val="clear" w:color="auto" w:fill="auto"/>
                  <w:noWrap w:val="0"/>
                  <w:vAlign w:val="center"/>
                </w:tcPr>
                <w:p>
                  <w:pPr>
                    <w:pStyle w:val="111"/>
                    <w:spacing w:line="276" w:lineRule="auto"/>
                    <w:jc w:val="both"/>
                    <w:rPr>
                      <w:color w:val="auto"/>
                      <w:szCs w:val="18"/>
                    </w:rPr>
                  </w:pPr>
                  <w:r>
                    <w:rPr>
                      <w:color w:val="auto"/>
                      <w:szCs w:val="18"/>
                    </w:rPr>
                    <w:t>DN</w:t>
                  </w:r>
                  <w:r>
                    <w:rPr>
                      <w:rFonts w:hint="eastAsia"/>
                      <w:color w:val="auto"/>
                      <w:szCs w:val="18"/>
                    </w:rPr>
                    <w:t>30</w:t>
                  </w:r>
                  <w:r>
                    <w:rPr>
                      <w:color w:val="auto"/>
                      <w:szCs w:val="18"/>
                    </w:rPr>
                    <w:t>0，PN=1.0MPa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2</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9" w:hRule="atLeast"/>
              </w:trPr>
              <w:tc>
                <w:tcPr>
                  <w:tcW w:w="373" w:type="dxa"/>
                  <w:vMerge w:val="continue"/>
                  <w:shd w:val="clear" w:color="auto" w:fill="auto"/>
                  <w:noWrap w:val="0"/>
                  <w:vAlign w:val="center"/>
                </w:tcPr>
                <w:p>
                  <w:pPr>
                    <w:pStyle w:val="111"/>
                    <w:spacing w:line="276" w:lineRule="auto"/>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罩型通气管</w:t>
                  </w:r>
                </w:p>
              </w:tc>
              <w:tc>
                <w:tcPr>
                  <w:tcW w:w="3219" w:type="dxa"/>
                  <w:shd w:val="clear" w:color="auto" w:fill="auto"/>
                  <w:noWrap w:val="0"/>
                  <w:vAlign w:val="center"/>
                </w:tcPr>
                <w:p>
                  <w:pPr>
                    <w:pStyle w:val="111"/>
                    <w:spacing w:line="276" w:lineRule="auto"/>
                    <w:jc w:val="both"/>
                    <w:rPr>
                      <w:color w:val="auto"/>
                      <w:szCs w:val="18"/>
                    </w:rPr>
                  </w:pPr>
                  <w:r>
                    <w:rPr>
                      <w:color w:val="auto"/>
                      <w:szCs w:val="18"/>
                    </w:rPr>
                    <w:t>DN200，H=1</w:t>
                  </w:r>
                  <w:r>
                    <w:rPr>
                      <w:rFonts w:hint="eastAsia"/>
                      <w:color w:val="auto"/>
                      <w:szCs w:val="18"/>
                    </w:rPr>
                    <w:t>9</w:t>
                  </w:r>
                  <w:r>
                    <w:rPr>
                      <w:color w:val="auto"/>
                      <w:szCs w:val="18"/>
                    </w:rPr>
                    <w:t>00</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color w:val="auto"/>
                      <w:szCs w:val="18"/>
                    </w:rPr>
                    <w:t>14</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9" w:hRule="atLeast"/>
              </w:trPr>
              <w:tc>
                <w:tcPr>
                  <w:tcW w:w="373" w:type="dxa"/>
                  <w:vMerge w:val="continue"/>
                  <w:shd w:val="clear" w:color="auto" w:fill="auto"/>
                  <w:noWrap w:val="0"/>
                  <w:vAlign w:val="center"/>
                </w:tcPr>
                <w:p>
                  <w:pPr>
                    <w:pStyle w:val="111"/>
                    <w:spacing w:line="276" w:lineRule="auto"/>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罩型通气管</w:t>
                  </w:r>
                </w:p>
              </w:tc>
              <w:tc>
                <w:tcPr>
                  <w:tcW w:w="3219" w:type="dxa"/>
                  <w:shd w:val="clear" w:color="auto" w:fill="auto"/>
                  <w:noWrap w:val="0"/>
                  <w:vAlign w:val="center"/>
                </w:tcPr>
                <w:p>
                  <w:pPr>
                    <w:pStyle w:val="111"/>
                    <w:spacing w:line="276" w:lineRule="auto"/>
                    <w:jc w:val="both"/>
                    <w:rPr>
                      <w:color w:val="auto"/>
                      <w:szCs w:val="18"/>
                    </w:rPr>
                  </w:pPr>
                  <w:r>
                    <w:rPr>
                      <w:color w:val="auto"/>
                      <w:szCs w:val="18"/>
                    </w:rPr>
                    <w:t>DN200，H=1</w:t>
                  </w:r>
                  <w:r>
                    <w:rPr>
                      <w:rFonts w:hint="eastAsia"/>
                      <w:color w:val="auto"/>
                      <w:szCs w:val="18"/>
                    </w:rPr>
                    <w:t>4</w:t>
                  </w:r>
                  <w:r>
                    <w:rPr>
                      <w:color w:val="auto"/>
                      <w:szCs w:val="18"/>
                    </w:rPr>
                    <w:t>00</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color w:val="auto"/>
                      <w:szCs w:val="18"/>
                    </w:rPr>
                    <w:t>14</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9" w:hRule="atLeast"/>
              </w:trPr>
              <w:tc>
                <w:tcPr>
                  <w:tcW w:w="373" w:type="dxa"/>
                  <w:vMerge w:val="restart"/>
                  <w:shd w:val="clear" w:color="auto" w:fill="auto"/>
                  <w:noWrap w:val="0"/>
                  <w:vAlign w:val="center"/>
                </w:tcPr>
                <w:p>
                  <w:pPr>
                    <w:pStyle w:val="111"/>
                    <w:spacing w:line="276" w:lineRule="auto"/>
                    <w:jc w:val="both"/>
                    <w:rPr>
                      <w:color w:val="auto"/>
                      <w:szCs w:val="18"/>
                    </w:rPr>
                  </w:pPr>
                  <w:r>
                    <w:rPr>
                      <w:color w:val="auto"/>
                      <w:szCs w:val="18"/>
                    </w:rPr>
                    <w:t>五</w:t>
                  </w:r>
                </w:p>
              </w:tc>
              <w:tc>
                <w:tcPr>
                  <w:tcW w:w="887" w:type="dxa"/>
                  <w:vMerge w:val="restart"/>
                  <w:shd w:val="clear" w:color="auto" w:fill="auto"/>
                  <w:noWrap w:val="0"/>
                  <w:vAlign w:val="center"/>
                </w:tcPr>
                <w:p>
                  <w:pPr>
                    <w:pStyle w:val="111"/>
                    <w:spacing w:line="276" w:lineRule="auto"/>
                    <w:jc w:val="both"/>
                    <w:rPr>
                      <w:color w:val="auto"/>
                      <w:szCs w:val="18"/>
                    </w:rPr>
                  </w:pPr>
                  <w:r>
                    <w:rPr>
                      <w:color w:val="auto"/>
                      <w:szCs w:val="18"/>
                    </w:rPr>
                    <w:t>应急</w:t>
                  </w:r>
                  <w:r>
                    <w:rPr>
                      <w:rFonts w:hint="eastAsia"/>
                      <w:color w:val="auto"/>
                      <w:szCs w:val="18"/>
                    </w:rPr>
                    <w:t>加药</w:t>
                  </w:r>
                  <w:r>
                    <w:rPr>
                      <w:color w:val="auto"/>
                      <w:szCs w:val="18"/>
                    </w:rPr>
                    <w:t>间（新建）</w:t>
                  </w:r>
                </w:p>
              </w:tc>
              <w:tc>
                <w:tcPr>
                  <w:tcW w:w="1221" w:type="dxa"/>
                  <w:shd w:val="clear" w:color="auto" w:fill="auto"/>
                  <w:noWrap w:val="0"/>
                  <w:vAlign w:val="center"/>
                </w:tcPr>
                <w:p>
                  <w:pPr>
                    <w:pStyle w:val="111"/>
                    <w:spacing w:line="276" w:lineRule="auto"/>
                    <w:jc w:val="both"/>
                    <w:rPr>
                      <w:color w:val="auto"/>
                      <w:szCs w:val="18"/>
                    </w:rPr>
                  </w:pPr>
                  <w:r>
                    <w:rPr>
                      <w:color w:val="auto"/>
                      <w:szCs w:val="18"/>
                    </w:rPr>
                    <w:t>高锰酸钾制备投加</w:t>
                  </w:r>
                  <w:r>
                    <w:rPr>
                      <w:rFonts w:hint="eastAsia"/>
                      <w:color w:val="auto"/>
                      <w:szCs w:val="18"/>
                    </w:rPr>
                    <w:t>系统</w:t>
                  </w:r>
                </w:p>
              </w:tc>
              <w:tc>
                <w:tcPr>
                  <w:tcW w:w="3219" w:type="dxa"/>
                  <w:shd w:val="clear" w:color="auto" w:fill="auto"/>
                  <w:noWrap w:val="0"/>
                  <w:vAlign w:val="center"/>
                </w:tcPr>
                <w:p>
                  <w:pPr>
                    <w:pStyle w:val="111"/>
                    <w:spacing w:line="276" w:lineRule="auto"/>
                    <w:jc w:val="both"/>
                    <w:rPr>
                      <w:color w:val="auto"/>
                      <w:szCs w:val="18"/>
                    </w:rPr>
                  </w:pPr>
                  <w:r>
                    <w:rPr>
                      <w:rFonts w:hint="eastAsia"/>
                      <w:color w:val="auto"/>
                      <w:szCs w:val="18"/>
                    </w:rPr>
                    <w:t>5~15kg/h, N=9kW，含隔膜计量泵、电磁阀、制备系统、配套阀门等</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1</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8" w:hRule="atLeast"/>
              </w:trPr>
              <w:tc>
                <w:tcPr>
                  <w:tcW w:w="373" w:type="dxa"/>
                  <w:vMerge w:val="continue"/>
                  <w:shd w:val="clear" w:color="auto" w:fill="auto"/>
                  <w:noWrap w:val="0"/>
                  <w:vAlign w:val="center"/>
                </w:tcPr>
                <w:p>
                  <w:pPr>
                    <w:pStyle w:val="111"/>
                    <w:spacing w:line="276" w:lineRule="auto"/>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rFonts w:hint="eastAsia"/>
                      <w:color w:val="auto"/>
                      <w:szCs w:val="18"/>
                    </w:rPr>
                    <w:t>粉末活性炭</w:t>
                  </w:r>
                  <w:r>
                    <w:rPr>
                      <w:color w:val="auto"/>
                      <w:szCs w:val="18"/>
                    </w:rPr>
                    <w:t>制备投加</w:t>
                  </w:r>
                  <w:r>
                    <w:rPr>
                      <w:rFonts w:hint="eastAsia"/>
                      <w:color w:val="auto"/>
                      <w:szCs w:val="18"/>
                    </w:rPr>
                    <w:t>系统</w:t>
                  </w:r>
                </w:p>
              </w:tc>
              <w:tc>
                <w:tcPr>
                  <w:tcW w:w="3219" w:type="dxa"/>
                  <w:shd w:val="clear" w:color="auto" w:fill="auto"/>
                  <w:noWrap w:val="0"/>
                  <w:vAlign w:val="center"/>
                </w:tcPr>
                <w:p>
                  <w:pPr>
                    <w:pStyle w:val="111"/>
                    <w:spacing w:line="276" w:lineRule="auto"/>
                    <w:jc w:val="both"/>
                    <w:rPr>
                      <w:color w:val="auto"/>
                      <w:szCs w:val="18"/>
                    </w:rPr>
                  </w:pPr>
                  <w:r>
                    <w:rPr>
                      <w:rFonts w:hint="eastAsia"/>
                      <w:color w:val="auto"/>
                      <w:szCs w:val="18"/>
                    </w:rPr>
                    <w:t>100~300kg/h, N=30kW，含螺杆投加泵、电磁阀、制备系统、配套阀门、电磁流量计等</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1</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9" w:hRule="atLeast"/>
              </w:trPr>
              <w:tc>
                <w:tcPr>
                  <w:tcW w:w="373" w:type="dxa"/>
                  <w:vMerge w:val="continue"/>
                  <w:shd w:val="clear" w:color="auto" w:fill="auto"/>
                  <w:noWrap w:val="0"/>
                  <w:vAlign w:val="center"/>
                </w:tcPr>
                <w:p>
                  <w:pPr>
                    <w:pStyle w:val="111"/>
                    <w:spacing w:line="276" w:lineRule="auto"/>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硫酸储备投加系统</w:t>
                  </w:r>
                </w:p>
              </w:tc>
              <w:tc>
                <w:tcPr>
                  <w:tcW w:w="3219" w:type="dxa"/>
                  <w:shd w:val="clear" w:color="auto" w:fill="auto"/>
                  <w:noWrap w:val="0"/>
                  <w:vAlign w:val="center"/>
                </w:tcPr>
                <w:p>
                  <w:pPr>
                    <w:pStyle w:val="111"/>
                    <w:spacing w:line="276" w:lineRule="auto"/>
                    <w:jc w:val="both"/>
                    <w:rPr>
                      <w:color w:val="auto"/>
                      <w:szCs w:val="18"/>
                    </w:rPr>
                  </w:pPr>
                  <w:r>
                    <w:rPr>
                      <w:rFonts w:hint="eastAsia"/>
                      <w:color w:val="auto"/>
                      <w:szCs w:val="18"/>
                    </w:rPr>
                    <w:t>投加量0-5L/h，N=0.37kW，含投加计量泵、硫酸储罐（2m</w:t>
                  </w:r>
                  <w:r>
                    <w:rPr>
                      <w:rFonts w:hint="eastAsia"/>
                      <w:color w:val="auto"/>
                      <w:szCs w:val="18"/>
                      <w:vertAlign w:val="superscript"/>
                    </w:rPr>
                    <w:t>3</w:t>
                  </w:r>
                  <w:r>
                    <w:rPr>
                      <w:rFonts w:hint="eastAsia"/>
                      <w:color w:val="auto"/>
                      <w:szCs w:val="18"/>
                    </w:rPr>
                    <w:t>）、电磁阀、配套阀门等</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1</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9" w:hRule="atLeast"/>
              </w:trPr>
              <w:tc>
                <w:tcPr>
                  <w:tcW w:w="373" w:type="dxa"/>
                  <w:vMerge w:val="continue"/>
                  <w:shd w:val="clear" w:color="auto" w:fill="auto"/>
                  <w:noWrap w:val="0"/>
                  <w:vAlign w:val="center"/>
                </w:tcPr>
                <w:p>
                  <w:pPr>
                    <w:pStyle w:val="111"/>
                    <w:spacing w:line="276" w:lineRule="auto"/>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rFonts w:hint="eastAsia"/>
                      <w:color w:val="auto"/>
                      <w:szCs w:val="18"/>
                    </w:rPr>
                    <w:t>石灰</w:t>
                  </w:r>
                  <w:r>
                    <w:rPr>
                      <w:color w:val="auto"/>
                      <w:szCs w:val="18"/>
                    </w:rPr>
                    <w:t>投加系统</w:t>
                  </w:r>
                </w:p>
              </w:tc>
              <w:tc>
                <w:tcPr>
                  <w:tcW w:w="3219" w:type="dxa"/>
                  <w:shd w:val="clear" w:color="auto" w:fill="auto"/>
                  <w:noWrap w:val="0"/>
                  <w:vAlign w:val="center"/>
                </w:tcPr>
                <w:p>
                  <w:pPr>
                    <w:pStyle w:val="111"/>
                    <w:spacing w:line="276" w:lineRule="auto"/>
                    <w:jc w:val="both"/>
                    <w:rPr>
                      <w:color w:val="auto"/>
                      <w:szCs w:val="18"/>
                    </w:rPr>
                  </w:pPr>
                  <w:r>
                    <w:rPr>
                      <w:rFonts w:hint="eastAsia"/>
                      <w:color w:val="auto"/>
                      <w:szCs w:val="18"/>
                    </w:rPr>
                    <w:t>投加量0-2m</w:t>
                  </w:r>
                  <w:r>
                    <w:rPr>
                      <w:rFonts w:hint="eastAsia"/>
                      <w:color w:val="auto"/>
                      <w:szCs w:val="18"/>
                      <w:vertAlign w:val="superscript"/>
                    </w:rPr>
                    <w:t>3</w:t>
                  </w:r>
                  <w:r>
                    <w:rPr>
                      <w:rFonts w:hint="eastAsia"/>
                      <w:color w:val="auto"/>
                      <w:szCs w:val="18"/>
                    </w:rPr>
                    <w:t>/h，N=15kW，含石灰料仓（30m</w:t>
                  </w:r>
                  <w:r>
                    <w:rPr>
                      <w:rFonts w:hint="eastAsia"/>
                      <w:color w:val="auto"/>
                      <w:szCs w:val="18"/>
                      <w:vertAlign w:val="superscript"/>
                    </w:rPr>
                    <w:t>3</w:t>
                  </w:r>
                  <w:r>
                    <w:rPr>
                      <w:rFonts w:hint="eastAsia"/>
                      <w:color w:val="auto"/>
                      <w:szCs w:val="18"/>
                    </w:rPr>
                    <w:t>）、石灰乳罐、石灰乳投加泵、有轴螺旋计量输送机、双向螺旋输送机、电磁阀、配套阀门、电磁流量计等。</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1</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9" w:hRule="atLeast"/>
              </w:trPr>
              <w:tc>
                <w:tcPr>
                  <w:tcW w:w="373" w:type="dxa"/>
                  <w:vMerge w:val="continue"/>
                  <w:shd w:val="clear" w:color="auto" w:fill="auto"/>
                  <w:noWrap w:val="0"/>
                  <w:vAlign w:val="center"/>
                </w:tcPr>
                <w:p>
                  <w:pPr>
                    <w:pStyle w:val="111"/>
                    <w:spacing w:line="276" w:lineRule="auto"/>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rFonts w:hint="eastAsia"/>
                      <w:color w:val="auto"/>
                      <w:szCs w:val="18"/>
                    </w:rPr>
                  </w:pPr>
                  <w:r>
                    <w:rPr>
                      <w:rFonts w:hint="eastAsia"/>
                      <w:color w:val="auto"/>
                      <w:szCs w:val="18"/>
                    </w:rPr>
                    <w:t>CD</w:t>
                  </w:r>
                  <w:r>
                    <w:rPr>
                      <w:rFonts w:hint="eastAsia"/>
                      <w:color w:val="auto"/>
                      <w:szCs w:val="18"/>
                      <w:vertAlign w:val="subscript"/>
                    </w:rPr>
                    <w:t>1</w:t>
                  </w:r>
                  <w:r>
                    <w:rPr>
                      <w:rFonts w:hint="eastAsia"/>
                      <w:color w:val="auto"/>
                      <w:szCs w:val="18"/>
                    </w:rPr>
                    <w:t>型电动葫芦</w:t>
                  </w:r>
                </w:p>
              </w:tc>
              <w:tc>
                <w:tcPr>
                  <w:tcW w:w="3219" w:type="dxa"/>
                  <w:shd w:val="clear" w:color="auto" w:fill="auto"/>
                  <w:noWrap w:val="0"/>
                  <w:vAlign w:val="center"/>
                </w:tcPr>
                <w:p>
                  <w:pPr>
                    <w:pStyle w:val="111"/>
                    <w:spacing w:line="276" w:lineRule="auto"/>
                    <w:jc w:val="both"/>
                    <w:rPr>
                      <w:rFonts w:hint="eastAsia"/>
                      <w:color w:val="auto"/>
                      <w:szCs w:val="18"/>
                    </w:rPr>
                  </w:pPr>
                  <w:r>
                    <w:rPr>
                      <w:rFonts w:hint="eastAsia"/>
                      <w:color w:val="auto"/>
                      <w:szCs w:val="18"/>
                    </w:rPr>
                    <w:t>T=1.0t，H=12m，N=(1.5+0.2)kW</w:t>
                  </w:r>
                </w:p>
              </w:tc>
              <w:tc>
                <w:tcPr>
                  <w:tcW w:w="880" w:type="dxa"/>
                  <w:shd w:val="clear" w:color="auto" w:fill="auto"/>
                  <w:noWrap w:val="0"/>
                  <w:vAlign w:val="center"/>
                </w:tcPr>
                <w:p>
                  <w:pPr>
                    <w:pStyle w:val="111"/>
                    <w:spacing w:line="276" w:lineRule="auto"/>
                    <w:jc w:val="both"/>
                    <w:rPr>
                      <w:color w:val="auto"/>
                      <w:szCs w:val="18"/>
                    </w:rPr>
                  </w:pPr>
                  <w:r>
                    <w:rPr>
                      <w:rFonts w:hint="eastAsia"/>
                      <w:color w:val="auto"/>
                      <w:szCs w:val="18"/>
                    </w:rPr>
                    <w:t>台</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1</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9" w:hRule="atLeast"/>
              </w:trPr>
              <w:tc>
                <w:tcPr>
                  <w:tcW w:w="373" w:type="dxa"/>
                  <w:vMerge w:val="continue"/>
                  <w:shd w:val="clear" w:color="auto" w:fill="auto"/>
                  <w:noWrap w:val="0"/>
                  <w:vAlign w:val="center"/>
                </w:tcPr>
                <w:p>
                  <w:pPr>
                    <w:pStyle w:val="111"/>
                    <w:spacing w:line="276" w:lineRule="auto"/>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rFonts w:hint="eastAsia"/>
                      <w:color w:val="auto"/>
                      <w:szCs w:val="18"/>
                    </w:rPr>
                    <w:t>轴流风机</w:t>
                  </w:r>
                </w:p>
              </w:tc>
              <w:tc>
                <w:tcPr>
                  <w:tcW w:w="3219" w:type="dxa"/>
                  <w:shd w:val="clear" w:color="auto" w:fill="auto"/>
                  <w:noWrap w:val="0"/>
                  <w:vAlign w:val="center"/>
                </w:tcPr>
                <w:p>
                  <w:pPr>
                    <w:pStyle w:val="111"/>
                    <w:spacing w:line="276" w:lineRule="auto"/>
                    <w:jc w:val="both"/>
                    <w:rPr>
                      <w:color w:val="auto"/>
                      <w:szCs w:val="18"/>
                    </w:rPr>
                  </w:pPr>
                  <w:r>
                    <w:rPr>
                      <w:rFonts w:ascii="Cambria Math" w:hAnsi="Cambria Math" w:cs="Cambria Math"/>
                      <w:color w:val="auto"/>
                      <w:szCs w:val="18"/>
                    </w:rPr>
                    <w:t>∅</w:t>
                  </w:r>
                  <w:r>
                    <w:rPr>
                      <w:color w:val="auto"/>
                      <w:szCs w:val="18"/>
                    </w:rPr>
                    <w:t>450</w:t>
                  </w:r>
                  <w:r>
                    <w:rPr>
                      <w:rFonts w:hint="eastAsia"/>
                      <w:color w:val="auto"/>
                      <w:szCs w:val="18"/>
                    </w:rPr>
                    <w:t>，</w:t>
                  </w:r>
                  <w:r>
                    <w:rPr>
                      <w:color w:val="auto"/>
                      <w:szCs w:val="18"/>
                    </w:rPr>
                    <w:t>Q=3000m</w:t>
                  </w:r>
                  <w:r>
                    <w:rPr>
                      <w:rFonts w:hint="eastAsia"/>
                      <w:color w:val="auto"/>
                      <w:szCs w:val="18"/>
                      <w:vertAlign w:val="superscript"/>
                    </w:rPr>
                    <w:t>3</w:t>
                  </w:r>
                  <w:r>
                    <w:rPr>
                      <w:color w:val="auto"/>
                      <w:szCs w:val="18"/>
                    </w:rPr>
                    <w:t>/h</w:t>
                  </w:r>
                  <w:r>
                    <w:rPr>
                      <w:rFonts w:hint="eastAsia"/>
                      <w:color w:val="auto"/>
                      <w:szCs w:val="18"/>
                    </w:rPr>
                    <w:t>，</w:t>
                  </w:r>
                  <w:r>
                    <w:rPr>
                      <w:color w:val="auto"/>
                      <w:szCs w:val="18"/>
                    </w:rPr>
                    <w:t>n=1450r/min</w:t>
                  </w:r>
                  <w:r>
                    <w:rPr>
                      <w:rFonts w:hint="eastAsia"/>
                      <w:color w:val="auto"/>
                      <w:szCs w:val="18"/>
                    </w:rPr>
                    <w:t>，全压86Pa，N=0.12kW</w:t>
                  </w:r>
                </w:p>
              </w:tc>
              <w:tc>
                <w:tcPr>
                  <w:tcW w:w="880" w:type="dxa"/>
                  <w:shd w:val="clear" w:color="auto" w:fill="auto"/>
                  <w:noWrap w:val="0"/>
                  <w:vAlign w:val="center"/>
                </w:tcPr>
                <w:p>
                  <w:pPr>
                    <w:pStyle w:val="111"/>
                    <w:spacing w:line="276" w:lineRule="auto"/>
                    <w:jc w:val="both"/>
                    <w:rPr>
                      <w:color w:val="auto"/>
                      <w:szCs w:val="18"/>
                    </w:rPr>
                  </w:pPr>
                  <w:r>
                    <w:rPr>
                      <w:rFonts w:hint="eastAsia"/>
                      <w:color w:val="auto"/>
                      <w:szCs w:val="18"/>
                    </w:rPr>
                    <w:t>台</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7</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9" w:hRule="atLeast"/>
              </w:trPr>
              <w:tc>
                <w:tcPr>
                  <w:tcW w:w="373" w:type="dxa"/>
                  <w:vMerge w:val="restart"/>
                  <w:shd w:val="clear" w:color="auto" w:fill="auto"/>
                  <w:noWrap w:val="0"/>
                  <w:vAlign w:val="center"/>
                </w:tcPr>
                <w:p>
                  <w:pPr>
                    <w:pStyle w:val="111"/>
                    <w:spacing w:line="276" w:lineRule="auto"/>
                    <w:jc w:val="both"/>
                    <w:rPr>
                      <w:color w:val="auto"/>
                      <w:szCs w:val="18"/>
                    </w:rPr>
                  </w:pPr>
                  <w:r>
                    <w:rPr>
                      <w:rFonts w:hint="eastAsia"/>
                      <w:color w:val="auto"/>
                      <w:szCs w:val="18"/>
                    </w:rPr>
                    <w:t>六</w:t>
                  </w:r>
                </w:p>
              </w:tc>
              <w:tc>
                <w:tcPr>
                  <w:tcW w:w="887" w:type="dxa"/>
                  <w:vMerge w:val="restart"/>
                  <w:shd w:val="clear" w:color="auto" w:fill="auto"/>
                  <w:noWrap w:val="0"/>
                  <w:vAlign w:val="center"/>
                </w:tcPr>
                <w:p>
                  <w:pPr>
                    <w:pStyle w:val="111"/>
                    <w:spacing w:line="276" w:lineRule="auto"/>
                    <w:jc w:val="both"/>
                    <w:rPr>
                      <w:color w:val="auto"/>
                      <w:szCs w:val="18"/>
                    </w:rPr>
                  </w:pPr>
                  <w:r>
                    <w:rPr>
                      <w:rFonts w:hint="eastAsia"/>
                      <w:color w:val="auto"/>
                      <w:szCs w:val="18"/>
                    </w:rPr>
                    <w:t>调流调压间</w:t>
                  </w:r>
                </w:p>
              </w:tc>
              <w:tc>
                <w:tcPr>
                  <w:tcW w:w="1221" w:type="dxa"/>
                  <w:shd w:val="clear" w:color="auto" w:fill="auto"/>
                  <w:noWrap w:val="0"/>
                  <w:vAlign w:val="center"/>
                </w:tcPr>
                <w:p>
                  <w:pPr>
                    <w:pStyle w:val="111"/>
                    <w:spacing w:line="276" w:lineRule="auto"/>
                    <w:jc w:val="both"/>
                    <w:rPr>
                      <w:rFonts w:hint="eastAsia"/>
                      <w:color w:val="auto"/>
                      <w:szCs w:val="18"/>
                    </w:rPr>
                  </w:pPr>
                  <w:r>
                    <w:rPr>
                      <w:rFonts w:hint="eastAsia"/>
                      <w:color w:val="auto"/>
                      <w:szCs w:val="18"/>
                    </w:rPr>
                    <w:t>调流调压阀</w:t>
                  </w:r>
                </w:p>
              </w:tc>
              <w:tc>
                <w:tcPr>
                  <w:tcW w:w="3219" w:type="dxa"/>
                  <w:shd w:val="clear" w:color="auto" w:fill="auto"/>
                  <w:noWrap w:val="0"/>
                  <w:vAlign w:val="center"/>
                </w:tcPr>
                <w:p>
                  <w:pPr>
                    <w:pStyle w:val="111"/>
                    <w:spacing w:line="276" w:lineRule="auto"/>
                    <w:jc w:val="both"/>
                    <w:rPr>
                      <w:color w:val="auto"/>
                      <w:szCs w:val="18"/>
                    </w:rPr>
                  </w:pPr>
                  <w:r>
                    <w:rPr>
                      <w:rFonts w:hint="eastAsia"/>
                      <w:color w:val="auto"/>
                      <w:szCs w:val="18"/>
                    </w:rPr>
                    <w:t>DN1400，PN1.0MPa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1</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9" w:hRule="atLeast"/>
              </w:trPr>
              <w:tc>
                <w:tcPr>
                  <w:tcW w:w="373" w:type="dxa"/>
                  <w:vMerge w:val="continue"/>
                  <w:shd w:val="clear" w:color="auto" w:fill="auto"/>
                  <w:noWrap w:val="0"/>
                  <w:vAlign w:val="center"/>
                </w:tcPr>
                <w:p>
                  <w:pPr>
                    <w:pStyle w:val="111"/>
                    <w:spacing w:line="276" w:lineRule="auto"/>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rFonts w:hint="eastAsia"/>
                      <w:color w:val="auto"/>
                      <w:szCs w:val="18"/>
                    </w:rPr>
                  </w:pPr>
                  <w:r>
                    <w:rPr>
                      <w:rFonts w:hint="eastAsia"/>
                      <w:color w:val="auto"/>
                      <w:szCs w:val="18"/>
                    </w:rPr>
                    <w:t>CD</w:t>
                  </w:r>
                  <w:r>
                    <w:rPr>
                      <w:rFonts w:hint="eastAsia"/>
                      <w:color w:val="auto"/>
                      <w:szCs w:val="18"/>
                      <w:vertAlign w:val="subscript"/>
                    </w:rPr>
                    <w:t>1</w:t>
                  </w:r>
                  <w:r>
                    <w:rPr>
                      <w:rFonts w:hint="eastAsia"/>
                      <w:color w:val="auto"/>
                      <w:szCs w:val="18"/>
                    </w:rPr>
                    <w:t>型电动葫芦</w:t>
                  </w:r>
                </w:p>
              </w:tc>
              <w:tc>
                <w:tcPr>
                  <w:tcW w:w="3219" w:type="dxa"/>
                  <w:shd w:val="clear" w:color="auto" w:fill="auto"/>
                  <w:noWrap w:val="0"/>
                  <w:vAlign w:val="center"/>
                </w:tcPr>
                <w:p>
                  <w:pPr>
                    <w:pStyle w:val="111"/>
                    <w:spacing w:line="276" w:lineRule="auto"/>
                    <w:jc w:val="both"/>
                    <w:rPr>
                      <w:rFonts w:hint="eastAsia"/>
                      <w:color w:val="auto"/>
                      <w:szCs w:val="18"/>
                    </w:rPr>
                  </w:pPr>
                  <w:r>
                    <w:rPr>
                      <w:rFonts w:hint="eastAsia"/>
                      <w:color w:val="auto"/>
                      <w:szCs w:val="18"/>
                    </w:rPr>
                    <w:t>T=10t，H=9.0m，</w:t>
                  </w:r>
                </w:p>
                <w:p>
                  <w:pPr>
                    <w:pStyle w:val="111"/>
                    <w:spacing w:line="276" w:lineRule="auto"/>
                    <w:jc w:val="both"/>
                    <w:rPr>
                      <w:rFonts w:hint="eastAsia"/>
                      <w:color w:val="auto"/>
                      <w:szCs w:val="18"/>
                    </w:rPr>
                  </w:pPr>
                  <w:r>
                    <w:rPr>
                      <w:rFonts w:hint="eastAsia"/>
                      <w:color w:val="auto"/>
                      <w:szCs w:val="18"/>
                    </w:rPr>
                    <w:t>N=（13+2x0.8）kW</w:t>
                  </w:r>
                </w:p>
              </w:tc>
              <w:tc>
                <w:tcPr>
                  <w:tcW w:w="880" w:type="dxa"/>
                  <w:shd w:val="clear" w:color="auto" w:fill="auto"/>
                  <w:noWrap w:val="0"/>
                  <w:vAlign w:val="center"/>
                </w:tcPr>
                <w:p>
                  <w:pPr>
                    <w:pStyle w:val="111"/>
                    <w:spacing w:line="276" w:lineRule="auto"/>
                    <w:jc w:val="both"/>
                    <w:rPr>
                      <w:color w:val="auto"/>
                      <w:szCs w:val="18"/>
                    </w:rPr>
                  </w:pPr>
                  <w:r>
                    <w:rPr>
                      <w:rFonts w:hint="eastAsia"/>
                      <w:color w:val="auto"/>
                      <w:szCs w:val="18"/>
                    </w:rPr>
                    <w:t>台</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1</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9" w:hRule="atLeast"/>
              </w:trPr>
              <w:tc>
                <w:tcPr>
                  <w:tcW w:w="373" w:type="dxa"/>
                  <w:vMerge w:val="continue"/>
                  <w:shd w:val="clear" w:color="auto" w:fill="auto"/>
                  <w:noWrap w:val="0"/>
                  <w:vAlign w:val="center"/>
                </w:tcPr>
                <w:p>
                  <w:pPr>
                    <w:pStyle w:val="111"/>
                    <w:spacing w:line="276" w:lineRule="auto"/>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rFonts w:hint="eastAsia"/>
                      <w:color w:val="auto"/>
                      <w:szCs w:val="18"/>
                    </w:rPr>
                  </w:pPr>
                  <w:r>
                    <w:rPr>
                      <w:color w:val="auto"/>
                      <w:szCs w:val="18"/>
                    </w:rPr>
                    <w:t>手动双法兰蝶阀</w:t>
                  </w:r>
                </w:p>
              </w:tc>
              <w:tc>
                <w:tcPr>
                  <w:tcW w:w="3219" w:type="dxa"/>
                  <w:shd w:val="clear" w:color="auto" w:fill="auto"/>
                  <w:noWrap w:val="0"/>
                  <w:vAlign w:val="center"/>
                </w:tcPr>
                <w:p>
                  <w:pPr>
                    <w:pStyle w:val="111"/>
                    <w:spacing w:line="276" w:lineRule="auto"/>
                    <w:jc w:val="both"/>
                    <w:rPr>
                      <w:color w:val="auto"/>
                      <w:szCs w:val="18"/>
                    </w:rPr>
                  </w:pPr>
                  <w:r>
                    <w:rPr>
                      <w:rFonts w:hint="eastAsia"/>
                      <w:color w:val="auto"/>
                      <w:szCs w:val="18"/>
                    </w:rPr>
                    <w:t>DN1400，PN1.0MPa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2</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9" w:hRule="atLeast"/>
              </w:trPr>
              <w:tc>
                <w:tcPr>
                  <w:tcW w:w="373" w:type="dxa"/>
                  <w:vMerge w:val="continue"/>
                  <w:shd w:val="clear" w:color="auto" w:fill="auto"/>
                  <w:noWrap w:val="0"/>
                  <w:vAlign w:val="center"/>
                </w:tcPr>
                <w:p>
                  <w:pPr>
                    <w:pStyle w:val="111"/>
                    <w:spacing w:line="276" w:lineRule="auto"/>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双法兰限位伸缩接头</w:t>
                  </w:r>
                </w:p>
              </w:tc>
              <w:tc>
                <w:tcPr>
                  <w:tcW w:w="3219" w:type="dxa"/>
                  <w:shd w:val="clear" w:color="auto" w:fill="auto"/>
                  <w:noWrap w:val="0"/>
                  <w:vAlign w:val="center"/>
                </w:tcPr>
                <w:p>
                  <w:pPr>
                    <w:pStyle w:val="111"/>
                    <w:spacing w:line="276" w:lineRule="auto"/>
                    <w:jc w:val="both"/>
                    <w:rPr>
                      <w:color w:val="auto"/>
                      <w:szCs w:val="18"/>
                    </w:rPr>
                  </w:pPr>
                  <w:r>
                    <w:rPr>
                      <w:rFonts w:hint="eastAsia"/>
                      <w:color w:val="auto"/>
                      <w:szCs w:val="18"/>
                    </w:rPr>
                    <w:t>DN1400，PN1.0MPa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2</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47" w:hRule="atLeast"/>
              </w:trPr>
              <w:tc>
                <w:tcPr>
                  <w:tcW w:w="373" w:type="dxa"/>
                  <w:vMerge w:val="restart"/>
                  <w:shd w:val="clear" w:color="auto" w:fill="auto"/>
                  <w:noWrap w:val="0"/>
                  <w:vAlign w:val="center"/>
                </w:tcPr>
                <w:p>
                  <w:pPr>
                    <w:spacing w:line="276" w:lineRule="auto"/>
                    <w:rPr>
                      <w:sz w:val="18"/>
                      <w:szCs w:val="18"/>
                    </w:rPr>
                  </w:pPr>
                  <w:r>
                    <w:rPr>
                      <w:rFonts w:hint="eastAsia"/>
                      <w:sz w:val="18"/>
                      <w:szCs w:val="18"/>
                    </w:rPr>
                    <w:t>七</w:t>
                  </w:r>
                </w:p>
              </w:tc>
              <w:tc>
                <w:tcPr>
                  <w:tcW w:w="887" w:type="dxa"/>
                  <w:vMerge w:val="restart"/>
                  <w:shd w:val="clear" w:color="auto" w:fill="auto"/>
                  <w:noWrap w:val="0"/>
                  <w:vAlign w:val="center"/>
                </w:tcPr>
                <w:p>
                  <w:pPr>
                    <w:pStyle w:val="111"/>
                    <w:spacing w:line="276" w:lineRule="auto"/>
                    <w:jc w:val="both"/>
                    <w:rPr>
                      <w:color w:val="auto"/>
                      <w:szCs w:val="18"/>
                    </w:rPr>
                  </w:pPr>
                  <w:r>
                    <w:rPr>
                      <w:color w:val="auto"/>
                      <w:szCs w:val="18"/>
                    </w:rPr>
                    <w:t>送水泵房（现状）</w:t>
                  </w:r>
                </w:p>
              </w:tc>
              <w:tc>
                <w:tcPr>
                  <w:tcW w:w="1221" w:type="dxa"/>
                  <w:shd w:val="clear" w:color="auto" w:fill="auto"/>
                  <w:noWrap w:val="0"/>
                  <w:vAlign w:val="center"/>
                </w:tcPr>
                <w:p>
                  <w:pPr>
                    <w:pStyle w:val="111"/>
                    <w:spacing w:line="276" w:lineRule="auto"/>
                    <w:jc w:val="both"/>
                    <w:rPr>
                      <w:color w:val="auto"/>
                      <w:szCs w:val="18"/>
                    </w:rPr>
                  </w:pPr>
                  <w:r>
                    <w:rPr>
                      <w:color w:val="auto"/>
                      <w:szCs w:val="18"/>
                    </w:rPr>
                    <w:t>单级双吸卧式离心泵</w:t>
                  </w:r>
                </w:p>
              </w:tc>
              <w:tc>
                <w:tcPr>
                  <w:tcW w:w="3219" w:type="dxa"/>
                  <w:shd w:val="clear" w:color="auto" w:fill="auto"/>
                  <w:noWrap w:val="0"/>
                  <w:vAlign w:val="center"/>
                </w:tcPr>
                <w:p>
                  <w:pPr>
                    <w:pStyle w:val="111"/>
                    <w:spacing w:line="276" w:lineRule="auto"/>
                    <w:jc w:val="both"/>
                    <w:rPr>
                      <w:color w:val="auto"/>
                      <w:szCs w:val="18"/>
                    </w:rPr>
                  </w:pPr>
                  <w:r>
                    <w:rPr>
                      <w:color w:val="auto"/>
                      <w:szCs w:val="18"/>
                    </w:rPr>
                    <w:t>Q=1354m</w:t>
                  </w:r>
                  <w:r>
                    <w:rPr>
                      <w:color w:val="auto"/>
                      <w:szCs w:val="18"/>
                      <w:vertAlign w:val="superscript"/>
                    </w:rPr>
                    <w:t>3</w:t>
                  </w:r>
                  <w:r>
                    <w:rPr>
                      <w:color w:val="auto"/>
                      <w:szCs w:val="18"/>
                    </w:rPr>
                    <w:t>/h，H=45m，η≥87%，P=220kW</w:t>
                  </w:r>
                </w:p>
              </w:tc>
              <w:tc>
                <w:tcPr>
                  <w:tcW w:w="880" w:type="dxa"/>
                  <w:shd w:val="clear" w:color="auto" w:fill="auto"/>
                  <w:noWrap w:val="0"/>
                  <w:vAlign w:val="center"/>
                </w:tcPr>
                <w:p>
                  <w:pPr>
                    <w:pStyle w:val="111"/>
                    <w:spacing w:line="276" w:lineRule="auto"/>
                    <w:jc w:val="both"/>
                    <w:rPr>
                      <w:color w:val="auto"/>
                      <w:szCs w:val="18"/>
                    </w:rPr>
                  </w:pPr>
                  <w:r>
                    <w:rPr>
                      <w:color w:val="auto"/>
                      <w:szCs w:val="18"/>
                    </w:rPr>
                    <w:t>台</w:t>
                  </w:r>
                </w:p>
              </w:tc>
              <w:tc>
                <w:tcPr>
                  <w:tcW w:w="1082" w:type="dxa"/>
                  <w:shd w:val="clear" w:color="auto" w:fill="auto"/>
                  <w:noWrap w:val="0"/>
                  <w:vAlign w:val="center"/>
                </w:tcPr>
                <w:p>
                  <w:pPr>
                    <w:pStyle w:val="111"/>
                    <w:spacing w:line="276" w:lineRule="auto"/>
                    <w:jc w:val="both"/>
                    <w:rPr>
                      <w:color w:val="auto"/>
                      <w:szCs w:val="18"/>
                    </w:rPr>
                  </w:pPr>
                  <w:r>
                    <w:rPr>
                      <w:color w:val="auto"/>
                      <w:szCs w:val="18"/>
                    </w:rPr>
                    <w:t>5</w:t>
                  </w:r>
                </w:p>
              </w:tc>
              <w:tc>
                <w:tcPr>
                  <w:tcW w:w="1446" w:type="dxa"/>
                  <w:shd w:val="clear" w:color="auto" w:fill="auto"/>
                  <w:noWrap w:val="0"/>
                  <w:vAlign w:val="center"/>
                </w:tcPr>
                <w:p>
                  <w:pPr>
                    <w:pStyle w:val="111"/>
                    <w:spacing w:line="276" w:lineRule="auto"/>
                    <w:jc w:val="both"/>
                    <w:rPr>
                      <w:color w:val="auto"/>
                      <w:szCs w:val="18"/>
                    </w:rPr>
                  </w:pPr>
                  <w:r>
                    <w:rPr>
                      <w:color w:val="auto"/>
                      <w:szCs w:val="18"/>
                    </w:rPr>
                    <w:t>4用1备，</w:t>
                  </w:r>
                  <w:r>
                    <w:rPr>
                      <w:rFonts w:hint="eastAsia"/>
                      <w:color w:val="auto"/>
                      <w:szCs w:val="18"/>
                    </w:rPr>
                    <w:t>1</w:t>
                  </w:r>
                  <w:r>
                    <w:rPr>
                      <w:color w:val="auto"/>
                      <w:szCs w:val="18"/>
                    </w:rPr>
                    <w:t>台变频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rFonts w:hint="eastAsia"/>
                      <w:color w:val="auto"/>
                      <w:szCs w:val="18"/>
                    </w:rPr>
                  </w:pPr>
                  <w:r>
                    <w:rPr>
                      <w:rFonts w:hint="eastAsia"/>
                      <w:color w:val="auto"/>
                      <w:szCs w:val="18"/>
                    </w:rPr>
                    <w:t>水力控制阀</w:t>
                  </w:r>
                </w:p>
              </w:tc>
              <w:tc>
                <w:tcPr>
                  <w:tcW w:w="3219" w:type="dxa"/>
                  <w:shd w:val="clear" w:color="auto" w:fill="auto"/>
                  <w:noWrap w:val="0"/>
                  <w:vAlign w:val="center"/>
                </w:tcPr>
                <w:p>
                  <w:pPr>
                    <w:pStyle w:val="111"/>
                    <w:spacing w:line="276" w:lineRule="auto"/>
                    <w:jc w:val="both"/>
                    <w:rPr>
                      <w:color w:val="auto"/>
                      <w:szCs w:val="18"/>
                    </w:rPr>
                  </w:pPr>
                  <w:r>
                    <w:rPr>
                      <w:rFonts w:hint="eastAsia"/>
                      <w:color w:val="auto"/>
                      <w:szCs w:val="18"/>
                    </w:rPr>
                    <w:t>DN500，PN1.0MPa</w:t>
                  </w:r>
                </w:p>
              </w:tc>
              <w:tc>
                <w:tcPr>
                  <w:tcW w:w="880" w:type="dxa"/>
                  <w:shd w:val="clear" w:color="auto" w:fill="auto"/>
                  <w:noWrap w:val="0"/>
                  <w:vAlign w:val="center"/>
                </w:tcPr>
                <w:p>
                  <w:pPr>
                    <w:pStyle w:val="111"/>
                    <w:spacing w:line="276" w:lineRule="auto"/>
                    <w:jc w:val="both"/>
                    <w:rPr>
                      <w:color w:val="auto"/>
                      <w:szCs w:val="18"/>
                    </w:rPr>
                  </w:pPr>
                  <w:r>
                    <w:rPr>
                      <w:rFonts w:hint="eastAsia"/>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2</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rFonts w:hint="eastAsia"/>
                      <w:color w:val="auto"/>
                      <w:szCs w:val="18"/>
                    </w:rPr>
                    <w:t>手动双法兰蝶阀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DN700，PN=1.0MPa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color w:val="auto"/>
                      <w:szCs w:val="18"/>
                    </w:rPr>
                    <w:t>2</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rFonts w:hint="eastAsia"/>
                      <w:color w:val="auto"/>
                      <w:szCs w:val="18"/>
                    </w:rPr>
                    <w:t>手动双法兰蝶阀</w:t>
                  </w:r>
                </w:p>
              </w:tc>
              <w:tc>
                <w:tcPr>
                  <w:tcW w:w="3219" w:type="dxa"/>
                  <w:shd w:val="clear" w:color="auto" w:fill="auto"/>
                  <w:noWrap w:val="0"/>
                  <w:vAlign w:val="center"/>
                </w:tcPr>
                <w:p>
                  <w:pPr>
                    <w:pStyle w:val="111"/>
                    <w:spacing w:line="276" w:lineRule="auto"/>
                    <w:jc w:val="both"/>
                    <w:rPr>
                      <w:color w:val="auto"/>
                      <w:szCs w:val="18"/>
                    </w:rPr>
                  </w:pPr>
                  <w:r>
                    <w:rPr>
                      <w:color w:val="auto"/>
                      <w:szCs w:val="18"/>
                    </w:rPr>
                    <w:t>DN500，PN=1.0MPa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color w:val="auto"/>
                      <w:szCs w:val="18"/>
                    </w:rPr>
                    <w:t>2</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rFonts w:hint="eastAsia"/>
                      <w:color w:val="auto"/>
                      <w:szCs w:val="18"/>
                    </w:rPr>
                    <w:t>双法兰限位伸缩接头</w:t>
                  </w:r>
                </w:p>
              </w:tc>
              <w:tc>
                <w:tcPr>
                  <w:tcW w:w="3219" w:type="dxa"/>
                  <w:shd w:val="clear" w:color="auto" w:fill="auto"/>
                  <w:noWrap w:val="0"/>
                  <w:vAlign w:val="center"/>
                </w:tcPr>
                <w:p>
                  <w:pPr>
                    <w:pStyle w:val="111"/>
                    <w:spacing w:line="276" w:lineRule="auto"/>
                    <w:jc w:val="both"/>
                    <w:rPr>
                      <w:color w:val="auto"/>
                      <w:szCs w:val="18"/>
                    </w:rPr>
                  </w:pPr>
                  <w:r>
                    <w:rPr>
                      <w:rFonts w:hint="eastAsia"/>
                      <w:color w:val="auto"/>
                      <w:szCs w:val="18"/>
                    </w:rPr>
                    <w:t>DN700，PN1.0MPa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color w:val="auto"/>
                      <w:szCs w:val="18"/>
                    </w:rPr>
                    <w:t>2</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rFonts w:hint="eastAsia"/>
                      <w:color w:val="auto"/>
                      <w:szCs w:val="18"/>
                    </w:rPr>
                  </w:pPr>
                  <w:r>
                    <w:rPr>
                      <w:rFonts w:hint="eastAsia"/>
                      <w:color w:val="auto"/>
                      <w:szCs w:val="18"/>
                    </w:rPr>
                    <w:t>双法兰限位伸缩接头</w:t>
                  </w:r>
                </w:p>
              </w:tc>
              <w:tc>
                <w:tcPr>
                  <w:tcW w:w="3219" w:type="dxa"/>
                  <w:shd w:val="clear" w:color="auto" w:fill="auto"/>
                  <w:noWrap w:val="0"/>
                  <w:vAlign w:val="center"/>
                </w:tcPr>
                <w:p>
                  <w:pPr>
                    <w:pStyle w:val="111"/>
                    <w:spacing w:line="276" w:lineRule="auto"/>
                    <w:jc w:val="both"/>
                    <w:rPr>
                      <w:color w:val="auto"/>
                      <w:szCs w:val="18"/>
                    </w:rPr>
                  </w:pPr>
                  <w:r>
                    <w:rPr>
                      <w:rFonts w:hint="eastAsia"/>
                      <w:color w:val="auto"/>
                      <w:szCs w:val="18"/>
                    </w:rPr>
                    <w:t>DN700，PN1.0MPa</w:t>
                  </w:r>
                </w:p>
              </w:tc>
              <w:tc>
                <w:tcPr>
                  <w:tcW w:w="880" w:type="dxa"/>
                  <w:shd w:val="clear" w:color="auto" w:fill="auto"/>
                  <w:noWrap w:val="0"/>
                  <w:vAlign w:val="center"/>
                </w:tcPr>
                <w:p>
                  <w:pPr>
                    <w:pStyle w:val="111"/>
                    <w:spacing w:line="276" w:lineRule="auto"/>
                    <w:jc w:val="both"/>
                    <w:rPr>
                      <w:color w:val="auto"/>
                      <w:szCs w:val="18"/>
                    </w:rPr>
                  </w:pPr>
                  <w:r>
                    <w:rPr>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color w:val="auto"/>
                      <w:szCs w:val="18"/>
                    </w:rPr>
                    <w:t>2</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rFonts w:hint="eastAsia"/>
                      <w:color w:val="auto"/>
                      <w:szCs w:val="18"/>
                    </w:rPr>
                    <w:t>压力变送器</w:t>
                  </w:r>
                </w:p>
              </w:tc>
              <w:tc>
                <w:tcPr>
                  <w:tcW w:w="3219" w:type="dxa"/>
                  <w:shd w:val="clear" w:color="auto" w:fill="auto"/>
                  <w:noWrap w:val="0"/>
                  <w:vAlign w:val="center"/>
                </w:tcPr>
                <w:p>
                  <w:pPr>
                    <w:pStyle w:val="111"/>
                    <w:spacing w:line="276" w:lineRule="auto"/>
                    <w:jc w:val="both"/>
                    <w:rPr>
                      <w:color w:val="auto"/>
                      <w:szCs w:val="18"/>
                    </w:rPr>
                  </w:pPr>
                  <w:r>
                    <w:rPr>
                      <w:color w:val="auto"/>
                      <w:szCs w:val="18"/>
                    </w:rPr>
                    <w:t>0~1.0Mpa</w:t>
                  </w:r>
                </w:p>
              </w:tc>
              <w:tc>
                <w:tcPr>
                  <w:tcW w:w="880" w:type="dxa"/>
                  <w:shd w:val="clear" w:color="auto" w:fill="auto"/>
                  <w:noWrap w:val="0"/>
                  <w:vAlign w:val="center"/>
                </w:tcPr>
                <w:p>
                  <w:pPr>
                    <w:pStyle w:val="111"/>
                    <w:spacing w:line="276" w:lineRule="auto"/>
                    <w:jc w:val="both"/>
                    <w:rPr>
                      <w:color w:val="auto"/>
                      <w:szCs w:val="18"/>
                    </w:rPr>
                  </w:pPr>
                  <w:r>
                    <w:rPr>
                      <w:rFonts w:hint="eastAsia"/>
                      <w:color w:val="auto"/>
                      <w:szCs w:val="18"/>
                    </w:rPr>
                    <w:t>个</w:t>
                  </w:r>
                </w:p>
              </w:tc>
              <w:tc>
                <w:tcPr>
                  <w:tcW w:w="1082" w:type="dxa"/>
                  <w:shd w:val="clear" w:color="auto" w:fill="auto"/>
                  <w:noWrap w:val="0"/>
                  <w:vAlign w:val="center"/>
                </w:tcPr>
                <w:p>
                  <w:pPr>
                    <w:pStyle w:val="111"/>
                    <w:spacing w:line="276" w:lineRule="auto"/>
                    <w:jc w:val="both"/>
                    <w:rPr>
                      <w:color w:val="auto"/>
                      <w:szCs w:val="18"/>
                    </w:rPr>
                  </w:pPr>
                  <w:r>
                    <w:rPr>
                      <w:rFonts w:hint="eastAsia"/>
                      <w:color w:val="auto"/>
                      <w:szCs w:val="18"/>
                    </w:rPr>
                    <w:t>5</w:t>
                  </w:r>
                </w:p>
              </w:tc>
              <w:tc>
                <w:tcPr>
                  <w:tcW w:w="1446" w:type="dxa"/>
                  <w:shd w:val="clear" w:color="auto" w:fill="auto"/>
                  <w:noWrap w:val="0"/>
                  <w:vAlign w:val="center"/>
                </w:tcPr>
                <w:p>
                  <w:pPr>
                    <w:pStyle w:val="111"/>
                    <w:spacing w:line="276" w:lineRule="auto"/>
                    <w:jc w:val="both"/>
                    <w:rPr>
                      <w:color w:val="auto"/>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restart"/>
                  <w:shd w:val="clear" w:color="auto" w:fill="auto"/>
                  <w:noWrap w:val="0"/>
                  <w:vAlign w:val="center"/>
                </w:tcPr>
                <w:p>
                  <w:pPr>
                    <w:pStyle w:val="111"/>
                    <w:spacing w:line="276" w:lineRule="auto"/>
                    <w:jc w:val="both"/>
                    <w:rPr>
                      <w:color w:val="auto"/>
                      <w:szCs w:val="18"/>
                    </w:rPr>
                  </w:pPr>
                  <w:r>
                    <w:rPr>
                      <w:color w:val="auto"/>
                      <w:szCs w:val="18"/>
                    </w:rPr>
                    <w:t>八</w:t>
                  </w:r>
                </w:p>
              </w:tc>
              <w:tc>
                <w:tcPr>
                  <w:tcW w:w="887" w:type="dxa"/>
                  <w:vMerge w:val="restart"/>
                  <w:shd w:val="clear" w:color="auto" w:fill="auto"/>
                  <w:noWrap w:val="0"/>
                  <w:vAlign w:val="center"/>
                </w:tcPr>
                <w:p>
                  <w:pPr>
                    <w:pStyle w:val="111"/>
                    <w:spacing w:line="276" w:lineRule="auto"/>
                    <w:jc w:val="both"/>
                    <w:rPr>
                      <w:color w:val="auto"/>
                      <w:szCs w:val="18"/>
                    </w:rPr>
                  </w:pPr>
                  <w:r>
                    <w:rPr>
                      <w:color w:val="auto"/>
                      <w:szCs w:val="18"/>
                    </w:rPr>
                    <w:t>加药间（现状）</w:t>
                  </w:r>
                </w:p>
              </w:tc>
              <w:tc>
                <w:tcPr>
                  <w:tcW w:w="1221" w:type="dxa"/>
                  <w:shd w:val="clear" w:color="auto" w:fill="auto"/>
                  <w:noWrap w:val="0"/>
                  <w:vAlign w:val="center"/>
                </w:tcPr>
                <w:p>
                  <w:pPr>
                    <w:pStyle w:val="111"/>
                    <w:spacing w:line="276" w:lineRule="auto"/>
                    <w:jc w:val="both"/>
                    <w:rPr>
                      <w:color w:val="auto"/>
                      <w:szCs w:val="18"/>
                    </w:rPr>
                  </w:pPr>
                  <w:r>
                    <w:rPr>
                      <w:color w:val="auto"/>
                      <w:szCs w:val="18"/>
                    </w:rPr>
                    <w:t>PAC计量泵（预沉絮凝池）</w:t>
                  </w:r>
                </w:p>
              </w:tc>
              <w:tc>
                <w:tcPr>
                  <w:tcW w:w="3219" w:type="dxa"/>
                  <w:shd w:val="clear" w:color="auto" w:fill="auto"/>
                  <w:noWrap w:val="0"/>
                  <w:vAlign w:val="center"/>
                </w:tcPr>
                <w:p>
                  <w:pPr>
                    <w:pStyle w:val="111"/>
                    <w:spacing w:line="276" w:lineRule="auto"/>
                    <w:jc w:val="both"/>
                    <w:rPr>
                      <w:color w:val="auto"/>
                      <w:szCs w:val="18"/>
                    </w:rPr>
                  </w:pPr>
                  <w:r>
                    <w:rPr>
                      <w:color w:val="auto"/>
                      <w:szCs w:val="18"/>
                    </w:rPr>
                    <w:t>Q=0-800L/h，N=0.75kW，H=4.0bar</w:t>
                  </w:r>
                </w:p>
              </w:tc>
              <w:tc>
                <w:tcPr>
                  <w:tcW w:w="880" w:type="dxa"/>
                  <w:shd w:val="clear" w:color="auto" w:fill="auto"/>
                  <w:noWrap w:val="0"/>
                  <w:vAlign w:val="center"/>
                </w:tcPr>
                <w:p>
                  <w:pPr>
                    <w:pStyle w:val="111"/>
                    <w:spacing w:line="276" w:lineRule="auto"/>
                    <w:jc w:val="both"/>
                    <w:rPr>
                      <w:color w:val="auto"/>
                      <w:szCs w:val="18"/>
                    </w:rPr>
                  </w:pPr>
                  <w:r>
                    <w:rPr>
                      <w:color w:val="auto"/>
                      <w:szCs w:val="18"/>
                    </w:rPr>
                    <w:t>台</w:t>
                  </w:r>
                </w:p>
              </w:tc>
              <w:tc>
                <w:tcPr>
                  <w:tcW w:w="1082" w:type="dxa"/>
                  <w:shd w:val="clear" w:color="auto" w:fill="auto"/>
                  <w:noWrap w:val="0"/>
                  <w:vAlign w:val="center"/>
                </w:tcPr>
                <w:p>
                  <w:pPr>
                    <w:pStyle w:val="111"/>
                    <w:spacing w:line="276" w:lineRule="auto"/>
                    <w:jc w:val="both"/>
                    <w:rPr>
                      <w:color w:val="auto"/>
                      <w:szCs w:val="18"/>
                    </w:rPr>
                  </w:pPr>
                  <w:r>
                    <w:rPr>
                      <w:color w:val="auto"/>
                      <w:szCs w:val="18"/>
                    </w:rPr>
                    <w:t>2</w:t>
                  </w:r>
                </w:p>
              </w:tc>
              <w:tc>
                <w:tcPr>
                  <w:tcW w:w="1446" w:type="dxa"/>
                  <w:shd w:val="clear" w:color="auto" w:fill="auto"/>
                  <w:noWrap w:val="0"/>
                  <w:vAlign w:val="center"/>
                </w:tcPr>
                <w:p>
                  <w:pPr>
                    <w:pStyle w:val="111"/>
                    <w:spacing w:line="276" w:lineRule="auto"/>
                    <w:jc w:val="both"/>
                    <w:rPr>
                      <w:color w:val="auto"/>
                      <w:szCs w:val="18"/>
                    </w:rPr>
                  </w:pPr>
                  <w:r>
                    <w:rPr>
                      <w:rFonts w:hint="eastAsia"/>
                      <w:color w:val="auto"/>
                      <w:szCs w:val="18"/>
                    </w:rPr>
                    <w:t>1用1备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vMerge w:val="continue"/>
                  <w:shd w:val="clear" w:color="auto" w:fill="auto"/>
                  <w:noWrap w:val="0"/>
                  <w:vAlign w:val="center"/>
                </w:tcPr>
                <w:p>
                  <w:pPr>
                    <w:pStyle w:val="111"/>
                    <w:spacing w:line="276" w:lineRule="auto"/>
                    <w:ind w:firstLine="422"/>
                    <w:jc w:val="both"/>
                    <w:rPr>
                      <w:color w:val="auto"/>
                      <w:szCs w:val="18"/>
                    </w:rPr>
                  </w:pPr>
                </w:p>
              </w:tc>
              <w:tc>
                <w:tcPr>
                  <w:tcW w:w="887" w:type="dxa"/>
                  <w:vMerge w:val="continue"/>
                  <w:shd w:val="clear" w:color="auto" w:fill="auto"/>
                  <w:noWrap w:val="0"/>
                  <w:vAlign w:val="center"/>
                </w:tcPr>
                <w:p>
                  <w:pPr>
                    <w:pStyle w:val="111"/>
                    <w:spacing w:line="276" w:lineRule="auto"/>
                    <w:jc w:val="both"/>
                    <w:rPr>
                      <w:color w:val="auto"/>
                      <w:szCs w:val="18"/>
                    </w:rPr>
                  </w:pPr>
                </w:p>
              </w:tc>
              <w:tc>
                <w:tcPr>
                  <w:tcW w:w="1221" w:type="dxa"/>
                  <w:shd w:val="clear" w:color="auto" w:fill="auto"/>
                  <w:noWrap w:val="0"/>
                  <w:vAlign w:val="center"/>
                </w:tcPr>
                <w:p>
                  <w:pPr>
                    <w:pStyle w:val="111"/>
                    <w:spacing w:line="276" w:lineRule="auto"/>
                    <w:jc w:val="both"/>
                    <w:rPr>
                      <w:color w:val="auto"/>
                      <w:szCs w:val="18"/>
                    </w:rPr>
                  </w:pPr>
                  <w:r>
                    <w:rPr>
                      <w:color w:val="auto"/>
                      <w:szCs w:val="18"/>
                    </w:rPr>
                    <w:t>PAC计量泵（沉淀絮凝池）</w:t>
                  </w:r>
                </w:p>
              </w:tc>
              <w:tc>
                <w:tcPr>
                  <w:tcW w:w="3219" w:type="dxa"/>
                  <w:shd w:val="clear" w:color="auto" w:fill="auto"/>
                  <w:noWrap w:val="0"/>
                  <w:vAlign w:val="center"/>
                </w:tcPr>
                <w:p>
                  <w:pPr>
                    <w:pStyle w:val="111"/>
                    <w:spacing w:line="276" w:lineRule="auto"/>
                    <w:jc w:val="both"/>
                    <w:rPr>
                      <w:color w:val="auto"/>
                      <w:szCs w:val="18"/>
                    </w:rPr>
                  </w:pPr>
                  <w:r>
                    <w:rPr>
                      <w:color w:val="auto"/>
                      <w:szCs w:val="18"/>
                    </w:rPr>
                    <w:t>Q=0-500L/h，N=0.75kW，H=4.0bar</w:t>
                  </w:r>
                </w:p>
              </w:tc>
              <w:tc>
                <w:tcPr>
                  <w:tcW w:w="880" w:type="dxa"/>
                  <w:shd w:val="clear" w:color="auto" w:fill="auto"/>
                  <w:noWrap w:val="0"/>
                  <w:vAlign w:val="center"/>
                </w:tcPr>
                <w:p>
                  <w:pPr>
                    <w:pStyle w:val="111"/>
                    <w:spacing w:line="276" w:lineRule="auto"/>
                    <w:jc w:val="both"/>
                    <w:rPr>
                      <w:color w:val="auto"/>
                      <w:szCs w:val="18"/>
                    </w:rPr>
                  </w:pPr>
                  <w:r>
                    <w:rPr>
                      <w:color w:val="auto"/>
                      <w:szCs w:val="18"/>
                    </w:rPr>
                    <w:t>台</w:t>
                  </w:r>
                </w:p>
              </w:tc>
              <w:tc>
                <w:tcPr>
                  <w:tcW w:w="1082" w:type="dxa"/>
                  <w:shd w:val="clear" w:color="auto" w:fill="auto"/>
                  <w:noWrap w:val="0"/>
                  <w:vAlign w:val="center"/>
                </w:tcPr>
                <w:p>
                  <w:pPr>
                    <w:pStyle w:val="111"/>
                    <w:spacing w:line="276" w:lineRule="auto"/>
                    <w:jc w:val="both"/>
                    <w:rPr>
                      <w:color w:val="auto"/>
                      <w:szCs w:val="18"/>
                    </w:rPr>
                  </w:pPr>
                  <w:r>
                    <w:rPr>
                      <w:color w:val="auto"/>
                      <w:szCs w:val="18"/>
                    </w:rPr>
                    <w:t>2</w:t>
                  </w:r>
                </w:p>
              </w:tc>
              <w:tc>
                <w:tcPr>
                  <w:tcW w:w="1446" w:type="dxa"/>
                  <w:shd w:val="clear" w:color="auto" w:fill="auto"/>
                  <w:noWrap w:val="0"/>
                  <w:vAlign w:val="center"/>
                </w:tcPr>
                <w:p>
                  <w:pPr>
                    <w:pStyle w:val="111"/>
                    <w:spacing w:line="276" w:lineRule="auto"/>
                    <w:jc w:val="both"/>
                    <w:rPr>
                      <w:color w:val="auto"/>
                      <w:szCs w:val="18"/>
                    </w:rPr>
                  </w:pPr>
                  <w:r>
                    <w:rPr>
                      <w:rFonts w:hint="eastAsia"/>
                      <w:color w:val="auto"/>
                      <w:szCs w:val="18"/>
                    </w:rPr>
                    <w:t>1用1备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73" w:type="dxa"/>
                  <w:shd w:val="clear" w:color="auto" w:fill="auto"/>
                  <w:noWrap w:val="0"/>
                  <w:vAlign w:val="center"/>
                </w:tcPr>
                <w:p>
                  <w:pPr>
                    <w:spacing w:line="276" w:lineRule="auto"/>
                    <w:rPr>
                      <w:sz w:val="18"/>
                      <w:szCs w:val="18"/>
                    </w:rPr>
                  </w:pPr>
                  <w:r>
                    <w:rPr>
                      <w:rFonts w:hint="eastAsia"/>
                      <w:sz w:val="18"/>
                      <w:szCs w:val="18"/>
                    </w:rPr>
                    <w:t>九</w:t>
                  </w:r>
                </w:p>
              </w:tc>
              <w:tc>
                <w:tcPr>
                  <w:tcW w:w="887" w:type="dxa"/>
                  <w:shd w:val="clear" w:color="auto" w:fill="auto"/>
                  <w:noWrap w:val="0"/>
                  <w:vAlign w:val="center"/>
                </w:tcPr>
                <w:p>
                  <w:pPr>
                    <w:pStyle w:val="111"/>
                    <w:spacing w:line="276" w:lineRule="auto"/>
                    <w:jc w:val="both"/>
                    <w:rPr>
                      <w:color w:val="auto"/>
                      <w:szCs w:val="18"/>
                    </w:rPr>
                  </w:pPr>
                  <w:r>
                    <w:rPr>
                      <w:color w:val="auto"/>
                      <w:szCs w:val="18"/>
                    </w:rPr>
                    <w:t>加氯间（现状）</w:t>
                  </w:r>
                </w:p>
              </w:tc>
              <w:tc>
                <w:tcPr>
                  <w:tcW w:w="1221" w:type="dxa"/>
                  <w:shd w:val="clear" w:color="auto" w:fill="auto"/>
                  <w:noWrap w:val="0"/>
                  <w:vAlign w:val="center"/>
                </w:tcPr>
                <w:p>
                  <w:pPr>
                    <w:pStyle w:val="111"/>
                    <w:spacing w:line="276" w:lineRule="auto"/>
                    <w:jc w:val="both"/>
                    <w:rPr>
                      <w:color w:val="auto"/>
                      <w:szCs w:val="18"/>
                    </w:rPr>
                  </w:pPr>
                  <w:r>
                    <w:rPr>
                      <w:color w:val="auto"/>
                      <w:szCs w:val="18"/>
                    </w:rPr>
                    <w:t>二氧化氯发生器</w:t>
                  </w:r>
                </w:p>
              </w:tc>
              <w:tc>
                <w:tcPr>
                  <w:tcW w:w="3219" w:type="dxa"/>
                  <w:shd w:val="clear" w:color="auto" w:fill="auto"/>
                  <w:noWrap w:val="0"/>
                  <w:vAlign w:val="center"/>
                </w:tcPr>
                <w:p>
                  <w:pPr>
                    <w:pStyle w:val="111"/>
                    <w:spacing w:line="276" w:lineRule="auto"/>
                    <w:jc w:val="both"/>
                    <w:rPr>
                      <w:color w:val="auto"/>
                      <w:szCs w:val="18"/>
                    </w:rPr>
                  </w:pPr>
                  <w:r>
                    <w:rPr>
                      <w:color w:val="auto"/>
                      <w:szCs w:val="18"/>
                    </w:rPr>
                    <w:t>W=3.0-3.5kg/h(二氧化氯) ，N=2.5KW</w:t>
                  </w:r>
                </w:p>
              </w:tc>
              <w:tc>
                <w:tcPr>
                  <w:tcW w:w="880" w:type="dxa"/>
                  <w:shd w:val="clear" w:color="auto" w:fill="auto"/>
                  <w:noWrap w:val="0"/>
                  <w:vAlign w:val="center"/>
                </w:tcPr>
                <w:p>
                  <w:pPr>
                    <w:pStyle w:val="111"/>
                    <w:spacing w:line="276" w:lineRule="auto"/>
                    <w:jc w:val="both"/>
                    <w:rPr>
                      <w:color w:val="auto"/>
                      <w:szCs w:val="18"/>
                    </w:rPr>
                  </w:pPr>
                  <w:r>
                    <w:rPr>
                      <w:color w:val="auto"/>
                      <w:szCs w:val="18"/>
                    </w:rPr>
                    <w:t>套</w:t>
                  </w:r>
                </w:p>
              </w:tc>
              <w:tc>
                <w:tcPr>
                  <w:tcW w:w="1082" w:type="dxa"/>
                  <w:shd w:val="clear" w:color="auto" w:fill="auto"/>
                  <w:noWrap w:val="0"/>
                  <w:vAlign w:val="center"/>
                </w:tcPr>
                <w:p>
                  <w:pPr>
                    <w:pStyle w:val="111"/>
                    <w:spacing w:line="276" w:lineRule="auto"/>
                    <w:jc w:val="both"/>
                    <w:rPr>
                      <w:color w:val="auto"/>
                      <w:szCs w:val="18"/>
                    </w:rPr>
                  </w:pPr>
                  <w:r>
                    <w:rPr>
                      <w:color w:val="auto"/>
                      <w:szCs w:val="18"/>
                    </w:rPr>
                    <w:t>2</w:t>
                  </w:r>
                </w:p>
              </w:tc>
              <w:tc>
                <w:tcPr>
                  <w:tcW w:w="1446" w:type="dxa"/>
                  <w:shd w:val="clear" w:color="auto" w:fill="auto"/>
                  <w:noWrap w:val="0"/>
                  <w:vAlign w:val="center"/>
                </w:tcPr>
                <w:p>
                  <w:pPr>
                    <w:pStyle w:val="111"/>
                    <w:spacing w:line="276" w:lineRule="auto"/>
                    <w:jc w:val="both"/>
                    <w:rPr>
                      <w:color w:val="auto"/>
                      <w:szCs w:val="18"/>
                    </w:rPr>
                  </w:pPr>
                </w:p>
              </w:tc>
            </w:tr>
          </w:tbl>
          <w:p>
            <w:pPr>
              <w:spacing w:line="276" w:lineRule="auto"/>
              <w:jc w:val="center"/>
              <w:rPr>
                <w:rFonts w:hint="eastAsia"/>
                <w:b/>
                <w:bCs/>
                <w:kern w:val="24"/>
                <w:szCs w:val="21"/>
              </w:rPr>
            </w:pPr>
            <w:r>
              <w:rPr>
                <w:rFonts w:hint="eastAsia"/>
                <w:b/>
                <w:bCs/>
                <w:kern w:val="24"/>
                <w:szCs w:val="21"/>
              </w:rPr>
              <w:t>表2-4 净水厂主要构、建筑物一览表</w:t>
            </w:r>
          </w:p>
          <w:tbl>
            <w:tblPr>
              <w:tblStyle w:val="2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90"/>
              <w:gridCol w:w="2025"/>
              <w:gridCol w:w="2685"/>
              <w:gridCol w:w="791"/>
              <w:gridCol w:w="791"/>
              <w:gridCol w:w="20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34" w:type="pct"/>
                  <w:shd w:val="clear" w:color="auto" w:fill="auto"/>
                  <w:noWrap w:val="0"/>
                  <w:vAlign w:val="top"/>
                </w:tcPr>
                <w:p>
                  <w:pPr>
                    <w:pStyle w:val="112"/>
                    <w:rPr>
                      <w:color w:val="auto"/>
                      <w:sz w:val="18"/>
                      <w:szCs w:val="18"/>
                    </w:rPr>
                  </w:pPr>
                  <w:r>
                    <w:rPr>
                      <w:color w:val="auto"/>
                      <w:sz w:val="18"/>
                      <w:szCs w:val="18"/>
                    </w:rPr>
                    <w:t>编号</w:t>
                  </w:r>
                </w:p>
              </w:tc>
              <w:tc>
                <w:tcPr>
                  <w:tcW w:w="1112" w:type="pct"/>
                  <w:shd w:val="clear" w:color="auto" w:fill="auto"/>
                  <w:noWrap w:val="0"/>
                  <w:vAlign w:val="top"/>
                </w:tcPr>
                <w:p>
                  <w:pPr>
                    <w:pStyle w:val="112"/>
                    <w:rPr>
                      <w:color w:val="auto"/>
                      <w:sz w:val="18"/>
                      <w:szCs w:val="18"/>
                    </w:rPr>
                  </w:pPr>
                  <w:r>
                    <w:rPr>
                      <w:color w:val="auto"/>
                      <w:sz w:val="18"/>
                      <w:szCs w:val="18"/>
                    </w:rPr>
                    <w:t>名称</w:t>
                  </w:r>
                </w:p>
              </w:tc>
              <w:tc>
                <w:tcPr>
                  <w:tcW w:w="1474" w:type="pct"/>
                  <w:shd w:val="clear" w:color="auto" w:fill="auto"/>
                  <w:noWrap w:val="0"/>
                  <w:vAlign w:val="top"/>
                </w:tcPr>
                <w:p>
                  <w:pPr>
                    <w:pStyle w:val="112"/>
                    <w:rPr>
                      <w:color w:val="auto"/>
                      <w:sz w:val="18"/>
                      <w:szCs w:val="18"/>
                    </w:rPr>
                  </w:pPr>
                  <w:r>
                    <w:rPr>
                      <w:color w:val="auto"/>
                      <w:sz w:val="18"/>
                      <w:szCs w:val="18"/>
                    </w:rPr>
                    <w:t>规格、尺寸（m）</w:t>
                  </w:r>
                </w:p>
              </w:tc>
              <w:tc>
                <w:tcPr>
                  <w:tcW w:w="434" w:type="pct"/>
                  <w:shd w:val="clear" w:color="auto" w:fill="auto"/>
                  <w:noWrap w:val="0"/>
                  <w:vAlign w:val="top"/>
                </w:tcPr>
                <w:p>
                  <w:pPr>
                    <w:pStyle w:val="112"/>
                    <w:rPr>
                      <w:color w:val="auto"/>
                      <w:sz w:val="18"/>
                      <w:szCs w:val="18"/>
                    </w:rPr>
                  </w:pPr>
                  <w:r>
                    <w:rPr>
                      <w:color w:val="auto"/>
                      <w:sz w:val="18"/>
                      <w:szCs w:val="18"/>
                    </w:rPr>
                    <w:t>单位</w:t>
                  </w:r>
                </w:p>
              </w:tc>
              <w:tc>
                <w:tcPr>
                  <w:tcW w:w="434" w:type="pct"/>
                  <w:shd w:val="clear" w:color="auto" w:fill="auto"/>
                  <w:noWrap w:val="0"/>
                  <w:vAlign w:val="top"/>
                </w:tcPr>
                <w:p>
                  <w:pPr>
                    <w:pStyle w:val="112"/>
                    <w:rPr>
                      <w:color w:val="auto"/>
                      <w:sz w:val="18"/>
                      <w:szCs w:val="18"/>
                    </w:rPr>
                  </w:pPr>
                  <w:r>
                    <w:rPr>
                      <w:color w:val="auto"/>
                      <w:sz w:val="18"/>
                      <w:szCs w:val="18"/>
                    </w:rPr>
                    <w:t>数量</w:t>
                  </w:r>
                </w:p>
              </w:tc>
              <w:tc>
                <w:tcPr>
                  <w:tcW w:w="1112" w:type="pct"/>
                  <w:shd w:val="clear" w:color="auto" w:fill="auto"/>
                  <w:noWrap w:val="0"/>
                  <w:vAlign w:val="top"/>
                </w:tcPr>
                <w:p>
                  <w:pPr>
                    <w:pStyle w:val="112"/>
                    <w:rPr>
                      <w:color w:val="auto"/>
                      <w:sz w:val="18"/>
                      <w:szCs w:val="18"/>
                    </w:rPr>
                  </w:pPr>
                  <w:r>
                    <w:rPr>
                      <w:color w:val="auto"/>
                      <w:sz w:val="18"/>
                      <w:szCs w:val="1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34" w:type="pct"/>
                  <w:shd w:val="clear" w:color="auto" w:fill="auto"/>
                  <w:noWrap w:val="0"/>
                  <w:vAlign w:val="top"/>
                </w:tcPr>
                <w:p>
                  <w:pPr>
                    <w:pStyle w:val="112"/>
                    <w:rPr>
                      <w:color w:val="auto"/>
                      <w:sz w:val="18"/>
                      <w:szCs w:val="18"/>
                    </w:rPr>
                  </w:pPr>
                  <w:r>
                    <w:rPr>
                      <w:color w:val="auto"/>
                      <w:sz w:val="18"/>
                      <w:szCs w:val="18"/>
                    </w:rPr>
                    <w:t>1</w:t>
                  </w:r>
                </w:p>
              </w:tc>
              <w:tc>
                <w:tcPr>
                  <w:tcW w:w="1112" w:type="pct"/>
                  <w:shd w:val="clear" w:color="auto" w:fill="auto"/>
                  <w:noWrap w:val="0"/>
                  <w:vAlign w:val="top"/>
                </w:tcPr>
                <w:p>
                  <w:pPr>
                    <w:pStyle w:val="112"/>
                    <w:rPr>
                      <w:color w:val="auto"/>
                      <w:sz w:val="18"/>
                      <w:szCs w:val="18"/>
                    </w:rPr>
                  </w:pPr>
                  <w:r>
                    <w:rPr>
                      <w:color w:val="auto"/>
                      <w:sz w:val="18"/>
                      <w:szCs w:val="18"/>
                    </w:rPr>
                    <w:t>配水井</w:t>
                  </w:r>
                </w:p>
              </w:tc>
              <w:tc>
                <w:tcPr>
                  <w:tcW w:w="1474" w:type="pct"/>
                  <w:shd w:val="clear" w:color="auto" w:fill="auto"/>
                  <w:noWrap w:val="0"/>
                  <w:vAlign w:val="top"/>
                </w:tcPr>
                <w:p>
                  <w:pPr>
                    <w:pStyle w:val="112"/>
                    <w:rPr>
                      <w:color w:val="auto"/>
                      <w:sz w:val="18"/>
                      <w:szCs w:val="18"/>
                    </w:rPr>
                  </w:pPr>
                  <w:r>
                    <w:rPr>
                      <w:color w:val="auto"/>
                      <w:sz w:val="18"/>
                      <w:szCs w:val="18"/>
                    </w:rPr>
                    <w:t>20.</w:t>
                  </w:r>
                  <w:r>
                    <w:rPr>
                      <w:rFonts w:hint="eastAsia"/>
                      <w:color w:val="auto"/>
                      <w:sz w:val="18"/>
                      <w:szCs w:val="18"/>
                    </w:rPr>
                    <w:t>75</w:t>
                  </w:r>
                  <w:r>
                    <w:rPr>
                      <w:color w:val="auto"/>
                      <w:sz w:val="18"/>
                      <w:szCs w:val="18"/>
                    </w:rPr>
                    <w:t>×10.0×</w:t>
                  </w:r>
                  <w:r>
                    <w:rPr>
                      <w:rFonts w:hint="eastAsia"/>
                      <w:color w:val="auto"/>
                      <w:sz w:val="18"/>
                      <w:szCs w:val="18"/>
                    </w:rPr>
                    <w:t>6.8</w:t>
                  </w:r>
                </w:p>
              </w:tc>
              <w:tc>
                <w:tcPr>
                  <w:tcW w:w="434" w:type="pct"/>
                  <w:shd w:val="clear" w:color="auto" w:fill="auto"/>
                  <w:noWrap w:val="0"/>
                  <w:vAlign w:val="top"/>
                </w:tcPr>
                <w:p>
                  <w:pPr>
                    <w:pStyle w:val="112"/>
                    <w:rPr>
                      <w:color w:val="auto"/>
                      <w:sz w:val="18"/>
                      <w:szCs w:val="18"/>
                    </w:rPr>
                  </w:pPr>
                  <w:r>
                    <w:rPr>
                      <w:color w:val="auto"/>
                      <w:sz w:val="18"/>
                      <w:szCs w:val="18"/>
                    </w:rPr>
                    <w:t>座</w:t>
                  </w:r>
                </w:p>
              </w:tc>
              <w:tc>
                <w:tcPr>
                  <w:tcW w:w="434" w:type="pct"/>
                  <w:shd w:val="clear" w:color="auto" w:fill="auto"/>
                  <w:noWrap w:val="0"/>
                  <w:vAlign w:val="top"/>
                </w:tcPr>
                <w:p>
                  <w:pPr>
                    <w:pStyle w:val="112"/>
                    <w:rPr>
                      <w:color w:val="auto"/>
                      <w:sz w:val="18"/>
                      <w:szCs w:val="18"/>
                    </w:rPr>
                  </w:pPr>
                  <w:r>
                    <w:rPr>
                      <w:color w:val="auto"/>
                      <w:sz w:val="18"/>
                      <w:szCs w:val="18"/>
                    </w:rPr>
                    <w:t>1</w:t>
                  </w:r>
                </w:p>
              </w:tc>
              <w:tc>
                <w:tcPr>
                  <w:tcW w:w="1112" w:type="pct"/>
                  <w:shd w:val="clear" w:color="auto" w:fill="auto"/>
                  <w:noWrap w:val="0"/>
                  <w:vAlign w:val="top"/>
                </w:tcPr>
                <w:p>
                  <w:pPr>
                    <w:pStyle w:val="112"/>
                    <w:rPr>
                      <w:color w:val="auto"/>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34" w:type="pct"/>
                  <w:shd w:val="clear" w:color="auto" w:fill="auto"/>
                  <w:noWrap w:val="0"/>
                  <w:vAlign w:val="top"/>
                </w:tcPr>
                <w:p>
                  <w:pPr>
                    <w:pStyle w:val="112"/>
                    <w:rPr>
                      <w:color w:val="auto"/>
                      <w:sz w:val="18"/>
                      <w:szCs w:val="18"/>
                    </w:rPr>
                  </w:pPr>
                  <w:r>
                    <w:rPr>
                      <w:color w:val="auto"/>
                      <w:sz w:val="18"/>
                      <w:szCs w:val="18"/>
                    </w:rPr>
                    <w:t>2</w:t>
                  </w:r>
                </w:p>
              </w:tc>
              <w:tc>
                <w:tcPr>
                  <w:tcW w:w="1112" w:type="pct"/>
                  <w:shd w:val="clear" w:color="auto" w:fill="auto"/>
                  <w:noWrap w:val="0"/>
                  <w:vAlign w:val="top"/>
                </w:tcPr>
                <w:p>
                  <w:pPr>
                    <w:pStyle w:val="112"/>
                    <w:rPr>
                      <w:color w:val="auto"/>
                      <w:sz w:val="18"/>
                      <w:szCs w:val="18"/>
                    </w:rPr>
                  </w:pPr>
                  <w:r>
                    <w:rPr>
                      <w:color w:val="auto"/>
                      <w:sz w:val="18"/>
                      <w:szCs w:val="18"/>
                    </w:rPr>
                    <w:t>预沉絮凝沉淀池</w:t>
                  </w:r>
                </w:p>
              </w:tc>
              <w:tc>
                <w:tcPr>
                  <w:tcW w:w="1474" w:type="pct"/>
                  <w:shd w:val="clear" w:color="auto" w:fill="auto"/>
                  <w:noWrap w:val="0"/>
                  <w:vAlign w:val="top"/>
                </w:tcPr>
                <w:p>
                  <w:pPr>
                    <w:pStyle w:val="112"/>
                    <w:rPr>
                      <w:color w:val="auto"/>
                      <w:sz w:val="18"/>
                      <w:szCs w:val="18"/>
                    </w:rPr>
                  </w:pPr>
                  <w:r>
                    <w:rPr>
                      <w:color w:val="auto"/>
                      <w:sz w:val="18"/>
                      <w:szCs w:val="18"/>
                    </w:rPr>
                    <w:t>5</w:t>
                  </w:r>
                  <w:r>
                    <w:rPr>
                      <w:rFonts w:hint="eastAsia"/>
                      <w:color w:val="auto"/>
                      <w:sz w:val="18"/>
                      <w:szCs w:val="18"/>
                    </w:rPr>
                    <w:t>1.95</w:t>
                  </w:r>
                  <w:r>
                    <w:rPr>
                      <w:color w:val="auto"/>
                      <w:sz w:val="18"/>
                      <w:szCs w:val="18"/>
                    </w:rPr>
                    <w:t>×43.1×</w:t>
                  </w:r>
                  <w:r>
                    <w:rPr>
                      <w:rFonts w:hint="eastAsia"/>
                      <w:color w:val="auto"/>
                      <w:sz w:val="18"/>
                      <w:szCs w:val="18"/>
                    </w:rPr>
                    <w:t>(</w:t>
                  </w:r>
                  <w:r>
                    <w:rPr>
                      <w:color w:val="auto"/>
                      <w:sz w:val="18"/>
                      <w:szCs w:val="18"/>
                    </w:rPr>
                    <w:t>5.5~7.0</w:t>
                  </w:r>
                  <w:r>
                    <w:rPr>
                      <w:rFonts w:hint="eastAsia"/>
                      <w:color w:val="auto"/>
                      <w:sz w:val="18"/>
                      <w:szCs w:val="18"/>
                    </w:rPr>
                    <w:t>)</w:t>
                  </w:r>
                </w:p>
              </w:tc>
              <w:tc>
                <w:tcPr>
                  <w:tcW w:w="434" w:type="pct"/>
                  <w:shd w:val="clear" w:color="auto" w:fill="auto"/>
                  <w:noWrap w:val="0"/>
                  <w:vAlign w:val="top"/>
                </w:tcPr>
                <w:p>
                  <w:pPr>
                    <w:pStyle w:val="112"/>
                    <w:rPr>
                      <w:color w:val="auto"/>
                      <w:sz w:val="18"/>
                      <w:szCs w:val="18"/>
                    </w:rPr>
                  </w:pPr>
                  <w:r>
                    <w:rPr>
                      <w:color w:val="auto"/>
                      <w:sz w:val="18"/>
                      <w:szCs w:val="18"/>
                    </w:rPr>
                    <w:t>座</w:t>
                  </w:r>
                </w:p>
              </w:tc>
              <w:tc>
                <w:tcPr>
                  <w:tcW w:w="434" w:type="pct"/>
                  <w:shd w:val="clear" w:color="auto" w:fill="auto"/>
                  <w:noWrap w:val="0"/>
                  <w:vAlign w:val="top"/>
                </w:tcPr>
                <w:p>
                  <w:pPr>
                    <w:pStyle w:val="112"/>
                    <w:rPr>
                      <w:color w:val="auto"/>
                      <w:sz w:val="18"/>
                      <w:szCs w:val="18"/>
                    </w:rPr>
                  </w:pPr>
                  <w:r>
                    <w:rPr>
                      <w:color w:val="auto"/>
                      <w:sz w:val="18"/>
                      <w:szCs w:val="18"/>
                    </w:rPr>
                    <w:t>1</w:t>
                  </w:r>
                </w:p>
              </w:tc>
              <w:tc>
                <w:tcPr>
                  <w:tcW w:w="1112" w:type="pct"/>
                  <w:shd w:val="clear" w:color="auto" w:fill="auto"/>
                  <w:noWrap w:val="0"/>
                  <w:vAlign w:val="top"/>
                </w:tcPr>
                <w:p>
                  <w:pPr>
                    <w:pStyle w:val="112"/>
                    <w:rPr>
                      <w:color w:val="auto"/>
                      <w:sz w:val="18"/>
                      <w:szCs w:val="18"/>
                    </w:rPr>
                  </w:pPr>
                  <w:r>
                    <w:rPr>
                      <w:rFonts w:hint="eastAsia"/>
                      <w:color w:val="auto"/>
                      <w:sz w:val="18"/>
                      <w:szCs w:val="18"/>
                    </w:rPr>
                    <w:t>顶部设框架房子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34" w:type="pct"/>
                  <w:shd w:val="clear" w:color="auto" w:fill="auto"/>
                  <w:noWrap w:val="0"/>
                  <w:vAlign w:val="top"/>
                </w:tcPr>
                <w:p>
                  <w:pPr>
                    <w:pStyle w:val="112"/>
                    <w:rPr>
                      <w:color w:val="auto"/>
                      <w:sz w:val="18"/>
                      <w:szCs w:val="18"/>
                    </w:rPr>
                  </w:pPr>
                  <w:r>
                    <w:rPr>
                      <w:color w:val="auto"/>
                      <w:sz w:val="18"/>
                      <w:szCs w:val="18"/>
                    </w:rPr>
                    <w:t>3</w:t>
                  </w:r>
                </w:p>
              </w:tc>
              <w:tc>
                <w:tcPr>
                  <w:tcW w:w="1112" w:type="pct"/>
                  <w:shd w:val="clear" w:color="auto" w:fill="auto"/>
                  <w:noWrap w:val="0"/>
                  <w:vAlign w:val="top"/>
                </w:tcPr>
                <w:p>
                  <w:pPr>
                    <w:pStyle w:val="112"/>
                    <w:rPr>
                      <w:color w:val="auto"/>
                      <w:sz w:val="18"/>
                      <w:szCs w:val="18"/>
                    </w:rPr>
                  </w:pPr>
                  <w:r>
                    <w:rPr>
                      <w:color w:val="auto"/>
                      <w:sz w:val="18"/>
                      <w:szCs w:val="18"/>
                    </w:rPr>
                    <w:t>V型滤池</w:t>
                  </w:r>
                </w:p>
              </w:tc>
              <w:tc>
                <w:tcPr>
                  <w:tcW w:w="1474" w:type="pct"/>
                  <w:shd w:val="clear" w:color="auto" w:fill="auto"/>
                  <w:noWrap w:val="0"/>
                  <w:vAlign w:val="top"/>
                </w:tcPr>
                <w:p>
                  <w:pPr>
                    <w:pStyle w:val="112"/>
                    <w:rPr>
                      <w:color w:val="auto"/>
                      <w:sz w:val="18"/>
                      <w:szCs w:val="18"/>
                    </w:rPr>
                  </w:pPr>
                  <w:r>
                    <w:rPr>
                      <w:color w:val="auto"/>
                      <w:sz w:val="18"/>
                      <w:szCs w:val="18"/>
                    </w:rPr>
                    <w:t>18.35×53.7×(5.07</w:t>
                  </w:r>
                  <w:r>
                    <w:rPr>
                      <w:rFonts w:hint="eastAsia"/>
                      <w:color w:val="auto"/>
                      <w:sz w:val="18"/>
                      <w:szCs w:val="18"/>
                    </w:rPr>
                    <w:t>~8.8</w:t>
                  </w:r>
                  <w:r>
                    <w:rPr>
                      <w:color w:val="auto"/>
                      <w:sz w:val="18"/>
                      <w:szCs w:val="18"/>
                    </w:rPr>
                    <w:t>)</w:t>
                  </w:r>
                </w:p>
              </w:tc>
              <w:tc>
                <w:tcPr>
                  <w:tcW w:w="434" w:type="pct"/>
                  <w:shd w:val="clear" w:color="auto" w:fill="auto"/>
                  <w:noWrap w:val="0"/>
                  <w:vAlign w:val="top"/>
                </w:tcPr>
                <w:p>
                  <w:pPr>
                    <w:pStyle w:val="112"/>
                    <w:rPr>
                      <w:color w:val="auto"/>
                      <w:sz w:val="18"/>
                      <w:szCs w:val="18"/>
                    </w:rPr>
                  </w:pPr>
                  <w:r>
                    <w:rPr>
                      <w:color w:val="auto"/>
                      <w:sz w:val="18"/>
                      <w:szCs w:val="18"/>
                    </w:rPr>
                    <w:t>座</w:t>
                  </w:r>
                </w:p>
              </w:tc>
              <w:tc>
                <w:tcPr>
                  <w:tcW w:w="434" w:type="pct"/>
                  <w:shd w:val="clear" w:color="auto" w:fill="auto"/>
                  <w:noWrap w:val="0"/>
                  <w:vAlign w:val="top"/>
                </w:tcPr>
                <w:p>
                  <w:pPr>
                    <w:pStyle w:val="112"/>
                    <w:rPr>
                      <w:color w:val="auto"/>
                      <w:sz w:val="18"/>
                      <w:szCs w:val="18"/>
                    </w:rPr>
                  </w:pPr>
                  <w:r>
                    <w:rPr>
                      <w:color w:val="auto"/>
                      <w:sz w:val="18"/>
                      <w:szCs w:val="18"/>
                    </w:rPr>
                    <w:t>1</w:t>
                  </w:r>
                </w:p>
              </w:tc>
              <w:tc>
                <w:tcPr>
                  <w:tcW w:w="1112" w:type="pct"/>
                  <w:shd w:val="clear" w:color="auto" w:fill="auto"/>
                  <w:noWrap w:val="0"/>
                  <w:vAlign w:val="top"/>
                </w:tcPr>
                <w:p>
                  <w:pPr>
                    <w:pStyle w:val="112"/>
                    <w:rPr>
                      <w:color w:val="auto"/>
                      <w:sz w:val="18"/>
                      <w:szCs w:val="18"/>
                    </w:rPr>
                  </w:pPr>
                  <w:r>
                    <w:rPr>
                      <w:rFonts w:hint="eastAsia"/>
                      <w:color w:val="auto"/>
                      <w:sz w:val="18"/>
                      <w:szCs w:val="18"/>
                    </w:rPr>
                    <w:t>顶部设框架房子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34" w:type="pct"/>
                  <w:shd w:val="clear" w:color="auto" w:fill="auto"/>
                  <w:noWrap w:val="0"/>
                  <w:vAlign w:val="top"/>
                </w:tcPr>
                <w:p>
                  <w:pPr>
                    <w:pStyle w:val="112"/>
                    <w:rPr>
                      <w:color w:val="auto"/>
                      <w:sz w:val="18"/>
                      <w:szCs w:val="18"/>
                    </w:rPr>
                  </w:pPr>
                  <w:r>
                    <w:rPr>
                      <w:color w:val="auto"/>
                      <w:sz w:val="18"/>
                      <w:szCs w:val="18"/>
                    </w:rPr>
                    <w:t>4</w:t>
                  </w:r>
                </w:p>
              </w:tc>
              <w:tc>
                <w:tcPr>
                  <w:tcW w:w="1112" w:type="pct"/>
                  <w:shd w:val="clear" w:color="auto" w:fill="auto"/>
                  <w:noWrap w:val="0"/>
                  <w:vAlign w:val="top"/>
                </w:tcPr>
                <w:p>
                  <w:pPr>
                    <w:pStyle w:val="112"/>
                    <w:rPr>
                      <w:color w:val="auto"/>
                      <w:sz w:val="18"/>
                      <w:szCs w:val="18"/>
                    </w:rPr>
                  </w:pPr>
                  <w:r>
                    <w:rPr>
                      <w:color w:val="auto"/>
                      <w:sz w:val="18"/>
                      <w:szCs w:val="18"/>
                    </w:rPr>
                    <w:t>清水池</w:t>
                  </w:r>
                </w:p>
              </w:tc>
              <w:tc>
                <w:tcPr>
                  <w:tcW w:w="1474" w:type="pct"/>
                  <w:shd w:val="clear" w:color="auto" w:fill="auto"/>
                  <w:noWrap w:val="0"/>
                  <w:vAlign w:val="top"/>
                </w:tcPr>
                <w:p>
                  <w:pPr>
                    <w:pStyle w:val="112"/>
                    <w:rPr>
                      <w:color w:val="auto"/>
                      <w:sz w:val="18"/>
                      <w:szCs w:val="18"/>
                    </w:rPr>
                  </w:pPr>
                  <w:r>
                    <w:rPr>
                      <w:color w:val="auto"/>
                      <w:sz w:val="18"/>
                      <w:szCs w:val="18"/>
                    </w:rPr>
                    <w:t>56.0×50.0×6.</w:t>
                  </w:r>
                  <w:r>
                    <w:rPr>
                      <w:rFonts w:hint="eastAsia"/>
                      <w:color w:val="auto"/>
                      <w:sz w:val="18"/>
                      <w:szCs w:val="18"/>
                    </w:rPr>
                    <w:t>0</w:t>
                  </w:r>
                </w:p>
              </w:tc>
              <w:tc>
                <w:tcPr>
                  <w:tcW w:w="434" w:type="pct"/>
                  <w:shd w:val="clear" w:color="auto" w:fill="auto"/>
                  <w:noWrap w:val="0"/>
                  <w:vAlign w:val="top"/>
                </w:tcPr>
                <w:p>
                  <w:pPr>
                    <w:pStyle w:val="112"/>
                    <w:rPr>
                      <w:color w:val="auto"/>
                      <w:sz w:val="18"/>
                      <w:szCs w:val="18"/>
                    </w:rPr>
                  </w:pPr>
                  <w:r>
                    <w:rPr>
                      <w:color w:val="auto"/>
                      <w:sz w:val="18"/>
                      <w:szCs w:val="18"/>
                    </w:rPr>
                    <w:t>座</w:t>
                  </w:r>
                </w:p>
              </w:tc>
              <w:tc>
                <w:tcPr>
                  <w:tcW w:w="434" w:type="pct"/>
                  <w:shd w:val="clear" w:color="auto" w:fill="auto"/>
                  <w:noWrap w:val="0"/>
                  <w:vAlign w:val="top"/>
                </w:tcPr>
                <w:p>
                  <w:pPr>
                    <w:pStyle w:val="112"/>
                    <w:rPr>
                      <w:color w:val="auto"/>
                      <w:sz w:val="18"/>
                      <w:szCs w:val="18"/>
                    </w:rPr>
                  </w:pPr>
                  <w:r>
                    <w:rPr>
                      <w:color w:val="auto"/>
                      <w:sz w:val="18"/>
                      <w:szCs w:val="18"/>
                    </w:rPr>
                    <w:t>1</w:t>
                  </w:r>
                </w:p>
              </w:tc>
              <w:tc>
                <w:tcPr>
                  <w:tcW w:w="1112" w:type="pct"/>
                  <w:shd w:val="clear" w:color="auto" w:fill="auto"/>
                  <w:noWrap w:val="0"/>
                  <w:vAlign w:val="top"/>
                </w:tcPr>
                <w:p>
                  <w:pPr>
                    <w:pStyle w:val="112"/>
                    <w:rPr>
                      <w:color w:val="auto"/>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34" w:type="pct"/>
                  <w:shd w:val="clear" w:color="auto" w:fill="auto"/>
                  <w:noWrap w:val="0"/>
                  <w:vAlign w:val="top"/>
                </w:tcPr>
                <w:p>
                  <w:pPr>
                    <w:pStyle w:val="112"/>
                    <w:rPr>
                      <w:color w:val="auto"/>
                      <w:sz w:val="18"/>
                      <w:szCs w:val="18"/>
                    </w:rPr>
                  </w:pPr>
                  <w:r>
                    <w:rPr>
                      <w:color w:val="auto"/>
                      <w:sz w:val="18"/>
                      <w:szCs w:val="18"/>
                    </w:rPr>
                    <w:t>5</w:t>
                  </w:r>
                </w:p>
              </w:tc>
              <w:tc>
                <w:tcPr>
                  <w:tcW w:w="1112" w:type="pct"/>
                  <w:shd w:val="clear" w:color="auto" w:fill="auto"/>
                  <w:noWrap w:val="0"/>
                  <w:vAlign w:val="top"/>
                </w:tcPr>
                <w:p>
                  <w:pPr>
                    <w:pStyle w:val="112"/>
                    <w:rPr>
                      <w:color w:val="auto"/>
                      <w:sz w:val="18"/>
                      <w:szCs w:val="18"/>
                    </w:rPr>
                  </w:pPr>
                  <w:r>
                    <w:rPr>
                      <w:color w:val="auto"/>
                      <w:sz w:val="18"/>
                      <w:szCs w:val="18"/>
                    </w:rPr>
                    <w:t>应急</w:t>
                  </w:r>
                  <w:r>
                    <w:rPr>
                      <w:rFonts w:hint="eastAsia"/>
                      <w:color w:val="auto"/>
                      <w:sz w:val="18"/>
                      <w:szCs w:val="18"/>
                    </w:rPr>
                    <w:t>加药</w:t>
                  </w:r>
                  <w:r>
                    <w:rPr>
                      <w:color w:val="auto"/>
                      <w:sz w:val="18"/>
                      <w:szCs w:val="18"/>
                    </w:rPr>
                    <w:t>间</w:t>
                  </w:r>
                </w:p>
              </w:tc>
              <w:tc>
                <w:tcPr>
                  <w:tcW w:w="1474" w:type="pct"/>
                  <w:shd w:val="clear" w:color="auto" w:fill="auto"/>
                  <w:noWrap w:val="0"/>
                  <w:vAlign w:val="top"/>
                </w:tcPr>
                <w:p>
                  <w:pPr>
                    <w:pStyle w:val="112"/>
                    <w:rPr>
                      <w:color w:val="auto"/>
                      <w:sz w:val="18"/>
                      <w:szCs w:val="18"/>
                    </w:rPr>
                  </w:pPr>
                  <w:r>
                    <w:rPr>
                      <w:rFonts w:hint="eastAsia"/>
                      <w:color w:val="auto"/>
                      <w:sz w:val="18"/>
                      <w:szCs w:val="18"/>
                    </w:rPr>
                    <w:t>31.5</w:t>
                  </w:r>
                  <w:r>
                    <w:rPr>
                      <w:color w:val="auto"/>
                      <w:sz w:val="18"/>
                      <w:szCs w:val="18"/>
                    </w:rPr>
                    <w:t>×</w:t>
                  </w:r>
                  <w:r>
                    <w:rPr>
                      <w:rFonts w:hint="eastAsia"/>
                      <w:color w:val="auto"/>
                      <w:sz w:val="18"/>
                      <w:szCs w:val="18"/>
                    </w:rPr>
                    <w:t>9</w:t>
                  </w:r>
                  <w:r>
                    <w:rPr>
                      <w:color w:val="auto"/>
                      <w:sz w:val="18"/>
                      <w:szCs w:val="18"/>
                    </w:rPr>
                    <w:t>.0×</w:t>
                  </w:r>
                  <w:r>
                    <w:rPr>
                      <w:rFonts w:hint="eastAsia"/>
                      <w:color w:val="auto"/>
                      <w:sz w:val="18"/>
                      <w:szCs w:val="18"/>
                    </w:rPr>
                    <w:t>（5.4~10.5）</w:t>
                  </w:r>
                </w:p>
              </w:tc>
              <w:tc>
                <w:tcPr>
                  <w:tcW w:w="434" w:type="pct"/>
                  <w:shd w:val="clear" w:color="auto" w:fill="auto"/>
                  <w:noWrap w:val="0"/>
                  <w:vAlign w:val="top"/>
                </w:tcPr>
                <w:p>
                  <w:pPr>
                    <w:pStyle w:val="112"/>
                    <w:rPr>
                      <w:color w:val="auto"/>
                      <w:sz w:val="18"/>
                      <w:szCs w:val="18"/>
                    </w:rPr>
                  </w:pPr>
                  <w:r>
                    <w:rPr>
                      <w:color w:val="auto"/>
                      <w:sz w:val="18"/>
                      <w:szCs w:val="18"/>
                    </w:rPr>
                    <w:t>座</w:t>
                  </w:r>
                </w:p>
              </w:tc>
              <w:tc>
                <w:tcPr>
                  <w:tcW w:w="434" w:type="pct"/>
                  <w:shd w:val="clear" w:color="auto" w:fill="auto"/>
                  <w:noWrap w:val="0"/>
                  <w:vAlign w:val="top"/>
                </w:tcPr>
                <w:p>
                  <w:pPr>
                    <w:pStyle w:val="112"/>
                    <w:rPr>
                      <w:color w:val="auto"/>
                      <w:sz w:val="18"/>
                      <w:szCs w:val="18"/>
                    </w:rPr>
                  </w:pPr>
                  <w:r>
                    <w:rPr>
                      <w:color w:val="auto"/>
                      <w:sz w:val="18"/>
                      <w:szCs w:val="18"/>
                    </w:rPr>
                    <w:t>1</w:t>
                  </w:r>
                </w:p>
              </w:tc>
              <w:tc>
                <w:tcPr>
                  <w:tcW w:w="1112" w:type="pct"/>
                  <w:shd w:val="clear" w:color="auto" w:fill="auto"/>
                  <w:noWrap w:val="0"/>
                  <w:vAlign w:val="top"/>
                </w:tcPr>
                <w:p>
                  <w:pPr>
                    <w:pStyle w:val="112"/>
                    <w:rPr>
                      <w:color w:val="auto"/>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434" w:type="pct"/>
                  <w:shd w:val="clear" w:color="auto" w:fill="auto"/>
                  <w:noWrap w:val="0"/>
                  <w:vAlign w:val="top"/>
                </w:tcPr>
                <w:p>
                  <w:pPr>
                    <w:pStyle w:val="112"/>
                    <w:rPr>
                      <w:color w:val="auto"/>
                      <w:sz w:val="18"/>
                      <w:szCs w:val="18"/>
                    </w:rPr>
                  </w:pPr>
                  <w:r>
                    <w:rPr>
                      <w:color w:val="auto"/>
                      <w:sz w:val="18"/>
                      <w:szCs w:val="18"/>
                    </w:rPr>
                    <w:t>6</w:t>
                  </w:r>
                </w:p>
              </w:tc>
              <w:tc>
                <w:tcPr>
                  <w:tcW w:w="1112" w:type="pct"/>
                  <w:shd w:val="clear" w:color="auto" w:fill="auto"/>
                  <w:noWrap w:val="0"/>
                  <w:vAlign w:val="top"/>
                </w:tcPr>
                <w:p>
                  <w:pPr>
                    <w:pStyle w:val="112"/>
                    <w:rPr>
                      <w:color w:val="auto"/>
                      <w:sz w:val="18"/>
                      <w:szCs w:val="18"/>
                    </w:rPr>
                  </w:pPr>
                  <w:r>
                    <w:rPr>
                      <w:rFonts w:hint="eastAsia"/>
                      <w:color w:val="auto"/>
                      <w:sz w:val="18"/>
                      <w:szCs w:val="18"/>
                    </w:rPr>
                    <w:t>调流调压间</w:t>
                  </w:r>
                </w:p>
              </w:tc>
              <w:tc>
                <w:tcPr>
                  <w:tcW w:w="1474" w:type="pct"/>
                  <w:shd w:val="clear" w:color="auto" w:fill="auto"/>
                  <w:noWrap w:val="0"/>
                  <w:vAlign w:val="top"/>
                </w:tcPr>
                <w:p>
                  <w:pPr>
                    <w:pStyle w:val="112"/>
                    <w:rPr>
                      <w:color w:val="auto"/>
                      <w:sz w:val="18"/>
                      <w:szCs w:val="18"/>
                    </w:rPr>
                  </w:pPr>
                  <w:r>
                    <w:rPr>
                      <w:rFonts w:hint="eastAsia"/>
                      <w:color w:val="auto"/>
                      <w:sz w:val="18"/>
                      <w:szCs w:val="18"/>
                    </w:rPr>
                    <w:t>7.8</w:t>
                  </w:r>
                  <w:r>
                    <w:rPr>
                      <w:color w:val="auto"/>
                      <w:sz w:val="18"/>
                      <w:szCs w:val="18"/>
                    </w:rPr>
                    <w:t>×</w:t>
                  </w:r>
                  <w:r>
                    <w:rPr>
                      <w:rFonts w:hint="eastAsia"/>
                      <w:color w:val="auto"/>
                      <w:sz w:val="18"/>
                      <w:szCs w:val="18"/>
                    </w:rPr>
                    <w:t>6.3</w:t>
                  </w:r>
                  <w:r>
                    <w:rPr>
                      <w:color w:val="auto"/>
                      <w:sz w:val="18"/>
                      <w:szCs w:val="18"/>
                    </w:rPr>
                    <w:t>×</w:t>
                  </w:r>
                  <w:r>
                    <w:rPr>
                      <w:rFonts w:hint="eastAsia"/>
                      <w:color w:val="auto"/>
                      <w:sz w:val="18"/>
                      <w:szCs w:val="18"/>
                    </w:rPr>
                    <w:t>（2.75+5.7）</w:t>
                  </w:r>
                </w:p>
              </w:tc>
              <w:tc>
                <w:tcPr>
                  <w:tcW w:w="434" w:type="pct"/>
                  <w:shd w:val="clear" w:color="auto" w:fill="auto"/>
                  <w:noWrap w:val="0"/>
                  <w:vAlign w:val="top"/>
                </w:tcPr>
                <w:p>
                  <w:pPr>
                    <w:pStyle w:val="112"/>
                    <w:rPr>
                      <w:color w:val="auto"/>
                      <w:sz w:val="18"/>
                      <w:szCs w:val="18"/>
                    </w:rPr>
                  </w:pPr>
                  <w:r>
                    <w:rPr>
                      <w:color w:val="auto"/>
                      <w:sz w:val="18"/>
                      <w:szCs w:val="18"/>
                    </w:rPr>
                    <w:t>座</w:t>
                  </w:r>
                </w:p>
              </w:tc>
              <w:tc>
                <w:tcPr>
                  <w:tcW w:w="434" w:type="pct"/>
                  <w:shd w:val="clear" w:color="auto" w:fill="auto"/>
                  <w:noWrap w:val="0"/>
                  <w:vAlign w:val="top"/>
                </w:tcPr>
                <w:p>
                  <w:pPr>
                    <w:pStyle w:val="112"/>
                    <w:rPr>
                      <w:color w:val="auto"/>
                      <w:sz w:val="18"/>
                      <w:szCs w:val="18"/>
                    </w:rPr>
                  </w:pPr>
                  <w:r>
                    <w:rPr>
                      <w:color w:val="auto"/>
                      <w:sz w:val="18"/>
                      <w:szCs w:val="18"/>
                    </w:rPr>
                    <w:t>1</w:t>
                  </w:r>
                </w:p>
              </w:tc>
              <w:tc>
                <w:tcPr>
                  <w:tcW w:w="1112" w:type="pct"/>
                  <w:shd w:val="clear" w:color="auto" w:fill="auto"/>
                  <w:noWrap w:val="0"/>
                  <w:vAlign w:val="top"/>
                </w:tcPr>
                <w:p>
                  <w:pPr>
                    <w:pStyle w:val="112"/>
                    <w:rPr>
                      <w:color w:val="auto"/>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34" w:type="pct"/>
                  <w:shd w:val="clear" w:color="auto" w:fill="auto"/>
                  <w:noWrap w:val="0"/>
                  <w:vAlign w:val="top"/>
                </w:tcPr>
                <w:p>
                  <w:pPr>
                    <w:pStyle w:val="112"/>
                    <w:rPr>
                      <w:color w:val="auto"/>
                      <w:sz w:val="18"/>
                      <w:szCs w:val="18"/>
                    </w:rPr>
                  </w:pPr>
                  <w:r>
                    <w:rPr>
                      <w:color w:val="auto"/>
                      <w:sz w:val="18"/>
                      <w:szCs w:val="18"/>
                    </w:rPr>
                    <w:t>7</w:t>
                  </w:r>
                </w:p>
              </w:tc>
              <w:tc>
                <w:tcPr>
                  <w:tcW w:w="1112" w:type="pct"/>
                  <w:shd w:val="clear" w:color="auto" w:fill="auto"/>
                  <w:noWrap w:val="0"/>
                  <w:vAlign w:val="top"/>
                </w:tcPr>
                <w:p>
                  <w:pPr>
                    <w:pStyle w:val="112"/>
                    <w:rPr>
                      <w:color w:val="auto"/>
                      <w:sz w:val="18"/>
                      <w:szCs w:val="18"/>
                    </w:rPr>
                  </w:pPr>
                  <w:r>
                    <w:rPr>
                      <w:color w:val="auto"/>
                      <w:sz w:val="18"/>
                      <w:szCs w:val="18"/>
                    </w:rPr>
                    <w:t>门卫</w:t>
                  </w:r>
                </w:p>
              </w:tc>
              <w:tc>
                <w:tcPr>
                  <w:tcW w:w="1474" w:type="pct"/>
                  <w:shd w:val="clear" w:color="auto" w:fill="auto"/>
                  <w:noWrap w:val="0"/>
                  <w:vAlign w:val="top"/>
                </w:tcPr>
                <w:p>
                  <w:pPr>
                    <w:pStyle w:val="112"/>
                    <w:rPr>
                      <w:color w:val="auto"/>
                      <w:sz w:val="18"/>
                      <w:szCs w:val="18"/>
                    </w:rPr>
                  </w:pPr>
                  <w:r>
                    <w:rPr>
                      <w:color w:val="auto"/>
                      <w:sz w:val="18"/>
                      <w:szCs w:val="18"/>
                    </w:rPr>
                    <w:t>6.0×3.9×3.3</w:t>
                  </w:r>
                </w:p>
              </w:tc>
              <w:tc>
                <w:tcPr>
                  <w:tcW w:w="434" w:type="pct"/>
                  <w:shd w:val="clear" w:color="auto" w:fill="auto"/>
                  <w:noWrap w:val="0"/>
                  <w:vAlign w:val="top"/>
                </w:tcPr>
                <w:p>
                  <w:pPr>
                    <w:pStyle w:val="112"/>
                    <w:rPr>
                      <w:color w:val="auto"/>
                      <w:sz w:val="18"/>
                      <w:szCs w:val="18"/>
                    </w:rPr>
                  </w:pPr>
                  <w:r>
                    <w:rPr>
                      <w:color w:val="auto"/>
                      <w:sz w:val="18"/>
                      <w:szCs w:val="18"/>
                    </w:rPr>
                    <w:t>座</w:t>
                  </w:r>
                </w:p>
              </w:tc>
              <w:tc>
                <w:tcPr>
                  <w:tcW w:w="434" w:type="pct"/>
                  <w:shd w:val="clear" w:color="auto" w:fill="auto"/>
                  <w:noWrap w:val="0"/>
                  <w:vAlign w:val="top"/>
                </w:tcPr>
                <w:p>
                  <w:pPr>
                    <w:pStyle w:val="112"/>
                    <w:rPr>
                      <w:color w:val="auto"/>
                      <w:sz w:val="18"/>
                      <w:szCs w:val="18"/>
                    </w:rPr>
                  </w:pPr>
                  <w:r>
                    <w:rPr>
                      <w:color w:val="auto"/>
                      <w:sz w:val="18"/>
                      <w:szCs w:val="18"/>
                    </w:rPr>
                    <w:t>2</w:t>
                  </w:r>
                </w:p>
              </w:tc>
              <w:tc>
                <w:tcPr>
                  <w:tcW w:w="1112" w:type="pct"/>
                  <w:shd w:val="clear" w:color="auto" w:fill="auto"/>
                  <w:noWrap w:val="0"/>
                  <w:vAlign w:val="top"/>
                </w:tcPr>
                <w:p>
                  <w:pPr>
                    <w:pStyle w:val="112"/>
                    <w:rPr>
                      <w:color w:val="auto"/>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34" w:type="pct"/>
                  <w:shd w:val="clear" w:color="auto" w:fill="auto"/>
                  <w:noWrap w:val="0"/>
                  <w:vAlign w:val="top"/>
                </w:tcPr>
                <w:p>
                  <w:pPr>
                    <w:pStyle w:val="112"/>
                    <w:rPr>
                      <w:color w:val="auto"/>
                      <w:sz w:val="18"/>
                      <w:szCs w:val="18"/>
                    </w:rPr>
                  </w:pPr>
                  <w:r>
                    <w:rPr>
                      <w:rFonts w:hint="eastAsia"/>
                      <w:color w:val="auto"/>
                      <w:sz w:val="18"/>
                      <w:szCs w:val="18"/>
                    </w:rPr>
                    <w:t>8</w:t>
                  </w:r>
                </w:p>
              </w:tc>
              <w:tc>
                <w:tcPr>
                  <w:tcW w:w="1112" w:type="pct"/>
                  <w:shd w:val="clear" w:color="auto" w:fill="auto"/>
                  <w:noWrap w:val="0"/>
                  <w:vAlign w:val="top"/>
                </w:tcPr>
                <w:p>
                  <w:pPr>
                    <w:pStyle w:val="112"/>
                    <w:rPr>
                      <w:color w:val="auto"/>
                      <w:sz w:val="18"/>
                      <w:szCs w:val="18"/>
                    </w:rPr>
                  </w:pPr>
                  <w:r>
                    <w:rPr>
                      <w:color w:val="auto"/>
                      <w:sz w:val="18"/>
                      <w:szCs w:val="18"/>
                    </w:rPr>
                    <w:t>供水调度中心</w:t>
                  </w:r>
                </w:p>
              </w:tc>
              <w:tc>
                <w:tcPr>
                  <w:tcW w:w="1474" w:type="pct"/>
                  <w:shd w:val="clear" w:color="auto" w:fill="auto"/>
                  <w:noWrap w:val="0"/>
                  <w:vAlign w:val="top"/>
                </w:tcPr>
                <w:p>
                  <w:pPr>
                    <w:pStyle w:val="112"/>
                    <w:rPr>
                      <w:color w:val="auto"/>
                      <w:sz w:val="18"/>
                      <w:szCs w:val="18"/>
                    </w:rPr>
                  </w:pPr>
                  <w:r>
                    <w:rPr>
                      <w:color w:val="auto"/>
                      <w:sz w:val="18"/>
                      <w:szCs w:val="18"/>
                    </w:rPr>
                    <w:t>S=</w:t>
                  </w:r>
                  <w:r>
                    <w:rPr>
                      <w:rFonts w:hint="eastAsia"/>
                      <w:color w:val="auto"/>
                      <w:sz w:val="18"/>
                      <w:szCs w:val="18"/>
                    </w:rPr>
                    <w:t>5925.40</w:t>
                  </w:r>
                  <w:r>
                    <w:rPr>
                      <w:color w:val="auto"/>
                      <w:sz w:val="18"/>
                      <w:szCs w:val="18"/>
                    </w:rPr>
                    <w:t>m</w:t>
                  </w:r>
                  <w:r>
                    <w:rPr>
                      <w:color w:val="auto"/>
                      <w:sz w:val="18"/>
                      <w:szCs w:val="18"/>
                      <w:vertAlign w:val="superscript"/>
                    </w:rPr>
                    <w:t>2</w:t>
                  </w:r>
                </w:p>
              </w:tc>
              <w:tc>
                <w:tcPr>
                  <w:tcW w:w="434" w:type="pct"/>
                  <w:shd w:val="clear" w:color="auto" w:fill="auto"/>
                  <w:noWrap w:val="0"/>
                  <w:vAlign w:val="top"/>
                </w:tcPr>
                <w:p>
                  <w:pPr>
                    <w:pStyle w:val="112"/>
                    <w:rPr>
                      <w:color w:val="auto"/>
                      <w:sz w:val="18"/>
                      <w:szCs w:val="18"/>
                    </w:rPr>
                  </w:pPr>
                  <w:r>
                    <w:rPr>
                      <w:color w:val="auto"/>
                      <w:sz w:val="18"/>
                      <w:szCs w:val="18"/>
                    </w:rPr>
                    <w:t>座</w:t>
                  </w:r>
                </w:p>
              </w:tc>
              <w:tc>
                <w:tcPr>
                  <w:tcW w:w="434" w:type="pct"/>
                  <w:shd w:val="clear" w:color="auto" w:fill="auto"/>
                  <w:noWrap w:val="0"/>
                  <w:vAlign w:val="top"/>
                </w:tcPr>
                <w:p>
                  <w:pPr>
                    <w:pStyle w:val="112"/>
                    <w:rPr>
                      <w:color w:val="auto"/>
                      <w:sz w:val="18"/>
                      <w:szCs w:val="18"/>
                    </w:rPr>
                  </w:pPr>
                  <w:r>
                    <w:rPr>
                      <w:color w:val="auto"/>
                      <w:sz w:val="18"/>
                      <w:szCs w:val="18"/>
                    </w:rPr>
                    <w:t>1</w:t>
                  </w:r>
                </w:p>
              </w:tc>
              <w:tc>
                <w:tcPr>
                  <w:tcW w:w="1112" w:type="pct"/>
                  <w:shd w:val="clear" w:color="auto" w:fill="auto"/>
                  <w:noWrap w:val="0"/>
                  <w:vAlign w:val="top"/>
                </w:tcPr>
                <w:p>
                  <w:pPr>
                    <w:pStyle w:val="112"/>
                    <w:rPr>
                      <w:color w:val="auto"/>
                      <w:sz w:val="18"/>
                      <w:szCs w:val="18"/>
                    </w:rPr>
                  </w:pPr>
                  <w:r>
                    <w:rPr>
                      <w:rFonts w:hint="eastAsia"/>
                      <w:color w:val="auto"/>
                      <w:sz w:val="18"/>
                      <w:szCs w:val="18"/>
                    </w:rPr>
                    <w:t>6</w:t>
                  </w:r>
                  <w:r>
                    <w:rPr>
                      <w:color w:val="auto"/>
                      <w:sz w:val="18"/>
                      <w:szCs w:val="18"/>
                    </w:rPr>
                    <w:t>层</w:t>
                  </w:r>
                </w:p>
              </w:tc>
            </w:tr>
          </w:tbl>
          <w:p>
            <w:pPr>
              <w:spacing w:line="276" w:lineRule="auto"/>
              <w:ind w:firstLine="422" w:firstLineChars="200"/>
              <w:rPr>
                <w:rFonts w:cs="Times New Roman"/>
                <w:b/>
                <w:szCs w:val="21"/>
              </w:rPr>
            </w:pPr>
            <w:r>
              <w:rPr>
                <w:rFonts w:hint="eastAsia" w:cs="Times New Roman"/>
                <w:b/>
                <w:szCs w:val="21"/>
              </w:rPr>
              <w:t>6、</w:t>
            </w:r>
            <w:r>
              <w:rPr>
                <w:rFonts w:cs="Times New Roman"/>
                <w:b/>
                <w:szCs w:val="21"/>
              </w:rPr>
              <w:t>主要</w:t>
            </w:r>
            <w:r>
              <w:rPr>
                <w:rFonts w:hint="eastAsia" w:cs="Times New Roman"/>
                <w:b/>
                <w:szCs w:val="21"/>
              </w:rPr>
              <w:t>原辅材料</w:t>
            </w:r>
            <w:r>
              <w:rPr>
                <w:rFonts w:cs="Times New Roman"/>
                <w:b/>
                <w:szCs w:val="21"/>
              </w:rPr>
              <w:t>及燃料</w:t>
            </w:r>
          </w:p>
          <w:p>
            <w:pPr>
              <w:spacing w:line="276" w:lineRule="auto"/>
              <w:ind w:firstLine="420" w:firstLineChars="200"/>
              <w:rPr>
                <w:kern w:val="24"/>
                <w:szCs w:val="21"/>
              </w:rPr>
            </w:pPr>
            <w:r>
              <w:rPr>
                <w:rFonts w:hint="eastAsia"/>
                <w:kern w:val="24"/>
                <w:szCs w:val="21"/>
              </w:rPr>
              <w:t>本项目主要原辅材料及燃料种类和用量见表</w:t>
            </w:r>
            <w:r>
              <w:rPr>
                <w:kern w:val="24"/>
                <w:szCs w:val="21"/>
              </w:rPr>
              <w:t>2</w:t>
            </w:r>
            <w:r>
              <w:rPr>
                <w:rFonts w:hint="eastAsia"/>
                <w:kern w:val="24"/>
                <w:szCs w:val="21"/>
              </w:rPr>
              <w:t>-5。</w:t>
            </w:r>
          </w:p>
          <w:p>
            <w:pPr>
              <w:spacing w:line="276" w:lineRule="auto"/>
              <w:jc w:val="center"/>
              <w:rPr>
                <w:rFonts w:hint="eastAsia" w:cs="Times New Roman"/>
                <w:b/>
                <w:bCs/>
                <w:szCs w:val="21"/>
              </w:rPr>
            </w:pPr>
            <w:r>
              <w:rPr>
                <w:rFonts w:cs="Times New Roman"/>
                <w:b/>
                <w:bCs/>
                <w:szCs w:val="21"/>
              </w:rPr>
              <w:t>表2-</w:t>
            </w:r>
            <w:r>
              <w:rPr>
                <w:rFonts w:hint="eastAsia" w:cs="Times New Roman"/>
                <w:b/>
                <w:bCs/>
                <w:szCs w:val="21"/>
              </w:rPr>
              <w:t>5</w:t>
            </w:r>
            <w:r>
              <w:rPr>
                <w:rFonts w:cs="Times New Roman"/>
                <w:b/>
                <w:bCs/>
                <w:szCs w:val="21"/>
              </w:rPr>
              <w:t xml:space="preserve">  主要原辅材料及能耗</w:t>
            </w:r>
            <w:r>
              <w:rPr>
                <w:rFonts w:hint="eastAsia" w:cs="Times New Roman"/>
                <w:b/>
                <w:bCs/>
                <w:szCs w:val="21"/>
              </w:rPr>
              <w:t xml:space="preserve">  </w:t>
            </w:r>
            <w:r>
              <w:rPr>
                <w:rFonts w:hint="eastAsia" w:cs="Times New Roman"/>
                <w:b/>
                <w:szCs w:val="21"/>
              </w:rPr>
              <w:t>t/a</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16"/>
              <w:gridCol w:w="1835"/>
              <w:gridCol w:w="1740"/>
              <w:gridCol w:w="1051"/>
              <w:gridCol w:w="1151"/>
              <w:gridCol w:w="1465"/>
              <w:gridCol w:w="1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8" w:type="pct"/>
                  <w:noWrap w:val="0"/>
                  <w:vAlign w:val="center"/>
                </w:tcPr>
                <w:p>
                  <w:pPr>
                    <w:jc w:val="center"/>
                    <w:rPr>
                      <w:rFonts w:cs="Times New Roman"/>
                      <w:b/>
                      <w:szCs w:val="21"/>
                    </w:rPr>
                  </w:pPr>
                  <w:r>
                    <w:rPr>
                      <w:rFonts w:cs="Times New Roman"/>
                      <w:b/>
                      <w:szCs w:val="21"/>
                    </w:rPr>
                    <w:t>项目</w:t>
                  </w:r>
                </w:p>
              </w:tc>
              <w:tc>
                <w:tcPr>
                  <w:tcW w:w="1006" w:type="pct"/>
                  <w:noWrap w:val="0"/>
                  <w:vAlign w:val="center"/>
                </w:tcPr>
                <w:p>
                  <w:pPr>
                    <w:jc w:val="center"/>
                    <w:rPr>
                      <w:rFonts w:cs="Times New Roman"/>
                      <w:b/>
                      <w:szCs w:val="21"/>
                    </w:rPr>
                  </w:pPr>
                  <w:r>
                    <w:rPr>
                      <w:rFonts w:cs="Times New Roman"/>
                      <w:b/>
                      <w:szCs w:val="21"/>
                    </w:rPr>
                    <w:t>名称</w:t>
                  </w:r>
                </w:p>
              </w:tc>
              <w:tc>
                <w:tcPr>
                  <w:tcW w:w="954" w:type="pct"/>
                  <w:noWrap w:val="0"/>
                  <w:vAlign w:val="center"/>
                </w:tcPr>
                <w:p>
                  <w:pPr>
                    <w:jc w:val="center"/>
                    <w:rPr>
                      <w:rFonts w:cs="Times New Roman"/>
                      <w:b/>
                      <w:szCs w:val="21"/>
                    </w:rPr>
                  </w:pPr>
                  <w:r>
                    <w:rPr>
                      <w:rFonts w:cs="Times New Roman"/>
                      <w:b/>
                      <w:szCs w:val="21"/>
                    </w:rPr>
                    <w:t>年用量</w:t>
                  </w:r>
                </w:p>
                <w:p>
                  <w:pPr>
                    <w:jc w:val="center"/>
                    <w:rPr>
                      <w:rFonts w:cs="Times New Roman"/>
                      <w:b/>
                      <w:szCs w:val="21"/>
                    </w:rPr>
                  </w:pPr>
                </w:p>
              </w:tc>
              <w:tc>
                <w:tcPr>
                  <w:tcW w:w="576" w:type="pct"/>
                  <w:noWrap w:val="0"/>
                  <w:vAlign w:val="center"/>
                </w:tcPr>
                <w:p>
                  <w:pPr>
                    <w:jc w:val="center"/>
                    <w:rPr>
                      <w:rFonts w:hint="eastAsia" w:cs="Times New Roman"/>
                      <w:b/>
                      <w:szCs w:val="21"/>
                    </w:rPr>
                  </w:pPr>
                  <w:r>
                    <w:rPr>
                      <w:rFonts w:hint="eastAsia" w:cs="Times New Roman"/>
                      <w:b/>
                      <w:szCs w:val="21"/>
                    </w:rPr>
                    <w:t>最大</w:t>
                  </w:r>
                </w:p>
                <w:p>
                  <w:pPr>
                    <w:jc w:val="center"/>
                    <w:rPr>
                      <w:rFonts w:cs="Times New Roman"/>
                      <w:b/>
                      <w:szCs w:val="21"/>
                    </w:rPr>
                  </w:pPr>
                  <w:r>
                    <w:rPr>
                      <w:rFonts w:cs="Times New Roman"/>
                      <w:b/>
                      <w:szCs w:val="21"/>
                    </w:rPr>
                    <w:t>存储量</w:t>
                  </w:r>
                </w:p>
              </w:tc>
              <w:tc>
                <w:tcPr>
                  <w:tcW w:w="631" w:type="pct"/>
                  <w:noWrap w:val="0"/>
                  <w:vAlign w:val="center"/>
                </w:tcPr>
                <w:p>
                  <w:pPr>
                    <w:jc w:val="center"/>
                    <w:rPr>
                      <w:rFonts w:cs="Times New Roman"/>
                      <w:b/>
                      <w:szCs w:val="21"/>
                    </w:rPr>
                  </w:pPr>
                  <w:r>
                    <w:rPr>
                      <w:rFonts w:hint="eastAsia" w:cs="Times New Roman"/>
                      <w:b/>
                      <w:szCs w:val="21"/>
                    </w:rPr>
                    <w:t>性状</w:t>
                  </w:r>
                </w:p>
              </w:tc>
              <w:tc>
                <w:tcPr>
                  <w:tcW w:w="803" w:type="pct"/>
                  <w:noWrap w:val="0"/>
                  <w:vAlign w:val="center"/>
                </w:tcPr>
                <w:p>
                  <w:pPr>
                    <w:jc w:val="center"/>
                    <w:rPr>
                      <w:rFonts w:cs="Times New Roman"/>
                      <w:b/>
                      <w:szCs w:val="21"/>
                    </w:rPr>
                  </w:pPr>
                  <w:r>
                    <w:rPr>
                      <w:rFonts w:cs="Times New Roman"/>
                      <w:b/>
                      <w:szCs w:val="21"/>
                    </w:rPr>
                    <w:t>贮存位置</w:t>
                  </w:r>
                </w:p>
              </w:tc>
              <w:tc>
                <w:tcPr>
                  <w:tcW w:w="581" w:type="pct"/>
                  <w:noWrap w:val="0"/>
                  <w:vAlign w:val="center"/>
                </w:tcPr>
                <w:p>
                  <w:pPr>
                    <w:jc w:val="center"/>
                    <w:rPr>
                      <w:rFonts w:cs="Times New Roman"/>
                      <w:b/>
                      <w:szCs w:val="21"/>
                    </w:rPr>
                  </w:pPr>
                  <w:r>
                    <w:rPr>
                      <w:rFonts w:cs="Times New Roman"/>
                      <w:b/>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8" w:type="pct"/>
                  <w:vMerge w:val="restart"/>
                  <w:noWrap w:val="0"/>
                  <w:vAlign w:val="center"/>
                </w:tcPr>
                <w:p>
                  <w:pPr>
                    <w:jc w:val="center"/>
                    <w:rPr>
                      <w:rFonts w:cs="Times New Roman"/>
                      <w:bCs/>
                      <w:szCs w:val="21"/>
                    </w:rPr>
                  </w:pPr>
                  <w:r>
                    <w:rPr>
                      <w:rFonts w:cs="Times New Roman"/>
                      <w:bCs/>
                      <w:szCs w:val="21"/>
                    </w:rPr>
                    <w:t>主要原</w:t>
                  </w:r>
                  <w:r>
                    <w:rPr>
                      <w:rFonts w:cs="Times New Roman"/>
                      <w:bCs/>
                      <w:sz w:val="19"/>
                      <w:szCs w:val="21"/>
                    </w:rPr>
                    <w:t>（辅料）</w:t>
                  </w:r>
                </w:p>
              </w:tc>
              <w:tc>
                <w:tcPr>
                  <w:tcW w:w="1006" w:type="pct"/>
                  <w:noWrap w:val="0"/>
                  <w:vAlign w:val="center"/>
                </w:tcPr>
                <w:p>
                  <w:pPr>
                    <w:jc w:val="center"/>
                    <w:rPr>
                      <w:rFonts w:hint="eastAsia" w:cs="Calibri"/>
                      <w:szCs w:val="21"/>
                    </w:rPr>
                  </w:pPr>
                  <w:r>
                    <w:rPr>
                      <w:rFonts w:hint="eastAsia" w:cs="Calibri"/>
                      <w:szCs w:val="21"/>
                    </w:rPr>
                    <w:t>聚合氯化铝（PAC）</w:t>
                  </w:r>
                </w:p>
              </w:tc>
              <w:tc>
                <w:tcPr>
                  <w:tcW w:w="954" w:type="pct"/>
                  <w:noWrap w:val="0"/>
                  <w:vAlign w:val="center"/>
                </w:tcPr>
                <w:p>
                  <w:pPr>
                    <w:jc w:val="center"/>
                    <w:rPr>
                      <w:rFonts w:cs="Times New Roman"/>
                      <w:bCs/>
                      <w:szCs w:val="21"/>
                    </w:rPr>
                  </w:pPr>
                  <w:r>
                    <w:rPr>
                      <w:rFonts w:hint="eastAsia" w:cs="Times New Roman"/>
                      <w:bCs/>
                      <w:szCs w:val="21"/>
                    </w:rPr>
                    <w:t>1000</w:t>
                  </w:r>
                </w:p>
              </w:tc>
              <w:tc>
                <w:tcPr>
                  <w:tcW w:w="576" w:type="pct"/>
                  <w:noWrap w:val="0"/>
                  <w:vAlign w:val="center"/>
                </w:tcPr>
                <w:p>
                  <w:pPr>
                    <w:jc w:val="center"/>
                    <w:rPr>
                      <w:rFonts w:cs="Times New Roman"/>
                      <w:bCs/>
                      <w:szCs w:val="21"/>
                    </w:rPr>
                  </w:pPr>
                  <w:r>
                    <w:rPr>
                      <w:rFonts w:hint="eastAsia" w:cs="Times New Roman"/>
                      <w:bCs/>
                      <w:szCs w:val="21"/>
                    </w:rPr>
                    <w:t>10t</w:t>
                  </w:r>
                </w:p>
              </w:tc>
              <w:tc>
                <w:tcPr>
                  <w:tcW w:w="631" w:type="pct"/>
                  <w:noWrap w:val="0"/>
                  <w:vAlign w:val="center"/>
                </w:tcPr>
                <w:p>
                  <w:pPr>
                    <w:jc w:val="center"/>
                    <w:rPr>
                      <w:rFonts w:cs="Times New Roman"/>
                      <w:bCs/>
                      <w:szCs w:val="21"/>
                    </w:rPr>
                  </w:pPr>
                  <w:r>
                    <w:rPr>
                      <w:rFonts w:hint="eastAsia" w:cs="Times New Roman"/>
                      <w:bCs/>
                      <w:szCs w:val="21"/>
                    </w:rPr>
                    <w:t>固体</w:t>
                  </w:r>
                </w:p>
              </w:tc>
              <w:tc>
                <w:tcPr>
                  <w:tcW w:w="803" w:type="pct"/>
                  <w:noWrap w:val="0"/>
                  <w:vAlign w:val="center"/>
                </w:tcPr>
                <w:p>
                  <w:pPr>
                    <w:jc w:val="center"/>
                    <w:rPr>
                      <w:rFonts w:hint="eastAsia" w:cs="Times New Roman"/>
                      <w:bCs/>
                      <w:szCs w:val="21"/>
                    </w:rPr>
                  </w:pPr>
                  <w:r>
                    <w:rPr>
                      <w:rFonts w:hint="eastAsia" w:cs="Times New Roman"/>
                      <w:bCs/>
                      <w:szCs w:val="21"/>
                    </w:rPr>
                    <w:t>加药间</w:t>
                  </w:r>
                </w:p>
              </w:tc>
              <w:tc>
                <w:tcPr>
                  <w:tcW w:w="581" w:type="pct"/>
                  <w:noWrap w:val="0"/>
                  <w:vAlign w:val="center"/>
                </w:tcPr>
                <w:p>
                  <w:pPr>
                    <w:jc w:val="center"/>
                    <w:rPr>
                      <w:rFonts w:cs="Times New Roman"/>
                      <w:bCs/>
                      <w:szCs w:val="21"/>
                    </w:rPr>
                  </w:pPr>
                  <w:r>
                    <w:rPr>
                      <w:rFonts w:cs="Times New Roman"/>
                      <w:bCs/>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8" w:type="pct"/>
                  <w:vMerge w:val="continue"/>
                  <w:noWrap w:val="0"/>
                  <w:vAlign w:val="center"/>
                </w:tcPr>
                <w:p>
                  <w:pPr>
                    <w:jc w:val="center"/>
                    <w:rPr>
                      <w:rFonts w:cs="Times New Roman"/>
                      <w:bCs/>
                      <w:color w:val="FF00FF"/>
                      <w:szCs w:val="21"/>
                    </w:rPr>
                  </w:pPr>
                </w:p>
              </w:tc>
              <w:tc>
                <w:tcPr>
                  <w:tcW w:w="1006" w:type="pct"/>
                  <w:noWrap w:val="0"/>
                  <w:vAlign w:val="center"/>
                </w:tcPr>
                <w:p>
                  <w:pPr>
                    <w:jc w:val="center"/>
                    <w:rPr>
                      <w:rFonts w:hint="eastAsia" w:cs="Times New Roman"/>
                      <w:bCs/>
                      <w:szCs w:val="21"/>
                    </w:rPr>
                  </w:pPr>
                  <w:r>
                    <w:rPr>
                      <w:rFonts w:cs="Times New Roman"/>
                      <w:szCs w:val="21"/>
                    </w:rPr>
                    <w:t>复合</w:t>
                  </w:r>
                  <w:r>
                    <w:rPr>
                      <w:rFonts w:hint="eastAsia" w:cs="Times New Roman"/>
                      <w:szCs w:val="21"/>
                    </w:rPr>
                    <w:t>氯</w:t>
                  </w:r>
                  <w:r>
                    <w:rPr>
                      <w:rFonts w:cs="Times New Roman"/>
                      <w:szCs w:val="21"/>
                    </w:rPr>
                    <w:t>酸钠</w:t>
                  </w:r>
                  <w:r>
                    <w:rPr>
                      <w:rFonts w:hint="eastAsia" w:cs="Times New Roman"/>
                      <w:szCs w:val="21"/>
                    </w:rPr>
                    <w:t>溶液</w:t>
                  </w:r>
                </w:p>
              </w:tc>
              <w:tc>
                <w:tcPr>
                  <w:tcW w:w="954" w:type="pct"/>
                  <w:noWrap w:val="0"/>
                  <w:vAlign w:val="center"/>
                </w:tcPr>
                <w:p>
                  <w:pPr>
                    <w:jc w:val="center"/>
                    <w:rPr>
                      <w:rFonts w:cs="Times New Roman"/>
                      <w:bCs/>
                      <w:szCs w:val="21"/>
                    </w:rPr>
                  </w:pPr>
                  <w:r>
                    <w:rPr>
                      <w:rFonts w:hint="eastAsia" w:cs="Times New Roman"/>
                      <w:bCs/>
                      <w:szCs w:val="21"/>
                    </w:rPr>
                    <w:t>84</w:t>
                  </w:r>
                </w:p>
              </w:tc>
              <w:tc>
                <w:tcPr>
                  <w:tcW w:w="576" w:type="pct"/>
                  <w:noWrap w:val="0"/>
                  <w:vAlign w:val="center"/>
                </w:tcPr>
                <w:p>
                  <w:pPr>
                    <w:jc w:val="center"/>
                    <w:rPr>
                      <w:rFonts w:cs="Times New Roman"/>
                      <w:bCs/>
                      <w:szCs w:val="21"/>
                    </w:rPr>
                  </w:pPr>
                  <w:r>
                    <w:rPr>
                      <w:rFonts w:hint="eastAsia" w:cs="Times New Roman"/>
                      <w:bCs/>
                      <w:szCs w:val="21"/>
                    </w:rPr>
                    <w:t>10t</w:t>
                  </w:r>
                </w:p>
              </w:tc>
              <w:tc>
                <w:tcPr>
                  <w:tcW w:w="631" w:type="pct"/>
                  <w:noWrap w:val="0"/>
                  <w:vAlign w:val="center"/>
                </w:tcPr>
                <w:p>
                  <w:pPr>
                    <w:jc w:val="center"/>
                    <w:rPr>
                      <w:rFonts w:hint="eastAsia" w:cs="Times New Roman"/>
                      <w:bCs/>
                      <w:szCs w:val="21"/>
                    </w:rPr>
                  </w:pPr>
                  <w:r>
                    <w:rPr>
                      <w:rFonts w:hint="eastAsia" w:cs="Times New Roman"/>
                      <w:bCs/>
                      <w:szCs w:val="21"/>
                    </w:rPr>
                    <w:t>液体</w:t>
                  </w:r>
                </w:p>
              </w:tc>
              <w:tc>
                <w:tcPr>
                  <w:tcW w:w="803" w:type="pct"/>
                  <w:noWrap w:val="0"/>
                  <w:vAlign w:val="center"/>
                </w:tcPr>
                <w:p>
                  <w:pPr>
                    <w:jc w:val="center"/>
                    <w:rPr>
                      <w:rFonts w:cs="Times New Roman"/>
                      <w:bCs/>
                      <w:szCs w:val="21"/>
                    </w:rPr>
                  </w:pPr>
                  <w:r>
                    <w:rPr>
                      <w:rFonts w:hint="eastAsia" w:cs="Times New Roman"/>
                      <w:bCs/>
                      <w:szCs w:val="21"/>
                    </w:rPr>
                    <w:t>加氯间</w:t>
                  </w:r>
                </w:p>
              </w:tc>
              <w:tc>
                <w:tcPr>
                  <w:tcW w:w="581" w:type="pct"/>
                  <w:noWrap w:val="0"/>
                  <w:vAlign w:val="center"/>
                </w:tcPr>
                <w:p>
                  <w:pPr>
                    <w:jc w:val="center"/>
                    <w:rPr>
                      <w:rFonts w:cs="Times New Roman"/>
                      <w:bCs/>
                      <w:szCs w:val="21"/>
                    </w:rPr>
                  </w:pPr>
                  <w:r>
                    <w:rPr>
                      <w:rFonts w:cs="Times New Roman"/>
                      <w:bCs/>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8" w:type="pct"/>
                  <w:vMerge w:val="continue"/>
                  <w:noWrap w:val="0"/>
                  <w:vAlign w:val="center"/>
                </w:tcPr>
                <w:p>
                  <w:pPr>
                    <w:jc w:val="center"/>
                    <w:rPr>
                      <w:rFonts w:cs="Times New Roman"/>
                      <w:bCs/>
                      <w:color w:val="FF00FF"/>
                      <w:szCs w:val="21"/>
                    </w:rPr>
                  </w:pPr>
                </w:p>
              </w:tc>
              <w:tc>
                <w:tcPr>
                  <w:tcW w:w="1006" w:type="pct"/>
                  <w:noWrap w:val="0"/>
                  <w:vAlign w:val="center"/>
                </w:tcPr>
                <w:p>
                  <w:pPr>
                    <w:jc w:val="center"/>
                    <w:rPr>
                      <w:rFonts w:hint="eastAsia" w:cs="Times New Roman"/>
                      <w:bCs/>
                      <w:szCs w:val="21"/>
                    </w:rPr>
                  </w:pPr>
                  <w:r>
                    <w:rPr>
                      <w:rFonts w:cs="Times New Roman"/>
                      <w:szCs w:val="21"/>
                    </w:rPr>
                    <w:t>复合硫酸氢钠</w:t>
                  </w:r>
                </w:p>
              </w:tc>
              <w:tc>
                <w:tcPr>
                  <w:tcW w:w="954" w:type="pct"/>
                  <w:noWrap w:val="0"/>
                  <w:vAlign w:val="center"/>
                </w:tcPr>
                <w:p>
                  <w:pPr>
                    <w:jc w:val="center"/>
                    <w:rPr>
                      <w:rFonts w:cs="Times New Roman"/>
                      <w:bCs/>
                      <w:szCs w:val="21"/>
                    </w:rPr>
                  </w:pPr>
                  <w:r>
                    <w:rPr>
                      <w:rFonts w:hint="eastAsia" w:cs="Times New Roman"/>
                      <w:bCs/>
                      <w:szCs w:val="21"/>
                    </w:rPr>
                    <w:t>100</w:t>
                  </w:r>
                </w:p>
              </w:tc>
              <w:tc>
                <w:tcPr>
                  <w:tcW w:w="576" w:type="pct"/>
                  <w:noWrap w:val="0"/>
                  <w:vAlign w:val="center"/>
                </w:tcPr>
                <w:p>
                  <w:pPr>
                    <w:jc w:val="center"/>
                    <w:rPr>
                      <w:rFonts w:hint="eastAsia" w:cs="Times New Roman"/>
                      <w:bCs/>
                      <w:szCs w:val="21"/>
                    </w:rPr>
                  </w:pPr>
                  <w:r>
                    <w:rPr>
                      <w:rFonts w:hint="eastAsia" w:cs="Times New Roman"/>
                      <w:bCs/>
                      <w:szCs w:val="21"/>
                    </w:rPr>
                    <w:t>20t</w:t>
                  </w:r>
                </w:p>
              </w:tc>
              <w:tc>
                <w:tcPr>
                  <w:tcW w:w="631" w:type="pct"/>
                  <w:noWrap w:val="0"/>
                  <w:vAlign w:val="center"/>
                </w:tcPr>
                <w:p>
                  <w:pPr>
                    <w:jc w:val="center"/>
                    <w:rPr>
                      <w:rFonts w:hint="eastAsia" w:cs="Times New Roman"/>
                      <w:bCs/>
                      <w:szCs w:val="21"/>
                    </w:rPr>
                  </w:pPr>
                  <w:r>
                    <w:rPr>
                      <w:rFonts w:hint="eastAsia" w:cs="Times New Roman"/>
                      <w:bCs/>
                      <w:szCs w:val="21"/>
                    </w:rPr>
                    <w:t>液体</w:t>
                  </w:r>
                </w:p>
              </w:tc>
              <w:tc>
                <w:tcPr>
                  <w:tcW w:w="803" w:type="pct"/>
                  <w:noWrap w:val="0"/>
                  <w:vAlign w:val="center"/>
                </w:tcPr>
                <w:p>
                  <w:pPr>
                    <w:jc w:val="center"/>
                    <w:rPr>
                      <w:rFonts w:hint="eastAsia" w:cs="Times New Roman"/>
                      <w:bCs/>
                      <w:szCs w:val="21"/>
                    </w:rPr>
                  </w:pPr>
                  <w:r>
                    <w:rPr>
                      <w:rFonts w:hint="eastAsia" w:cs="Times New Roman"/>
                      <w:bCs/>
                      <w:szCs w:val="21"/>
                    </w:rPr>
                    <w:t>加氯间</w:t>
                  </w:r>
                </w:p>
              </w:tc>
              <w:tc>
                <w:tcPr>
                  <w:tcW w:w="581" w:type="pct"/>
                  <w:noWrap w:val="0"/>
                  <w:vAlign w:val="center"/>
                </w:tcPr>
                <w:p>
                  <w:pPr>
                    <w:jc w:val="center"/>
                    <w:rPr>
                      <w:rFonts w:cs="Times New Roman"/>
                      <w:bCs/>
                      <w:szCs w:val="21"/>
                    </w:rPr>
                  </w:pPr>
                  <w:r>
                    <w:rPr>
                      <w:rFonts w:cs="Times New Roman"/>
                      <w:bCs/>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8" w:type="pct"/>
                  <w:vMerge w:val="continue"/>
                  <w:noWrap w:val="0"/>
                  <w:vAlign w:val="center"/>
                </w:tcPr>
                <w:p>
                  <w:pPr>
                    <w:jc w:val="center"/>
                    <w:rPr>
                      <w:rFonts w:cs="Times New Roman"/>
                      <w:bCs/>
                      <w:color w:val="FF00FF"/>
                      <w:szCs w:val="21"/>
                    </w:rPr>
                  </w:pPr>
                </w:p>
              </w:tc>
              <w:tc>
                <w:tcPr>
                  <w:tcW w:w="1006" w:type="pct"/>
                  <w:noWrap w:val="0"/>
                  <w:vAlign w:val="center"/>
                </w:tcPr>
                <w:p>
                  <w:pPr>
                    <w:jc w:val="center"/>
                    <w:rPr>
                      <w:rFonts w:hint="eastAsia" w:cs="Times New Roman"/>
                      <w:bCs/>
                      <w:szCs w:val="21"/>
                    </w:rPr>
                  </w:pPr>
                  <w:r>
                    <w:rPr>
                      <w:rFonts w:hint="eastAsia" w:cs="Times New Roman"/>
                      <w:szCs w:val="21"/>
                    </w:rPr>
                    <w:t>活性炭粉末</w:t>
                  </w:r>
                </w:p>
              </w:tc>
              <w:tc>
                <w:tcPr>
                  <w:tcW w:w="954" w:type="pct"/>
                  <w:noWrap w:val="0"/>
                  <w:vAlign w:val="center"/>
                </w:tcPr>
                <w:p>
                  <w:pPr>
                    <w:jc w:val="center"/>
                    <w:rPr>
                      <w:rFonts w:cs="Times New Roman"/>
                      <w:bCs/>
                      <w:szCs w:val="21"/>
                    </w:rPr>
                  </w:pPr>
                  <w:r>
                    <w:rPr>
                      <w:rFonts w:hint="eastAsia" w:cs="Times New Roman"/>
                      <w:bCs/>
                      <w:szCs w:val="21"/>
                    </w:rPr>
                    <w:t>若干</w:t>
                  </w:r>
                </w:p>
              </w:tc>
              <w:tc>
                <w:tcPr>
                  <w:tcW w:w="576" w:type="pct"/>
                  <w:noWrap w:val="0"/>
                  <w:vAlign w:val="center"/>
                </w:tcPr>
                <w:p>
                  <w:pPr>
                    <w:jc w:val="center"/>
                    <w:rPr>
                      <w:rFonts w:cs="Times New Roman"/>
                      <w:bCs/>
                      <w:szCs w:val="21"/>
                    </w:rPr>
                  </w:pPr>
                  <w:r>
                    <w:rPr>
                      <w:rFonts w:hint="eastAsia" w:cs="Times New Roman"/>
                      <w:bCs/>
                      <w:szCs w:val="21"/>
                    </w:rPr>
                    <w:t>10t</w:t>
                  </w:r>
                </w:p>
              </w:tc>
              <w:tc>
                <w:tcPr>
                  <w:tcW w:w="631" w:type="pct"/>
                  <w:noWrap w:val="0"/>
                  <w:vAlign w:val="center"/>
                </w:tcPr>
                <w:p>
                  <w:pPr>
                    <w:jc w:val="center"/>
                    <w:rPr>
                      <w:rFonts w:hint="eastAsia" w:cs="Times New Roman"/>
                      <w:bCs/>
                      <w:szCs w:val="21"/>
                    </w:rPr>
                  </w:pPr>
                  <w:r>
                    <w:rPr>
                      <w:rFonts w:hint="eastAsia" w:cs="Times New Roman"/>
                      <w:bCs/>
                      <w:szCs w:val="21"/>
                    </w:rPr>
                    <w:t>固体</w:t>
                  </w:r>
                </w:p>
              </w:tc>
              <w:tc>
                <w:tcPr>
                  <w:tcW w:w="803" w:type="pct"/>
                  <w:noWrap w:val="0"/>
                  <w:vAlign w:val="center"/>
                </w:tcPr>
                <w:p>
                  <w:pPr>
                    <w:jc w:val="center"/>
                    <w:rPr>
                      <w:rFonts w:cs="Times New Roman"/>
                      <w:bCs/>
                      <w:szCs w:val="21"/>
                    </w:rPr>
                  </w:pPr>
                  <w:r>
                    <w:rPr>
                      <w:rFonts w:hint="eastAsia" w:cs="Times New Roman"/>
                      <w:bCs/>
                      <w:szCs w:val="21"/>
                    </w:rPr>
                    <w:t>应急加药间</w:t>
                  </w:r>
                </w:p>
              </w:tc>
              <w:tc>
                <w:tcPr>
                  <w:tcW w:w="581" w:type="pct"/>
                  <w:noWrap w:val="0"/>
                  <w:vAlign w:val="center"/>
                </w:tcPr>
                <w:p>
                  <w:pPr>
                    <w:jc w:val="center"/>
                    <w:rPr>
                      <w:rFonts w:cs="Times New Roman"/>
                      <w:bCs/>
                      <w:szCs w:val="21"/>
                    </w:rPr>
                  </w:pPr>
                  <w:r>
                    <w:rPr>
                      <w:rFonts w:cs="Times New Roman"/>
                      <w:bCs/>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8" w:type="pct"/>
                  <w:vMerge w:val="continue"/>
                  <w:noWrap w:val="0"/>
                  <w:vAlign w:val="center"/>
                </w:tcPr>
                <w:p>
                  <w:pPr>
                    <w:jc w:val="center"/>
                    <w:rPr>
                      <w:rFonts w:cs="Times New Roman"/>
                      <w:bCs/>
                      <w:color w:val="FF00FF"/>
                      <w:szCs w:val="21"/>
                    </w:rPr>
                  </w:pPr>
                </w:p>
              </w:tc>
              <w:tc>
                <w:tcPr>
                  <w:tcW w:w="1006" w:type="pct"/>
                  <w:noWrap w:val="0"/>
                  <w:vAlign w:val="center"/>
                </w:tcPr>
                <w:p>
                  <w:pPr>
                    <w:jc w:val="center"/>
                    <w:rPr>
                      <w:rFonts w:hint="eastAsia" w:cs="Times New Roman"/>
                      <w:bCs/>
                      <w:szCs w:val="21"/>
                    </w:rPr>
                  </w:pPr>
                  <w:r>
                    <w:rPr>
                      <w:rFonts w:hint="eastAsia" w:cs="Times New Roman"/>
                      <w:szCs w:val="21"/>
                    </w:rPr>
                    <w:t>高锰酸钾</w:t>
                  </w:r>
                </w:p>
              </w:tc>
              <w:tc>
                <w:tcPr>
                  <w:tcW w:w="954" w:type="pct"/>
                  <w:noWrap w:val="0"/>
                  <w:vAlign w:val="center"/>
                </w:tcPr>
                <w:p>
                  <w:pPr>
                    <w:jc w:val="center"/>
                    <w:rPr>
                      <w:rFonts w:cs="Times New Roman"/>
                      <w:bCs/>
                      <w:szCs w:val="21"/>
                    </w:rPr>
                  </w:pPr>
                  <w:r>
                    <w:rPr>
                      <w:rFonts w:hint="eastAsia" w:cs="Times New Roman"/>
                      <w:bCs/>
                      <w:szCs w:val="21"/>
                    </w:rPr>
                    <w:t>若干</w:t>
                  </w:r>
                </w:p>
              </w:tc>
              <w:tc>
                <w:tcPr>
                  <w:tcW w:w="576" w:type="pct"/>
                  <w:noWrap w:val="0"/>
                  <w:vAlign w:val="center"/>
                </w:tcPr>
                <w:p>
                  <w:pPr>
                    <w:jc w:val="center"/>
                    <w:rPr>
                      <w:rFonts w:cs="Times New Roman"/>
                      <w:bCs/>
                      <w:szCs w:val="21"/>
                    </w:rPr>
                  </w:pPr>
                  <w:r>
                    <w:rPr>
                      <w:rFonts w:hint="eastAsia" w:cs="Times New Roman"/>
                      <w:bCs/>
                      <w:szCs w:val="21"/>
                    </w:rPr>
                    <w:t>1t</w:t>
                  </w:r>
                </w:p>
              </w:tc>
              <w:tc>
                <w:tcPr>
                  <w:tcW w:w="631" w:type="pct"/>
                  <w:noWrap w:val="0"/>
                  <w:vAlign w:val="center"/>
                </w:tcPr>
                <w:p>
                  <w:pPr>
                    <w:jc w:val="center"/>
                    <w:rPr>
                      <w:rFonts w:cs="Times New Roman"/>
                      <w:bCs/>
                      <w:szCs w:val="21"/>
                    </w:rPr>
                  </w:pPr>
                  <w:r>
                    <w:rPr>
                      <w:rFonts w:hint="eastAsia" w:cs="Times New Roman"/>
                      <w:bCs/>
                      <w:szCs w:val="21"/>
                    </w:rPr>
                    <w:t>固体</w:t>
                  </w:r>
                </w:p>
              </w:tc>
              <w:tc>
                <w:tcPr>
                  <w:tcW w:w="803" w:type="pct"/>
                  <w:noWrap w:val="0"/>
                  <w:vAlign w:val="center"/>
                </w:tcPr>
                <w:p>
                  <w:pPr>
                    <w:jc w:val="center"/>
                    <w:rPr>
                      <w:rFonts w:hint="eastAsia" w:cs="Times New Roman"/>
                      <w:bCs/>
                      <w:szCs w:val="21"/>
                    </w:rPr>
                  </w:pPr>
                  <w:r>
                    <w:rPr>
                      <w:rFonts w:hint="eastAsia" w:cs="Times New Roman"/>
                      <w:bCs/>
                      <w:szCs w:val="21"/>
                    </w:rPr>
                    <w:t>应急加药间</w:t>
                  </w:r>
                </w:p>
              </w:tc>
              <w:tc>
                <w:tcPr>
                  <w:tcW w:w="581" w:type="pct"/>
                  <w:noWrap w:val="0"/>
                  <w:vAlign w:val="center"/>
                </w:tcPr>
                <w:p>
                  <w:pPr>
                    <w:jc w:val="center"/>
                    <w:rPr>
                      <w:rFonts w:cs="Times New Roman"/>
                      <w:bCs/>
                      <w:szCs w:val="21"/>
                    </w:rPr>
                  </w:pPr>
                  <w:r>
                    <w:rPr>
                      <w:rFonts w:cs="Times New Roman"/>
                      <w:bCs/>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8" w:type="pct"/>
                  <w:vMerge w:val="restart"/>
                  <w:noWrap w:val="0"/>
                  <w:vAlign w:val="center"/>
                </w:tcPr>
                <w:p>
                  <w:pPr>
                    <w:jc w:val="center"/>
                    <w:rPr>
                      <w:rFonts w:cs="Times New Roman"/>
                      <w:bCs/>
                      <w:szCs w:val="21"/>
                    </w:rPr>
                  </w:pPr>
                  <w:r>
                    <w:rPr>
                      <w:rFonts w:cs="Times New Roman"/>
                      <w:bCs/>
                      <w:szCs w:val="21"/>
                    </w:rPr>
                    <w:t>能源</w:t>
                  </w:r>
                </w:p>
              </w:tc>
              <w:tc>
                <w:tcPr>
                  <w:tcW w:w="1006" w:type="pct"/>
                  <w:noWrap w:val="0"/>
                  <w:vAlign w:val="center"/>
                </w:tcPr>
                <w:p>
                  <w:pPr>
                    <w:jc w:val="center"/>
                    <w:rPr>
                      <w:rFonts w:cs="Times New Roman"/>
                      <w:bCs/>
                      <w:szCs w:val="21"/>
                    </w:rPr>
                  </w:pPr>
                  <w:r>
                    <w:rPr>
                      <w:rFonts w:cs="Times New Roman"/>
                      <w:bCs/>
                      <w:szCs w:val="21"/>
                    </w:rPr>
                    <w:t>电</w:t>
                  </w:r>
                </w:p>
              </w:tc>
              <w:tc>
                <w:tcPr>
                  <w:tcW w:w="954" w:type="pct"/>
                  <w:noWrap w:val="0"/>
                  <w:vAlign w:val="center"/>
                </w:tcPr>
                <w:p>
                  <w:pPr>
                    <w:jc w:val="center"/>
                    <w:rPr>
                      <w:rFonts w:cs="Times New Roman"/>
                      <w:bCs/>
                      <w:szCs w:val="21"/>
                      <w:highlight w:val="yellow"/>
                    </w:rPr>
                  </w:pPr>
                  <w:r>
                    <w:rPr>
                      <w:rFonts w:hint="eastAsia" w:cs="Times New Roman"/>
                      <w:bCs/>
                      <w:szCs w:val="21"/>
                    </w:rPr>
                    <w:t>10</w:t>
                  </w:r>
                  <w:r>
                    <w:rPr>
                      <w:rFonts w:cs="Times New Roman"/>
                      <w:bCs/>
                      <w:szCs w:val="21"/>
                    </w:rPr>
                    <w:t>00</w:t>
                  </w:r>
                  <w:r>
                    <w:rPr>
                      <w:rFonts w:hint="eastAsia" w:cs="Times New Roman"/>
                      <w:bCs/>
                      <w:szCs w:val="21"/>
                    </w:rPr>
                    <w:t>万</w:t>
                  </w:r>
                  <w:r>
                    <w:rPr>
                      <w:rFonts w:cs="Times New Roman"/>
                      <w:bCs/>
                      <w:szCs w:val="21"/>
                    </w:rPr>
                    <w:t>kWh</w:t>
                  </w:r>
                </w:p>
              </w:tc>
              <w:tc>
                <w:tcPr>
                  <w:tcW w:w="576" w:type="pct"/>
                  <w:noWrap w:val="0"/>
                  <w:vAlign w:val="center"/>
                </w:tcPr>
                <w:p>
                  <w:pPr>
                    <w:jc w:val="center"/>
                    <w:rPr>
                      <w:rFonts w:cs="Times New Roman"/>
                      <w:bCs/>
                      <w:szCs w:val="21"/>
                    </w:rPr>
                  </w:pPr>
                  <w:r>
                    <w:rPr>
                      <w:rFonts w:hint="eastAsia" w:cs="Times New Roman"/>
                      <w:bCs/>
                      <w:szCs w:val="21"/>
                    </w:rPr>
                    <w:t>/</w:t>
                  </w:r>
                </w:p>
              </w:tc>
              <w:tc>
                <w:tcPr>
                  <w:tcW w:w="631" w:type="pct"/>
                  <w:noWrap w:val="0"/>
                  <w:vAlign w:val="center"/>
                </w:tcPr>
                <w:p>
                  <w:pPr>
                    <w:jc w:val="center"/>
                    <w:rPr>
                      <w:rFonts w:hint="eastAsia" w:cs="Times New Roman"/>
                      <w:bCs/>
                      <w:szCs w:val="21"/>
                    </w:rPr>
                  </w:pPr>
                  <w:r>
                    <w:rPr>
                      <w:rFonts w:hint="eastAsia" w:cs="Times New Roman"/>
                      <w:bCs/>
                      <w:szCs w:val="21"/>
                    </w:rPr>
                    <w:t>/</w:t>
                  </w:r>
                </w:p>
              </w:tc>
              <w:tc>
                <w:tcPr>
                  <w:tcW w:w="803" w:type="pct"/>
                  <w:noWrap w:val="0"/>
                  <w:vAlign w:val="center"/>
                </w:tcPr>
                <w:p>
                  <w:pPr>
                    <w:jc w:val="center"/>
                    <w:rPr>
                      <w:rFonts w:cs="Times New Roman"/>
                      <w:bCs/>
                      <w:szCs w:val="21"/>
                    </w:rPr>
                  </w:pPr>
                  <w:r>
                    <w:rPr>
                      <w:rFonts w:cs="Times New Roman"/>
                      <w:bCs/>
                      <w:szCs w:val="21"/>
                    </w:rPr>
                    <w:t>/</w:t>
                  </w:r>
                </w:p>
              </w:tc>
              <w:tc>
                <w:tcPr>
                  <w:tcW w:w="581" w:type="pct"/>
                  <w:noWrap w:val="0"/>
                  <w:vAlign w:val="center"/>
                </w:tcPr>
                <w:p>
                  <w:pPr>
                    <w:jc w:val="center"/>
                    <w:rPr>
                      <w:rFonts w:cs="Times New Roman"/>
                      <w:bCs/>
                      <w:szCs w:val="21"/>
                    </w:rPr>
                  </w:pPr>
                  <w:r>
                    <w:rPr>
                      <w:rFonts w:cs="Times New Roman"/>
                      <w:bCs/>
                      <w:szCs w:val="21"/>
                    </w:rPr>
                    <w:t>市政电网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8" w:type="pct"/>
                  <w:vMerge w:val="continue"/>
                  <w:noWrap w:val="0"/>
                  <w:vAlign w:val="center"/>
                </w:tcPr>
                <w:p>
                  <w:pPr>
                    <w:jc w:val="center"/>
                    <w:rPr>
                      <w:rFonts w:cs="Times New Roman"/>
                      <w:bCs/>
                      <w:szCs w:val="21"/>
                    </w:rPr>
                  </w:pPr>
                </w:p>
              </w:tc>
              <w:tc>
                <w:tcPr>
                  <w:tcW w:w="1006" w:type="pct"/>
                  <w:noWrap w:val="0"/>
                  <w:vAlign w:val="center"/>
                </w:tcPr>
                <w:p>
                  <w:pPr>
                    <w:jc w:val="center"/>
                    <w:rPr>
                      <w:rFonts w:cs="Times New Roman"/>
                      <w:bCs/>
                      <w:szCs w:val="21"/>
                    </w:rPr>
                  </w:pPr>
                  <w:r>
                    <w:rPr>
                      <w:rFonts w:hint="eastAsia" w:cs="Times New Roman"/>
                      <w:bCs/>
                      <w:szCs w:val="21"/>
                    </w:rPr>
                    <w:t>天然气</w:t>
                  </w:r>
                </w:p>
              </w:tc>
              <w:tc>
                <w:tcPr>
                  <w:tcW w:w="954" w:type="pct"/>
                  <w:noWrap w:val="0"/>
                  <w:vAlign w:val="center"/>
                </w:tcPr>
                <w:p>
                  <w:pPr>
                    <w:jc w:val="center"/>
                    <w:rPr>
                      <w:rFonts w:cs="Times New Roman"/>
                      <w:bCs/>
                      <w:szCs w:val="21"/>
                    </w:rPr>
                  </w:pPr>
                  <w:r>
                    <w:rPr>
                      <w:rFonts w:hint="eastAsia" w:cs="Times New Roman"/>
                      <w:bCs/>
                      <w:szCs w:val="21"/>
                    </w:rPr>
                    <w:t>5000m</w:t>
                  </w:r>
                  <w:r>
                    <w:rPr>
                      <w:rFonts w:hint="eastAsia" w:cs="Times New Roman"/>
                      <w:bCs/>
                      <w:szCs w:val="21"/>
                      <w:vertAlign w:val="superscript"/>
                    </w:rPr>
                    <w:t>3</w:t>
                  </w:r>
                </w:p>
              </w:tc>
              <w:tc>
                <w:tcPr>
                  <w:tcW w:w="576" w:type="pct"/>
                  <w:noWrap w:val="0"/>
                  <w:vAlign w:val="center"/>
                </w:tcPr>
                <w:p>
                  <w:pPr>
                    <w:jc w:val="center"/>
                    <w:rPr>
                      <w:rFonts w:hint="eastAsia" w:cs="Times New Roman"/>
                      <w:bCs/>
                      <w:szCs w:val="21"/>
                    </w:rPr>
                  </w:pPr>
                  <w:r>
                    <w:rPr>
                      <w:rFonts w:hint="eastAsia" w:cs="Times New Roman"/>
                      <w:bCs/>
                      <w:szCs w:val="21"/>
                    </w:rPr>
                    <w:t>/</w:t>
                  </w:r>
                </w:p>
              </w:tc>
              <w:tc>
                <w:tcPr>
                  <w:tcW w:w="631" w:type="pct"/>
                  <w:noWrap w:val="0"/>
                  <w:vAlign w:val="center"/>
                </w:tcPr>
                <w:p>
                  <w:pPr>
                    <w:jc w:val="center"/>
                    <w:rPr>
                      <w:rFonts w:hint="eastAsia" w:cs="Times New Roman"/>
                      <w:bCs/>
                      <w:szCs w:val="21"/>
                    </w:rPr>
                  </w:pPr>
                  <w:r>
                    <w:rPr>
                      <w:rFonts w:hint="eastAsia" w:cs="Times New Roman"/>
                      <w:bCs/>
                      <w:szCs w:val="21"/>
                    </w:rPr>
                    <w:t>/</w:t>
                  </w:r>
                </w:p>
              </w:tc>
              <w:tc>
                <w:tcPr>
                  <w:tcW w:w="803" w:type="pct"/>
                  <w:noWrap w:val="0"/>
                  <w:vAlign w:val="center"/>
                </w:tcPr>
                <w:p>
                  <w:pPr>
                    <w:jc w:val="center"/>
                    <w:rPr>
                      <w:rFonts w:cs="Times New Roman"/>
                      <w:bCs/>
                      <w:szCs w:val="21"/>
                    </w:rPr>
                  </w:pPr>
                  <w:r>
                    <w:rPr>
                      <w:rFonts w:hint="eastAsia" w:cs="Times New Roman"/>
                      <w:bCs/>
                      <w:szCs w:val="21"/>
                    </w:rPr>
                    <w:t>/</w:t>
                  </w:r>
                </w:p>
              </w:tc>
              <w:tc>
                <w:tcPr>
                  <w:tcW w:w="581" w:type="pct"/>
                  <w:noWrap w:val="0"/>
                  <w:vAlign w:val="center"/>
                </w:tcPr>
                <w:p>
                  <w:pPr>
                    <w:jc w:val="center"/>
                    <w:rPr>
                      <w:rFonts w:cs="Times New Roman"/>
                      <w:bCs/>
                      <w:szCs w:val="21"/>
                    </w:rPr>
                  </w:pPr>
                  <w:r>
                    <w:rPr>
                      <w:rFonts w:cs="Times New Roman"/>
                      <w:bCs/>
                      <w:szCs w:val="21"/>
                    </w:rPr>
                    <w:t>市政</w:t>
                  </w:r>
                  <w:r>
                    <w:rPr>
                      <w:rFonts w:hint="eastAsia" w:cs="Times New Roman"/>
                      <w:bCs/>
                      <w:szCs w:val="21"/>
                    </w:rPr>
                    <w:t>供气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8" w:type="pct"/>
                  <w:noWrap w:val="0"/>
                  <w:vAlign w:val="center"/>
                </w:tcPr>
                <w:p>
                  <w:pPr>
                    <w:jc w:val="center"/>
                    <w:rPr>
                      <w:rFonts w:cs="Times New Roman"/>
                      <w:bCs/>
                      <w:szCs w:val="21"/>
                    </w:rPr>
                  </w:pPr>
                  <w:r>
                    <w:rPr>
                      <w:rFonts w:cs="Times New Roman"/>
                      <w:bCs/>
                      <w:szCs w:val="21"/>
                    </w:rPr>
                    <w:t>水量</w:t>
                  </w:r>
                </w:p>
              </w:tc>
              <w:tc>
                <w:tcPr>
                  <w:tcW w:w="1006" w:type="pct"/>
                  <w:noWrap w:val="0"/>
                  <w:vAlign w:val="center"/>
                </w:tcPr>
                <w:p>
                  <w:pPr>
                    <w:jc w:val="center"/>
                    <w:rPr>
                      <w:rFonts w:cs="Times New Roman"/>
                      <w:bCs/>
                      <w:szCs w:val="21"/>
                    </w:rPr>
                  </w:pPr>
                  <w:r>
                    <w:rPr>
                      <w:rFonts w:hint="eastAsia" w:cs="Times New Roman"/>
                      <w:bCs/>
                      <w:szCs w:val="21"/>
                    </w:rPr>
                    <w:t>原水</w:t>
                  </w:r>
                </w:p>
              </w:tc>
              <w:tc>
                <w:tcPr>
                  <w:tcW w:w="954" w:type="pct"/>
                  <w:noWrap w:val="0"/>
                  <w:vAlign w:val="center"/>
                </w:tcPr>
                <w:p>
                  <w:pPr>
                    <w:jc w:val="center"/>
                    <w:rPr>
                      <w:rFonts w:cs="Times New Roman"/>
                      <w:bCs/>
                      <w:szCs w:val="21"/>
                      <w:highlight w:val="yellow"/>
                    </w:rPr>
                  </w:pPr>
                  <w:r>
                    <w:rPr>
                      <w:rFonts w:cs="Times New Roman"/>
                      <w:bCs/>
                      <w:szCs w:val="21"/>
                    </w:rPr>
                    <w:t>2751.19</w:t>
                  </w:r>
                  <w:r>
                    <w:rPr>
                      <w:rFonts w:hint="eastAsia" w:cs="Times New Roman"/>
                      <w:bCs/>
                      <w:szCs w:val="21"/>
                    </w:rPr>
                    <w:t>万m</w:t>
                  </w:r>
                  <w:r>
                    <w:rPr>
                      <w:rFonts w:hint="eastAsia" w:cs="Times New Roman"/>
                      <w:bCs/>
                      <w:szCs w:val="21"/>
                      <w:vertAlign w:val="superscript"/>
                    </w:rPr>
                    <w:t>3</w:t>
                  </w:r>
                </w:p>
              </w:tc>
              <w:tc>
                <w:tcPr>
                  <w:tcW w:w="576" w:type="pct"/>
                  <w:noWrap w:val="0"/>
                  <w:vAlign w:val="center"/>
                </w:tcPr>
                <w:p>
                  <w:pPr>
                    <w:jc w:val="center"/>
                    <w:rPr>
                      <w:rFonts w:hint="eastAsia" w:cs="Times New Roman"/>
                      <w:bCs/>
                      <w:szCs w:val="21"/>
                    </w:rPr>
                  </w:pPr>
                  <w:r>
                    <w:rPr>
                      <w:rFonts w:hint="eastAsia" w:cs="Times New Roman"/>
                      <w:bCs/>
                      <w:szCs w:val="21"/>
                    </w:rPr>
                    <w:t>/</w:t>
                  </w:r>
                </w:p>
              </w:tc>
              <w:tc>
                <w:tcPr>
                  <w:tcW w:w="631" w:type="pct"/>
                  <w:noWrap w:val="0"/>
                  <w:vAlign w:val="center"/>
                </w:tcPr>
                <w:p>
                  <w:pPr>
                    <w:jc w:val="center"/>
                    <w:rPr>
                      <w:rFonts w:hint="eastAsia" w:cs="Times New Roman"/>
                      <w:bCs/>
                      <w:szCs w:val="21"/>
                    </w:rPr>
                  </w:pPr>
                  <w:r>
                    <w:rPr>
                      <w:rFonts w:hint="eastAsia" w:cs="Times New Roman"/>
                      <w:bCs/>
                      <w:szCs w:val="21"/>
                    </w:rPr>
                    <w:t>/</w:t>
                  </w:r>
                </w:p>
              </w:tc>
              <w:tc>
                <w:tcPr>
                  <w:tcW w:w="803" w:type="pct"/>
                  <w:noWrap w:val="0"/>
                  <w:vAlign w:val="center"/>
                </w:tcPr>
                <w:p>
                  <w:pPr>
                    <w:jc w:val="center"/>
                    <w:rPr>
                      <w:rFonts w:cs="Times New Roman"/>
                      <w:bCs/>
                      <w:szCs w:val="21"/>
                    </w:rPr>
                  </w:pPr>
                  <w:r>
                    <w:rPr>
                      <w:rFonts w:cs="Times New Roman"/>
                      <w:bCs/>
                      <w:szCs w:val="21"/>
                    </w:rPr>
                    <w:t>/</w:t>
                  </w:r>
                </w:p>
              </w:tc>
              <w:tc>
                <w:tcPr>
                  <w:tcW w:w="581" w:type="pct"/>
                  <w:noWrap w:val="0"/>
                  <w:vAlign w:val="center"/>
                </w:tcPr>
                <w:p>
                  <w:pPr>
                    <w:jc w:val="center"/>
                    <w:rPr>
                      <w:rFonts w:cs="Times New Roman"/>
                      <w:bCs/>
                      <w:szCs w:val="21"/>
                    </w:rPr>
                  </w:pPr>
                  <w:r>
                    <w:rPr>
                      <w:rFonts w:hint="eastAsia" w:cs="Times New Roman"/>
                      <w:bCs/>
                      <w:szCs w:val="21"/>
                    </w:rPr>
                    <w:t>州河水</w:t>
                  </w:r>
                </w:p>
              </w:tc>
            </w:tr>
          </w:tbl>
          <w:p>
            <w:pPr>
              <w:tabs>
                <w:tab w:val="left" w:pos="1260"/>
              </w:tabs>
              <w:adjustRightInd w:val="0"/>
              <w:spacing w:line="276" w:lineRule="auto"/>
              <w:ind w:firstLine="422" w:firstLineChars="200"/>
              <w:rPr>
                <w:rFonts w:hint="eastAsia" w:cs="Times New Roman"/>
                <w:b/>
                <w:bCs/>
                <w:kern w:val="0"/>
                <w:szCs w:val="21"/>
              </w:rPr>
            </w:pPr>
            <w:r>
              <w:rPr>
                <w:rFonts w:hint="eastAsia"/>
                <w:b/>
                <w:szCs w:val="21"/>
              </w:rPr>
              <w:t>备注：二氧化氯为水质消毒过程由复合氯酸钠及复合硫酸钠制取产生，不在厂区储存。</w:t>
            </w:r>
          </w:p>
          <w:p>
            <w:pPr>
              <w:tabs>
                <w:tab w:val="left" w:pos="1260"/>
              </w:tabs>
              <w:adjustRightInd w:val="0"/>
              <w:spacing w:line="276" w:lineRule="auto"/>
              <w:ind w:firstLine="422" w:firstLineChars="200"/>
              <w:rPr>
                <w:rFonts w:cs="Times New Roman"/>
                <w:b/>
                <w:bCs/>
                <w:kern w:val="0"/>
                <w:szCs w:val="21"/>
              </w:rPr>
            </w:pPr>
            <w:r>
              <w:rPr>
                <w:rFonts w:cs="Times New Roman"/>
                <w:b/>
                <w:bCs/>
                <w:kern w:val="0"/>
                <w:szCs w:val="21"/>
              </w:rPr>
              <w:t>主要原辅材料理化性质：</w:t>
            </w:r>
          </w:p>
          <w:p>
            <w:pPr>
              <w:tabs>
                <w:tab w:val="left" w:pos="1260"/>
              </w:tabs>
              <w:adjustRightInd w:val="0"/>
              <w:spacing w:line="276" w:lineRule="auto"/>
              <w:ind w:firstLine="422" w:firstLineChars="200"/>
              <w:rPr>
                <w:rFonts w:cs="Times New Roman"/>
                <w:kern w:val="0"/>
                <w:szCs w:val="21"/>
              </w:rPr>
            </w:pPr>
            <w:r>
              <w:rPr>
                <w:rFonts w:cs="Times New Roman"/>
                <w:b/>
                <w:bCs/>
                <w:kern w:val="0"/>
                <w:szCs w:val="21"/>
              </w:rPr>
              <w:t>聚合氯化铝</w:t>
            </w:r>
            <w:r>
              <w:rPr>
                <w:rFonts w:hint="eastAsia" w:cs="Times New Roman"/>
                <w:b/>
                <w:bCs/>
                <w:kern w:val="0"/>
                <w:szCs w:val="21"/>
              </w:rPr>
              <w:t>（PAC）</w:t>
            </w:r>
            <w:r>
              <w:rPr>
                <w:rFonts w:cs="Times New Roman"/>
                <w:b/>
                <w:bCs/>
                <w:kern w:val="0"/>
                <w:szCs w:val="21"/>
              </w:rPr>
              <w:t>：</w:t>
            </w:r>
            <w:r>
              <w:rPr>
                <w:rFonts w:cs="Times New Roman"/>
                <w:kern w:val="0"/>
                <w:szCs w:val="21"/>
              </w:rPr>
              <w:t>聚合氯化铝是一种净水材料，无机高分子混凝剂，又被简称为聚铝，英文缩写为PAC，由于氢氧根离子的架桥作用和多价阴离子的聚合作用而生产的分子量较大、电荷较高的无机高分子水处理药剂。在形态上又可以分为固体和液体两种。固体按颜色不同又分为棕褐色、米黄色、金黄色和白色，液体可以呈现为无色透明、微黄色、浅黄色至黄褐色。不同颜色的聚合氯化铝在应用及生产技术上也有较大的区别。</w:t>
            </w:r>
          </w:p>
          <w:p>
            <w:pPr>
              <w:tabs>
                <w:tab w:val="left" w:pos="1260"/>
              </w:tabs>
              <w:adjustRightInd w:val="0"/>
              <w:spacing w:line="276" w:lineRule="auto"/>
              <w:ind w:firstLine="420" w:firstLineChars="200"/>
              <w:rPr>
                <w:rFonts w:cs="Times New Roman"/>
                <w:kern w:val="0"/>
                <w:szCs w:val="21"/>
              </w:rPr>
            </w:pPr>
            <w:r>
              <w:rPr>
                <w:rFonts w:cs="Times New Roman"/>
                <w:kern w:val="0"/>
                <w:szCs w:val="21"/>
              </w:rPr>
              <w:t>聚合氯化铝有吸附、凝聚、沉淀等性能,聚合氯化铝稳定性差。毒性及防护有腐蚀性，如不慎溅到皮肤上要立即用水冲洗干净。生产人员要穿工作服，戴口罩、手套，穿长筒胶靴。生产设备要密闭，车间通风应良好。</w:t>
            </w:r>
          </w:p>
          <w:p>
            <w:pPr>
              <w:tabs>
                <w:tab w:val="left" w:pos="1260"/>
              </w:tabs>
              <w:adjustRightInd w:val="0"/>
              <w:spacing w:line="276" w:lineRule="auto"/>
              <w:ind w:firstLine="420" w:firstLineChars="200"/>
              <w:rPr>
                <w:rFonts w:cs="Times New Roman"/>
                <w:kern w:val="0"/>
                <w:szCs w:val="21"/>
              </w:rPr>
            </w:pPr>
            <w:r>
              <w:rPr>
                <w:rFonts w:cs="Times New Roman"/>
                <w:kern w:val="0"/>
                <w:szCs w:val="21"/>
              </w:rPr>
              <w:t>聚合氯化铝有腐蚀性。加热至110℃以上时分解，放出氯化氢气体，最后分解为氧化铝；与酸反应发生解聚作用，使聚合度和碱度降低，最后变为正铝盐。与碱作用可使聚合度和碱度提高，最终可形成氢氧化铝沉淀或铝酸盐；与硫酸铝或其他多价酸盐混合时易生成沉淀，可降低或完全失去混凝性能。</w:t>
            </w:r>
          </w:p>
          <w:p>
            <w:pPr>
              <w:tabs>
                <w:tab w:val="left" w:pos="1260"/>
              </w:tabs>
              <w:adjustRightInd w:val="0"/>
              <w:spacing w:line="276" w:lineRule="auto"/>
              <w:ind w:firstLine="422" w:firstLineChars="200"/>
              <w:rPr>
                <w:rFonts w:cs="Times New Roman"/>
                <w:kern w:val="0"/>
                <w:szCs w:val="21"/>
              </w:rPr>
            </w:pPr>
            <w:r>
              <w:rPr>
                <w:rFonts w:cs="Times New Roman"/>
                <w:b/>
                <w:bCs/>
                <w:kern w:val="0"/>
                <w:szCs w:val="21"/>
              </w:rPr>
              <w:t>复合氯酸钠（绿安消）</w:t>
            </w:r>
            <w:r>
              <w:rPr>
                <w:rFonts w:hint="eastAsia" w:cs="Times New Roman"/>
                <w:b/>
                <w:bCs/>
                <w:kern w:val="0"/>
                <w:szCs w:val="21"/>
              </w:rPr>
              <w:t>：</w:t>
            </w:r>
            <w:r>
              <w:rPr>
                <w:rFonts w:hint="eastAsia" w:cs="Times New Roman"/>
                <w:kern w:val="0"/>
                <w:szCs w:val="21"/>
              </w:rPr>
              <w:t>主要成份为氯酸钠（≥24.0%）、氯化钠（≤1.5%）、C</w:t>
            </w:r>
            <w:r>
              <w:rPr>
                <w:rFonts w:hint="eastAsia" w:cs="Times New Roman"/>
                <w:kern w:val="0"/>
                <w:szCs w:val="21"/>
                <w:vertAlign w:val="subscript"/>
              </w:rPr>
              <w:t>12</w:t>
            </w:r>
            <w:r>
              <w:rPr>
                <w:rFonts w:hint="eastAsia" w:cs="Times New Roman"/>
                <w:kern w:val="0"/>
                <w:szCs w:val="21"/>
              </w:rPr>
              <w:t>H</w:t>
            </w:r>
            <w:r>
              <w:rPr>
                <w:rFonts w:hint="eastAsia" w:cs="Times New Roman"/>
                <w:kern w:val="0"/>
                <w:szCs w:val="21"/>
                <w:vertAlign w:val="subscript"/>
              </w:rPr>
              <w:t>22</w:t>
            </w:r>
            <w:r>
              <w:rPr>
                <w:rFonts w:hint="eastAsia" w:cs="Times New Roman"/>
                <w:kern w:val="0"/>
                <w:szCs w:val="21"/>
              </w:rPr>
              <w:t>O</w:t>
            </w:r>
            <w:r>
              <w:rPr>
                <w:rFonts w:hint="eastAsia" w:cs="Times New Roman"/>
                <w:kern w:val="0"/>
                <w:szCs w:val="21"/>
                <w:vertAlign w:val="subscript"/>
              </w:rPr>
              <w:t>11</w:t>
            </w:r>
            <w:r>
              <w:rPr>
                <w:rFonts w:hint="eastAsia" w:cs="Times New Roman"/>
                <w:kern w:val="0"/>
                <w:szCs w:val="21"/>
              </w:rPr>
              <w:t>（≤2.0%）。常温下为无色或微黄色水溶液，密度＞1.25g/ml。用于水处理杀菌消毒剂二氧化氯制备，与活化剂（复合硫酸氢钠）按比例投加至二氧化氯发生器内，制备二氧化氯消毒液用于水质杀菌消毒。</w:t>
            </w:r>
          </w:p>
          <w:p>
            <w:pPr>
              <w:tabs>
                <w:tab w:val="left" w:pos="1260"/>
              </w:tabs>
              <w:adjustRightInd w:val="0"/>
              <w:spacing w:line="276" w:lineRule="auto"/>
              <w:ind w:firstLine="422" w:firstLineChars="200"/>
              <w:rPr>
                <w:rFonts w:hint="eastAsia" w:cs="Times New Roman"/>
                <w:kern w:val="0"/>
                <w:szCs w:val="21"/>
              </w:rPr>
            </w:pPr>
            <w:r>
              <w:rPr>
                <w:rFonts w:cs="Times New Roman"/>
                <w:b/>
                <w:bCs/>
                <w:kern w:val="0"/>
                <w:szCs w:val="21"/>
              </w:rPr>
              <w:t>复合硫酸氢钠</w:t>
            </w:r>
            <w:r>
              <w:rPr>
                <w:rFonts w:hint="eastAsia" w:cs="Times New Roman"/>
                <w:b/>
                <w:bCs/>
                <w:kern w:val="0"/>
                <w:szCs w:val="21"/>
              </w:rPr>
              <w:t>（活化剂）：</w:t>
            </w:r>
            <w:r>
              <w:rPr>
                <w:rFonts w:hint="eastAsia" w:cs="Times New Roman"/>
                <w:kern w:val="0"/>
                <w:szCs w:val="21"/>
              </w:rPr>
              <w:t>主要成份为硫酸氢钠（≥48%）、尿素（≥1%）、C</w:t>
            </w:r>
            <w:r>
              <w:rPr>
                <w:rFonts w:hint="eastAsia" w:cs="Times New Roman"/>
                <w:kern w:val="0"/>
                <w:szCs w:val="21"/>
                <w:vertAlign w:val="subscript"/>
              </w:rPr>
              <w:t>12</w:t>
            </w:r>
            <w:r>
              <w:rPr>
                <w:rFonts w:hint="eastAsia" w:cs="Times New Roman"/>
                <w:kern w:val="0"/>
                <w:szCs w:val="21"/>
              </w:rPr>
              <w:t>H</w:t>
            </w:r>
            <w:r>
              <w:rPr>
                <w:rFonts w:hint="eastAsia" w:cs="Times New Roman"/>
                <w:kern w:val="0"/>
                <w:szCs w:val="21"/>
                <w:vertAlign w:val="subscript"/>
              </w:rPr>
              <w:t>22</w:t>
            </w:r>
            <w:r>
              <w:rPr>
                <w:rFonts w:hint="eastAsia" w:cs="Times New Roman"/>
                <w:kern w:val="0"/>
                <w:szCs w:val="21"/>
              </w:rPr>
              <w:t>O</w:t>
            </w:r>
            <w:r>
              <w:rPr>
                <w:rFonts w:hint="eastAsia" w:cs="Times New Roman"/>
                <w:kern w:val="0"/>
                <w:szCs w:val="21"/>
                <w:vertAlign w:val="subscript"/>
              </w:rPr>
              <w:t>11</w:t>
            </w:r>
            <w:r>
              <w:rPr>
                <w:rFonts w:hint="eastAsia" w:cs="Times New Roman"/>
                <w:kern w:val="0"/>
                <w:szCs w:val="21"/>
              </w:rPr>
              <w:t>（≥2.0%）。常温下为无色或微黄色水溶液，密度 1.50g/ml。用于水处理杀菌消毒剂二氧化氯制备，与绿安消（复合氯酸钠）按比例投加至二氧化氯发生器内，制备二氧化氯消毒液用于水质杀菌消毒。</w:t>
            </w:r>
          </w:p>
          <w:p>
            <w:pPr>
              <w:tabs>
                <w:tab w:val="left" w:pos="1260"/>
              </w:tabs>
              <w:adjustRightInd w:val="0"/>
              <w:spacing w:line="276" w:lineRule="auto"/>
              <w:ind w:firstLine="422" w:firstLineChars="200"/>
              <w:rPr>
                <w:rFonts w:cs="Times New Roman"/>
                <w:kern w:val="0"/>
                <w:szCs w:val="21"/>
              </w:rPr>
            </w:pPr>
            <w:r>
              <w:rPr>
                <w:rFonts w:cs="Times New Roman"/>
                <w:b/>
                <w:bCs/>
                <w:kern w:val="0"/>
                <w:szCs w:val="21"/>
              </w:rPr>
              <w:t>二氧化氯：</w:t>
            </w:r>
            <w:r>
              <w:rPr>
                <w:rFonts w:cs="Times New Roman"/>
                <w:kern w:val="0"/>
                <w:szCs w:val="21"/>
              </w:rPr>
              <w:t>为黄绿色液体，沸点-34.6℃，熔点-103℃，在常压下即汽化成气体，吸入人体能严重中毒， 有剧烈刺激作用和腐蚀性，在日光下与其它易燃气体混合时发生燃烧和爆炸，氯是很活泼的物质，可以和大多数元素（或化合物）起反应。二氧化氯一般气化后使用，用途较为广泛，为强氧化剂，用于纺织、造纸工业的漂白，自来水的净化、消毒，镁及其它金属的炼制，制取农药、洗涤剂、塑料、橡胶、医药等各种含氯化合物。化工生产中，由聚乙烯与二氧化氯合成为聚氯乙烯、氯化聚乙烯。广泛用于造纸、纺织、农药、有机合成、金属冶炼、化工原料等行业，及生活用水消毒之用。</w:t>
            </w:r>
          </w:p>
          <w:p>
            <w:pPr>
              <w:tabs>
                <w:tab w:val="left" w:pos="1260"/>
              </w:tabs>
              <w:adjustRightInd w:val="0"/>
              <w:spacing w:line="276" w:lineRule="auto"/>
              <w:ind w:firstLine="422" w:firstLineChars="200"/>
              <w:rPr>
                <w:rFonts w:cs="Times New Roman"/>
                <w:kern w:val="0"/>
                <w:szCs w:val="21"/>
              </w:rPr>
            </w:pPr>
            <w:r>
              <w:rPr>
                <w:rFonts w:cs="Times New Roman"/>
                <w:b/>
                <w:bCs/>
                <w:kern w:val="0"/>
                <w:szCs w:val="21"/>
              </w:rPr>
              <w:t>高锰酸钾</w:t>
            </w:r>
            <w:r>
              <w:rPr>
                <w:rFonts w:hint="eastAsia" w:cs="Times New Roman"/>
                <w:b/>
                <w:bCs/>
                <w:kern w:val="0"/>
                <w:szCs w:val="21"/>
              </w:rPr>
              <w:t>：</w:t>
            </w:r>
            <w:r>
              <w:rPr>
                <w:rFonts w:hint="eastAsia" w:cs="Times New Roman"/>
                <w:kern w:val="0"/>
                <w:szCs w:val="21"/>
              </w:rPr>
              <w:t>是一种强氧化剂，化学式为KMnO</w:t>
            </w:r>
            <w:r>
              <w:rPr>
                <w:rFonts w:hint="eastAsia" w:cs="Times New Roman"/>
                <w:kern w:val="0"/>
                <w:szCs w:val="21"/>
                <w:vertAlign w:val="subscript"/>
              </w:rPr>
              <w:t>4</w:t>
            </w:r>
            <w:r>
              <w:rPr>
                <w:rFonts w:hint="eastAsia" w:cs="Times New Roman"/>
                <w:kern w:val="0"/>
                <w:szCs w:val="21"/>
              </w:rPr>
              <w:t>，为黑紫色结晶，带蓝色的金属光泽，无臭，与某些有机物或易氧化物接触，易发生爆炸，溶于水、碱液，微溶于甲醇、丙酮、硫酸。在化学品生产中，广泛用作氧化剂。 熔点：240°C；密度：2.7g/cm</w:t>
            </w:r>
            <w:r>
              <w:rPr>
                <w:rFonts w:hint="eastAsia" w:cs="Times New Roman"/>
                <w:kern w:val="0"/>
                <w:szCs w:val="21"/>
                <w:vertAlign w:val="superscript"/>
              </w:rPr>
              <w:t>3</w:t>
            </w:r>
            <w:r>
              <w:rPr>
                <w:rFonts w:hint="eastAsia" w:cs="Times New Roman"/>
                <w:kern w:val="0"/>
                <w:szCs w:val="21"/>
              </w:rPr>
              <w:t>；外观：黑紫色结晶；溶解性：溶于水、碱液，微溶于甲醇、丙酮、硫酸；水溶解性：6.4g/100 mL (20℃)。毒理学信息：LD50 Guinea pigoral：810mg/kg。</w:t>
            </w:r>
          </w:p>
          <w:p>
            <w:pPr>
              <w:spacing w:line="276" w:lineRule="auto"/>
              <w:ind w:firstLine="422" w:firstLineChars="200"/>
              <w:rPr>
                <w:rFonts w:hint="eastAsia" w:cs="Times New Roman"/>
                <w:b/>
                <w:szCs w:val="21"/>
              </w:rPr>
            </w:pPr>
            <w:r>
              <w:rPr>
                <w:rFonts w:hint="eastAsia" w:cs="Times New Roman"/>
                <w:b/>
                <w:szCs w:val="21"/>
              </w:rPr>
              <w:t xml:space="preserve">7、公用工程及辅助设施 </w:t>
            </w:r>
          </w:p>
          <w:p>
            <w:pPr>
              <w:spacing w:line="276" w:lineRule="auto"/>
              <w:ind w:firstLine="422" w:firstLineChars="200"/>
              <w:rPr>
                <w:rFonts w:hint="eastAsia"/>
                <w:b/>
                <w:kern w:val="24"/>
                <w:szCs w:val="21"/>
              </w:rPr>
            </w:pPr>
            <w:r>
              <w:rPr>
                <w:rFonts w:hint="eastAsia"/>
                <w:b/>
                <w:kern w:val="24"/>
                <w:szCs w:val="21"/>
              </w:rPr>
              <w:t>（1）供电</w:t>
            </w:r>
          </w:p>
          <w:p>
            <w:pPr>
              <w:spacing w:line="276" w:lineRule="auto"/>
              <w:ind w:firstLine="420" w:firstLineChars="200"/>
              <w:rPr>
                <w:rFonts w:hint="eastAsia"/>
                <w:bCs/>
                <w:kern w:val="24"/>
                <w:szCs w:val="21"/>
              </w:rPr>
            </w:pPr>
            <w:r>
              <w:rPr>
                <w:rFonts w:hint="eastAsia"/>
                <w:bCs/>
                <w:kern w:val="24"/>
                <w:szCs w:val="21"/>
              </w:rPr>
              <w:t>根据负荷计算结果，水厂（不含调度中心）本期扩建完成后，总计算负荷约1370kW（1438kVA，功率因数补偿至0.95左右，下同）。无需换装变压器，仅将现状两台1000kVA变压器运行方式由一用一备调整为分列运行互为备用，变压器平均负载率约为0.72左右，1台变压器故障检修时剩余1台变压器基本能满足二级负荷运行要求（需切除三级负荷，同时反冲洗、污泥脱水等非关键负荷需错峰运行）。</w:t>
            </w:r>
          </w:p>
          <w:p>
            <w:pPr>
              <w:spacing w:line="276" w:lineRule="auto"/>
              <w:ind w:firstLine="420" w:firstLineChars="200"/>
              <w:rPr>
                <w:rFonts w:hint="eastAsia"/>
                <w:bCs/>
                <w:kern w:val="24"/>
                <w:szCs w:val="21"/>
              </w:rPr>
            </w:pPr>
            <w:r>
              <w:rPr>
                <w:rFonts w:hint="eastAsia"/>
                <w:bCs/>
                <w:kern w:val="24"/>
                <w:szCs w:val="21"/>
              </w:rPr>
              <w:t>调度中心拟设置1座专用变配电房，10kV电源由新建10kV环网分支箱引来。选用2台SCB-500kVA 10/ 0.4 kV D，yn11型免维护干式变压器，2台变压器分列运行互为备用（其中1台变压器主要承载季节性开空调负荷，负载率约0.67左右；另一台变压器主要承载其他负荷，负载率约0.73左右），一台变压器故障检修时剩余一台变压器能满足所有二级负荷运行要求。同时调度中心1F设置 ~400V常载功率400kW柴油发电机1台作应急电源。</w:t>
            </w:r>
          </w:p>
          <w:p>
            <w:pPr>
              <w:spacing w:line="276" w:lineRule="auto"/>
              <w:ind w:firstLine="422" w:firstLineChars="200"/>
              <w:rPr>
                <w:b/>
                <w:kern w:val="24"/>
                <w:szCs w:val="21"/>
              </w:rPr>
            </w:pPr>
            <w:r>
              <w:rPr>
                <w:rFonts w:hint="eastAsia"/>
                <w:b/>
                <w:kern w:val="24"/>
                <w:szCs w:val="21"/>
              </w:rPr>
              <w:t>（2）供水</w:t>
            </w:r>
          </w:p>
          <w:p>
            <w:pPr>
              <w:spacing w:line="276" w:lineRule="auto"/>
              <w:ind w:firstLine="420" w:firstLineChars="200"/>
              <w:rPr>
                <w:rFonts w:hint="eastAsia"/>
                <w:bCs/>
                <w:kern w:val="24"/>
                <w:szCs w:val="21"/>
              </w:rPr>
            </w:pPr>
            <w:r>
              <w:rPr>
                <w:rFonts w:hint="eastAsia"/>
                <w:bCs/>
                <w:kern w:val="24"/>
                <w:szCs w:val="21"/>
              </w:rPr>
              <w:t>本项目原水由现状预留管网供给，水源来源于州河，州河取水泵房设置吴家沟水厂，现状已建设2条DN1240的原水管道，满足项目供水要求。</w:t>
            </w:r>
          </w:p>
          <w:p>
            <w:pPr>
              <w:spacing w:line="276" w:lineRule="auto"/>
              <w:ind w:firstLine="420" w:firstLineChars="200"/>
              <w:rPr>
                <w:rFonts w:hint="eastAsia"/>
                <w:bCs/>
                <w:kern w:val="24"/>
                <w:szCs w:val="21"/>
              </w:rPr>
            </w:pPr>
            <w:r>
              <w:rPr>
                <w:rFonts w:hint="eastAsia"/>
                <w:bCs/>
                <w:kern w:val="24"/>
                <w:szCs w:val="21"/>
              </w:rPr>
              <w:t>本项目采用雨、污分流制排水系统。项目营运期主要排水为生产废水。</w:t>
            </w:r>
          </w:p>
          <w:p>
            <w:pPr>
              <w:spacing w:line="360" w:lineRule="auto"/>
              <w:ind w:firstLine="422" w:firstLineChars="200"/>
              <w:rPr>
                <w:b/>
                <w:bCs/>
                <w:szCs w:val="21"/>
              </w:rPr>
            </w:pPr>
            <w:r>
              <w:rPr>
                <w:b/>
                <w:bCs/>
                <w:szCs w:val="21"/>
              </w:rPr>
              <w:t>（3）水量平衡</w:t>
            </w:r>
          </w:p>
          <w:p>
            <w:pPr>
              <w:spacing w:line="360" w:lineRule="auto"/>
              <w:ind w:firstLine="420" w:firstLineChars="200"/>
              <w:rPr>
                <w:rFonts w:hint="eastAsia"/>
                <w:szCs w:val="21"/>
              </w:rPr>
            </w:pPr>
            <w:r>
              <w:rPr>
                <w:szCs w:val="21"/>
              </w:rPr>
              <w:t>根据项目运行情况及《自来水生产和供应行业系数手册》</w:t>
            </w:r>
            <w:r>
              <w:rPr>
                <w:rFonts w:hint="eastAsia"/>
                <w:szCs w:val="21"/>
              </w:rPr>
              <w:t>和《排放源统计调查产排污核算方法和系数手册》（公告2021年第24号）中“4610 自来水生产和供应行业系数手册”中混凝沉淀（或澄清）过滤消毒工艺（5—30万吨/日）废水量产污系数4.36×10</w:t>
            </w:r>
            <w:r>
              <w:rPr>
                <w:rFonts w:hint="eastAsia"/>
                <w:szCs w:val="21"/>
                <w:vertAlign w:val="superscript"/>
              </w:rPr>
              <w:t>-2</w:t>
            </w:r>
            <w:r>
              <w:rPr>
                <w:rFonts w:hint="eastAsia"/>
                <w:szCs w:val="21"/>
              </w:rPr>
              <w:t>t/t-产品计，得出生产废水总产生量3270m</w:t>
            </w:r>
            <w:r>
              <w:rPr>
                <w:rFonts w:hint="eastAsia"/>
                <w:szCs w:val="21"/>
                <w:vertAlign w:val="superscript"/>
              </w:rPr>
              <w:t>3</w:t>
            </w:r>
            <w:r>
              <w:rPr>
                <w:rFonts w:hint="eastAsia"/>
                <w:szCs w:val="21"/>
              </w:rPr>
              <w:t>/d。</w:t>
            </w:r>
            <w:r>
              <w:rPr>
                <w:szCs w:val="21"/>
              </w:rPr>
              <w:t>根据类比调查及查阅相关资料，滤池反冲洗水一般为沉淀池排泥水的5～10倍，本项目以7倍计，则沉淀池排泥水产生量为</w:t>
            </w:r>
            <w:r>
              <w:rPr>
                <w:rFonts w:hint="eastAsia"/>
                <w:szCs w:val="21"/>
              </w:rPr>
              <w:t>408.75</w:t>
            </w:r>
            <w:r>
              <w:rPr>
                <w:szCs w:val="21"/>
              </w:rPr>
              <w:t>t/d、滤池反冲洗水产生量为2861.25t/d。项目的水量平衡见下图。</w:t>
            </w:r>
          </w:p>
          <w:p>
            <w:pPr>
              <w:pStyle w:val="2"/>
              <w:spacing w:line="360" w:lineRule="auto"/>
              <w:rPr>
                <w:rFonts w:hint="eastAsia"/>
              </w:rPr>
            </w:pPr>
          </w:p>
          <w:p>
            <w:pPr>
              <w:rPr>
                <w:rFonts w:hint="eastAsia"/>
              </w:rPr>
            </w:pPr>
          </w:p>
          <w:p>
            <w:pPr>
              <w:pStyle w:val="2"/>
              <w:rPr>
                <w:rFonts w:hint="eastAsia"/>
              </w:rPr>
            </w:pPr>
          </w:p>
          <w:p>
            <w:pPr>
              <w:rPr>
                <w:rFonts w:hint="eastAsia"/>
              </w:rPr>
            </w:pPr>
          </w:p>
          <w:p>
            <w:pPr>
              <w:pStyle w:val="2"/>
              <w:rPr>
                <w:rFonts w:hint="eastAsia"/>
              </w:rPr>
            </w:pPr>
          </w:p>
          <w:p>
            <w:pPr>
              <w:pStyle w:val="2"/>
              <w:rPr>
                <w:rFonts w:hint="eastAsia"/>
              </w:rPr>
            </w:pPr>
          </w:p>
          <w:p>
            <w:pPr>
              <w:rPr>
                <w:rFonts w:hint="eastAsia"/>
              </w:rPr>
            </w:pPr>
          </w:p>
          <w:p>
            <w:pPr>
              <w:pStyle w:val="2"/>
              <w:rPr>
                <w:rFonts w:hint="eastAsia"/>
              </w:rPr>
            </w:pPr>
          </w:p>
          <w:p>
            <w:pPr>
              <w:rPr>
                <w:rFonts w:hint="eastAsia"/>
              </w:rPr>
            </w:pPr>
          </w:p>
          <w:p>
            <w:pPr>
              <w:spacing w:line="360" w:lineRule="auto"/>
              <w:ind w:firstLine="420" w:firstLineChars="200"/>
              <w:rPr>
                <w:rFonts w:hint="eastAsia"/>
                <w:color w:val="FF0000"/>
                <w:szCs w:val="21"/>
              </w:rPr>
            </w:pPr>
          </w:p>
          <w:p>
            <w:pPr>
              <w:spacing w:line="360" w:lineRule="auto"/>
              <w:ind w:firstLine="420" w:firstLineChars="200"/>
              <w:rPr>
                <w:color w:val="FF0000"/>
                <w:szCs w:val="21"/>
              </w:rPr>
            </w:pPr>
            <w:r>
              <w:rPr>
                <w:color w:val="FF0000"/>
                <w:szCs w:val="21"/>
              </w:rPr>
              <mc:AlternateContent>
                <mc:Choice Requires="wpg">
                  <w:drawing>
                    <wp:anchor distT="0" distB="0" distL="114300" distR="114300" simplePos="0" relativeHeight="251661312" behindDoc="0" locked="0" layoutInCell="1" allowOverlap="1">
                      <wp:simplePos x="0" y="0"/>
                      <wp:positionH relativeFrom="column">
                        <wp:posOffset>-19050</wp:posOffset>
                      </wp:positionH>
                      <wp:positionV relativeFrom="paragraph">
                        <wp:posOffset>40640</wp:posOffset>
                      </wp:positionV>
                      <wp:extent cx="5762625" cy="2289175"/>
                      <wp:effectExtent l="7620" t="0" r="0" b="15240"/>
                      <wp:wrapNone/>
                      <wp:docPr id="27" name="组合 115"/>
                      <wp:cNvGraphicFramePr/>
                      <a:graphic xmlns:a="http://schemas.openxmlformats.org/drawingml/2006/main">
                        <a:graphicData uri="http://schemas.microsoft.com/office/word/2010/wordprocessingGroup">
                          <wpg:wgp>
                            <wpg:cNvGrpSpPr/>
                            <wpg:grpSpPr>
                              <a:xfrm>
                                <a:off x="0" y="0"/>
                                <a:ext cx="5762625" cy="2289175"/>
                                <a:chOff x="1701" y="2732"/>
                                <a:chExt cx="9075" cy="3605"/>
                              </a:xfrm>
                            </wpg:grpSpPr>
                            <wps:wsp>
                              <wps:cNvPr id="2" name="任意多边形 15"/>
                              <wps:cNvSpPr/>
                              <wps:spPr>
                                <a:xfrm>
                                  <a:off x="3678" y="4117"/>
                                  <a:ext cx="1502" cy="1067"/>
                                </a:xfrm>
                                <a:custGeom>
                                  <a:avLst/>
                                  <a:gdLst/>
                                  <a:ahLst/>
                                  <a:cxnLst/>
                                  <a:pathLst>
                                    <a:path w="900" h="468">
                                      <a:moveTo>
                                        <a:pt x="0" y="0"/>
                                      </a:moveTo>
                                      <a:lnTo>
                                        <a:pt x="0" y="468"/>
                                      </a:lnTo>
                                      <a:lnTo>
                                        <a:pt x="900" y="468"/>
                                      </a:lnTo>
                                    </a:path>
                                  </a:pathLst>
                                </a:custGeom>
                                <a:noFill/>
                                <a:ln w="9525" cap="flat" cmpd="sng">
                                  <a:solidFill>
                                    <a:srgbClr val="000000"/>
                                  </a:solidFill>
                                  <a:prstDash val="dash"/>
                                  <a:headEnd type="none" w="med" len="med"/>
                                  <a:tailEnd type="triangle" w="med" len="med"/>
                                </a:ln>
                              </wps:spPr>
                              <wps:bodyPr wrap="square" upright="1"/>
                            </wps:wsp>
                            <wps:wsp>
                              <wps:cNvPr id="3" name="文本框 16"/>
                              <wps:cNvSpPr txBox="1"/>
                              <wps:spPr>
                                <a:xfrm>
                                  <a:off x="5216" y="4909"/>
                                  <a:ext cx="1215" cy="453"/>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ind w:left="-105" w:leftChars="-50" w:right="-105" w:rightChars="-50"/>
                                      <w:jc w:val="center"/>
                                      <w:rPr>
                                        <w:rFonts w:hint="eastAsia"/>
                                      </w:rPr>
                                    </w:pPr>
                                    <w:r>
                                      <w:rPr>
                                        <w:rFonts w:hint="eastAsia"/>
                                      </w:rPr>
                                      <w:t>污泥浓缩池</w:t>
                                    </w:r>
                                  </w:p>
                                </w:txbxContent>
                              </wps:txbx>
                              <wps:bodyPr wrap="square" lIns="91440" tIns="46800" rIns="91440" bIns="0" upright="1"/>
                            </wps:wsp>
                            <wps:wsp>
                              <wps:cNvPr id="4" name="直线 17"/>
                              <wps:cNvCnPr/>
                              <wps:spPr>
                                <a:xfrm>
                                  <a:off x="8332" y="5970"/>
                                  <a:ext cx="708" cy="0"/>
                                </a:xfrm>
                                <a:prstGeom prst="line">
                                  <a:avLst/>
                                </a:prstGeom>
                                <a:ln w="9525" cap="flat" cmpd="sng">
                                  <a:solidFill>
                                    <a:srgbClr val="000000"/>
                                  </a:solidFill>
                                  <a:prstDash val="dash"/>
                                  <a:headEnd type="none" w="med" len="med"/>
                                  <a:tailEnd type="triangle" w="med" len="med"/>
                                </a:ln>
                              </wps:spPr>
                              <wps:bodyPr upright="1"/>
                            </wps:wsp>
                            <wps:wsp>
                              <wps:cNvPr id="5" name="文本框 18"/>
                              <wps:cNvSpPr txBox="1"/>
                              <wps:spPr>
                                <a:xfrm>
                                  <a:off x="7110" y="5658"/>
                                  <a:ext cx="1215" cy="679"/>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ind w:left="-105" w:leftChars="-50" w:right="-105" w:rightChars="-50"/>
                                      <w:jc w:val="center"/>
                                      <w:rPr>
                                        <w:rFonts w:hint="eastAsia"/>
                                      </w:rPr>
                                    </w:pPr>
                                    <w:r>
                                      <w:rPr>
                                        <w:rFonts w:hint="eastAsia"/>
                                      </w:rPr>
                                      <w:t>板框压滤机</w:t>
                                    </w:r>
                                  </w:p>
                                </w:txbxContent>
                              </wps:txbx>
                              <wps:bodyPr wrap="square" lIns="91440" tIns="72000" rIns="91440" bIns="45720" upright="1"/>
                            </wps:wsp>
                            <wps:wsp>
                              <wps:cNvPr id="6" name="文本框 19"/>
                              <wps:cNvSpPr txBox="1"/>
                              <wps:spPr>
                                <a:xfrm>
                                  <a:off x="3650" y="4851"/>
                                  <a:ext cx="1143" cy="628"/>
                                </a:xfrm>
                                <a:prstGeom prst="rect">
                                  <a:avLst/>
                                </a:prstGeom>
                                <a:noFill/>
                                <a:ln w="15875">
                                  <a:noFill/>
                                </a:ln>
                              </wps:spPr>
                              <wps:txbx>
                                <w:txbxContent>
                                  <w:p>
                                    <w:pPr>
                                      <w:jc w:val="center"/>
                                      <w:rPr>
                                        <w:rFonts w:hint="eastAsia"/>
                                      </w:rPr>
                                    </w:pPr>
                                    <w:r>
                                      <w:rPr>
                                        <w:rFonts w:hint="eastAsia"/>
                                      </w:rPr>
                                      <w:t>排泥水</w:t>
                                    </w:r>
                                  </w:p>
                                  <w:p>
                                    <w:pPr>
                                      <w:jc w:val="center"/>
                                      <w:rPr>
                                        <w:rFonts w:hint="eastAsia"/>
                                      </w:rPr>
                                    </w:pPr>
                                    <w:r>
                                      <w:t>408.75</w:t>
                                    </w:r>
                                  </w:p>
                                </w:txbxContent>
                              </wps:txbx>
                              <wps:bodyPr wrap="square" lIns="91440" tIns="0" rIns="91440" bIns="0" upright="1"/>
                            </wps:wsp>
                            <wps:wsp>
                              <wps:cNvPr id="7" name="文本框 20"/>
                              <wps:cNvSpPr txBox="1"/>
                              <wps:spPr>
                                <a:xfrm>
                                  <a:off x="1701" y="3352"/>
                                  <a:ext cx="1177" cy="668"/>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jc w:val="center"/>
                                      <w:rPr>
                                        <w:rFonts w:hint="eastAsia"/>
                                      </w:rPr>
                                    </w:pPr>
                                    <w:r>
                                      <w:rPr>
                                        <w:rFonts w:hint="eastAsia"/>
                                      </w:rPr>
                                      <w:t>原水</w:t>
                                    </w:r>
                                  </w:p>
                                  <w:p>
                                    <w:pPr>
                                      <w:jc w:val="center"/>
                                      <w:rPr>
                                        <w:rFonts w:hint="eastAsia"/>
                                      </w:rPr>
                                    </w:pPr>
                                    <w:r>
                                      <w:rPr>
                                        <w:rFonts w:hint="eastAsia"/>
                                      </w:rPr>
                                      <w:t>75408.75</w:t>
                                    </w:r>
                                  </w:p>
                                </w:txbxContent>
                              </wps:txbx>
                              <wps:bodyPr wrap="square" lIns="0" tIns="0" rIns="0" bIns="0" upright="1"/>
                            </wps:wsp>
                            <wps:wsp>
                              <wps:cNvPr id="8" name="直线 21"/>
                              <wps:cNvCnPr/>
                              <wps:spPr>
                                <a:xfrm>
                                  <a:off x="1753" y="3708"/>
                                  <a:ext cx="1264" cy="0"/>
                                </a:xfrm>
                                <a:prstGeom prst="line">
                                  <a:avLst/>
                                </a:prstGeom>
                                <a:ln w="15875" cap="flat" cmpd="sng">
                                  <a:solidFill>
                                    <a:srgbClr val="000000"/>
                                  </a:solidFill>
                                  <a:prstDash val="solid"/>
                                  <a:headEnd type="none" w="med" len="med"/>
                                  <a:tailEnd type="triangle" w="med" len="med"/>
                                </a:ln>
                              </wps:spPr>
                              <wps:bodyPr upright="1"/>
                            </wps:wsp>
                            <wps:wsp>
                              <wps:cNvPr id="9" name="文本框 22"/>
                              <wps:cNvSpPr txBox="1"/>
                              <wps:spPr>
                                <a:xfrm>
                                  <a:off x="3059" y="3368"/>
                                  <a:ext cx="1239" cy="719"/>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before="156" w:beforeLines="50"/>
                                      <w:jc w:val="center"/>
                                      <w:rPr>
                                        <w:rFonts w:hint="eastAsia"/>
                                        <w:szCs w:val="21"/>
                                      </w:rPr>
                                    </w:pPr>
                                    <w:r>
                                      <w:rPr>
                                        <w:rFonts w:hint="eastAsia"/>
                                        <w:szCs w:val="21"/>
                                      </w:rPr>
                                      <w:t>絮凝沉淀池</w:t>
                                    </w:r>
                                  </w:p>
                                </w:txbxContent>
                              </wps:txbx>
                              <wps:bodyPr wrap="square" lIns="0" tIns="0" rIns="0" bIns="0" upright="1"/>
                            </wps:wsp>
                            <wps:wsp>
                              <wps:cNvPr id="10" name="文本框 23"/>
                              <wps:cNvSpPr txBox="1"/>
                              <wps:spPr>
                                <a:xfrm>
                                  <a:off x="5190" y="3373"/>
                                  <a:ext cx="1239" cy="717"/>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before="156" w:beforeLines="50"/>
                                      <w:jc w:val="center"/>
                                      <w:rPr>
                                        <w:rFonts w:hint="eastAsia"/>
                                        <w:szCs w:val="21"/>
                                      </w:rPr>
                                    </w:pPr>
                                    <w:r>
                                      <w:rPr>
                                        <w:rFonts w:hint="eastAsia"/>
                                        <w:szCs w:val="21"/>
                                      </w:rPr>
                                      <w:t>V型滤池</w:t>
                                    </w:r>
                                  </w:p>
                                </w:txbxContent>
                              </wps:txbx>
                              <wps:bodyPr wrap="square" lIns="0" tIns="0" rIns="0" bIns="0" upright="1"/>
                            </wps:wsp>
                            <wps:wsp>
                              <wps:cNvPr id="11" name="直线 24"/>
                              <wps:cNvCnPr/>
                              <wps:spPr>
                                <a:xfrm>
                                  <a:off x="4298" y="3724"/>
                                  <a:ext cx="892" cy="0"/>
                                </a:xfrm>
                                <a:prstGeom prst="line">
                                  <a:avLst/>
                                </a:prstGeom>
                                <a:ln w="9525" cap="flat" cmpd="sng">
                                  <a:solidFill>
                                    <a:srgbClr val="000000"/>
                                  </a:solidFill>
                                  <a:prstDash val="solid"/>
                                  <a:headEnd type="none" w="med" len="med"/>
                                  <a:tailEnd type="triangle" w="med" len="med"/>
                                </a:ln>
                              </wps:spPr>
                              <wps:bodyPr upright="1"/>
                            </wps:wsp>
                            <wps:wsp>
                              <wps:cNvPr id="12" name="直线 25"/>
                              <wps:cNvCnPr/>
                              <wps:spPr>
                                <a:xfrm flipV="1">
                                  <a:off x="6431" y="3711"/>
                                  <a:ext cx="1082" cy="0"/>
                                </a:xfrm>
                                <a:prstGeom prst="line">
                                  <a:avLst/>
                                </a:prstGeom>
                                <a:ln w="9525" cap="flat" cmpd="sng">
                                  <a:solidFill>
                                    <a:srgbClr val="000000"/>
                                  </a:solidFill>
                                  <a:prstDash val="solid"/>
                                  <a:headEnd type="none" w="med" len="med"/>
                                  <a:tailEnd type="triangle" w="med" len="med"/>
                                </a:ln>
                              </wps:spPr>
                              <wps:bodyPr upright="1"/>
                            </wps:wsp>
                            <wps:wsp>
                              <wps:cNvPr id="13" name="文本框 26"/>
                              <wps:cNvSpPr txBox="1"/>
                              <wps:spPr>
                                <a:xfrm>
                                  <a:off x="6303" y="3434"/>
                                  <a:ext cx="1077" cy="305"/>
                                </a:xfrm>
                                <a:prstGeom prst="rect">
                                  <a:avLst/>
                                </a:prstGeom>
                                <a:noFill/>
                                <a:ln w="15875">
                                  <a:noFill/>
                                </a:ln>
                              </wps:spPr>
                              <wps:txbx>
                                <w:txbxContent>
                                  <w:p>
                                    <w:pPr>
                                      <w:jc w:val="center"/>
                                      <w:rPr>
                                        <w:rFonts w:hint="eastAsia"/>
                                      </w:rPr>
                                    </w:pPr>
                                    <w:r>
                                      <w:rPr>
                                        <w:rFonts w:hint="eastAsia"/>
                                      </w:rPr>
                                      <w:t>75000</w:t>
                                    </w:r>
                                  </w:p>
                                </w:txbxContent>
                              </wps:txbx>
                              <wps:bodyPr wrap="square" lIns="91440" tIns="0" rIns="91440" bIns="0" upright="1"/>
                            </wps:wsp>
                            <wps:wsp>
                              <wps:cNvPr id="14" name="文本框 27"/>
                              <wps:cNvSpPr txBox="1"/>
                              <wps:spPr>
                                <a:xfrm>
                                  <a:off x="9483" y="3427"/>
                                  <a:ext cx="1293" cy="649"/>
                                </a:xfrm>
                                <a:prstGeom prst="rect">
                                  <a:avLst/>
                                </a:prstGeom>
                                <a:noFill/>
                                <a:ln>
                                  <a:noFill/>
                                </a:ln>
                              </wps:spPr>
                              <wps:txbx>
                                <w:txbxContent>
                                  <w:p>
                                    <w:pPr>
                                      <w:rPr>
                                        <w:rFonts w:hint="eastAsia"/>
                                        <w:szCs w:val="21"/>
                                      </w:rPr>
                                    </w:pPr>
                                    <w:r>
                                      <w:rPr>
                                        <w:rFonts w:hint="eastAsia"/>
                                        <w:szCs w:val="21"/>
                                      </w:rPr>
                                      <w:t>管输至用户、</w:t>
                                    </w:r>
                                  </w:p>
                                  <w:p>
                                    <w:pPr>
                                      <w:pStyle w:val="2"/>
                                      <w:ind w:left="0" w:leftChars="0" w:firstLine="0" w:firstLineChars="0"/>
                                      <w:jc w:val="both"/>
                                      <w:rPr>
                                        <w:rFonts w:hint="eastAsia"/>
                                      </w:rPr>
                                    </w:pPr>
                                    <w:r>
                                      <w:rPr>
                                        <w:rFonts w:hint="eastAsia"/>
                                      </w:rPr>
                                      <w:t>厂内自用水</w:t>
                                    </w:r>
                                  </w:p>
                                </w:txbxContent>
                              </wps:txbx>
                              <wps:bodyPr wrap="square" lIns="0" tIns="0" rIns="0" bIns="0" upright="1"/>
                            </wps:wsp>
                            <wps:wsp>
                              <wps:cNvPr id="15" name="文本框 28"/>
                              <wps:cNvSpPr txBox="1"/>
                              <wps:spPr>
                                <a:xfrm>
                                  <a:off x="3891" y="2732"/>
                                  <a:ext cx="1655" cy="628"/>
                                </a:xfrm>
                                <a:prstGeom prst="rect">
                                  <a:avLst/>
                                </a:prstGeom>
                                <a:noFill/>
                                <a:ln w="15875">
                                  <a:noFill/>
                                </a:ln>
                              </wps:spPr>
                              <wps:txbx>
                                <w:txbxContent>
                                  <w:p>
                                    <w:pPr>
                                      <w:jc w:val="center"/>
                                      <w:rPr>
                                        <w:rFonts w:hint="eastAsia"/>
                                      </w:rPr>
                                    </w:pPr>
                                    <w:r>
                                      <w:rPr>
                                        <w:rFonts w:hint="eastAsia"/>
                                      </w:rPr>
                                      <w:t>反冲洗废水</w:t>
                                    </w:r>
                                  </w:p>
                                  <w:p>
                                    <w:pPr>
                                      <w:jc w:val="center"/>
                                      <w:rPr>
                                        <w:rFonts w:hint="eastAsia"/>
                                      </w:rPr>
                                    </w:pPr>
                                    <w:r>
                                      <w:rPr>
                                        <w:rFonts w:hint="eastAsia"/>
                                      </w:rPr>
                                      <w:t>回用，</w:t>
                                    </w:r>
                                    <w:r>
                                      <w:t>2861.25</w:t>
                                    </w:r>
                                  </w:p>
                                </w:txbxContent>
                              </wps:txbx>
                              <wps:bodyPr wrap="square" lIns="91440" tIns="0" rIns="91440" bIns="0" upright="1"/>
                            </wps:wsp>
                            <wps:wsp>
                              <wps:cNvPr id="16" name="文本框 29"/>
                              <wps:cNvSpPr txBox="1"/>
                              <wps:spPr>
                                <a:xfrm>
                                  <a:off x="7850" y="4850"/>
                                  <a:ext cx="1831" cy="622"/>
                                </a:xfrm>
                                <a:prstGeom prst="rect">
                                  <a:avLst/>
                                </a:prstGeom>
                                <a:noFill/>
                                <a:ln w="15875">
                                  <a:noFill/>
                                </a:ln>
                              </wps:spPr>
                              <wps:txbx>
                                <w:txbxContent>
                                  <w:p>
                                    <w:pPr>
                                      <w:jc w:val="center"/>
                                      <w:rPr>
                                        <w:rFonts w:hint="eastAsia"/>
                                      </w:rPr>
                                    </w:pPr>
                                    <w:r>
                                      <w:rPr>
                                        <w:rFonts w:hint="eastAsia"/>
                                      </w:rPr>
                                      <w:t>市政污水管网</w:t>
                                    </w:r>
                                  </w:p>
                                  <w:p>
                                    <w:pPr>
                                      <w:jc w:val="center"/>
                                      <w:rPr>
                                        <w:rFonts w:hint="eastAsia"/>
                                      </w:rPr>
                                    </w:pPr>
                                    <w:r>
                                      <w:rPr>
                                        <w:rFonts w:hint="eastAsia"/>
                                      </w:rPr>
                                      <w:t>至污水处理厂</w:t>
                                    </w:r>
                                  </w:p>
                                </w:txbxContent>
                              </wps:txbx>
                              <wps:bodyPr wrap="square" lIns="91440" tIns="0" rIns="91440" bIns="0" upright="1"/>
                            </wps:wsp>
                            <wps:wsp>
                              <wps:cNvPr id="17" name="任意多边形 30"/>
                              <wps:cNvSpPr/>
                              <wps:spPr>
                                <a:xfrm>
                                  <a:off x="5823" y="5399"/>
                                  <a:ext cx="1284" cy="601"/>
                                </a:xfrm>
                                <a:custGeom>
                                  <a:avLst/>
                                  <a:gdLst/>
                                  <a:ahLst/>
                                  <a:cxnLst/>
                                  <a:pathLst>
                                    <a:path w="900" h="468">
                                      <a:moveTo>
                                        <a:pt x="0" y="0"/>
                                      </a:moveTo>
                                      <a:lnTo>
                                        <a:pt x="0" y="468"/>
                                      </a:lnTo>
                                      <a:lnTo>
                                        <a:pt x="900" y="468"/>
                                      </a:lnTo>
                                    </a:path>
                                  </a:pathLst>
                                </a:custGeom>
                                <a:noFill/>
                                <a:ln w="9525" cap="flat" cmpd="sng">
                                  <a:solidFill>
                                    <a:srgbClr val="000000"/>
                                  </a:solidFill>
                                  <a:prstDash val="dash"/>
                                  <a:headEnd type="none" w="med" len="med"/>
                                  <a:tailEnd type="triangle" w="med" len="med"/>
                                </a:ln>
                              </wps:spPr>
                              <wps:bodyPr wrap="square" upright="1"/>
                            </wps:wsp>
                            <wps:wsp>
                              <wps:cNvPr id="18" name="文本框 31"/>
                              <wps:cNvSpPr txBox="1"/>
                              <wps:spPr>
                                <a:xfrm>
                                  <a:off x="6058" y="5616"/>
                                  <a:ext cx="869" cy="353"/>
                                </a:xfrm>
                                <a:prstGeom prst="rect">
                                  <a:avLst/>
                                </a:prstGeom>
                                <a:noFill/>
                                <a:ln w="15875">
                                  <a:noFill/>
                                </a:ln>
                              </wps:spPr>
                              <wps:txbx>
                                <w:txbxContent>
                                  <w:p>
                                    <w:pPr>
                                      <w:jc w:val="center"/>
                                      <w:rPr>
                                        <w:rFonts w:hint="eastAsia"/>
                                      </w:rPr>
                                    </w:pPr>
                                    <w:r>
                                      <w:rPr>
                                        <w:rFonts w:hint="eastAsia"/>
                                      </w:rPr>
                                      <w:t>污泥</w:t>
                                    </w:r>
                                  </w:p>
                                </w:txbxContent>
                              </wps:txbx>
                              <wps:bodyPr wrap="square" lIns="91440" tIns="0" rIns="91440" bIns="0" upright="1"/>
                            </wps:wsp>
                            <wps:wsp>
                              <wps:cNvPr id="19" name="文本框 32"/>
                              <wps:cNvSpPr txBox="1"/>
                              <wps:spPr>
                                <a:xfrm>
                                  <a:off x="8939" y="5788"/>
                                  <a:ext cx="1132" cy="352"/>
                                </a:xfrm>
                                <a:prstGeom prst="rect">
                                  <a:avLst/>
                                </a:prstGeom>
                                <a:noFill/>
                                <a:ln w="15875">
                                  <a:noFill/>
                                </a:ln>
                              </wps:spPr>
                              <wps:txbx>
                                <w:txbxContent>
                                  <w:p>
                                    <w:pPr>
                                      <w:jc w:val="center"/>
                                      <w:rPr>
                                        <w:rFonts w:hint="eastAsia"/>
                                      </w:rPr>
                                    </w:pPr>
                                    <w:r>
                                      <w:rPr>
                                        <w:rFonts w:hint="eastAsia"/>
                                      </w:rPr>
                                      <w:t>定期外运</w:t>
                                    </w:r>
                                  </w:p>
                                </w:txbxContent>
                              </wps:txbx>
                              <wps:bodyPr wrap="square" lIns="91440" tIns="0" rIns="91440" bIns="0" upright="1"/>
                            </wps:wsp>
                            <wps:wsp>
                              <wps:cNvPr id="20" name="直线 33"/>
                              <wps:cNvCnPr/>
                              <wps:spPr>
                                <a:xfrm>
                                  <a:off x="6441" y="5175"/>
                                  <a:ext cx="1634" cy="0"/>
                                </a:xfrm>
                                <a:prstGeom prst="line">
                                  <a:avLst/>
                                </a:prstGeom>
                                <a:ln w="9525" cap="flat" cmpd="sng">
                                  <a:solidFill>
                                    <a:srgbClr val="000000"/>
                                  </a:solidFill>
                                  <a:prstDash val="dash"/>
                                  <a:headEnd type="none" w="med" len="med"/>
                                  <a:tailEnd type="triangle" w="med" len="med"/>
                                </a:ln>
                              </wps:spPr>
                              <wps:bodyPr upright="1"/>
                            </wps:wsp>
                            <wps:wsp>
                              <wps:cNvPr id="21" name="文本框 34"/>
                              <wps:cNvSpPr txBox="1"/>
                              <wps:spPr>
                                <a:xfrm>
                                  <a:off x="6415" y="4853"/>
                                  <a:ext cx="1530" cy="352"/>
                                </a:xfrm>
                                <a:prstGeom prst="rect">
                                  <a:avLst/>
                                </a:prstGeom>
                                <a:noFill/>
                                <a:ln w="15875">
                                  <a:noFill/>
                                </a:ln>
                              </wps:spPr>
                              <wps:txbx>
                                <w:txbxContent>
                                  <w:p>
                                    <w:pPr>
                                      <w:jc w:val="center"/>
                                      <w:rPr>
                                        <w:rFonts w:hint="eastAsia"/>
                                      </w:rPr>
                                    </w:pPr>
                                    <w:r>
                                      <w:rPr>
                                        <w:rFonts w:hint="eastAsia"/>
                                      </w:rPr>
                                      <w:t>滤液408.75</w:t>
                                    </w:r>
                                  </w:p>
                                </w:txbxContent>
                              </wps:txbx>
                              <wps:bodyPr wrap="square" lIns="91440" tIns="0" rIns="91440" bIns="0" upright="1"/>
                            </wps:wsp>
                            <wps:wsp>
                              <wps:cNvPr id="22" name="文本框 35"/>
                              <wps:cNvSpPr txBox="1"/>
                              <wps:spPr>
                                <a:xfrm>
                                  <a:off x="8179" y="5669"/>
                                  <a:ext cx="869" cy="352"/>
                                </a:xfrm>
                                <a:prstGeom prst="rect">
                                  <a:avLst/>
                                </a:prstGeom>
                                <a:noFill/>
                                <a:ln w="15875">
                                  <a:noFill/>
                                </a:ln>
                              </wps:spPr>
                              <wps:txbx>
                                <w:txbxContent>
                                  <w:p>
                                    <w:pPr>
                                      <w:jc w:val="center"/>
                                      <w:rPr>
                                        <w:rFonts w:hint="eastAsia"/>
                                      </w:rPr>
                                    </w:pPr>
                                    <w:r>
                                      <w:rPr>
                                        <w:rFonts w:hint="eastAsia"/>
                                      </w:rPr>
                                      <w:t>泥饼</w:t>
                                    </w:r>
                                  </w:p>
                                </w:txbxContent>
                              </wps:txbx>
                              <wps:bodyPr wrap="square" lIns="91440" tIns="0" rIns="91440" bIns="0" upright="1"/>
                            </wps:wsp>
                            <wps:wsp>
                              <wps:cNvPr id="23" name="任意多边形 36"/>
                              <wps:cNvSpPr/>
                              <wps:spPr>
                                <a:xfrm>
                                  <a:off x="3649" y="3036"/>
                                  <a:ext cx="2160" cy="312"/>
                                </a:xfrm>
                                <a:custGeom>
                                  <a:avLst/>
                                  <a:gdLst/>
                                  <a:ahLst/>
                                  <a:cxnLst/>
                                  <a:pathLst>
                                    <a:path w="2160" h="360">
                                      <a:moveTo>
                                        <a:pt x="0" y="360"/>
                                      </a:moveTo>
                                      <a:lnTo>
                                        <a:pt x="0" y="0"/>
                                      </a:lnTo>
                                      <a:lnTo>
                                        <a:pt x="2160" y="0"/>
                                      </a:lnTo>
                                      <a:lnTo>
                                        <a:pt x="2160" y="360"/>
                                      </a:lnTo>
                                    </a:path>
                                  </a:pathLst>
                                </a:custGeom>
                                <a:noFill/>
                                <a:ln w="9525" cap="flat" cmpd="sng">
                                  <a:solidFill>
                                    <a:srgbClr val="000000"/>
                                  </a:solidFill>
                                  <a:prstDash val="solid"/>
                                  <a:headEnd type="triangle" w="med" len="med"/>
                                  <a:tailEnd type="none" w="med" len="med"/>
                                </a:ln>
                              </wps:spPr>
                              <wps:bodyPr wrap="square" upright="1"/>
                            </wps:wsp>
                            <wps:wsp>
                              <wps:cNvPr id="24" name="文本框 23"/>
                              <wps:cNvSpPr txBox="1"/>
                              <wps:spPr>
                                <a:xfrm>
                                  <a:off x="7531" y="3361"/>
                                  <a:ext cx="806" cy="717"/>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before="156" w:beforeLines="50"/>
                                      <w:jc w:val="center"/>
                                      <w:rPr>
                                        <w:rFonts w:hint="eastAsia"/>
                                        <w:szCs w:val="21"/>
                                      </w:rPr>
                                    </w:pPr>
                                    <w:r>
                                      <w:rPr>
                                        <w:rFonts w:hint="eastAsia"/>
                                        <w:szCs w:val="21"/>
                                      </w:rPr>
                                      <w:t>清水池</w:t>
                                    </w:r>
                                  </w:p>
                                </w:txbxContent>
                              </wps:txbx>
                              <wps:bodyPr wrap="square" lIns="0" tIns="0" rIns="0" bIns="0" upright="1"/>
                            </wps:wsp>
                            <wps:wsp>
                              <wps:cNvPr id="25" name="文本框 26"/>
                              <wps:cNvSpPr txBox="1"/>
                              <wps:spPr>
                                <a:xfrm>
                                  <a:off x="8138" y="3435"/>
                                  <a:ext cx="1077" cy="305"/>
                                </a:xfrm>
                                <a:prstGeom prst="rect">
                                  <a:avLst/>
                                </a:prstGeom>
                                <a:noFill/>
                                <a:ln w="15875">
                                  <a:noFill/>
                                </a:ln>
                              </wps:spPr>
                              <wps:txbx>
                                <w:txbxContent>
                                  <w:p>
                                    <w:pPr>
                                      <w:jc w:val="center"/>
                                      <w:rPr>
                                        <w:rFonts w:hint="eastAsia"/>
                                      </w:rPr>
                                    </w:pPr>
                                    <w:r>
                                      <w:rPr>
                                        <w:rFonts w:hint="eastAsia"/>
                                      </w:rPr>
                                      <w:t>75000</w:t>
                                    </w:r>
                                  </w:p>
                                </w:txbxContent>
                              </wps:txbx>
                              <wps:bodyPr wrap="square" lIns="91440" tIns="0" rIns="91440" bIns="0" upright="1"/>
                            </wps:wsp>
                            <wps:wsp>
                              <wps:cNvPr id="26" name="直线 114"/>
                              <wps:cNvCnPr/>
                              <wps:spPr>
                                <a:xfrm>
                                  <a:off x="8345" y="3725"/>
                                  <a:ext cx="1134"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115" o:spid="_x0000_s1026" o:spt="203" style="position:absolute;left:0pt;margin-left:-1.5pt;margin-top:3.2pt;height:180.25pt;width:453.75pt;z-index:251661312;mso-width-relative:page;mso-height-relative:page;" coordorigin="1701,2732" coordsize="9075,3605" o:gfxdata="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">
                      <o:lock v:ext="edit" aspectratio="f"/>
                      <v:shape id="任意多边形 15" o:spid="_x0000_s1026" o:spt="100" style="position:absolute;left:3678;top:4117;height:1067;width:1502;" filled="f" stroked="t" coordsize="900,468" o:gfxdata="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4hxULsAAADa&#10;AAAADwAAAAAAAAABACAAAAAiAAAAZHJzL2Rvd25yZXYueG1sUEsBAhQAFAAAAAgAh07iQDMvBZ47&#10;AAAAOQAAABAAAAAAAAAAAQAgAAAACgEAAGRycy9zaGFwZXhtbC54bWxQSwUGAAAAAAYABgBbAQAA&#10;tAMAAAAA&#10;" path="m0,0l0,468,900,468e">
                        <v:fill on="f" focussize="0,0"/>
                        <v:stroke color="#000000" joinstyle="round" dashstyle="dash" endarrow="block"/>
                        <v:imagedata o:title=""/>
                        <o:lock v:ext="edit" aspectratio="f"/>
                      </v:shape>
                      <v:shape id="文本框 16" o:spid="_x0000_s1026" o:spt="202" type="#_x0000_t202" style="position:absolute;left:5216;top:4909;height:453;width:1215;" fillcolor="#FFFFFF" filled="t" stroked="t" coordsize="21600,21600" o:gfxdata="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eN7r4A&#10;AADaAAAADwAAAAAAAAABACAAAAAiAAAAZHJzL2Rvd25yZXYueG1sUEsBAhQAFAAAAAgAh07iQDMv&#10;BZ47AAAAOQAAABAAAAAAAAAAAQAgAAAADQEAAGRycy9zaGFwZXhtbC54bWxQSwUGAAAAAAYABgBb&#10;AQAAtwMAAAAA&#10;">
                        <v:fill on="t" focussize="0,0"/>
                        <v:stroke weight="1.25pt" color="#000000" joinstyle="miter"/>
                        <v:imagedata o:title=""/>
                        <o:lock v:ext="edit" aspectratio="f"/>
                        <v:textbox inset="2.54mm,1.3mm,2.54mm,0mm">
                          <w:txbxContent>
                            <w:p>
                              <w:pPr>
                                <w:ind w:left="-105" w:leftChars="-50" w:right="-105" w:rightChars="-50"/>
                                <w:jc w:val="center"/>
                                <w:rPr>
                                  <w:rFonts w:hint="eastAsia"/>
                                </w:rPr>
                              </w:pPr>
                              <w:r>
                                <w:rPr>
                                  <w:rFonts w:hint="eastAsia"/>
                                </w:rPr>
                                <w:t>污泥浓缩池</w:t>
                              </w:r>
                            </w:p>
                          </w:txbxContent>
                        </v:textbox>
                      </v:shape>
                      <v:line id="直线 17" o:spid="_x0000_s1026" o:spt="20" style="position:absolute;left:8332;top:5970;height:0;width:708;" filled="f" stroked="t" coordsize="21600,21600" o:gfxdata="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r9mb4A&#10;AADa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shape id="文本框 18" o:spid="_x0000_s1026" o:spt="202" type="#_x0000_t202" style="position:absolute;left:7110;top:5658;height:679;width:1215;" fillcolor="#FFFFFF" filled="t" stroked="t" coordsize="21600,21600" o:gfxdata="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CHDT7UAAADaAAAADwAA&#10;AAAAAAABACAAAAAiAAAAZHJzL2Rvd25yZXYueG1sUEsBAhQAFAAAAAgAh07iQDMvBZ47AAAAOQAA&#10;ABAAAAAAAAAAAQAgAAAABAEAAGRycy9zaGFwZXhtbC54bWxQSwUGAAAAAAYABgBbAQAArgMAAAAA&#10;">
                        <v:fill on="t" focussize="0,0"/>
                        <v:stroke weight="1.25pt" color="#000000" joinstyle="miter"/>
                        <v:imagedata o:title=""/>
                        <o:lock v:ext="edit" aspectratio="f"/>
                        <v:textbox inset="2.54mm,2mm,2.54mm,1.27mm">
                          <w:txbxContent>
                            <w:p>
                              <w:pPr>
                                <w:ind w:left="-105" w:leftChars="-50" w:right="-105" w:rightChars="-50"/>
                                <w:jc w:val="center"/>
                                <w:rPr>
                                  <w:rFonts w:hint="eastAsia"/>
                                </w:rPr>
                              </w:pPr>
                              <w:r>
                                <w:rPr>
                                  <w:rFonts w:hint="eastAsia"/>
                                </w:rPr>
                                <w:t>板框压滤机</w:t>
                              </w:r>
                            </w:p>
                          </w:txbxContent>
                        </v:textbox>
                      </v:shape>
                      <v:shape id="文本框 19" o:spid="_x0000_s1026" o:spt="202" type="#_x0000_t202" style="position:absolute;left:3650;top:4851;height:628;width:1143;" filled="f" stroked="f" coordsize="21600,21600" o:gfxdata="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QJbO8AAAA&#10;2gAAAA8AAAAAAAAAAQAgAAAAIgAAAGRycy9kb3ducmV2LnhtbFBLAQIUABQAAAAIAIdO4kAzLwWe&#10;OwAAADkAAAAQAAAAAAAAAAEAIAAAAAsBAABkcnMvc2hhcGV4bWwueG1sUEsFBgAAAAAGAAYAWwEA&#10;ALUDAAAAAA==&#10;">
                        <v:fill on="f" focussize="0,0"/>
                        <v:stroke on="f" weight="1.25pt"/>
                        <v:imagedata o:title=""/>
                        <o:lock v:ext="edit" aspectratio="f"/>
                        <v:textbox inset="2.54mm,0mm,2.54mm,0mm">
                          <w:txbxContent>
                            <w:p>
                              <w:pPr>
                                <w:jc w:val="center"/>
                                <w:rPr>
                                  <w:rFonts w:hint="eastAsia"/>
                                </w:rPr>
                              </w:pPr>
                              <w:r>
                                <w:rPr>
                                  <w:rFonts w:hint="eastAsia"/>
                                </w:rPr>
                                <w:t>排泥水</w:t>
                              </w:r>
                            </w:p>
                            <w:p>
                              <w:pPr>
                                <w:jc w:val="center"/>
                                <w:rPr>
                                  <w:rFonts w:hint="eastAsia"/>
                                </w:rPr>
                              </w:pPr>
                              <w:r>
                                <w:t>408.75</w:t>
                              </w:r>
                            </w:p>
                          </w:txbxContent>
                        </v:textbox>
                      </v:shape>
                      <v:shape id="文本框 20" o:spid="_x0000_s1026" o:spt="202" type="#_x0000_t202" style="position:absolute;left:1701;top:3352;height:668;width:1177;" fillcolor="#FFFFFF" filled="t" stroked="t" coordsize="21600,21600" o:gfxdata="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WQdy8AAAA&#10;2gAAAA8AAAAAAAAAAQAgAAAAIgAAAGRycy9kb3ducmV2LnhtbFBLAQIUABQAAAAIAIdO4kAzLwWe&#10;OwAAADkAAAAQAAAAAAAAAAEAIAAAAAsBAABkcnMvc2hhcGV4bWwueG1sUEsFBgAAAAAGAAYAWwEA&#10;ALUDAAAAAA==&#10;">
                        <v:fill on="t" focussize="0,0"/>
                        <v:stroke weight="1.25pt" color="#FFFFFF" joinstyle="miter"/>
                        <v:imagedata o:title=""/>
                        <o:lock v:ext="edit" aspectratio="f"/>
                        <v:textbox inset="0mm,0mm,0mm,0mm">
                          <w:txbxContent>
                            <w:p>
                              <w:pPr>
                                <w:jc w:val="center"/>
                                <w:rPr>
                                  <w:rFonts w:hint="eastAsia"/>
                                </w:rPr>
                              </w:pPr>
                              <w:r>
                                <w:rPr>
                                  <w:rFonts w:hint="eastAsia"/>
                                </w:rPr>
                                <w:t>原水</w:t>
                              </w:r>
                            </w:p>
                            <w:p>
                              <w:pPr>
                                <w:jc w:val="center"/>
                                <w:rPr>
                                  <w:rFonts w:hint="eastAsia"/>
                                </w:rPr>
                              </w:pPr>
                              <w:r>
                                <w:rPr>
                                  <w:rFonts w:hint="eastAsia"/>
                                </w:rPr>
                                <w:t>75408.75</w:t>
                              </w:r>
                            </w:p>
                          </w:txbxContent>
                        </v:textbox>
                      </v:shape>
                      <v:line id="直线 21" o:spid="_x0000_s1026" o:spt="20" style="position:absolute;left:1753;top:3708;height:0;width:1264;" filled="f" stroked="t" coordsize="21600,21600" o:gfxdata="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4ALQbtwAAANoAAAAP&#10;AAAAAAAAAAEAIAAAACIAAABkcnMvZG93bnJldi54bWxQSwECFAAUAAAACACHTuJAMy8FnjsAAAA5&#10;AAAAEAAAAAAAAAABACAAAAAGAQAAZHJzL3NoYXBleG1sLnhtbFBLBQYAAAAABgAGAFsBAACwAwAA&#10;AAA=&#10;">
                        <v:fill on="f" focussize="0,0"/>
                        <v:stroke weight="1.25pt" color="#000000" joinstyle="round" endarrow="block"/>
                        <v:imagedata o:title=""/>
                        <o:lock v:ext="edit" aspectratio="f"/>
                      </v:line>
                      <v:shape id="文本框 22" o:spid="_x0000_s1026" o:spt="202" type="#_x0000_t202" style="position:absolute;left:3059;top:3368;height:719;width:1239;" fillcolor="#FFFFFF" filled="t" stroked="t" coordsize="21600,21600" o:gfxdata="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uJSrsAAADa&#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inset="0mm,0mm,0mm,0mm">
                          <w:txbxContent>
                            <w:p>
                              <w:pPr>
                                <w:spacing w:before="156" w:beforeLines="50"/>
                                <w:jc w:val="center"/>
                                <w:rPr>
                                  <w:rFonts w:hint="eastAsia"/>
                                  <w:szCs w:val="21"/>
                                </w:rPr>
                              </w:pPr>
                              <w:r>
                                <w:rPr>
                                  <w:rFonts w:hint="eastAsia"/>
                                  <w:szCs w:val="21"/>
                                </w:rPr>
                                <w:t>絮凝沉淀池</w:t>
                              </w:r>
                            </w:p>
                          </w:txbxContent>
                        </v:textbox>
                      </v:shape>
                      <v:shape id="文本框 23" o:spid="_x0000_s1026" o:spt="202" type="#_x0000_t202" style="position:absolute;left:5190;top:3373;height:717;width:1239;" fillcolor="#FFFFFF" filled="t" stroked="t" coordsize="21600,21600" o:gfxdata="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38KvQAA&#10;ANsAAAAPAAAAAAAAAAEAIAAAACIAAABkcnMvZG93bnJldi54bWxQSwECFAAUAAAACACHTuJAMy8F&#10;njsAAAA5AAAAEAAAAAAAAAABACAAAAAMAQAAZHJzL3NoYXBleG1sLnhtbFBLBQYAAAAABgAGAFsB&#10;AAC2AwAAAAA=&#10;">
                        <v:fill on="t" focussize="0,0"/>
                        <v:stroke weight="1.25pt" color="#000000" joinstyle="miter"/>
                        <v:imagedata o:title=""/>
                        <o:lock v:ext="edit" aspectratio="f"/>
                        <v:textbox inset="0mm,0mm,0mm,0mm">
                          <w:txbxContent>
                            <w:p>
                              <w:pPr>
                                <w:spacing w:before="156" w:beforeLines="50"/>
                                <w:jc w:val="center"/>
                                <w:rPr>
                                  <w:rFonts w:hint="eastAsia"/>
                                  <w:szCs w:val="21"/>
                                </w:rPr>
                              </w:pPr>
                              <w:r>
                                <w:rPr>
                                  <w:rFonts w:hint="eastAsia"/>
                                  <w:szCs w:val="21"/>
                                </w:rPr>
                                <w:t>V型滤池</w:t>
                              </w:r>
                            </w:p>
                          </w:txbxContent>
                        </v:textbox>
                      </v:shape>
                      <v:line id="直线 24" o:spid="_x0000_s1026" o:spt="20" style="position:absolute;left:4298;top:3724;height:0;width:892;"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5" o:spid="_x0000_s1026" o:spt="20" style="position:absolute;left:6431;top:3711;flip:y;height:0;width:1082;" filled="f" stroked="t" coordsize="21600,21600" o:gfxdata="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s4Z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26" o:spid="_x0000_s1026" o:spt="202" type="#_x0000_t202" style="position:absolute;left:6303;top:3434;height:305;width:1077;" filled="f" stroked="f" coordsize="21600,21600" o:gfxdata="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ptfPugAAANsA&#10;AAAPAAAAAAAAAAEAIAAAACIAAABkcnMvZG93bnJldi54bWxQSwECFAAUAAAACACHTuJAMy8FnjsA&#10;AAA5AAAAEAAAAAAAAAABACAAAAAJAQAAZHJzL3NoYXBleG1sLnhtbFBLBQYAAAAABgAGAFsBAACz&#10;AwAAAAA=&#10;">
                        <v:fill on="f" focussize="0,0"/>
                        <v:stroke on="f" weight="1.25pt"/>
                        <v:imagedata o:title=""/>
                        <o:lock v:ext="edit" aspectratio="f"/>
                        <v:textbox inset="2.54mm,0mm,2.54mm,0mm">
                          <w:txbxContent>
                            <w:p>
                              <w:pPr>
                                <w:jc w:val="center"/>
                                <w:rPr>
                                  <w:rFonts w:hint="eastAsia"/>
                                </w:rPr>
                              </w:pPr>
                              <w:r>
                                <w:rPr>
                                  <w:rFonts w:hint="eastAsia"/>
                                </w:rPr>
                                <w:t>75000</w:t>
                              </w:r>
                            </w:p>
                          </w:txbxContent>
                        </v:textbox>
                      </v:shape>
                      <v:shape id="文本框 27" o:spid="_x0000_s1026" o:spt="202" type="#_x0000_t202" style="position:absolute;left:9483;top:3427;height:649;width:129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szCs w:val="21"/>
                                </w:rPr>
                              </w:pPr>
                              <w:r>
                                <w:rPr>
                                  <w:rFonts w:hint="eastAsia"/>
                                  <w:szCs w:val="21"/>
                                </w:rPr>
                                <w:t>管输至用户、</w:t>
                              </w:r>
                            </w:p>
                            <w:p>
                              <w:pPr>
                                <w:pStyle w:val="2"/>
                                <w:ind w:left="0" w:leftChars="0" w:firstLine="0" w:firstLineChars="0"/>
                                <w:jc w:val="both"/>
                                <w:rPr>
                                  <w:rFonts w:hint="eastAsia"/>
                                </w:rPr>
                              </w:pPr>
                              <w:r>
                                <w:rPr>
                                  <w:rFonts w:hint="eastAsia"/>
                                </w:rPr>
                                <w:t>厂内自用水</w:t>
                              </w:r>
                            </w:p>
                          </w:txbxContent>
                        </v:textbox>
                      </v:shape>
                      <v:shape id="文本框 28" o:spid="_x0000_s1026" o:spt="202" type="#_x0000_t202" style="position:absolute;left:3891;top:2732;height:628;width:1655;" filled="f" stroked="f" coordsize="21600,21600" o:gfxdata="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PqILsAAADb&#10;AAAADwAAAAAAAAABACAAAAAiAAAAZHJzL2Rvd25yZXYueG1sUEsBAhQAFAAAAAgAh07iQDMvBZ47&#10;AAAAOQAAABAAAAAAAAAAAQAgAAAACgEAAGRycy9zaGFwZXhtbC54bWxQSwUGAAAAAAYABgBbAQAA&#10;tAMAAAAA&#10;">
                        <v:fill on="f" focussize="0,0"/>
                        <v:stroke on="f" weight="1.25pt"/>
                        <v:imagedata o:title=""/>
                        <o:lock v:ext="edit" aspectratio="f"/>
                        <v:textbox inset="2.54mm,0mm,2.54mm,0mm">
                          <w:txbxContent>
                            <w:p>
                              <w:pPr>
                                <w:jc w:val="center"/>
                                <w:rPr>
                                  <w:rFonts w:hint="eastAsia"/>
                                </w:rPr>
                              </w:pPr>
                              <w:r>
                                <w:rPr>
                                  <w:rFonts w:hint="eastAsia"/>
                                </w:rPr>
                                <w:t>反冲洗废水</w:t>
                              </w:r>
                            </w:p>
                            <w:p>
                              <w:pPr>
                                <w:jc w:val="center"/>
                                <w:rPr>
                                  <w:rFonts w:hint="eastAsia"/>
                                </w:rPr>
                              </w:pPr>
                              <w:r>
                                <w:rPr>
                                  <w:rFonts w:hint="eastAsia"/>
                                </w:rPr>
                                <w:t>回用，</w:t>
                              </w:r>
                              <w:r>
                                <w:t>2861.25</w:t>
                              </w:r>
                            </w:p>
                          </w:txbxContent>
                        </v:textbox>
                      </v:shape>
                      <v:shape id="文本框 29" o:spid="_x0000_s1026" o:spt="202" type="#_x0000_t202" style="position:absolute;left:7850;top:4850;height:622;width:1831;" filled="f" stroked="f" coordsize="21600,21600" o:gfxdata="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0XRXugAAANsA&#10;AAAPAAAAAAAAAAEAIAAAACIAAABkcnMvZG93bnJldi54bWxQSwECFAAUAAAACACHTuJAMy8FnjsA&#10;AAA5AAAAEAAAAAAAAAABACAAAAAJAQAAZHJzL3NoYXBleG1sLnhtbFBLBQYAAAAABgAGAFsBAACz&#10;AwAAAAA=&#10;">
                        <v:fill on="f" focussize="0,0"/>
                        <v:stroke on="f" weight="1.25pt"/>
                        <v:imagedata o:title=""/>
                        <o:lock v:ext="edit" aspectratio="f"/>
                        <v:textbox inset="2.54mm,0mm,2.54mm,0mm">
                          <w:txbxContent>
                            <w:p>
                              <w:pPr>
                                <w:jc w:val="center"/>
                                <w:rPr>
                                  <w:rFonts w:hint="eastAsia"/>
                                </w:rPr>
                              </w:pPr>
                              <w:r>
                                <w:rPr>
                                  <w:rFonts w:hint="eastAsia"/>
                                </w:rPr>
                                <w:t>市政污水管网</w:t>
                              </w:r>
                            </w:p>
                            <w:p>
                              <w:pPr>
                                <w:jc w:val="center"/>
                                <w:rPr>
                                  <w:rFonts w:hint="eastAsia"/>
                                </w:rPr>
                              </w:pPr>
                              <w:r>
                                <w:rPr>
                                  <w:rFonts w:hint="eastAsia"/>
                                </w:rPr>
                                <w:t>至污水处理厂</w:t>
                              </w:r>
                            </w:p>
                          </w:txbxContent>
                        </v:textbox>
                      </v:shape>
                      <v:shape id="任意多边形 30" o:spid="_x0000_s1026" o:spt="100" style="position:absolute;left:5823;top:5399;height:601;width:1284;" filled="f" stroked="t" coordsize="900,468" o:gfxdata="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3p6si5AAAA2wAA&#10;AA8AAAAAAAAAAQAgAAAAIgAAAGRycy9kb3ducmV2LnhtbFBLAQIUABQAAAAIAIdO4kAzLwWeOwAA&#10;ADkAAAAQAAAAAAAAAAEAIAAAAAgBAABkcnMvc2hhcGV4bWwueG1sUEsFBgAAAAAGAAYAWwEAALID&#10;AAAAAA==&#10;" path="m0,0l0,468,900,468e">
                        <v:fill on="f" focussize="0,0"/>
                        <v:stroke color="#000000" joinstyle="round" dashstyle="dash" endarrow="block"/>
                        <v:imagedata o:title=""/>
                        <o:lock v:ext="edit" aspectratio="f"/>
                      </v:shape>
                      <v:shape id="文本框 31" o:spid="_x0000_s1026" o:spt="202" type="#_x0000_t202" style="position:absolute;left:6058;top:5616;height:353;width:869;" filled="f" stroked="f" coordsize="21600,21600" o:gfxdata="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Fvr4A&#10;AADbAAAADwAAAAAAAAABACAAAAAiAAAAZHJzL2Rvd25yZXYueG1sUEsBAhQAFAAAAAgAh07iQDMv&#10;BZ47AAAAOQAAABAAAAAAAAAAAQAgAAAADQEAAGRycy9zaGFwZXhtbC54bWxQSwUGAAAAAAYABgBb&#10;AQAAtwMAAAAA&#10;">
                        <v:fill on="f" focussize="0,0"/>
                        <v:stroke on="f" weight="1.25pt"/>
                        <v:imagedata o:title=""/>
                        <o:lock v:ext="edit" aspectratio="f"/>
                        <v:textbox inset="2.54mm,0mm,2.54mm,0mm">
                          <w:txbxContent>
                            <w:p>
                              <w:pPr>
                                <w:jc w:val="center"/>
                                <w:rPr>
                                  <w:rFonts w:hint="eastAsia"/>
                                </w:rPr>
                              </w:pPr>
                              <w:r>
                                <w:rPr>
                                  <w:rFonts w:hint="eastAsia"/>
                                </w:rPr>
                                <w:t>污泥</w:t>
                              </w:r>
                            </w:p>
                          </w:txbxContent>
                        </v:textbox>
                      </v:shape>
                      <v:shape id="文本框 32" o:spid="_x0000_s1026" o:spt="202" type="#_x0000_t202" style="position:absolute;left:8939;top:5788;height:352;width:1132;" filled="f" stroked="f" coordsize="21600,21600" o:gfxdata="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7gJbsAAADb&#10;AAAADwAAAAAAAAABACAAAAAiAAAAZHJzL2Rvd25yZXYueG1sUEsBAhQAFAAAAAgAh07iQDMvBZ47&#10;AAAAOQAAABAAAAAAAAAAAQAgAAAACgEAAGRycy9zaGFwZXhtbC54bWxQSwUGAAAAAAYABgBbAQAA&#10;tAMAAAAA&#10;">
                        <v:fill on="f" focussize="0,0"/>
                        <v:stroke on="f" weight="1.25pt"/>
                        <v:imagedata o:title=""/>
                        <o:lock v:ext="edit" aspectratio="f"/>
                        <v:textbox inset="2.54mm,0mm,2.54mm,0mm">
                          <w:txbxContent>
                            <w:p>
                              <w:pPr>
                                <w:jc w:val="center"/>
                                <w:rPr>
                                  <w:rFonts w:hint="eastAsia"/>
                                </w:rPr>
                              </w:pPr>
                              <w:r>
                                <w:rPr>
                                  <w:rFonts w:hint="eastAsia"/>
                                </w:rPr>
                                <w:t>定期外运</w:t>
                              </w:r>
                            </w:p>
                          </w:txbxContent>
                        </v:textbox>
                      </v:shape>
                      <v:line id="直线 33" o:spid="_x0000_s1026" o:spt="20" style="position:absolute;left:6441;top:5175;height:0;width:1634;" filled="f" stroked="t" coordsize="21600,21600" o:gfxdata="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20nM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shape id="文本框 34" o:spid="_x0000_s1026" o:spt="202" type="#_x0000_t202" style="position:absolute;left:6415;top:4853;height:352;width:1530;" filled="f" stroked="f" coordsize="21600,21600" o:gfxdata="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VCaevQAA&#10;ANsAAAAPAAAAAAAAAAEAIAAAACIAAABkcnMvZG93bnJldi54bWxQSwECFAAUAAAACACHTuJAMy8F&#10;njsAAAA5AAAAEAAAAAAAAAABACAAAAAMAQAAZHJzL3NoYXBleG1sLnhtbFBLBQYAAAAABgAGAFsB&#10;AAC2AwAAAAA=&#10;">
                        <v:fill on="f" focussize="0,0"/>
                        <v:stroke on="f" weight="1.25pt"/>
                        <v:imagedata o:title=""/>
                        <o:lock v:ext="edit" aspectratio="f"/>
                        <v:textbox inset="2.54mm,0mm,2.54mm,0mm">
                          <w:txbxContent>
                            <w:p>
                              <w:pPr>
                                <w:jc w:val="center"/>
                                <w:rPr>
                                  <w:rFonts w:hint="eastAsia"/>
                                </w:rPr>
                              </w:pPr>
                              <w:r>
                                <w:rPr>
                                  <w:rFonts w:hint="eastAsia"/>
                                </w:rPr>
                                <w:t>滤液408.75</w:t>
                              </w:r>
                            </w:p>
                          </w:txbxContent>
                        </v:textbox>
                      </v:shape>
                      <v:shape id="文本框 35" o:spid="_x0000_s1026" o:spt="202" type="#_x0000_t202" style="position:absolute;left:8179;top:5669;height:352;width:869;" filled="f" stroked="f" coordsize="21600,21600" o:gfxdata="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hrjpvQAA&#10;ANsAAAAPAAAAAAAAAAEAIAAAACIAAABkcnMvZG93bnJldi54bWxQSwECFAAUAAAACACHTuJAMy8F&#10;njsAAAA5AAAAEAAAAAAAAAABACAAAAAMAQAAZHJzL3NoYXBleG1sLnhtbFBLBQYAAAAABgAGAFsB&#10;AAC2AwAAAAA=&#10;">
                        <v:fill on="f" focussize="0,0"/>
                        <v:stroke on="f" weight="1.25pt"/>
                        <v:imagedata o:title=""/>
                        <o:lock v:ext="edit" aspectratio="f"/>
                        <v:textbox inset="2.54mm,0mm,2.54mm,0mm">
                          <w:txbxContent>
                            <w:p>
                              <w:pPr>
                                <w:jc w:val="center"/>
                                <w:rPr>
                                  <w:rFonts w:hint="eastAsia"/>
                                </w:rPr>
                              </w:pPr>
                              <w:r>
                                <w:rPr>
                                  <w:rFonts w:hint="eastAsia"/>
                                </w:rPr>
                                <w:t>泥饼</w:t>
                              </w:r>
                            </w:p>
                          </w:txbxContent>
                        </v:textbox>
                      </v:shape>
                      <v:shape id="任意多边形 36" o:spid="_x0000_s1026" o:spt="100" style="position:absolute;left:3649;top:3036;height:312;width:2160;" filled="f" stroked="t" coordsize="2160,360" o:gfxdata="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V0O&#10;wAAAANsAAAAPAAAAAAAAAAEAIAAAACIAAABkcnMvZG93bnJldi54bWxQSwECFAAUAAAACACHTuJA&#10;My8FnjsAAAA5AAAAEAAAAAAAAAABACAAAAAPAQAAZHJzL3NoYXBleG1sLnhtbFBLBQYAAAAABgAG&#10;AFsBAAC5AwAAAAA=&#10;" path="m0,360l0,0,2160,0,2160,360e">
                        <v:fill on="f" focussize="0,0"/>
                        <v:stroke color="#000000" joinstyle="round" startarrow="block"/>
                        <v:imagedata o:title=""/>
                        <o:lock v:ext="edit" aspectratio="f"/>
                      </v:shape>
                      <v:shape id="文本框 23" o:spid="_x0000_s1026" o:spt="202" type="#_x0000_t202" style="position:absolute;left:7531;top:3361;height:717;width:806;" fillcolor="#FFFFFF" filled="t" stroked="t" coordsize="21600,21600" o:gfxdata="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Qs7S8AAAA&#10;2wAAAA8AAAAAAAAAAQAgAAAAIgAAAGRycy9kb3ducmV2LnhtbFBLAQIUABQAAAAIAIdO4kAzLwWe&#10;OwAAADkAAAAQAAAAAAAAAAEAIAAAAAsBAABkcnMvc2hhcGV4bWwueG1sUEsFBgAAAAAGAAYAWwEA&#10;ALUDAAAAAA==&#10;">
                        <v:fill on="t" focussize="0,0"/>
                        <v:stroke weight="1.25pt" color="#000000" joinstyle="miter"/>
                        <v:imagedata o:title=""/>
                        <o:lock v:ext="edit" aspectratio="f"/>
                        <v:textbox inset="0mm,0mm,0mm,0mm">
                          <w:txbxContent>
                            <w:p>
                              <w:pPr>
                                <w:spacing w:before="156" w:beforeLines="50"/>
                                <w:jc w:val="center"/>
                                <w:rPr>
                                  <w:rFonts w:hint="eastAsia"/>
                                  <w:szCs w:val="21"/>
                                </w:rPr>
                              </w:pPr>
                              <w:r>
                                <w:rPr>
                                  <w:rFonts w:hint="eastAsia"/>
                                  <w:szCs w:val="21"/>
                                </w:rPr>
                                <w:t>清水池</w:t>
                              </w:r>
                            </w:p>
                          </w:txbxContent>
                        </v:textbox>
                      </v:shape>
                      <v:shape id="文本框 26" o:spid="_x0000_s1026" o:spt="202" type="#_x0000_t202" style="position:absolute;left:8138;top:3435;height:305;width:1077;" filled="f" stroked="f" coordsize="21600,21600" o:gfxdata="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byCdvQAA&#10;ANsAAAAPAAAAAAAAAAEAIAAAACIAAABkcnMvZG93bnJldi54bWxQSwECFAAUAAAACACHTuJAMy8F&#10;njsAAAA5AAAAEAAAAAAAAAABACAAAAAMAQAAZHJzL3NoYXBleG1sLnhtbFBLBQYAAAAABgAGAFsB&#10;AAC2AwAAAAA=&#10;">
                        <v:fill on="f" focussize="0,0"/>
                        <v:stroke on="f" weight="1.25pt"/>
                        <v:imagedata o:title=""/>
                        <o:lock v:ext="edit" aspectratio="f"/>
                        <v:textbox inset="2.54mm,0mm,2.54mm,0mm">
                          <w:txbxContent>
                            <w:p>
                              <w:pPr>
                                <w:jc w:val="center"/>
                                <w:rPr>
                                  <w:rFonts w:hint="eastAsia"/>
                                </w:rPr>
                              </w:pPr>
                              <w:r>
                                <w:rPr>
                                  <w:rFonts w:hint="eastAsia"/>
                                </w:rPr>
                                <w:t>75000</w:t>
                              </w:r>
                            </w:p>
                          </w:txbxContent>
                        </v:textbox>
                      </v:shape>
                      <v:line id="直线 114" o:spid="_x0000_s1026" o:spt="20" style="position:absolute;left:8345;top:3725;height:0;width:1134;"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360" w:lineRule="auto"/>
              <w:ind w:firstLine="420" w:firstLineChars="200"/>
              <w:rPr>
                <w:color w:val="FF0000"/>
                <w:szCs w:val="21"/>
              </w:rPr>
            </w:pPr>
          </w:p>
          <w:p>
            <w:pPr>
              <w:spacing w:line="360" w:lineRule="auto"/>
              <w:ind w:firstLine="420" w:firstLineChars="200"/>
              <w:rPr>
                <w:color w:val="FF0000"/>
                <w:szCs w:val="21"/>
              </w:rPr>
            </w:pPr>
          </w:p>
          <w:p>
            <w:pPr>
              <w:spacing w:line="360" w:lineRule="auto"/>
              <w:ind w:firstLine="420" w:firstLineChars="200"/>
              <w:rPr>
                <w:color w:val="FF0000"/>
                <w:szCs w:val="21"/>
              </w:rPr>
            </w:pPr>
          </w:p>
          <w:p>
            <w:pPr>
              <w:spacing w:line="360" w:lineRule="auto"/>
              <w:ind w:firstLine="420" w:firstLineChars="200"/>
              <w:rPr>
                <w:color w:val="FF0000"/>
                <w:szCs w:val="21"/>
              </w:rPr>
            </w:pPr>
          </w:p>
          <w:p>
            <w:pPr>
              <w:spacing w:line="360" w:lineRule="auto"/>
              <w:ind w:firstLine="420" w:firstLineChars="200"/>
              <w:rPr>
                <w:color w:val="FF0000"/>
                <w:szCs w:val="21"/>
              </w:rPr>
            </w:pPr>
          </w:p>
          <w:p>
            <w:pPr>
              <w:spacing w:line="360" w:lineRule="auto"/>
              <w:ind w:firstLine="420" w:firstLineChars="200"/>
              <w:rPr>
                <w:color w:val="FF0000"/>
                <w:szCs w:val="21"/>
              </w:rPr>
            </w:pPr>
          </w:p>
          <w:p>
            <w:pPr>
              <w:spacing w:line="360" w:lineRule="auto"/>
              <w:ind w:firstLine="420" w:firstLineChars="200"/>
              <w:rPr>
                <w:color w:val="FF0000"/>
                <w:szCs w:val="21"/>
              </w:rPr>
            </w:pPr>
          </w:p>
          <w:p>
            <w:pPr>
              <w:pStyle w:val="16"/>
              <w:spacing w:after="0" w:line="360" w:lineRule="auto"/>
              <w:ind w:left="0" w:leftChars="0"/>
              <w:jc w:val="center"/>
              <w:rPr>
                <w:rFonts w:hint="eastAsia"/>
                <w:b/>
                <w:bCs/>
                <w:sz w:val="18"/>
                <w:szCs w:val="18"/>
              </w:rPr>
            </w:pPr>
          </w:p>
          <w:p>
            <w:pPr>
              <w:pStyle w:val="16"/>
              <w:spacing w:after="0" w:line="360" w:lineRule="auto"/>
              <w:ind w:left="0" w:leftChars="0"/>
              <w:jc w:val="center"/>
              <w:rPr>
                <w:rFonts w:hint="eastAsia"/>
                <w:b/>
                <w:bCs/>
                <w:sz w:val="18"/>
                <w:szCs w:val="18"/>
              </w:rPr>
            </w:pPr>
            <w:r>
              <w:rPr>
                <w:b/>
                <w:bCs/>
                <w:sz w:val="18"/>
                <w:szCs w:val="18"/>
              </w:rPr>
              <w:t>图2-1：项目水平衡图  单位：m³/d</w:t>
            </w:r>
          </w:p>
          <w:p>
            <w:pPr>
              <w:pStyle w:val="17"/>
              <w:rPr>
                <w:rFonts w:hint="eastAsia"/>
              </w:rPr>
            </w:pPr>
          </w:p>
          <w:p>
            <w:pPr>
              <w:adjustRightInd w:val="0"/>
              <w:snapToGrid w:val="0"/>
              <w:spacing w:line="360" w:lineRule="auto"/>
              <w:ind w:firstLine="422" w:firstLineChars="200"/>
              <w:rPr>
                <w:b/>
                <w:bCs/>
                <w:szCs w:val="21"/>
              </w:rPr>
            </w:pPr>
            <w:r>
              <w:rPr>
                <w:rFonts w:hint="eastAsia"/>
                <w:b/>
                <w:bCs/>
                <w:szCs w:val="21"/>
              </w:rPr>
              <w:t>8</w:t>
            </w:r>
            <w:r>
              <w:rPr>
                <w:b/>
                <w:bCs/>
                <w:szCs w:val="21"/>
              </w:rPr>
              <w:t>、依托可行性分析</w:t>
            </w:r>
          </w:p>
          <w:p>
            <w:pPr>
              <w:adjustRightInd w:val="0"/>
              <w:snapToGrid w:val="0"/>
              <w:spacing w:line="360" w:lineRule="auto"/>
              <w:ind w:firstLine="420" w:firstLineChars="200"/>
              <w:rPr>
                <w:szCs w:val="21"/>
              </w:rPr>
            </w:pPr>
            <w:r>
              <w:rPr>
                <w:szCs w:val="21"/>
              </w:rPr>
              <w:t>本项目在达州通川区邱家店莲花湖现有厂区内进行建设建构筑物。项目用水、用电依托厂区已有设施。本项目设施依托可行性情况见下表所示。</w:t>
            </w:r>
          </w:p>
          <w:p>
            <w:pPr>
              <w:adjustRightInd w:val="0"/>
              <w:snapToGrid w:val="0"/>
              <w:spacing w:line="360" w:lineRule="auto"/>
              <w:jc w:val="center"/>
              <w:rPr>
                <w:b/>
                <w:bCs/>
                <w:sz w:val="18"/>
                <w:szCs w:val="18"/>
              </w:rPr>
            </w:pPr>
            <w:r>
              <w:rPr>
                <w:b/>
                <w:bCs/>
                <w:sz w:val="18"/>
                <w:szCs w:val="18"/>
              </w:rPr>
              <w:t>表2-</w:t>
            </w:r>
            <w:r>
              <w:rPr>
                <w:rFonts w:hint="eastAsia"/>
                <w:b/>
                <w:bCs/>
                <w:sz w:val="18"/>
                <w:szCs w:val="18"/>
              </w:rPr>
              <w:t>5</w:t>
            </w:r>
            <w:r>
              <w:rPr>
                <w:b/>
                <w:bCs/>
                <w:sz w:val="18"/>
                <w:szCs w:val="18"/>
              </w:rPr>
              <w:t>：项目公辅和环保设施依托情况一览表</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415"/>
              <w:gridCol w:w="1697"/>
              <w:gridCol w:w="1131"/>
              <w:gridCol w:w="2544"/>
              <w:gridCol w:w="8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restart"/>
                  <w:noWrap w:val="0"/>
                  <w:vAlign w:val="center"/>
                </w:tcPr>
                <w:p>
                  <w:pPr>
                    <w:adjustRightInd w:val="0"/>
                    <w:snapToGrid w:val="0"/>
                    <w:jc w:val="center"/>
                    <w:rPr>
                      <w:sz w:val="18"/>
                      <w:szCs w:val="18"/>
                    </w:rPr>
                  </w:pPr>
                  <w:r>
                    <w:rPr>
                      <w:sz w:val="18"/>
                      <w:szCs w:val="18"/>
                    </w:rPr>
                    <w:t>序号</w:t>
                  </w:r>
                </w:p>
              </w:tc>
              <w:tc>
                <w:tcPr>
                  <w:tcW w:w="1415" w:type="dxa"/>
                  <w:vMerge w:val="restart"/>
                  <w:noWrap w:val="0"/>
                  <w:vAlign w:val="center"/>
                </w:tcPr>
                <w:p>
                  <w:pPr>
                    <w:adjustRightInd w:val="0"/>
                    <w:snapToGrid w:val="0"/>
                    <w:jc w:val="center"/>
                    <w:rPr>
                      <w:sz w:val="18"/>
                      <w:szCs w:val="18"/>
                    </w:rPr>
                  </w:pPr>
                  <w:r>
                    <w:rPr>
                      <w:sz w:val="18"/>
                      <w:szCs w:val="18"/>
                    </w:rPr>
                    <w:t>设施名称</w:t>
                  </w:r>
                </w:p>
              </w:tc>
              <w:tc>
                <w:tcPr>
                  <w:tcW w:w="2828" w:type="dxa"/>
                  <w:gridSpan w:val="2"/>
                  <w:noWrap w:val="0"/>
                  <w:vAlign w:val="center"/>
                </w:tcPr>
                <w:p>
                  <w:pPr>
                    <w:adjustRightInd w:val="0"/>
                    <w:snapToGrid w:val="0"/>
                    <w:jc w:val="center"/>
                    <w:rPr>
                      <w:sz w:val="18"/>
                      <w:szCs w:val="18"/>
                    </w:rPr>
                  </w:pPr>
                  <w:r>
                    <w:rPr>
                      <w:sz w:val="18"/>
                      <w:szCs w:val="18"/>
                    </w:rPr>
                    <w:t>莲花湖水厂</w:t>
                  </w:r>
                </w:p>
              </w:tc>
              <w:tc>
                <w:tcPr>
                  <w:tcW w:w="2544" w:type="dxa"/>
                  <w:vMerge w:val="restart"/>
                  <w:noWrap w:val="0"/>
                  <w:vAlign w:val="center"/>
                </w:tcPr>
                <w:p>
                  <w:pPr>
                    <w:adjustRightInd w:val="0"/>
                    <w:snapToGrid w:val="0"/>
                    <w:jc w:val="center"/>
                    <w:rPr>
                      <w:sz w:val="18"/>
                      <w:szCs w:val="18"/>
                    </w:rPr>
                  </w:pPr>
                  <w:r>
                    <w:rPr>
                      <w:sz w:val="18"/>
                      <w:szCs w:val="18"/>
                    </w:rPr>
                    <w:t>本项目建设情况</w:t>
                  </w:r>
                </w:p>
              </w:tc>
              <w:tc>
                <w:tcPr>
                  <w:tcW w:w="894" w:type="dxa"/>
                  <w:vMerge w:val="restart"/>
                  <w:noWrap w:val="0"/>
                  <w:vAlign w:val="center"/>
                </w:tcPr>
                <w:p>
                  <w:pPr>
                    <w:adjustRightInd w:val="0"/>
                    <w:snapToGrid w:val="0"/>
                    <w:jc w:val="center"/>
                    <w:rPr>
                      <w:sz w:val="18"/>
                      <w:szCs w:val="18"/>
                    </w:rPr>
                  </w:pPr>
                  <w:r>
                    <w:rPr>
                      <w:sz w:val="18"/>
                      <w:szCs w:val="18"/>
                    </w:rPr>
                    <w:t>依托是否可行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noWrap w:val="0"/>
                  <w:vAlign w:val="center"/>
                </w:tcPr>
                <w:p>
                  <w:pPr>
                    <w:adjustRightInd w:val="0"/>
                    <w:snapToGrid w:val="0"/>
                    <w:jc w:val="center"/>
                    <w:rPr>
                      <w:sz w:val="18"/>
                      <w:szCs w:val="18"/>
                    </w:rPr>
                  </w:pPr>
                </w:p>
              </w:tc>
              <w:tc>
                <w:tcPr>
                  <w:tcW w:w="1415" w:type="dxa"/>
                  <w:vMerge w:val="continue"/>
                  <w:noWrap w:val="0"/>
                  <w:vAlign w:val="center"/>
                </w:tcPr>
                <w:p>
                  <w:pPr>
                    <w:adjustRightInd w:val="0"/>
                    <w:snapToGrid w:val="0"/>
                    <w:jc w:val="center"/>
                    <w:rPr>
                      <w:sz w:val="18"/>
                      <w:szCs w:val="18"/>
                    </w:rPr>
                  </w:pPr>
                </w:p>
              </w:tc>
              <w:tc>
                <w:tcPr>
                  <w:tcW w:w="1697" w:type="dxa"/>
                  <w:noWrap w:val="0"/>
                  <w:vAlign w:val="center"/>
                </w:tcPr>
                <w:p>
                  <w:pPr>
                    <w:adjustRightInd w:val="0"/>
                    <w:snapToGrid w:val="0"/>
                    <w:jc w:val="center"/>
                    <w:rPr>
                      <w:sz w:val="18"/>
                      <w:szCs w:val="18"/>
                    </w:rPr>
                  </w:pPr>
                  <w:r>
                    <w:rPr>
                      <w:sz w:val="18"/>
                      <w:szCs w:val="18"/>
                    </w:rPr>
                    <w:t>已建情况</w:t>
                  </w:r>
                </w:p>
              </w:tc>
              <w:tc>
                <w:tcPr>
                  <w:tcW w:w="1131" w:type="dxa"/>
                  <w:noWrap w:val="0"/>
                  <w:vAlign w:val="center"/>
                </w:tcPr>
                <w:p>
                  <w:pPr>
                    <w:adjustRightInd w:val="0"/>
                    <w:snapToGrid w:val="0"/>
                    <w:jc w:val="center"/>
                    <w:rPr>
                      <w:sz w:val="18"/>
                      <w:szCs w:val="18"/>
                    </w:rPr>
                  </w:pPr>
                  <w:r>
                    <w:rPr>
                      <w:sz w:val="18"/>
                      <w:szCs w:val="18"/>
                    </w:rPr>
                    <w:t>使用现状</w:t>
                  </w:r>
                </w:p>
              </w:tc>
              <w:tc>
                <w:tcPr>
                  <w:tcW w:w="2544" w:type="dxa"/>
                  <w:vMerge w:val="continue"/>
                  <w:noWrap w:val="0"/>
                  <w:vAlign w:val="center"/>
                </w:tcPr>
                <w:p>
                  <w:pPr>
                    <w:adjustRightInd w:val="0"/>
                    <w:snapToGrid w:val="0"/>
                    <w:jc w:val="center"/>
                    <w:rPr>
                      <w:sz w:val="18"/>
                      <w:szCs w:val="18"/>
                    </w:rPr>
                  </w:pPr>
                </w:p>
              </w:tc>
              <w:tc>
                <w:tcPr>
                  <w:tcW w:w="894" w:type="dxa"/>
                  <w:vMerge w:val="continue"/>
                  <w:noWrap w:val="0"/>
                  <w:vAlign w:val="center"/>
                </w:tcPr>
                <w:p>
                  <w:pPr>
                    <w:adjustRightInd w:val="0"/>
                    <w:snapToGrid w:val="0"/>
                    <w:jc w:val="center"/>
                    <w:rPr>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noWrap w:val="0"/>
                  <w:vAlign w:val="center"/>
                </w:tcPr>
                <w:p>
                  <w:pPr>
                    <w:adjustRightInd w:val="0"/>
                    <w:snapToGrid w:val="0"/>
                    <w:jc w:val="center"/>
                    <w:rPr>
                      <w:sz w:val="18"/>
                      <w:szCs w:val="18"/>
                    </w:rPr>
                  </w:pPr>
                  <w:r>
                    <w:rPr>
                      <w:sz w:val="18"/>
                      <w:szCs w:val="18"/>
                    </w:rPr>
                    <w:t>1</w:t>
                  </w:r>
                </w:p>
              </w:tc>
              <w:tc>
                <w:tcPr>
                  <w:tcW w:w="1415" w:type="dxa"/>
                  <w:noWrap w:val="0"/>
                  <w:vAlign w:val="center"/>
                </w:tcPr>
                <w:p>
                  <w:pPr>
                    <w:adjustRightInd w:val="0"/>
                    <w:snapToGrid w:val="0"/>
                    <w:jc w:val="center"/>
                    <w:rPr>
                      <w:sz w:val="18"/>
                      <w:szCs w:val="18"/>
                    </w:rPr>
                  </w:pPr>
                  <w:r>
                    <w:rPr>
                      <w:sz w:val="18"/>
                      <w:szCs w:val="18"/>
                    </w:rPr>
                    <w:t>厂区设施</w:t>
                  </w:r>
                </w:p>
              </w:tc>
              <w:tc>
                <w:tcPr>
                  <w:tcW w:w="1697" w:type="dxa"/>
                  <w:noWrap w:val="0"/>
                  <w:vAlign w:val="center"/>
                </w:tcPr>
                <w:p>
                  <w:pPr>
                    <w:adjustRightInd w:val="0"/>
                    <w:snapToGrid w:val="0"/>
                    <w:jc w:val="center"/>
                    <w:rPr>
                      <w:sz w:val="18"/>
                      <w:szCs w:val="18"/>
                    </w:rPr>
                  </w:pPr>
                  <w:r>
                    <w:rPr>
                      <w:sz w:val="18"/>
                      <w:szCs w:val="18"/>
                    </w:rPr>
                    <w:t>一期一阶段已建</w:t>
                  </w:r>
                </w:p>
              </w:tc>
              <w:tc>
                <w:tcPr>
                  <w:tcW w:w="1131" w:type="dxa"/>
                  <w:noWrap w:val="0"/>
                  <w:vAlign w:val="center"/>
                </w:tcPr>
                <w:p>
                  <w:pPr>
                    <w:adjustRightInd w:val="0"/>
                    <w:snapToGrid w:val="0"/>
                    <w:jc w:val="center"/>
                    <w:rPr>
                      <w:sz w:val="18"/>
                      <w:szCs w:val="18"/>
                    </w:rPr>
                  </w:pPr>
                  <w:r>
                    <w:rPr>
                      <w:sz w:val="18"/>
                      <w:szCs w:val="18"/>
                    </w:rPr>
                    <w:t>利用厂区预留用地</w:t>
                  </w:r>
                </w:p>
              </w:tc>
              <w:tc>
                <w:tcPr>
                  <w:tcW w:w="2544" w:type="dxa"/>
                  <w:noWrap w:val="0"/>
                  <w:vAlign w:val="center"/>
                </w:tcPr>
                <w:p>
                  <w:pPr>
                    <w:adjustRightInd w:val="0"/>
                    <w:snapToGrid w:val="0"/>
                    <w:jc w:val="center"/>
                    <w:rPr>
                      <w:sz w:val="18"/>
                      <w:szCs w:val="18"/>
                    </w:rPr>
                  </w:pPr>
                  <w:r>
                    <w:rPr>
                      <w:sz w:val="18"/>
                      <w:szCs w:val="18"/>
                    </w:rPr>
                    <w:t>依托既有厂区和设施根据项目需要进行建设</w:t>
                  </w:r>
                </w:p>
              </w:tc>
              <w:tc>
                <w:tcPr>
                  <w:tcW w:w="894" w:type="dxa"/>
                  <w:noWrap w:val="0"/>
                  <w:vAlign w:val="center"/>
                </w:tcPr>
                <w:p>
                  <w:pPr>
                    <w:adjustRightInd w:val="0"/>
                    <w:snapToGrid w:val="0"/>
                    <w:jc w:val="center"/>
                    <w:rPr>
                      <w:sz w:val="18"/>
                      <w:szCs w:val="18"/>
                    </w:rPr>
                  </w:pPr>
                  <w:r>
                    <w:rPr>
                      <w:sz w:val="18"/>
                      <w:szCs w:val="18"/>
                    </w:rPr>
                    <w:t>可行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noWrap w:val="0"/>
                  <w:vAlign w:val="center"/>
                </w:tcPr>
                <w:p>
                  <w:pPr>
                    <w:adjustRightInd w:val="0"/>
                    <w:snapToGrid w:val="0"/>
                    <w:jc w:val="center"/>
                    <w:rPr>
                      <w:sz w:val="18"/>
                      <w:szCs w:val="18"/>
                    </w:rPr>
                  </w:pPr>
                  <w:r>
                    <w:rPr>
                      <w:sz w:val="18"/>
                      <w:szCs w:val="18"/>
                    </w:rPr>
                    <w:t>2</w:t>
                  </w:r>
                </w:p>
              </w:tc>
              <w:tc>
                <w:tcPr>
                  <w:tcW w:w="1415" w:type="dxa"/>
                  <w:noWrap w:val="0"/>
                  <w:vAlign w:val="center"/>
                </w:tcPr>
                <w:p>
                  <w:pPr>
                    <w:adjustRightInd w:val="0"/>
                    <w:snapToGrid w:val="0"/>
                    <w:jc w:val="center"/>
                    <w:rPr>
                      <w:sz w:val="18"/>
                      <w:szCs w:val="18"/>
                    </w:rPr>
                  </w:pPr>
                  <w:r>
                    <w:rPr>
                      <w:sz w:val="18"/>
                      <w:szCs w:val="18"/>
                    </w:rPr>
                    <w:t>供电</w:t>
                  </w:r>
                </w:p>
              </w:tc>
              <w:tc>
                <w:tcPr>
                  <w:tcW w:w="1697" w:type="dxa"/>
                  <w:noWrap w:val="0"/>
                  <w:vAlign w:val="center"/>
                </w:tcPr>
                <w:p>
                  <w:pPr>
                    <w:adjustRightInd w:val="0"/>
                    <w:snapToGrid w:val="0"/>
                    <w:jc w:val="center"/>
                    <w:rPr>
                      <w:sz w:val="18"/>
                      <w:szCs w:val="18"/>
                    </w:rPr>
                  </w:pPr>
                  <w:r>
                    <w:rPr>
                      <w:sz w:val="18"/>
                      <w:szCs w:val="18"/>
                    </w:rPr>
                    <w:t>市政电网及厂区配电室</w:t>
                  </w:r>
                </w:p>
              </w:tc>
              <w:tc>
                <w:tcPr>
                  <w:tcW w:w="1131" w:type="dxa"/>
                  <w:noWrap w:val="0"/>
                  <w:vAlign w:val="center"/>
                </w:tcPr>
                <w:p>
                  <w:pPr>
                    <w:adjustRightInd w:val="0"/>
                    <w:snapToGrid w:val="0"/>
                    <w:jc w:val="center"/>
                    <w:rPr>
                      <w:sz w:val="18"/>
                      <w:szCs w:val="18"/>
                    </w:rPr>
                  </w:pPr>
                  <w:r>
                    <w:rPr>
                      <w:sz w:val="18"/>
                      <w:szCs w:val="18"/>
                    </w:rPr>
                    <w:t>正常使用</w:t>
                  </w:r>
                </w:p>
              </w:tc>
              <w:tc>
                <w:tcPr>
                  <w:tcW w:w="2544" w:type="dxa"/>
                  <w:noWrap w:val="0"/>
                  <w:vAlign w:val="center"/>
                </w:tcPr>
                <w:p>
                  <w:pPr>
                    <w:adjustRightInd w:val="0"/>
                    <w:snapToGrid w:val="0"/>
                    <w:jc w:val="center"/>
                    <w:rPr>
                      <w:sz w:val="18"/>
                      <w:szCs w:val="18"/>
                    </w:rPr>
                  </w:pPr>
                  <w:r>
                    <w:rPr>
                      <w:sz w:val="18"/>
                      <w:szCs w:val="18"/>
                    </w:rPr>
                    <w:t>依托既有供电设施</w:t>
                  </w:r>
                </w:p>
              </w:tc>
              <w:tc>
                <w:tcPr>
                  <w:tcW w:w="894" w:type="dxa"/>
                  <w:noWrap w:val="0"/>
                  <w:vAlign w:val="center"/>
                </w:tcPr>
                <w:p>
                  <w:pPr>
                    <w:adjustRightInd w:val="0"/>
                    <w:snapToGrid w:val="0"/>
                    <w:jc w:val="center"/>
                    <w:rPr>
                      <w:sz w:val="18"/>
                      <w:szCs w:val="18"/>
                    </w:rPr>
                  </w:pPr>
                  <w:r>
                    <w:rPr>
                      <w:sz w:val="18"/>
                      <w:szCs w:val="18"/>
                    </w:rPr>
                    <w:t>可行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noWrap w:val="0"/>
                  <w:vAlign w:val="center"/>
                </w:tcPr>
                <w:p>
                  <w:pPr>
                    <w:adjustRightInd w:val="0"/>
                    <w:snapToGrid w:val="0"/>
                    <w:jc w:val="center"/>
                    <w:rPr>
                      <w:sz w:val="18"/>
                      <w:szCs w:val="18"/>
                    </w:rPr>
                  </w:pPr>
                  <w:r>
                    <w:rPr>
                      <w:sz w:val="18"/>
                      <w:szCs w:val="18"/>
                    </w:rPr>
                    <w:t>3</w:t>
                  </w:r>
                </w:p>
              </w:tc>
              <w:tc>
                <w:tcPr>
                  <w:tcW w:w="1415" w:type="dxa"/>
                  <w:noWrap w:val="0"/>
                  <w:vAlign w:val="center"/>
                </w:tcPr>
                <w:p>
                  <w:pPr>
                    <w:adjustRightInd w:val="0"/>
                    <w:snapToGrid w:val="0"/>
                    <w:jc w:val="center"/>
                    <w:rPr>
                      <w:sz w:val="18"/>
                      <w:szCs w:val="18"/>
                    </w:rPr>
                  </w:pPr>
                  <w:r>
                    <w:rPr>
                      <w:sz w:val="18"/>
                      <w:szCs w:val="18"/>
                    </w:rPr>
                    <w:t>供水</w:t>
                  </w:r>
                </w:p>
              </w:tc>
              <w:tc>
                <w:tcPr>
                  <w:tcW w:w="1697" w:type="dxa"/>
                  <w:noWrap w:val="0"/>
                  <w:vAlign w:val="center"/>
                </w:tcPr>
                <w:p>
                  <w:pPr>
                    <w:adjustRightInd w:val="0"/>
                    <w:snapToGrid w:val="0"/>
                    <w:jc w:val="center"/>
                    <w:rPr>
                      <w:rFonts w:hint="eastAsia"/>
                      <w:sz w:val="18"/>
                      <w:szCs w:val="18"/>
                    </w:rPr>
                  </w:pPr>
                  <w:r>
                    <w:rPr>
                      <w:sz w:val="18"/>
                      <w:szCs w:val="18"/>
                    </w:rPr>
                    <w:t>取水泵房</w:t>
                  </w:r>
                  <w:r>
                    <w:rPr>
                      <w:rFonts w:hint="eastAsia"/>
                      <w:sz w:val="18"/>
                      <w:szCs w:val="18"/>
                    </w:rPr>
                    <w:t>*</w:t>
                  </w:r>
                </w:p>
              </w:tc>
              <w:tc>
                <w:tcPr>
                  <w:tcW w:w="1131" w:type="dxa"/>
                  <w:noWrap w:val="0"/>
                  <w:vAlign w:val="center"/>
                </w:tcPr>
                <w:p>
                  <w:pPr>
                    <w:adjustRightInd w:val="0"/>
                    <w:snapToGrid w:val="0"/>
                    <w:jc w:val="center"/>
                    <w:rPr>
                      <w:sz w:val="18"/>
                      <w:szCs w:val="18"/>
                    </w:rPr>
                  </w:pPr>
                  <w:r>
                    <w:rPr>
                      <w:sz w:val="18"/>
                      <w:szCs w:val="18"/>
                    </w:rPr>
                    <w:t>正常使用</w:t>
                  </w:r>
                </w:p>
              </w:tc>
              <w:tc>
                <w:tcPr>
                  <w:tcW w:w="2544" w:type="dxa"/>
                  <w:noWrap w:val="0"/>
                  <w:vAlign w:val="center"/>
                </w:tcPr>
                <w:p>
                  <w:pPr>
                    <w:adjustRightInd w:val="0"/>
                    <w:snapToGrid w:val="0"/>
                    <w:jc w:val="center"/>
                    <w:rPr>
                      <w:sz w:val="18"/>
                      <w:szCs w:val="18"/>
                    </w:rPr>
                  </w:pPr>
                  <w:r>
                    <w:rPr>
                      <w:sz w:val="18"/>
                      <w:szCs w:val="18"/>
                    </w:rPr>
                    <w:t>依托既有取水泵房和取水</w:t>
                  </w:r>
                  <w:r>
                    <w:rPr>
                      <w:rFonts w:hint="eastAsia"/>
                      <w:sz w:val="18"/>
                      <w:szCs w:val="18"/>
                    </w:rPr>
                    <w:t>输水</w:t>
                  </w:r>
                  <w:r>
                    <w:rPr>
                      <w:sz w:val="18"/>
                      <w:szCs w:val="18"/>
                    </w:rPr>
                    <w:t>管道（本次不评价）</w:t>
                  </w:r>
                </w:p>
              </w:tc>
              <w:tc>
                <w:tcPr>
                  <w:tcW w:w="894" w:type="dxa"/>
                  <w:noWrap w:val="0"/>
                  <w:vAlign w:val="center"/>
                </w:tcPr>
                <w:p>
                  <w:pPr>
                    <w:adjustRightInd w:val="0"/>
                    <w:snapToGrid w:val="0"/>
                    <w:jc w:val="center"/>
                    <w:rPr>
                      <w:sz w:val="18"/>
                      <w:szCs w:val="18"/>
                    </w:rPr>
                  </w:pPr>
                  <w:r>
                    <w:rPr>
                      <w:sz w:val="18"/>
                      <w:szCs w:val="18"/>
                    </w:rPr>
                    <w:t>可行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19" w:type="dxa"/>
                  <w:gridSpan w:val="6"/>
                  <w:noWrap w:val="0"/>
                  <w:vAlign w:val="center"/>
                </w:tcPr>
                <w:p>
                  <w:pPr>
                    <w:adjustRightInd w:val="0"/>
                    <w:snapToGrid w:val="0"/>
                    <w:rPr>
                      <w:sz w:val="18"/>
                      <w:szCs w:val="18"/>
                    </w:rPr>
                  </w:pPr>
                  <w:r>
                    <w:rPr>
                      <w:rFonts w:hint="eastAsia"/>
                      <w:sz w:val="17"/>
                    </w:rPr>
                    <w:t>注*：</w:t>
                  </w:r>
                  <w:r>
                    <w:rPr>
                      <w:sz w:val="17"/>
                    </w:rPr>
                    <w:t>莲花湖水厂一期一阶段已建7.5万m</w:t>
                  </w:r>
                  <w:r>
                    <w:rPr>
                      <w:sz w:val="17"/>
                      <w:vertAlign w:val="superscript"/>
                    </w:rPr>
                    <w:t>3</w:t>
                  </w:r>
                  <w:r>
                    <w:rPr>
                      <w:sz w:val="17"/>
                    </w:rPr>
                    <w:t>/d</w:t>
                  </w:r>
                  <w:r>
                    <w:rPr>
                      <w:rFonts w:hint="eastAsia"/>
                      <w:sz w:val="17"/>
                    </w:rPr>
                    <w:t>净水厂</w:t>
                  </w:r>
                  <w:r>
                    <w:rPr>
                      <w:sz w:val="17"/>
                    </w:rPr>
                    <w:t>，送水</w:t>
                  </w:r>
                  <w:r>
                    <w:rPr>
                      <w:rFonts w:hint="eastAsia"/>
                      <w:sz w:val="17"/>
                    </w:rPr>
                    <w:t>管网及</w:t>
                  </w:r>
                  <w:r>
                    <w:rPr>
                      <w:sz w:val="17"/>
                    </w:rPr>
                    <w:t>泵房</w:t>
                  </w:r>
                  <w:r>
                    <w:rPr>
                      <w:rFonts w:hint="eastAsia"/>
                      <w:sz w:val="17"/>
                    </w:rPr>
                    <w:t>，</w:t>
                  </w:r>
                  <w:r>
                    <w:rPr>
                      <w:sz w:val="17"/>
                    </w:rPr>
                    <w:t>配电间、加氯间、加药间和污泥处理系统土建</w:t>
                  </w:r>
                  <w:r>
                    <w:rPr>
                      <w:rFonts w:hint="eastAsia"/>
                      <w:sz w:val="17"/>
                    </w:rPr>
                    <w:t>及设备均</w:t>
                  </w:r>
                  <w:r>
                    <w:rPr>
                      <w:sz w:val="17"/>
                    </w:rPr>
                    <w:t>已按15.0万m</w:t>
                  </w:r>
                  <w:r>
                    <w:rPr>
                      <w:sz w:val="17"/>
                      <w:vertAlign w:val="superscript"/>
                    </w:rPr>
                    <w:t>3</w:t>
                  </w:r>
                  <w:r>
                    <w:rPr>
                      <w:sz w:val="17"/>
                    </w:rPr>
                    <w:t>/d建设。</w:t>
                  </w:r>
                </w:p>
              </w:tc>
            </w:tr>
          </w:tbl>
          <w:p>
            <w:pPr>
              <w:spacing w:line="276" w:lineRule="auto"/>
              <w:ind w:firstLine="422" w:firstLineChars="200"/>
              <w:rPr>
                <w:rFonts w:cs="Times New Roman"/>
                <w:b/>
                <w:szCs w:val="21"/>
              </w:rPr>
            </w:pPr>
            <w:r>
              <w:rPr>
                <w:rFonts w:hint="eastAsia" w:cs="Times New Roman"/>
                <w:b/>
                <w:szCs w:val="21"/>
              </w:rPr>
              <w:t>9、劳动定员及工作制度</w:t>
            </w:r>
          </w:p>
          <w:p>
            <w:pPr>
              <w:spacing w:line="276" w:lineRule="auto"/>
              <w:ind w:firstLine="420" w:firstLineChars="200"/>
              <w:rPr>
                <w:rFonts w:hint="eastAsia"/>
                <w:kern w:val="24"/>
                <w:szCs w:val="21"/>
              </w:rPr>
            </w:pPr>
            <w:r>
              <w:rPr>
                <w:rFonts w:hint="eastAsia"/>
                <w:kern w:val="24"/>
                <w:szCs w:val="21"/>
              </w:rPr>
              <w:t>本项目建成后，将新增劳动定员20人，年工作365天，24小时运营，实行三班工作制，8h/班。</w:t>
            </w:r>
            <w:r>
              <w:rPr>
                <w:rFonts w:hint="eastAsia"/>
                <w:szCs w:val="21"/>
              </w:rPr>
              <w:t>净水厂</w:t>
            </w:r>
            <w:r>
              <w:rPr>
                <w:rFonts w:hint="eastAsia"/>
                <w:kern w:val="24"/>
                <w:szCs w:val="21"/>
              </w:rPr>
              <w:t>内不设置住宿。</w:t>
            </w:r>
          </w:p>
          <w:p>
            <w:pPr>
              <w:spacing w:line="276" w:lineRule="auto"/>
              <w:ind w:firstLine="422" w:firstLineChars="200"/>
              <w:rPr>
                <w:rFonts w:cs="Times New Roman"/>
                <w:b/>
                <w:szCs w:val="21"/>
              </w:rPr>
            </w:pPr>
            <w:r>
              <w:rPr>
                <w:rFonts w:hint="eastAsia" w:cs="Times New Roman"/>
                <w:b/>
                <w:szCs w:val="21"/>
              </w:rPr>
              <w:t>10、厂区平面布置</w:t>
            </w:r>
          </w:p>
          <w:p>
            <w:pPr>
              <w:spacing w:line="276" w:lineRule="auto"/>
              <w:ind w:firstLine="420" w:firstLineChars="200"/>
              <w:rPr>
                <w:rFonts w:hint="eastAsia"/>
                <w:kern w:val="24"/>
                <w:szCs w:val="21"/>
              </w:rPr>
            </w:pPr>
            <w:r>
              <w:rPr>
                <w:rFonts w:hint="eastAsia"/>
                <w:kern w:val="24"/>
                <w:szCs w:val="21"/>
              </w:rPr>
              <w:t>本项目</w:t>
            </w:r>
            <w:r>
              <w:rPr>
                <w:rFonts w:hint="eastAsia"/>
                <w:szCs w:val="21"/>
              </w:rPr>
              <w:t>净水厂</w:t>
            </w:r>
            <w:r>
              <w:rPr>
                <w:rFonts w:hint="eastAsia"/>
                <w:kern w:val="24"/>
                <w:szCs w:val="21"/>
              </w:rPr>
              <w:t>建设地块呈不规则矩形，整个厂区平面布置按不同功能分为净水处理、辅助生产区及生活办公区。</w:t>
            </w:r>
          </w:p>
          <w:p>
            <w:pPr>
              <w:spacing w:line="276" w:lineRule="auto"/>
              <w:ind w:firstLine="420" w:firstLineChars="200"/>
              <w:rPr>
                <w:rFonts w:hint="eastAsia"/>
                <w:kern w:val="24"/>
                <w:szCs w:val="21"/>
              </w:rPr>
            </w:pPr>
            <w:r>
              <w:rPr>
                <w:rFonts w:hint="eastAsia"/>
                <w:kern w:val="24"/>
                <w:szCs w:val="21"/>
              </w:rPr>
              <w:t>净水处理区主体位于厂区中部和北部，工程构筑物平行沿流程由北向南布置。为了充分利用场地和便于管道布置由北向南依次为应急加药间、调流调压间、配水井、预沉絮凝沉淀池、V型滤池、清水池等，整体上，水处理构（建）筑物布置较紧凑，流程顺畅。排泥水处理区东侧依托现有设施，有污泥浓缩贮泥池、污泥脱水间及配电室等，整体上，废水处理构（建）筑物布置较紧凑，流程顺畅。辅助生产区设置有加氯加药间、反冲洗及回流泵房及应急加药间等辅助设施，布局上充分结合工艺需求，做到就近控制、就近进行加药、冲洗。生活办公区即供水调度中心，位于厂区南面，靠近大门方向，处于项目侧风向，既可以实现生产、生活分离，又可以加强生产管理。</w:t>
            </w:r>
          </w:p>
          <w:p>
            <w:pPr>
              <w:spacing w:line="276" w:lineRule="auto"/>
              <w:ind w:firstLine="420" w:firstLineChars="200"/>
              <w:rPr>
                <w:rFonts w:hint="eastAsia"/>
                <w:kern w:val="24"/>
                <w:szCs w:val="21"/>
              </w:rPr>
            </w:pPr>
            <w:r>
              <w:rPr>
                <w:rFonts w:hint="eastAsia"/>
                <w:kern w:val="24"/>
                <w:szCs w:val="21"/>
              </w:rPr>
              <w:t>厂区出入口位于厂区南侧，便于与厂外市政道路衔接。根据工艺特点，将厂内道路沿各功能分区布置成环状，便于厂区内各部分间的相互联系；既对交通运输及消防有利，又便于人流、货流的组织，同时也利于工程技术管理。全厂道路为混凝土路面。</w:t>
            </w:r>
          </w:p>
          <w:p>
            <w:pPr>
              <w:spacing w:line="276" w:lineRule="auto"/>
              <w:ind w:firstLine="420" w:firstLineChars="200"/>
              <w:rPr>
                <w:rFonts w:hint="eastAsia"/>
                <w:kern w:val="24"/>
                <w:szCs w:val="21"/>
              </w:rPr>
            </w:pPr>
            <w:r>
              <w:rPr>
                <w:rFonts w:hint="eastAsia"/>
                <w:kern w:val="24"/>
                <w:szCs w:val="21"/>
              </w:rPr>
              <w:t>厂区道路两侧、各建（构）筑物四周、厂界及厂区边坡采取植被绿化措施，可有效地净化区域空气环境。</w:t>
            </w:r>
          </w:p>
          <w:p>
            <w:pPr>
              <w:spacing w:line="276" w:lineRule="auto"/>
              <w:ind w:firstLine="420" w:firstLineChars="200"/>
              <w:rPr>
                <w:rFonts w:hint="eastAsia"/>
                <w:kern w:val="24"/>
                <w:szCs w:val="21"/>
              </w:rPr>
            </w:pPr>
            <w:r>
              <w:rPr>
                <w:rFonts w:hint="eastAsia"/>
                <w:kern w:val="24"/>
                <w:szCs w:val="21"/>
              </w:rPr>
              <w:t>厂区各个工艺单元布置顺畅、功能分区明确，为今后的运行管理提供了方便。在厂区绿化设计上，厂区绿化采取重点绿化和一般绿化相结合，使得整个厂区不仅看上去环境优雅，而且可降噪吸声。</w:t>
            </w:r>
          </w:p>
          <w:p>
            <w:pPr>
              <w:spacing w:line="276" w:lineRule="auto"/>
              <w:ind w:firstLine="420" w:firstLineChars="200"/>
              <w:rPr>
                <w:rFonts w:hint="eastAsia"/>
                <w:color w:val="FF00FF"/>
                <w:kern w:val="24"/>
                <w:szCs w:val="21"/>
              </w:rPr>
            </w:pPr>
            <w:r>
              <w:rPr>
                <w:rFonts w:hint="eastAsia"/>
                <w:kern w:val="24"/>
                <w:szCs w:val="21"/>
              </w:rPr>
              <w:t>综上所述，项目总图布置从环保角度是合理的。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6" w:type="dxa"/>
            <w:noWrap w:val="0"/>
            <w:vAlign w:val="center"/>
          </w:tcPr>
          <w:p>
            <w:pPr>
              <w:spacing w:line="276" w:lineRule="auto"/>
              <w:jc w:val="center"/>
              <w:rPr>
                <w:rFonts w:cs="Times New Roman"/>
                <w:szCs w:val="21"/>
              </w:rPr>
            </w:pPr>
            <w:r>
              <w:rPr>
                <w:rFonts w:hint="eastAsia" w:cs="Times New Roman"/>
                <w:szCs w:val="21"/>
              </w:rPr>
              <w:t>工艺流程和产排污环节</w:t>
            </w:r>
          </w:p>
        </w:tc>
        <w:tc>
          <w:tcPr>
            <w:tcW w:w="9221" w:type="dxa"/>
            <w:noWrap w:val="0"/>
            <w:vAlign w:val="center"/>
          </w:tcPr>
          <w:p>
            <w:pPr>
              <w:spacing w:line="276" w:lineRule="auto"/>
              <w:ind w:firstLine="422" w:firstLineChars="200"/>
              <w:rPr>
                <w:rFonts w:hint="eastAsia" w:cs="Times New Roman"/>
                <w:b/>
                <w:bCs/>
                <w:szCs w:val="21"/>
              </w:rPr>
            </w:pPr>
            <w:r>
              <w:rPr>
                <w:rFonts w:hint="eastAsia" w:cs="Times New Roman"/>
                <w:b/>
                <w:bCs/>
                <w:szCs w:val="21"/>
              </w:rPr>
              <w:t>工艺流程及污染工艺流程简述（图示）：</w:t>
            </w:r>
          </w:p>
          <w:p>
            <w:pPr>
              <w:spacing w:line="276" w:lineRule="auto"/>
              <w:ind w:firstLine="422" w:firstLineChars="200"/>
              <w:rPr>
                <w:rFonts w:cs="Times New Roman"/>
                <w:b/>
                <w:bCs/>
                <w:szCs w:val="21"/>
              </w:rPr>
            </w:pPr>
            <w:r>
              <w:rPr>
                <w:rFonts w:cs="Times New Roman"/>
                <w:b/>
                <w:bCs/>
                <w:szCs w:val="21"/>
              </w:rPr>
              <w:t>1、施工期工艺流程和产污环节</w:t>
            </w:r>
          </w:p>
          <w:p>
            <w:pPr>
              <w:spacing w:line="276" w:lineRule="auto"/>
              <w:ind w:firstLine="420" w:firstLineChars="200"/>
              <w:rPr>
                <w:rFonts w:cs="Times New Roman"/>
                <w:szCs w:val="21"/>
              </w:rPr>
            </w:pPr>
            <w:r>
              <w:rPr>
                <w:rFonts w:cs="Times New Roman"/>
                <w:szCs w:val="21"/>
              </w:rPr>
              <w:t>本项目建设工程主要为</w:t>
            </w:r>
            <w:r>
              <w:rPr>
                <w:rFonts w:hint="eastAsia" w:cs="Times New Roman"/>
                <w:szCs w:val="21"/>
              </w:rPr>
              <w:t>净水厂</w:t>
            </w:r>
            <w:r>
              <w:rPr>
                <w:rFonts w:cs="Times New Roman"/>
                <w:szCs w:val="21"/>
              </w:rPr>
              <w:t>建设</w:t>
            </w:r>
            <w:r>
              <w:rPr>
                <w:rFonts w:hint="eastAsia" w:cs="Times New Roman"/>
                <w:szCs w:val="21"/>
              </w:rPr>
              <w:t>，</w:t>
            </w:r>
            <w:r>
              <w:rPr>
                <w:rFonts w:cs="Times New Roman"/>
                <w:szCs w:val="21"/>
              </w:rPr>
              <w:t>主要包含基础施工、主体工程建设、装饰工程、设备安装等。其主要的环境影响为施工扬尘、噪声、施工废水、建筑垃圾等，其排放量随工期和施工强度不同而有所变化。施工期生产工艺流程及产污流程见下图。</w:t>
            </w:r>
          </w:p>
          <w:p>
            <w:pPr>
              <w:spacing w:line="276" w:lineRule="auto"/>
              <w:jc w:val="center"/>
              <w:rPr>
                <w:rFonts w:hint="eastAsia"/>
                <w:sz w:val="24"/>
              </w:rPr>
            </w:pPr>
            <w:r>
              <w:rPr>
                <w:sz w:val="24"/>
              </w:rPr>
              <w:drawing>
                <wp:inline distT="0" distB="0" distL="114300" distR="114300">
                  <wp:extent cx="4446905" cy="2857500"/>
                  <wp:effectExtent l="0" t="0" r="0" b="0"/>
                  <wp:docPr id="31" name="图片 2" descr="自来水厂施工期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自来水厂施工期工艺流程图"/>
                          <pic:cNvPicPr>
                            <a:picLocks noChangeAspect="1"/>
                          </pic:cNvPicPr>
                        </pic:nvPicPr>
                        <pic:blipFill>
                          <a:blip r:embed="rId8"/>
                          <a:srcRect l="-3841" t="-6149" r="-3287" b="-4173"/>
                          <a:stretch>
                            <a:fillRect/>
                          </a:stretch>
                        </pic:blipFill>
                        <pic:spPr>
                          <a:xfrm>
                            <a:off x="0" y="0"/>
                            <a:ext cx="4446905" cy="2857500"/>
                          </a:xfrm>
                          <a:prstGeom prst="rect">
                            <a:avLst/>
                          </a:prstGeom>
                          <a:noFill/>
                          <a:ln>
                            <a:noFill/>
                          </a:ln>
                        </pic:spPr>
                      </pic:pic>
                    </a:graphicData>
                  </a:graphic>
                </wp:inline>
              </w:drawing>
            </w:r>
          </w:p>
          <w:p>
            <w:pPr>
              <w:spacing w:line="276" w:lineRule="auto"/>
              <w:jc w:val="center"/>
              <w:rPr>
                <w:rFonts w:cs="Times New Roman"/>
                <w:b/>
                <w:bCs/>
                <w:szCs w:val="21"/>
              </w:rPr>
            </w:pPr>
            <w:r>
              <w:rPr>
                <w:rFonts w:cs="Times New Roman"/>
                <w:b/>
                <w:bCs/>
                <w:szCs w:val="21"/>
              </w:rPr>
              <w:t>图2-</w:t>
            </w:r>
            <w:r>
              <w:rPr>
                <w:rFonts w:hint="eastAsia" w:cs="Times New Roman"/>
                <w:b/>
                <w:bCs/>
                <w:szCs w:val="21"/>
              </w:rPr>
              <w:t>2：</w:t>
            </w:r>
            <w:r>
              <w:rPr>
                <w:rFonts w:cs="Times New Roman"/>
                <w:b/>
                <w:bCs/>
                <w:szCs w:val="21"/>
              </w:rPr>
              <w:t>施工期工艺流程及产污环节图</w:t>
            </w:r>
          </w:p>
          <w:p>
            <w:pPr>
              <w:spacing w:line="276" w:lineRule="auto"/>
              <w:ind w:firstLine="422" w:firstLineChars="200"/>
              <w:rPr>
                <w:rFonts w:cs="Times New Roman"/>
                <w:b/>
                <w:bCs/>
                <w:szCs w:val="21"/>
              </w:rPr>
            </w:pPr>
            <w:r>
              <w:rPr>
                <w:rFonts w:cs="Times New Roman"/>
                <w:b/>
                <w:bCs/>
                <w:szCs w:val="21"/>
              </w:rPr>
              <w:t>主要工序简述：</w:t>
            </w:r>
          </w:p>
          <w:p>
            <w:pPr>
              <w:spacing w:line="276" w:lineRule="auto"/>
              <w:ind w:firstLine="420" w:firstLineChars="200"/>
              <w:rPr>
                <w:rFonts w:cs="Times New Roman"/>
                <w:szCs w:val="21"/>
              </w:rPr>
            </w:pPr>
            <w:r>
              <w:rPr>
                <w:rFonts w:cs="Times New Roman"/>
                <w:szCs w:val="21"/>
              </w:rPr>
              <w:t>①基础工程</w:t>
            </w:r>
          </w:p>
          <w:p>
            <w:pPr>
              <w:spacing w:line="276" w:lineRule="auto"/>
              <w:ind w:firstLine="420" w:firstLineChars="200"/>
              <w:rPr>
                <w:rFonts w:cs="Times New Roman"/>
                <w:szCs w:val="21"/>
              </w:rPr>
            </w:pPr>
            <w:r>
              <w:rPr>
                <w:rFonts w:cs="Times New Roman"/>
                <w:szCs w:val="21"/>
              </w:rPr>
              <w:t>在基础开挖、地基处理（岩土工程）与基础施工时，由于挖土机、运土卡车等施工机械的运行，将产生一定的噪声；同时产生扬尘</w:t>
            </w:r>
            <w:r>
              <w:rPr>
                <w:rFonts w:hint="eastAsia" w:cs="Times New Roman"/>
                <w:szCs w:val="21"/>
              </w:rPr>
              <w:t>、土石方</w:t>
            </w:r>
            <w:r>
              <w:rPr>
                <w:rFonts w:cs="Times New Roman"/>
                <w:szCs w:val="21"/>
              </w:rPr>
              <w:t>和工人生活</w:t>
            </w:r>
            <w:r>
              <w:rPr>
                <w:rFonts w:hint="eastAsia" w:cs="Times New Roman"/>
                <w:szCs w:val="21"/>
              </w:rPr>
              <w:t>污</w:t>
            </w:r>
            <w:r>
              <w:rPr>
                <w:rFonts w:cs="Times New Roman"/>
                <w:szCs w:val="21"/>
              </w:rPr>
              <w:t>水；基础开挖引起原有土地利用类型的改变，会造成生态变化并引起一定程度的水土流失。</w:t>
            </w:r>
          </w:p>
          <w:p>
            <w:pPr>
              <w:spacing w:line="276" w:lineRule="auto"/>
              <w:ind w:firstLine="420" w:firstLineChars="200"/>
              <w:rPr>
                <w:rFonts w:cs="Times New Roman"/>
                <w:szCs w:val="21"/>
              </w:rPr>
            </w:pPr>
            <w:r>
              <w:rPr>
                <w:rFonts w:cs="Times New Roman"/>
                <w:szCs w:val="21"/>
              </w:rPr>
              <w:t>②主体工程</w:t>
            </w:r>
          </w:p>
          <w:p>
            <w:pPr>
              <w:spacing w:line="276" w:lineRule="auto"/>
              <w:ind w:firstLine="420" w:firstLineChars="200"/>
              <w:rPr>
                <w:rFonts w:cs="Times New Roman"/>
                <w:szCs w:val="21"/>
              </w:rPr>
            </w:pPr>
            <w:r>
              <w:rPr>
                <w:rFonts w:cs="Times New Roman"/>
                <w:szCs w:val="21"/>
              </w:rPr>
              <w:t>主体施工时，挖掘机、打夯机、装载汽车等运行时会产生噪声，同时产生扬尘。此外，还有一些原材料废弃料以及生产和生活污水产生。</w:t>
            </w:r>
          </w:p>
          <w:p>
            <w:pPr>
              <w:spacing w:line="276" w:lineRule="auto"/>
              <w:ind w:firstLine="420" w:firstLineChars="200"/>
              <w:rPr>
                <w:rFonts w:cs="Times New Roman"/>
                <w:szCs w:val="21"/>
              </w:rPr>
            </w:pPr>
            <w:r>
              <w:rPr>
                <w:rFonts w:cs="Times New Roman"/>
                <w:szCs w:val="21"/>
              </w:rPr>
              <w:t>③装饰工程</w:t>
            </w:r>
          </w:p>
          <w:p>
            <w:pPr>
              <w:spacing w:line="276" w:lineRule="auto"/>
              <w:ind w:firstLine="420" w:firstLineChars="200"/>
              <w:rPr>
                <w:rFonts w:cs="Times New Roman"/>
                <w:szCs w:val="21"/>
              </w:rPr>
            </w:pPr>
            <w:r>
              <w:rPr>
                <w:rFonts w:cs="Times New Roman"/>
                <w:szCs w:val="21"/>
              </w:rPr>
              <w:t>在对</w:t>
            </w:r>
            <w:r>
              <w:rPr>
                <w:rFonts w:hint="eastAsia" w:cs="Times New Roman"/>
                <w:szCs w:val="21"/>
              </w:rPr>
              <w:t>建</w:t>
            </w:r>
            <w:r>
              <w:rPr>
                <w:rFonts w:cs="Times New Roman"/>
                <w:szCs w:val="21"/>
              </w:rPr>
              <w:t>构筑物的室内外进行装修时（如表面粉刷、喷涂、裱糊等），钻机、电锤等产生噪声，涂料产生废气、废弃物料及污水。</w:t>
            </w:r>
          </w:p>
          <w:p>
            <w:pPr>
              <w:spacing w:line="276" w:lineRule="auto"/>
              <w:ind w:firstLine="420" w:firstLineChars="200"/>
              <w:rPr>
                <w:rFonts w:cs="Times New Roman"/>
                <w:szCs w:val="21"/>
              </w:rPr>
            </w:pPr>
            <w:r>
              <w:rPr>
                <w:rFonts w:cs="Times New Roman"/>
                <w:szCs w:val="21"/>
              </w:rPr>
              <w:t>④设备安装</w:t>
            </w:r>
          </w:p>
          <w:p>
            <w:pPr>
              <w:spacing w:line="276" w:lineRule="auto"/>
              <w:ind w:firstLine="420" w:firstLineChars="200"/>
              <w:rPr>
                <w:rFonts w:cs="Times New Roman"/>
                <w:szCs w:val="21"/>
              </w:rPr>
            </w:pPr>
            <w:r>
              <w:rPr>
                <w:rFonts w:cs="Times New Roman"/>
                <w:szCs w:val="21"/>
              </w:rPr>
              <w:t>主要包括车间生产设备以及配套环保设施设备安装，其主要废物为废包装材料、设备安装及调试噪声。</w:t>
            </w:r>
          </w:p>
          <w:p>
            <w:pPr>
              <w:spacing w:line="276" w:lineRule="auto"/>
              <w:ind w:firstLine="420" w:firstLineChars="200"/>
              <w:rPr>
                <w:rFonts w:cs="Times New Roman"/>
                <w:szCs w:val="21"/>
              </w:rPr>
            </w:pPr>
            <w:r>
              <w:rPr>
                <w:rFonts w:cs="Times New Roman"/>
                <w:szCs w:val="21"/>
              </w:rPr>
              <w:t>⑤工程验收</w:t>
            </w:r>
          </w:p>
          <w:p>
            <w:pPr>
              <w:spacing w:line="276" w:lineRule="auto"/>
              <w:ind w:firstLine="420" w:firstLineChars="200"/>
              <w:rPr>
                <w:rFonts w:cs="Times New Roman"/>
                <w:szCs w:val="21"/>
              </w:rPr>
            </w:pPr>
            <w:r>
              <w:rPr>
                <w:rFonts w:cs="Times New Roman"/>
                <w:szCs w:val="21"/>
              </w:rPr>
              <w:t>主体工程、设备安装完成后，进入工程验收阶段，由专业的结构对</w:t>
            </w:r>
            <w:r>
              <w:rPr>
                <w:rFonts w:hint="eastAsia"/>
                <w:szCs w:val="21"/>
              </w:rPr>
              <w:t>净水厂</w:t>
            </w:r>
            <w:r>
              <w:rPr>
                <w:rFonts w:cs="Times New Roman"/>
                <w:szCs w:val="21"/>
              </w:rPr>
              <w:t>的各方面建设内容进行验收。验收合格后交付建设单位。</w:t>
            </w:r>
          </w:p>
          <w:p>
            <w:pPr>
              <w:spacing w:line="276" w:lineRule="auto"/>
              <w:ind w:firstLine="422" w:firstLineChars="200"/>
              <w:rPr>
                <w:rFonts w:cs="Times New Roman"/>
                <w:b/>
                <w:bCs/>
                <w:szCs w:val="21"/>
              </w:rPr>
            </w:pPr>
            <w:r>
              <w:rPr>
                <w:rFonts w:cs="Times New Roman"/>
                <w:b/>
                <w:bCs/>
                <w:szCs w:val="21"/>
              </w:rPr>
              <w:t>2、运营期工艺流程和产污环节</w:t>
            </w:r>
          </w:p>
          <w:p>
            <w:pPr>
              <w:spacing w:line="276" w:lineRule="auto"/>
              <w:ind w:firstLine="420" w:firstLineChars="200"/>
              <w:rPr>
                <w:rFonts w:hint="eastAsia"/>
                <w:szCs w:val="21"/>
              </w:rPr>
            </w:pPr>
            <w:r>
              <w:rPr>
                <w:rFonts w:hint="eastAsia"/>
                <w:szCs w:val="21"/>
              </w:rPr>
              <w:t>（1）营运期工艺流程分析</w:t>
            </w:r>
          </w:p>
          <w:p>
            <w:pPr>
              <w:spacing w:line="276" w:lineRule="auto"/>
              <w:ind w:firstLine="420" w:firstLineChars="200"/>
              <w:rPr>
                <w:rFonts w:hint="eastAsia"/>
                <w:szCs w:val="21"/>
              </w:rPr>
            </w:pPr>
            <w:r>
              <w:rPr>
                <w:rFonts w:hint="eastAsia"/>
                <w:szCs w:val="21"/>
              </w:rPr>
              <w:t>本项目采用“预沉絮凝沉淀池+V型滤池+二氧化氯消毒+清水池”工艺，运营期工艺流程及产污环节见下图。</w:t>
            </w:r>
          </w:p>
          <w:p>
            <w:pPr>
              <w:spacing w:line="276" w:lineRule="auto"/>
              <w:jc w:val="center"/>
              <w:rPr>
                <w:rFonts w:hint="eastAsia"/>
                <w:color w:val="FF00FF"/>
                <w:szCs w:val="21"/>
              </w:rPr>
            </w:pPr>
            <w:r>
              <w:rPr>
                <w:rFonts w:hint="eastAsia"/>
                <w:color w:val="FF00FF"/>
                <w:szCs w:val="21"/>
              </w:rPr>
              <w:drawing>
                <wp:inline distT="0" distB="0" distL="114300" distR="114300">
                  <wp:extent cx="5404485" cy="3336925"/>
                  <wp:effectExtent l="0" t="0" r="5715" b="1587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9"/>
                          <a:stretch>
                            <a:fillRect/>
                          </a:stretch>
                        </pic:blipFill>
                        <pic:spPr>
                          <a:xfrm>
                            <a:off x="0" y="0"/>
                            <a:ext cx="5404485" cy="3336925"/>
                          </a:xfrm>
                          <a:prstGeom prst="rect">
                            <a:avLst/>
                          </a:prstGeom>
                          <a:noFill/>
                          <a:ln>
                            <a:noFill/>
                          </a:ln>
                        </pic:spPr>
                      </pic:pic>
                    </a:graphicData>
                  </a:graphic>
                </wp:inline>
              </w:drawing>
            </w:r>
          </w:p>
          <w:p>
            <w:pPr>
              <w:spacing w:line="276" w:lineRule="auto"/>
              <w:jc w:val="center"/>
              <w:rPr>
                <w:rFonts w:hint="eastAsia"/>
                <w:b/>
                <w:bCs/>
                <w:szCs w:val="21"/>
              </w:rPr>
            </w:pPr>
            <w:r>
              <w:rPr>
                <w:rFonts w:hint="eastAsia"/>
                <w:b/>
                <w:bCs/>
                <w:szCs w:val="21"/>
              </w:rPr>
              <w:t>图2-3：运营期工艺流程及产污位置图</w:t>
            </w:r>
          </w:p>
          <w:p>
            <w:pPr>
              <w:spacing w:line="276" w:lineRule="auto"/>
              <w:ind w:firstLine="422" w:firstLineChars="200"/>
              <w:rPr>
                <w:rFonts w:hint="eastAsia" w:cs="Times New Roman"/>
                <w:b/>
                <w:bCs/>
                <w:color w:val="FF00FF"/>
                <w:szCs w:val="21"/>
              </w:rPr>
            </w:pPr>
          </w:p>
          <w:p>
            <w:pPr>
              <w:spacing w:line="276" w:lineRule="auto"/>
              <w:ind w:firstLine="422" w:firstLineChars="200"/>
              <w:rPr>
                <w:rFonts w:hint="eastAsia" w:cs="Times New Roman"/>
                <w:b/>
                <w:bCs/>
                <w:szCs w:val="21"/>
              </w:rPr>
            </w:pPr>
            <w:r>
              <w:rPr>
                <w:rFonts w:hint="eastAsia" w:cs="Times New Roman"/>
                <w:b/>
                <w:bCs/>
                <w:szCs w:val="21"/>
              </w:rPr>
              <w:t>工艺流程简述：</w:t>
            </w:r>
          </w:p>
          <w:p>
            <w:pPr>
              <w:spacing w:line="276" w:lineRule="auto"/>
              <w:ind w:firstLine="422" w:firstLineChars="200"/>
              <w:rPr>
                <w:rFonts w:hint="eastAsia"/>
                <w:szCs w:val="21"/>
              </w:rPr>
            </w:pPr>
            <w:r>
              <w:rPr>
                <w:rFonts w:hint="eastAsia"/>
                <w:b/>
                <w:bCs/>
                <w:szCs w:val="21"/>
              </w:rPr>
              <w:t>（1）絮凝工序：</w:t>
            </w:r>
            <w:r>
              <w:rPr>
                <w:rFonts w:hint="eastAsia"/>
                <w:szCs w:val="21"/>
              </w:rPr>
              <w:t>原水经配水井进入净水厂净水处理设施絮凝池，絮凝处理是向水中投加絮凝剂（PAC），使水中的胶体颗粒和细小的悬浮物相互凝聚长大，从而形成沉淀性能良好，尺寸较大的絮状颗粒（矾花)，使之在后续的沉淀工艺中能够有效的从水中重力沉淀下来而分离。它可以用来降低原水的浊度，色度等感官指标，去除多种高分子有机物，某些重金属物和放射性物质。本项目拟采用网格混凝池进行混凝，其混凝效果好、稳定，混凝时间短，是目前水厂常采用的工艺。网格絮凝池共设32格，与沉淀池合建，絮凝时间T=22.2min。</w:t>
            </w:r>
          </w:p>
          <w:p>
            <w:pPr>
              <w:spacing w:line="276" w:lineRule="auto"/>
              <w:ind w:firstLine="420" w:firstLineChars="200"/>
              <w:rPr>
                <w:rFonts w:hint="eastAsia"/>
                <w:szCs w:val="21"/>
              </w:rPr>
            </w:pPr>
            <w:r>
              <w:rPr>
                <w:rFonts w:hint="eastAsia"/>
                <w:szCs w:val="21"/>
              </w:rPr>
              <w:t>此工序产生的污染物主要为：噪声、污泥。</w:t>
            </w:r>
          </w:p>
          <w:p>
            <w:pPr>
              <w:spacing w:line="276" w:lineRule="auto"/>
              <w:ind w:firstLine="422" w:firstLineChars="200"/>
              <w:rPr>
                <w:rFonts w:hint="eastAsia"/>
                <w:bCs/>
                <w:szCs w:val="21"/>
              </w:rPr>
            </w:pPr>
            <w:r>
              <w:rPr>
                <w:rFonts w:hint="eastAsia"/>
                <w:b/>
                <w:bCs/>
                <w:szCs w:val="21"/>
              </w:rPr>
              <w:t>（2）沉淀池：</w:t>
            </w:r>
            <w:r>
              <w:rPr>
                <w:rFonts w:hint="eastAsia"/>
                <w:szCs w:val="21"/>
              </w:rPr>
              <w:t>沉淀池的原理为水中固体颗粒（或凝聚矾花）依靠重力作用，从水中分离出来的单元操作过程称为沉淀。沉淀是在比重差引起的重力作用下，从液体中分离出来或去除固体颗粒的单元过程。一般去除20～100um的颗粒。本项目拟采用</w:t>
            </w:r>
            <w:r>
              <w:rPr>
                <w:rFonts w:hint="eastAsia"/>
                <w:b/>
                <w:bCs/>
                <w:szCs w:val="21"/>
              </w:rPr>
              <w:t>斜管沉淀池</w:t>
            </w:r>
            <w:r>
              <w:rPr>
                <w:rFonts w:hint="eastAsia"/>
                <w:szCs w:val="21"/>
              </w:rPr>
              <w:t>，比一般沉淀池的处理能力高出7-10倍，是一种新型高效沉淀设备，去除率高，停留时间短，占地面积小。</w:t>
            </w:r>
            <w:r>
              <w:rPr>
                <w:rFonts w:hint="eastAsia"/>
                <w:bCs/>
                <w:szCs w:val="21"/>
              </w:rPr>
              <w:t>①沉淀池清水区液面负荷6.3m</w:t>
            </w:r>
            <w:r>
              <w:rPr>
                <w:rFonts w:hint="eastAsia"/>
                <w:bCs/>
                <w:szCs w:val="21"/>
                <w:vertAlign w:val="superscript"/>
              </w:rPr>
              <w:t>3</w:t>
            </w:r>
            <w:r>
              <w:rPr>
                <w:rFonts w:hint="eastAsia"/>
                <w:bCs/>
                <w:szCs w:val="21"/>
              </w:rPr>
              <w:t>/m</w:t>
            </w:r>
            <w:r>
              <w:rPr>
                <w:rFonts w:hint="eastAsia"/>
                <w:bCs/>
                <w:szCs w:val="21"/>
                <w:vertAlign w:val="superscript"/>
              </w:rPr>
              <w:t>2</w:t>
            </w:r>
            <w:r>
              <w:rPr>
                <w:rFonts w:hint="eastAsia"/>
                <w:bCs/>
                <w:szCs w:val="21"/>
              </w:rPr>
              <w:t>.h；斜管材料采用乙丙共聚正六边形新型蜂窝斜管，内切圆直径d＝25mm，长1000mm，水平倾角θ＝60°；③横向等距布置32根不锈钢制锯齿集水槽，集水槽：2（组）×16条，共32条（7.7m/条）；④排污系统：沉淀池采用刮板机刮泥至泥斗后用气升排泥系统排泥。</w:t>
            </w:r>
          </w:p>
          <w:p>
            <w:pPr>
              <w:spacing w:line="276" w:lineRule="auto"/>
              <w:ind w:firstLine="422" w:firstLineChars="200"/>
              <w:rPr>
                <w:rFonts w:hint="eastAsia"/>
                <w:szCs w:val="21"/>
              </w:rPr>
            </w:pPr>
            <w:r>
              <w:rPr>
                <w:rFonts w:hint="eastAsia"/>
                <w:b/>
                <w:bCs/>
                <w:szCs w:val="21"/>
              </w:rPr>
              <w:t>（3）V型滤池：</w:t>
            </w:r>
            <w:r>
              <w:rPr>
                <w:rFonts w:hint="eastAsia"/>
                <w:szCs w:val="21"/>
              </w:rPr>
              <w:t>过滤是混凝、沉淀、气浮之后进一步降低水中的杂质，如胶体、藻类、细菌及沉淀剂等，达到生活饮用水水质标准的工艺过程。本项目拟选用V型滤池，V型滤池是应用粒径较粗较均匀的石英砂作滤料，在滤池两侧设置进水总渠和进水堰板进水，并在各滤格两侧设有V型进水槽的滤池形式。在运行过程中保持恒水位、恒速进行过滤，采用气水膨胀兼有表面扫洗的冲洗方式，冲洗排水则通过设在滤格中央的排水槽排出池外。其运行稳妥可靠；采用砂滤料，材料易得；滤床含污量大周期长滤速高水质好；具有气水反洗和水表面扫洗，冲洗效果好。滤池分6格，并排布置，共用管廊；每格滤池过滤面积为73m</w:t>
            </w:r>
            <w:r>
              <w:rPr>
                <w:rFonts w:hint="eastAsia"/>
                <w:szCs w:val="21"/>
                <w:vertAlign w:val="superscript"/>
              </w:rPr>
              <w:t>2</w:t>
            </w:r>
            <w:r>
              <w:rPr>
                <w:rFonts w:hint="eastAsia"/>
                <w:szCs w:val="21"/>
              </w:rPr>
              <w:t>，设计滤速7.5m/h，强制校核滤速9.0m/h；滤料层为单层均匀滤料：</w:t>
            </w:r>
            <w:r>
              <w:t>石英砂d</w:t>
            </w:r>
            <w:r>
              <w:rPr>
                <w:vertAlign w:val="subscript"/>
              </w:rPr>
              <w:t>10</w:t>
            </w:r>
            <w:r>
              <w:t>=0.95～1.35mm，K</w:t>
            </w:r>
            <w:r>
              <w:rPr>
                <w:vertAlign w:val="subscript"/>
              </w:rPr>
              <w:t>80</w:t>
            </w:r>
            <w:r>
              <w:t>&lt;1.4，厚1.4m；</w:t>
            </w:r>
            <w:r>
              <w:rPr>
                <w:rFonts w:hint="eastAsia"/>
                <w:szCs w:val="21"/>
              </w:rPr>
              <w:t>承托层用砾石，厚100mm，粒径2～4mm。</w:t>
            </w:r>
          </w:p>
          <w:p>
            <w:pPr>
              <w:spacing w:line="276" w:lineRule="auto"/>
              <w:ind w:firstLine="420" w:firstLineChars="200"/>
              <w:rPr>
                <w:rFonts w:hint="eastAsia"/>
                <w:szCs w:val="21"/>
              </w:rPr>
            </w:pPr>
            <w:r>
              <w:rPr>
                <w:rFonts w:hint="eastAsia"/>
                <w:szCs w:val="21"/>
              </w:rPr>
              <w:t>滤池的工作过程分为过滤过程和反冲洗过程：</w:t>
            </w:r>
          </w:p>
          <w:p>
            <w:pPr>
              <w:spacing w:line="276" w:lineRule="auto"/>
              <w:ind w:firstLine="420" w:firstLineChars="200"/>
              <w:rPr>
                <w:rFonts w:hint="eastAsia"/>
                <w:szCs w:val="21"/>
              </w:rPr>
            </w:pPr>
            <w:r>
              <w:rPr>
                <w:rFonts w:hint="eastAsia"/>
                <w:szCs w:val="21"/>
              </w:rPr>
              <w:t>a.过滤过程：待滤水由进水总渠进水阀和方孔后，溢过堰口再经侧孔进入被待滤水淹没的滤槽，分别经槽底均布的配水孔和槽堰顶进入滤池。被均粒滤料滤层过滤的滤后水经长柄滤头流入底部空间，由配水方孔汇入气水分配管渠，再经管廊中的水封井、出水堰、清水渠流入清水池。</w:t>
            </w:r>
          </w:p>
          <w:p>
            <w:pPr>
              <w:spacing w:line="276" w:lineRule="auto"/>
              <w:ind w:firstLine="420" w:firstLineChars="200"/>
              <w:rPr>
                <w:rFonts w:hint="eastAsia"/>
                <w:szCs w:val="21"/>
              </w:rPr>
            </w:pPr>
            <w:r>
              <w:rPr>
                <w:rFonts w:hint="eastAsia"/>
                <w:szCs w:val="21"/>
              </w:rPr>
              <w:t>b.反冲洗过程：关闭进水渠，但有一部分进水仍从两侧常开的方孔流入滤池，由槽一侧流向排水渠一侧，形成表面扫洗。而后开启排水阀将池面水从排水槽中排出直至滤池水面与槽顶相平。反冲洗过程常采用“气冲→气水同时反冲→水冲”三步。</w:t>
            </w:r>
          </w:p>
          <w:p>
            <w:pPr>
              <w:spacing w:line="276" w:lineRule="auto"/>
              <w:ind w:firstLine="420" w:firstLineChars="200"/>
              <w:rPr>
                <w:rFonts w:hint="eastAsia"/>
                <w:szCs w:val="21"/>
              </w:rPr>
            </w:pPr>
            <w:r>
              <w:rPr>
                <w:rFonts w:hint="eastAsia"/>
                <w:szCs w:val="21"/>
              </w:rPr>
              <w:t>①气冲：打开进气阀，开启供气设备，空气经气水分配渠的上部小孔均匀进入滤池底部，由长柄滤头喷出，将滤料表面杂质擦洗下来并悬浮于水中，被表面扫洗水冲入排水槽。冲洗强度15L/s·m</w:t>
            </w:r>
            <w:r>
              <w:rPr>
                <w:rFonts w:hint="eastAsia"/>
                <w:szCs w:val="21"/>
                <w:vertAlign w:val="superscript"/>
              </w:rPr>
              <w:t>2</w:t>
            </w:r>
            <w:r>
              <w:rPr>
                <w:rFonts w:hint="eastAsia"/>
                <w:szCs w:val="21"/>
              </w:rPr>
              <w:t>，时间3~5min。</w:t>
            </w:r>
          </w:p>
          <w:p>
            <w:pPr>
              <w:spacing w:line="276" w:lineRule="auto"/>
              <w:ind w:firstLine="420" w:firstLineChars="200"/>
              <w:rPr>
                <w:rFonts w:hint="eastAsia"/>
                <w:szCs w:val="21"/>
              </w:rPr>
            </w:pPr>
            <w:r>
              <w:rPr>
                <w:rFonts w:hint="eastAsia"/>
                <w:szCs w:val="21"/>
              </w:rPr>
              <w:t>②气水同时反冲洗：在气冲的同时启动冲洗水泵，打开冲洗水阀，反冲洗水也进入气水分配渠，气、水分别经小孔和配水方孔流入滤池底部配水区，经长柄滤头均匀进入滤池，滤料得到进一步冲洗，表扫仍继续进行。气冲冲洗强度15L/s・m</w:t>
            </w:r>
            <w:r>
              <w:rPr>
                <w:rFonts w:hint="eastAsia"/>
                <w:szCs w:val="21"/>
                <w:vertAlign w:val="superscript"/>
              </w:rPr>
              <w:t>2</w:t>
            </w:r>
            <w:r>
              <w:rPr>
                <w:rFonts w:hint="eastAsia"/>
                <w:szCs w:val="21"/>
              </w:rPr>
              <w:t>，水洗强度3.0L/s・m</w:t>
            </w:r>
            <w:r>
              <w:rPr>
                <w:rFonts w:hint="eastAsia"/>
                <w:szCs w:val="21"/>
                <w:vertAlign w:val="superscript"/>
              </w:rPr>
              <w:t>2</w:t>
            </w:r>
            <w:r>
              <w:rPr>
                <w:rFonts w:hint="eastAsia"/>
                <w:szCs w:val="21"/>
              </w:rPr>
              <w:t>，时间3~5min。</w:t>
            </w:r>
          </w:p>
          <w:p>
            <w:pPr>
              <w:spacing w:line="276" w:lineRule="auto"/>
              <w:ind w:firstLine="420" w:firstLineChars="200"/>
              <w:rPr>
                <w:rFonts w:hint="eastAsia"/>
                <w:szCs w:val="21"/>
              </w:rPr>
            </w:pPr>
            <w:r>
              <w:rPr>
                <w:rFonts w:hint="eastAsia"/>
                <w:szCs w:val="21"/>
              </w:rPr>
              <w:t>③停止冲洗，单独水冲，表扫仍继续，最后将水中杂质全部冲入排水槽。冲洗强度4.0L/s·m</w:t>
            </w:r>
            <w:r>
              <w:rPr>
                <w:rFonts w:hint="eastAsia"/>
                <w:szCs w:val="21"/>
                <w:vertAlign w:val="superscript"/>
              </w:rPr>
              <w:t>2</w:t>
            </w:r>
            <w:r>
              <w:rPr>
                <w:rFonts w:hint="eastAsia"/>
                <w:szCs w:val="21"/>
              </w:rPr>
              <w:t>，时间8~5min；表洗强度1.75L/s·m</w:t>
            </w:r>
            <w:r>
              <w:rPr>
                <w:rFonts w:hint="eastAsia"/>
                <w:szCs w:val="21"/>
                <w:vertAlign w:val="superscript"/>
              </w:rPr>
              <w:t>2</w:t>
            </w:r>
            <w:r>
              <w:rPr>
                <w:rFonts w:hint="eastAsia"/>
                <w:szCs w:val="21"/>
              </w:rPr>
              <w:t>，反冲洗全程进行。冲洗周期48h。</w:t>
            </w:r>
          </w:p>
          <w:p>
            <w:pPr>
              <w:spacing w:line="276" w:lineRule="auto"/>
              <w:ind w:firstLine="420" w:firstLineChars="200"/>
              <w:rPr>
                <w:rFonts w:hint="eastAsia"/>
                <w:szCs w:val="21"/>
              </w:rPr>
            </w:pPr>
            <w:r>
              <w:rPr>
                <w:rFonts w:hint="eastAsia"/>
                <w:szCs w:val="21"/>
              </w:rPr>
              <w:t>此工序产生的污染物主要为：V型滤池初滤水、反冲洗废水、噪声、污泥。</w:t>
            </w:r>
          </w:p>
          <w:p>
            <w:pPr>
              <w:spacing w:line="276" w:lineRule="auto"/>
              <w:ind w:firstLine="422" w:firstLineChars="200"/>
              <w:rPr>
                <w:rFonts w:hint="eastAsia"/>
                <w:szCs w:val="21"/>
              </w:rPr>
            </w:pPr>
            <w:r>
              <w:rPr>
                <w:rFonts w:hint="eastAsia"/>
                <w:b/>
                <w:bCs/>
                <w:szCs w:val="21"/>
              </w:rPr>
              <w:t>（4）清水池：</w:t>
            </w:r>
            <w:r>
              <w:rPr>
                <w:rFonts w:hint="eastAsia"/>
                <w:szCs w:val="21"/>
              </w:rPr>
              <w:t>经处理后的净水在清水池进行消毒，采用二氧化氯消毒，投加量为1.0mg/L，投加在厂区清水池的进水管上，二氧化氯与水接触时间不低于30min出厂，出厂水的二氧化氯余量不低于0.1mg/L且不超过0.8mg/L，管网末梢水的二氧化氯余量不低于0.02mg/L，消毒后水的卫生学指标应满足《生活饮用水卫生标准》（GB5749-2006）。</w:t>
            </w:r>
          </w:p>
          <w:p>
            <w:pPr>
              <w:spacing w:line="276" w:lineRule="auto"/>
              <w:ind w:firstLine="420" w:firstLineChars="200"/>
              <w:rPr>
                <w:rFonts w:hint="eastAsia"/>
                <w:szCs w:val="21"/>
              </w:rPr>
            </w:pPr>
            <w:r>
              <w:rPr>
                <w:rFonts w:hint="eastAsia"/>
                <w:szCs w:val="21"/>
              </w:rPr>
              <w:t>此工序产生的污染物主要为：噪声。</w:t>
            </w:r>
          </w:p>
          <w:p>
            <w:pPr>
              <w:spacing w:line="276" w:lineRule="auto"/>
              <w:ind w:firstLine="422" w:firstLineChars="200"/>
              <w:rPr>
                <w:rFonts w:hint="eastAsia"/>
                <w:szCs w:val="21"/>
              </w:rPr>
            </w:pPr>
            <w:r>
              <w:rPr>
                <w:rFonts w:hint="eastAsia"/>
                <w:b/>
                <w:bCs/>
                <w:szCs w:val="21"/>
              </w:rPr>
              <w:t>（5）污泥处理系统：</w:t>
            </w:r>
            <w:r>
              <w:rPr>
                <w:rFonts w:hint="eastAsia"/>
                <w:szCs w:val="21"/>
              </w:rPr>
              <w:t>V型滤池初滤水、反冲洗废水进入回收水池，回收废水经提升泵回流至水厂配水井。预沉絮凝沉淀池排泥水进入排泥池，上清液均回到回收水池，剩余的污泥同排泥水进入污泥浓缩池，污泥浓缩池将含水率约为99.5%排泥水通过浓缩，使底泥含水率达到97%左右，满足脱水机对进泥固体含量的要求。经浓缩后，上清液回到回收水池，底部污泥进入贮泥池（调节浓缩池排泥和脱水机进料之间的容积差），再进入污泥脱水机房。项目依托原有的2台板框压滤机进行压滤脱水处理后，污泥脱水后含水率小于60%，泥饼暂存于污泥脱水间内的污泥暂存间，定期运往达州市城市建筑垃圾填埋场进行填埋处理；污泥脱水滤液经市政管网排入污水处理厂处理。</w:t>
            </w:r>
          </w:p>
          <w:p>
            <w:pPr>
              <w:spacing w:line="276" w:lineRule="auto"/>
              <w:ind w:firstLine="420" w:firstLineChars="200"/>
              <w:rPr>
                <w:rFonts w:hint="eastAsia"/>
                <w:szCs w:val="21"/>
              </w:rPr>
            </w:pPr>
            <w:r>
              <w:rPr>
                <w:rFonts w:hint="eastAsia"/>
                <w:szCs w:val="21"/>
              </w:rPr>
              <w:t>此工序产生的污染物主要为：污泥脱水滤液、噪声、污泥。</w:t>
            </w:r>
          </w:p>
          <w:p>
            <w:pPr>
              <w:pStyle w:val="2"/>
              <w:rPr>
                <w:rFonts w:hint="eastAsia"/>
              </w:rPr>
            </w:pPr>
          </w:p>
          <w:p>
            <w:pPr>
              <w:pStyle w:val="2"/>
              <w:rPr>
                <w:rFonts w:hint="eastAsia"/>
              </w:rPr>
            </w:pPr>
          </w:p>
          <w:p>
            <w:pPr>
              <w:rPr>
                <w:rFonts w:hint="eastAsia"/>
              </w:rPr>
            </w:pPr>
          </w:p>
          <w:p>
            <w:pPr>
              <w:pStyle w:val="2"/>
              <w:rPr>
                <w:rFonts w:cs="Times New Roman"/>
                <w:color w:val="FF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6" w:type="dxa"/>
            <w:noWrap w:val="0"/>
            <w:vAlign w:val="center"/>
          </w:tcPr>
          <w:p>
            <w:pPr>
              <w:spacing w:line="276" w:lineRule="auto"/>
              <w:jc w:val="center"/>
              <w:rPr>
                <w:rFonts w:cs="Times New Roman"/>
                <w:szCs w:val="21"/>
              </w:rPr>
            </w:pPr>
            <w:r>
              <w:rPr>
                <w:rFonts w:hint="eastAsia" w:cs="Times New Roman"/>
                <w:szCs w:val="21"/>
              </w:rPr>
              <w:t>与项目有关的原有环境污染问题</w:t>
            </w:r>
          </w:p>
        </w:tc>
        <w:tc>
          <w:tcPr>
            <w:tcW w:w="9221" w:type="dxa"/>
            <w:noWrap w:val="0"/>
            <w:vAlign w:val="center"/>
          </w:tcPr>
          <w:p>
            <w:pPr>
              <w:spacing w:line="440" w:lineRule="exact"/>
              <w:ind w:firstLine="422" w:firstLineChars="200"/>
              <w:rPr>
                <w:b/>
                <w:bCs/>
                <w:szCs w:val="21"/>
              </w:rPr>
            </w:pPr>
            <w:r>
              <w:rPr>
                <w:b/>
                <w:bCs/>
                <w:szCs w:val="21"/>
              </w:rPr>
              <w:t>一、原</w:t>
            </w:r>
            <w:r>
              <w:rPr>
                <w:rStyle w:val="110"/>
                <w:b/>
                <w:bCs/>
              </w:rPr>
              <w:t>有</w:t>
            </w:r>
            <w:r>
              <w:rPr>
                <w:b/>
                <w:bCs/>
                <w:szCs w:val="21"/>
              </w:rPr>
              <w:t>项目概况</w:t>
            </w:r>
          </w:p>
          <w:p>
            <w:pPr>
              <w:spacing w:line="440" w:lineRule="exact"/>
              <w:ind w:firstLine="420" w:firstLineChars="200"/>
              <w:rPr>
                <w:bCs/>
                <w:szCs w:val="21"/>
              </w:rPr>
            </w:pPr>
            <w:r>
              <w:rPr>
                <w:bCs/>
                <w:szCs w:val="21"/>
              </w:rPr>
              <w:t>1、项目概况</w:t>
            </w:r>
          </w:p>
          <w:p>
            <w:pPr>
              <w:spacing w:line="440" w:lineRule="exact"/>
              <w:ind w:firstLine="420" w:firstLineChars="200"/>
              <w:rPr>
                <w:bCs/>
                <w:szCs w:val="21"/>
              </w:rPr>
            </w:pPr>
            <w:r>
              <w:rPr>
                <w:bCs/>
                <w:szCs w:val="21"/>
              </w:rPr>
              <w:t>达州市莲花湖水厂工程于达州市发改委2011年批准建设（达市发改审[201</w:t>
            </w:r>
            <w:r>
              <w:rPr>
                <w:rFonts w:hint="eastAsia"/>
                <w:bCs/>
                <w:szCs w:val="21"/>
              </w:rPr>
              <w:t>1</w:t>
            </w:r>
            <w:r>
              <w:rPr>
                <w:bCs/>
                <w:szCs w:val="21"/>
              </w:rPr>
              <w:t>]168号），建设规模7.5万m</w:t>
            </w:r>
            <w:r>
              <w:rPr>
                <w:bCs/>
                <w:szCs w:val="21"/>
                <w:vertAlign w:val="superscript"/>
              </w:rPr>
              <w:t>3</w:t>
            </w:r>
            <w:r>
              <w:rPr>
                <w:bCs/>
                <w:szCs w:val="21"/>
              </w:rPr>
              <w:t>/d，并于2015年建成通水。</w:t>
            </w:r>
          </w:p>
          <w:p>
            <w:pPr>
              <w:spacing w:line="440" w:lineRule="exact"/>
              <w:ind w:firstLine="420" w:firstLineChars="200"/>
              <w:rPr>
                <w:bCs/>
                <w:szCs w:val="21"/>
              </w:rPr>
            </w:pPr>
            <w:r>
              <w:rPr>
                <w:bCs/>
                <w:szCs w:val="21"/>
              </w:rPr>
              <w:t>建设内容及规模：本项目建设有配水井、斜管预沉池、涡流低动脉沉淀池、V 型滤池、 清水池、送水泵房、鼓风机房及反冲洗泵房、加药间、加氯间、污泥调节池、污泥浓缩池、 贮泥池、污泥脱水间、综合楼及配电室等，占地32900平方米。项目总投资11000万元。</w:t>
            </w:r>
          </w:p>
          <w:p>
            <w:pPr>
              <w:spacing w:line="440" w:lineRule="exact"/>
              <w:ind w:firstLine="420" w:firstLineChars="200"/>
              <w:rPr>
                <w:bCs/>
                <w:szCs w:val="21"/>
              </w:rPr>
            </w:pPr>
            <w:r>
              <w:rPr>
                <w:bCs/>
                <w:szCs w:val="21"/>
              </w:rPr>
              <w:t>2、环保手续办理情况</w:t>
            </w:r>
          </w:p>
          <w:p>
            <w:pPr>
              <w:spacing w:line="440" w:lineRule="exact"/>
              <w:ind w:firstLine="420" w:firstLineChars="200"/>
              <w:rPr>
                <w:bCs/>
                <w:szCs w:val="21"/>
              </w:rPr>
            </w:pPr>
            <w:r>
              <w:rPr>
                <w:bCs/>
                <w:szCs w:val="21"/>
              </w:rPr>
              <w:t>四川省环境保护厅于2013年11月18日以《关于达州市通川区莲花湖水厂工程环境影响报告表的批复》（川环审批[2013]700号），批准建设规模7.5万m</w:t>
            </w:r>
            <w:r>
              <w:rPr>
                <w:bCs/>
                <w:szCs w:val="21"/>
                <w:vertAlign w:val="superscript"/>
              </w:rPr>
              <w:t>3</w:t>
            </w:r>
            <w:r>
              <w:rPr>
                <w:bCs/>
                <w:szCs w:val="21"/>
              </w:rPr>
              <w:t>/d，并于2015年建成通水。该项目于2021年12月组织完成竣工环保验收工作。</w:t>
            </w:r>
          </w:p>
          <w:p>
            <w:pPr>
              <w:spacing w:line="440" w:lineRule="exact"/>
              <w:ind w:firstLine="420" w:firstLineChars="200"/>
              <w:rPr>
                <w:bCs/>
                <w:szCs w:val="21"/>
              </w:rPr>
            </w:pPr>
            <w:r>
              <w:rPr>
                <w:bCs/>
                <w:szCs w:val="21"/>
              </w:rPr>
              <w:t>3、原有项目构筑物情况</w:t>
            </w:r>
          </w:p>
          <w:p>
            <w:pPr>
              <w:spacing w:line="440" w:lineRule="exact"/>
              <w:ind w:firstLine="420" w:firstLineChars="200"/>
              <w:rPr>
                <w:bCs/>
                <w:szCs w:val="21"/>
              </w:rPr>
            </w:pPr>
            <w:r>
              <w:rPr>
                <w:bCs/>
                <w:szCs w:val="21"/>
              </w:rPr>
              <w:t>原有工程供水规模为7.5万m</w:t>
            </w:r>
            <w:r>
              <w:rPr>
                <w:bCs/>
                <w:szCs w:val="21"/>
                <w:vertAlign w:val="superscript"/>
              </w:rPr>
              <w:t>3</w:t>
            </w:r>
            <w:r>
              <w:rPr>
                <w:bCs/>
                <w:szCs w:val="21"/>
              </w:rPr>
              <w:t>/d，原有工程构筑物情况详见下表。</w:t>
            </w:r>
          </w:p>
          <w:p>
            <w:pPr>
              <w:spacing w:line="500" w:lineRule="exact"/>
              <w:jc w:val="center"/>
              <w:rPr>
                <w:b/>
                <w:sz w:val="18"/>
                <w:szCs w:val="18"/>
              </w:rPr>
            </w:pPr>
            <w:r>
              <w:rPr>
                <w:b/>
                <w:sz w:val="18"/>
                <w:szCs w:val="18"/>
              </w:rPr>
              <w:t>表2-</w:t>
            </w:r>
            <w:r>
              <w:rPr>
                <w:rFonts w:hint="eastAsia"/>
                <w:b/>
                <w:sz w:val="18"/>
                <w:szCs w:val="18"/>
              </w:rPr>
              <w:t>6</w:t>
            </w:r>
            <w:r>
              <w:rPr>
                <w:b/>
                <w:sz w:val="18"/>
                <w:szCs w:val="18"/>
              </w:rPr>
              <w:t>：原有工程构筑物情况一览表</w:t>
            </w:r>
          </w:p>
          <w:tbl>
            <w:tblPr>
              <w:tblStyle w:val="26"/>
              <w:tblW w:w="44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326"/>
              <w:gridCol w:w="4644"/>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28" w:type="pct"/>
                  <w:noWrap w:val="0"/>
                  <w:vAlign w:val="center"/>
                </w:tcPr>
                <w:p>
                  <w:pPr>
                    <w:spacing w:line="360" w:lineRule="auto"/>
                    <w:jc w:val="center"/>
                    <w:rPr>
                      <w:sz w:val="18"/>
                      <w:szCs w:val="18"/>
                    </w:rPr>
                  </w:pPr>
                  <w:r>
                    <w:rPr>
                      <w:sz w:val="18"/>
                      <w:szCs w:val="18"/>
                    </w:rPr>
                    <w:t>工程类别</w:t>
                  </w:r>
                </w:p>
              </w:tc>
              <w:tc>
                <w:tcPr>
                  <w:tcW w:w="816" w:type="pct"/>
                  <w:noWrap w:val="0"/>
                  <w:vAlign w:val="center"/>
                </w:tcPr>
                <w:p>
                  <w:pPr>
                    <w:spacing w:line="360" w:lineRule="auto"/>
                    <w:jc w:val="center"/>
                    <w:rPr>
                      <w:sz w:val="18"/>
                      <w:szCs w:val="18"/>
                    </w:rPr>
                  </w:pPr>
                  <w:r>
                    <w:rPr>
                      <w:sz w:val="18"/>
                      <w:szCs w:val="18"/>
                    </w:rPr>
                    <w:t>主要</w:t>
                  </w:r>
                </w:p>
                <w:p>
                  <w:pPr>
                    <w:spacing w:line="360" w:lineRule="auto"/>
                    <w:jc w:val="center"/>
                    <w:rPr>
                      <w:sz w:val="18"/>
                      <w:szCs w:val="18"/>
                    </w:rPr>
                  </w:pPr>
                  <w:r>
                    <w:rPr>
                      <w:sz w:val="18"/>
                      <w:szCs w:val="18"/>
                    </w:rPr>
                    <w:t>构筑物</w:t>
                  </w:r>
                </w:p>
              </w:tc>
              <w:tc>
                <w:tcPr>
                  <w:tcW w:w="2859" w:type="pct"/>
                  <w:noWrap w:val="0"/>
                  <w:vAlign w:val="center"/>
                </w:tcPr>
                <w:p>
                  <w:pPr>
                    <w:spacing w:line="360" w:lineRule="auto"/>
                    <w:jc w:val="center"/>
                    <w:rPr>
                      <w:sz w:val="18"/>
                      <w:szCs w:val="18"/>
                    </w:rPr>
                  </w:pPr>
                  <w:r>
                    <w:rPr>
                      <w:sz w:val="18"/>
                      <w:szCs w:val="18"/>
                    </w:rPr>
                    <w:t>内容</w:t>
                  </w:r>
                </w:p>
              </w:tc>
              <w:tc>
                <w:tcPr>
                  <w:tcW w:w="897" w:type="pct"/>
                  <w:noWrap w:val="0"/>
                  <w:vAlign w:val="center"/>
                </w:tcPr>
                <w:p>
                  <w:pPr>
                    <w:spacing w:line="360" w:lineRule="auto"/>
                    <w:jc w:val="cente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28" w:type="pct"/>
                  <w:noWrap w:val="0"/>
                  <w:vAlign w:val="center"/>
                </w:tcPr>
                <w:p>
                  <w:pPr>
                    <w:spacing w:line="360" w:lineRule="auto"/>
                    <w:jc w:val="center"/>
                    <w:rPr>
                      <w:sz w:val="18"/>
                      <w:szCs w:val="18"/>
                    </w:rPr>
                  </w:pPr>
                  <w:r>
                    <w:rPr>
                      <w:sz w:val="18"/>
                      <w:szCs w:val="18"/>
                    </w:rPr>
                    <w:t>主体工程</w:t>
                  </w:r>
                </w:p>
              </w:tc>
              <w:tc>
                <w:tcPr>
                  <w:tcW w:w="816" w:type="pct"/>
                  <w:noWrap w:val="0"/>
                  <w:vAlign w:val="center"/>
                </w:tcPr>
                <w:p>
                  <w:pPr>
                    <w:spacing w:line="360" w:lineRule="auto"/>
                    <w:jc w:val="center"/>
                    <w:rPr>
                      <w:sz w:val="18"/>
                      <w:szCs w:val="18"/>
                    </w:rPr>
                  </w:pPr>
                  <w:r>
                    <w:rPr>
                      <w:sz w:val="18"/>
                      <w:szCs w:val="18"/>
                    </w:rPr>
                    <w:t>净水厂</w:t>
                  </w:r>
                </w:p>
              </w:tc>
              <w:tc>
                <w:tcPr>
                  <w:tcW w:w="2859" w:type="pct"/>
                  <w:noWrap w:val="0"/>
                  <w:vAlign w:val="center"/>
                </w:tcPr>
                <w:p>
                  <w:pPr>
                    <w:spacing w:line="360" w:lineRule="auto"/>
                    <w:rPr>
                      <w:sz w:val="18"/>
                      <w:szCs w:val="18"/>
                    </w:rPr>
                  </w:pPr>
                  <w:r>
                    <w:rPr>
                      <w:sz w:val="18"/>
                      <w:szCs w:val="18"/>
                    </w:rPr>
                    <w:t>主要构筑物有清水池、加药间、滤池、絮凝池、V</w:t>
                  </w:r>
                </w:p>
                <w:p>
                  <w:pPr>
                    <w:spacing w:line="360" w:lineRule="auto"/>
                    <w:rPr>
                      <w:rFonts w:hint="eastAsia"/>
                      <w:sz w:val="18"/>
                      <w:szCs w:val="18"/>
                    </w:rPr>
                  </w:pPr>
                  <w:r>
                    <w:rPr>
                      <w:sz w:val="18"/>
                      <w:szCs w:val="18"/>
                    </w:rPr>
                    <w:t>型池池等。净水厂主要工艺为：配水井一混合絮凝沉淀—无阀滤池—消毒（二氧化氯）—清水池，净水厂按照7.5 万m</w:t>
                  </w:r>
                  <w:r>
                    <w:rPr>
                      <w:sz w:val="18"/>
                      <w:szCs w:val="18"/>
                      <w:vertAlign w:val="superscript"/>
                    </w:rPr>
                    <w:t>3</w:t>
                  </w:r>
                  <w:r>
                    <w:rPr>
                      <w:sz w:val="18"/>
                      <w:szCs w:val="18"/>
                    </w:rPr>
                    <w:t>/d进行设计</w:t>
                  </w:r>
                  <w:r>
                    <w:rPr>
                      <w:rFonts w:hint="eastAsia"/>
                      <w:sz w:val="18"/>
                      <w:szCs w:val="18"/>
                    </w:rPr>
                    <w:t>建设。</w:t>
                  </w:r>
                </w:p>
              </w:tc>
              <w:tc>
                <w:tcPr>
                  <w:tcW w:w="897" w:type="pct"/>
                  <w:noWrap w:val="0"/>
                  <w:vAlign w:val="center"/>
                </w:tcPr>
                <w:p>
                  <w:pPr>
                    <w:spacing w:line="360" w:lineRule="auto"/>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28" w:type="pct"/>
                  <w:vMerge w:val="restart"/>
                  <w:noWrap w:val="0"/>
                  <w:vAlign w:val="center"/>
                </w:tcPr>
                <w:p>
                  <w:pPr>
                    <w:spacing w:line="360" w:lineRule="auto"/>
                    <w:jc w:val="center"/>
                    <w:rPr>
                      <w:sz w:val="18"/>
                      <w:szCs w:val="18"/>
                    </w:rPr>
                  </w:pPr>
                  <w:r>
                    <w:rPr>
                      <w:sz w:val="18"/>
                      <w:szCs w:val="18"/>
                    </w:rPr>
                    <w:t>辅助工程</w:t>
                  </w:r>
                </w:p>
              </w:tc>
              <w:tc>
                <w:tcPr>
                  <w:tcW w:w="816" w:type="pct"/>
                  <w:noWrap w:val="0"/>
                  <w:vAlign w:val="center"/>
                </w:tcPr>
                <w:p>
                  <w:pPr>
                    <w:spacing w:line="360" w:lineRule="auto"/>
                    <w:jc w:val="center"/>
                    <w:rPr>
                      <w:sz w:val="18"/>
                      <w:szCs w:val="18"/>
                    </w:rPr>
                  </w:pPr>
                  <w:r>
                    <w:rPr>
                      <w:sz w:val="18"/>
                      <w:szCs w:val="18"/>
                    </w:rPr>
                    <w:t>综合楼</w:t>
                  </w:r>
                </w:p>
              </w:tc>
              <w:tc>
                <w:tcPr>
                  <w:tcW w:w="2859" w:type="pct"/>
                  <w:noWrap w:val="0"/>
                  <w:vAlign w:val="center"/>
                </w:tcPr>
                <w:p>
                  <w:pPr>
                    <w:spacing w:line="360" w:lineRule="auto"/>
                    <w:rPr>
                      <w:sz w:val="18"/>
                      <w:szCs w:val="18"/>
                    </w:rPr>
                  </w:pPr>
                  <w:r>
                    <w:rPr>
                      <w:sz w:val="18"/>
                      <w:szCs w:val="18"/>
                    </w:rPr>
                    <w:t>1栋，框架结构，包括办公室、化验室、会议室等</w:t>
                  </w:r>
                </w:p>
              </w:tc>
              <w:tc>
                <w:tcPr>
                  <w:tcW w:w="897" w:type="pct"/>
                  <w:noWrap w:val="0"/>
                  <w:vAlign w:val="center"/>
                </w:tcPr>
                <w:p>
                  <w:pPr>
                    <w:spacing w:line="360" w:lineRule="auto"/>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28" w:type="pct"/>
                  <w:vMerge w:val="continue"/>
                  <w:noWrap w:val="0"/>
                  <w:vAlign w:val="center"/>
                </w:tcPr>
                <w:p>
                  <w:pPr>
                    <w:spacing w:line="360" w:lineRule="auto"/>
                    <w:jc w:val="center"/>
                    <w:rPr>
                      <w:sz w:val="18"/>
                      <w:szCs w:val="18"/>
                    </w:rPr>
                  </w:pPr>
                </w:p>
              </w:tc>
              <w:tc>
                <w:tcPr>
                  <w:tcW w:w="816" w:type="pct"/>
                  <w:noWrap w:val="0"/>
                  <w:vAlign w:val="center"/>
                </w:tcPr>
                <w:p>
                  <w:pPr>
                    <w:spacing w:line="360" w:lineRule="auto"/>
                    <w:jc w:val="center"/>
                    <w:rPr>
                      <w:sz w:val="18"/>
                      <w:szCs w:val="18"/>
                    </w:rPr>
                  </w:pPr>
                  <w:r>
                    <w:rPr>
                      <w:sz w:val="18"/>
                      <w:szCs w:val="18"/>
                    </w:rPr>
                    <w:t>配电室</w:t>
                  </w:r>
                </w:p>
              </w:tc>
              <w:tc>
                <w:tcPr>
                  <w:tcW w:w="2859" w:type="pct"/>
                  <w:noWrap w:val="0"/>
                  <w:vAlign w:val="center"/>
                </w:tcPr>
                <w:p>
                  <w:pPr>
                    <w:spacing w:line="360" w:lineRule="auto"/>
                    <w:rPr>
                      <w:sz w:val="18"/>
                      <w:szCs w:val="18"/>
                    </w:rPr>
                  </w:pPr>
                  <w:r>
                    <w:rPr>
                      <w:sz w:val="18"/>
                      <w:szCs w:val="18"/>
                    </w:rPr>
                    <w:t>1栋，内设高压配电设备</w:t>
                  </w:r>
                </w:p>
              </w:tc>
              <w:tc>
                <w:tcPr>
                  <w:tcW w:w="897" w:type="pct"/>
                  <w:noWrap w:val="0"/>
                  <w:vAlign w:val="center"/>
                </w:tcPr>
                <w:p>
                  <w:pPr>
                    <w:spacing w:line="360" w:lineRule="auto"/>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28" w:type="pct"/>
                  <w:vMerge w:val="continue"/>
                  <w:noWrap w:val="0"/>
                  <w:vAlign w:val="center"/>
                </w:tcPr>
                <w:p>
                  <w:pPr>
                    <w:spacing w:line="360" w:lineRule="auto"/>
                    <w:jc w:val="center"/>
                    <w:rPr>
                      <w:sz w:val="18"/>
                      <w:szCs w:val="18"/>
                    </w:rPr>
                  </w:pPr>
                </w:p>
              </w:tc>
              <w:tc>
                <w:tcPr>
                  <w:tcW w:w="816" w:type="pct"/>
                  <w:noWrap w:val="0"/>
                  <w:vAlign w:val="center"/>
                </w:tcPr>
                <w:p>
                  <w:pPr>
                    <w:spacing w:line="360" w:lineRule="auto"/>
                    <w:jc w:val="center"/>
                    <w:rPr>
                      <w:sz w:val="18"/>
                      <w:szCs w:val="18"/>
                    </w:rPr>
                  </w:pPr>
                  <w:r>
                    <w:rPr>
                      <w:sz w:val="18"/>
                      <w:szCs w:val="18"/>
                    </w:rPr>
                    <w:t>加氯间</w:t>
                  </w:r>
                </w:p>
              </w:tc>
              <w:tc>
                <w:tcPr>
                  <w:tcW w:w="2859" w:type="pct"/>
                  <w:noWrap w:val="0"/>
                  <w:vAlign w:val="center"/>
                </w:tcPr>
                <w:p>
                  <w:pPr>
                    <w:spacing w:line="360" w:lineRule="auto"/>
                    <w:rPr>
                      <w:sz w:val="18"/>
                      <w:szCs w:val="18"/>
                    </w:rPr>
                  </w:pPr>
                  <w:r>
                    <w:rPr>
                      <w:sz w:val="18"/>
                      <w:szCs w:val="18"/>
                    </w:rPr>
                    <w:t>1间，内设二氧化氯发生器，主要为盐酸和氯酸钠合成生成二氧化氯。氯酸钠和盐酸均存储在加氯间，并做好防渗、防腐措施。</w:t>
                  </w:r>
                </w:p>
              </w:tc>
              <w:tc>
                <w:tcPr>
                  <w:tcW w:w="897" w:type="pct"/>
                  <w:noWrap w:val="0"/>
                  <w:vAlign w:val="center"/>
                </w:tcPr>
                <w:p>
                  <w:pPr>
                    <w:spacing w:line="360" w:lineRule="auto"/>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28" w:type="pct"/>
                  <w:vMerge w:val="continue"/>
                  <w:noWrap w:val="0"/>
                  <w:vAlign w:val="center"/>
                </w:tcPr>
                <w:p>
                  <w:pPr>
                    <w:spacing w:line="360" w:lineRule="auto"/>
                    <w:jc w:val="center"/>
                    <w:rPr>
                      <w:sz w:val="18"/>
                      <w:szCs w:val="18"/>
                    </w:rPr>
                  </w:pPr>
                </w:p>
              </w:tc>
              <w:tc>
                <w:tcPr>
                  <w:tcW w:w="816" w:type="pct"/>
                  <w:noWrap w:val="0"/>
                  <w:vAlign w:val="center"/>
                </w:tcPr>
                <w:p>
                  <w:pPr>
                    <w:spacing w:line="360" w:lineRule="auto"/>
                    <w:jc w:val="center"/>
                    <w:rPr>
                      <w:sz w:val="18"/>
                      <w:szCs w:val="18"/>
                    </w:rPr>
                  </w:pPr>
                  <w:r>
                    <w:rPr>
                      <w:sz w:val="18"/>
                      <w:szCs w:val="18"/>
                    </w:rPr>
                    <w:t>污泥调节池</w:t>
                  </w:r>
                </w:p>
              </w:tc>
              <w:tc>
                <w:tcPr>
                  <w:tcW w:w="2859" w:type="pct"/>
                  <w:noWrap w:val="0"/>
                  <w:vAlign w:val="center"/>
                </w:tcPr>
                <w:p>
                  <w:pPr>
                    <w:spacing w:line="360" w:lineRule="auto"/>
                    <w:rPr>
                      <w:sz w:val="18"/>
                      <w:szCs w:val="18"/>
                    </w:rPr>
                  </w:pPr>
                  <w:r>
                    <w:rPr>
                      <w:sz w:val="18"/>
                      <w:szCs w:val="18"/>
                    </w:rPr>
                    <w:t>1 座，按</w:t>
                  </w:r>
                  <w:r>
                    <w:rPr>
                      <w:rFonts w:hint="eastAsia"/>
                      <w:sz w:val="18"/>
                      <w:szCs w:val="18"/>
                    </w:rPr>
                    <w:t>15</w:t>
                  </w:r>
                  <w:r>
                    <w:rPr>
                      <w:sz w:val="18"/>
                      <w:szCs w:val="18"/>
                    </w:rPr>
                    <w:t>万m</w:t>
                  </w:r>
                  <w:r>
                    <w:rPr>
                      <w:sz w:val="18"/>
                      <w:szCs w:val="18"/>
                      <w:vertAlign w:val="superscript"/>
                    </w:rPr>
                    <w:t>3</w:t>
                  </w:r>
                  <w:r>
                    <w:rPr>
                      <w:sz w:val="18"/>
                      <w:szCs w:val="18"/>
                    </w:rPr>
                    <w:t>/d 建设</w:t>
                  </w:r>
                </w:p>
              </w:tc>
              <w:tc>
                <w:tcPr>
                  <w:tcW w:w="897" w:type="pct"/>
                  <w:noWrap w:val="0"/>
                  <w:vAlign w:val="center"/>
                </w:tcPr>
                <w:p>
                  <w:pPr>
                    <w:spacing w:line="360" w:lineRule="auto"/>
                    <w:jc w:val="center"/>
                    <w:rPr>
                      <w:sz w:val="18"/>
                      <w:szCs w:val="18"/>
                    </w:rPr>
                  </w:pPr>
                  <w:r>
                    <w:rPr>
                      <w:sz w:val="18"/>
                      <w:szCs w:val="18"/>
                    </w:rPr>
                    <w:t>预留本期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28" w:type="pct"/>
                  <w:vMerge w:val="continue"/>
                  <w:noWrap w:val="0"/>
                  <w:vAlign w:val="center"/>
                </w:tcPr>
                <w:p>
                  <w:pPr>
                    <w:spacing w:line="360" w:lineRule="auto"/>
                    <w:jc w:val="center"/>
                    <w:rPr>
                      <w:sz w:val="18"/>
                      <w:szCs w:val="18"/>
                    </w:rPr>
                  </w:pPr>
                </w:p>
              </w:tc>
              <w:tc>
                <w:tcPr>
                  <w:tcW w:w="816" w:type="pct"/>
                  <w:noWrap w:val="0"/>
                  <w:vAlign w:val="center"/>
                </w:tcPr>
                <w:p>
                  <w:pPr>
                    <w:spacing w:line="360" w:lineRule="auto"/>
                    <w:jc w:val="center"/>
                    <w:rPr>
                      <w:sz w:val="18"/>
                      <w:szCs w:val="18"/>
                    </w:rPr>
                  </w:pPr>
                  <w:r>
                    <w:rPr>
                      <w:sz w:val="18"/>
                      <w:szCs w:val="18"/>
                    </w:rPr>
                    <w:t>污泥浓缩池</w:t>
                  </w:r>
                </w:p>
              </w:tc>
              <w:tc>
                <w:tcPr>
                  <w:tcW w:w="2859" w:type="pct"/>
                  <w:noWrap w:val="0"/>
                  <w:vAlign w:val="center"/>
                </w:tcPr>
                <w:p>
                  <w:pPr>
                    <w:spacing w:line="360" w:lineRule="auto"/>
                    <w:rPr>
                      <w:sz w:val="18"/>
                      <w:szCs w:val="18"/>
                    </w:rPr>
                  </w:pPr>
                  <w:r>
                    <w:rPr>
                      <w:sz w:val="18"/>
                      <w:szCs w:val="18"/>
                    </w:rPr>
                    <w:t>1 座，按15 万m</w:t>
                  </w:r>
                  <w:r>
                    <w:rPr>
                      <w:sz w:val="18"/>
                      <w:szCs w:val="18"/>
                      <w:vertAlign w:val="superscript"/>
                    </w:rPr>
                    <w:t>3</w:t>
                  </w:r>
                  <w:r>
                    <w:rPr>
                      <w:sz w:val="18"/>
                      <w:szCs w:val="18"/>
                    </w:rPr>
                    <w:t>/d 建设</w:t>
                  </w:r>
                </w:p>
              </w:tc>
              <w:tc>
                <w:tcPr>
                  <w:tcW w:w="897" w:type="pct"/>
                  <w:noWrap w:val="0"/>
                  <w:vAlign w:val="center"/>
                </w:tcPr>
                <w:p>
                  <w:pPr>
                    <w:spacing w:line="360" w:lineRule="auto"/>
                    <w:jc w:val="center"/>
                    <w:rPr>
                      <w:sz w:val="18"/>
                      <w:szCs w:val="18"/>
                    </w:rPr>
                  </w:pPr>
                  <w:r>
                    <w:rPr>
                      <w:sz w:val="18"/>
                      <w:szCs w:val="18"/>
                    </w:rPr>
                    <w:t>预留本期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28" w:type="pct"/>
                  <w:vMerge w:val="continue"/>
                  <w:noWrap w:val="0"/>
                  <w:vAlign w:val="center"/>
                </w:tcPr>
                <w:p>
                  <w:pPr>
                    <w:spacing w:line="360" w:lineRule="auto"/>
                    <w:jc w:val="center"/>
                    <w:rPr>
                      <w:sz w:val="18"/>
                      <w:szCs w:val="18"/>
                    </w:rPr>
                  </w:pPr>
                </w:p>
              </w:tc>
              <w:tc>
                <w:tcPr>
                  <w:tcW w:w="816" w:type="pct"/>
                  <w:noWrap w:val="0"/>
                  <w:vAlign w:val="center"/>
                </w:tcPr>
                <w:p>
                  <w:pPr>
                    <w:spacing w:line="360" w:lineRule="auto"/>
                    <w:jc w:val="center"/>
                    <w:rPr>
                      <w:sz w:val="18"/>
                      <w:szCs w:val="18"/>
                    </w:rPr>
                  </w:pPr>
                  <w:r>
                    <w:rPr>
                      <w:sz w:val="18"/>
                      <w:szCs w:val="18"/>
                    </w:rPr>
                    <w:t>贮泥池</w:t>
                  </w:r>
                </w:p>
              </w:tc>
              <w:tc>
                <w:tcPr>
                  <w:tcW w:w="2859" w:type="pct"/>
                  <w:noWrap w:val="0"/>
                  <w:vAlign w:val="center"/>
                </w:tcPr>
                <w:p>
                  <w:pPr>
                    <w:spacing w:line="360" w:lineRule="auto"/>
                    <w:rPr>
                      <w:sz w:val="18"/>
                      <w:szCs w:val="18"/>
                    </w:rPr>
                  </w:pPr>
                  <w:r>
                    <w:rPr>
                      <w:sz w:val="18"/>
                      <w:szCs w:val="18"/>
                    </w:rPr>
                    <w:t>1 座，按15 万m</w:t>
                  </w:r>
                  <w:r>
                    <w:rPr>
                      <w:sz w:val="18"/>
                      <w:szCs w:val="18"/>
                      <w:vertAlign w:val="superscript"/>
                    </w:rPr>
                    <w:t>3</w:t>
                  </w:r>
                  <w:r>
                    <w:rPr>
                      <w:sz w:val="18"/>
                      <w:szCs w:val="18"/>
                    </w:rPr>
                    <w:t>/d 建设</w:t>
                  </w:r>
                </w:p>
              </w:tc>
              <w:tc>
                <w:tcPr>
                  <w:tcW w:w="897" w:type="pct"/>
                  <w:noWrap w:val="0"/>
                  <w:vAlign w:val="center"/>
                </w:tcPr>
                <w:p>
                  <w:pPr>
                    <w:spacing w:line="360" w:lineRule="auto"/>
                    <w:jc w:val="center"/>
                    <w:rPr>
                      <w:sz w:val="18"/>
                      <w:szCs w:val="18"/>
                    </w:rPr>
                  </w:pPr>
                  <w:r>
                    <w:rPr>
                      <w:sz w:val="18"/>
                      <w:szCs w:val="18"/>
                    </w:rPr>
                    <w:t>预留本期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vMerge w:val="restart"/>
                  <w:noWrap w:val="0"/>
                  <w:vAlign w:val="center"/>
                </w:tcPr>
                <w:p>
                  <w:pPr>
                    <w:spacing w:line="360" w:lineRule="auto"/>
                    <w:jc w:val="center"/>
                    <w:rPr>
                      <w:sz w:val="18"/>
                      <w:szCs w:val="18"/>
                    </w:rPr>
                  </w:pPr>
                  <w:r>
                    <w:rPr>
                      <w:sz w:val="18"/>
                      <w:szCs w:val="18"/>
                    </w:rPr>
                    <w:t>环保工程</w:t>
                  </w:r>
                </w:p>
              </w:tc>
              <w:tc>
                <w:tcPr>
                  <w:tcW w:w="816" w:type="pct"/>
                  <w:noWrap w:val="0"/>
                  <w:vAlign w:val="center"/>
                </w:tcPr>
                <w:p>
                  <w:pPr>
                    <w:spacing w:line="360" w:lineRule="auto"/>
                    <w:jc w:val="center"/>
                    <w:rPr>
                      <w:sz w:val="18"/>
                      <w:szCs w:val="18"/>
                    </w:rPr>
                  </w:pPr>
                  <w:r>
                    <w:rPr>
                      <w:sz w:val="18"/>
                      <w:szCs w:val="18"/>
                    </w:rPr>
                    <w:t>污泥脱水间</w:t>
                  </w:r>
                </w:p>
              </w:tc>
              <w:tc>
                <w:tcPr>
                  <w:tcW w:w="2859" w:type="pct"/>
                  <w:noWrap w:val="0"/>
                  <w:vAlign w:val="center"/>
                </w:tcPr>
                <w:p>
                  <w:pPr>
                    <w:spacing w:line="360" w:lineRule="auto"/>
                    <w:rPr>
                      <w:sz w:val="18"/>
                      <w:szCs w:val="18"/>
                    </w:rPr>
                  </w:pPr>
                  <w:r>
                    <w:rPr>
                      <w:sz w:val="18"/>
                      <w:szCs w:val="18"/>
                    </w:rPr>
                    <w:t>1座，按15 万m</w:t>
                  </w:r>
                  <w:r>
                    <w:rPr>
                      <w:sz w:val="18"/>
                      <w:szCs w:val="18"/>
                      <w:vertAlign w:val="superscript"/>
                    </w:rPr>
                    <w:t>3</w:t>
                  </w:r>
                  <w:r>
                    <w:rPr>
                      <w:sz w:val="18"/>
                      <w:szCs w:val="18"/>
                    </w:rPr>
                    <w:t>/d 建设，内设板框压滤机</w:t>
                  </w:r>
                </w:p>
              </w:tc>
              <w:tc>
                <w:tcPr>
                  <w:tcW w:w="897" w:type="pct"/>
                  <w:noWrap w:val="0"/>
                  <w:vAlign w:val="center"/>
                </w:tcPr>
                <w:p>
                  <w:pPr>
                    <w:spacing w:line="360" w:lineRule="auto"/>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28" w:type="pct"/>
                  <w:vMerge w:val="continue"/>
                  <w:noWrap w:val="0"/>
                  <w:vAlign w:val="center"/>
                </w:tcPr>
                <w:p>
                  <w:pPr>
                    <w:spacing w:line="360" w:lineRule="auto"/>
                    <w:jc w:val="center"/>
                    <w:rPr>
                      <w:sz w:val="18"/>
                      <w:szCs w:val="18"/>
                    </w:rPr>
                  </w:pPr>
                </w:p>
              </w:tc>
              <w:tc>
                <w:tcPr>
                  <w:tcW w:w="816" w:type="pct"/>
                  <w:noWrap w:val="0"/>
                  <w:vAlign w:val="center"/>
                </w:tcPr>
                <w:p>
                  <w:pPr>
                    <w:spacing w:line="360" w:lineRule="auto"/>
                    <w:jc w:val="center"/>
                    <w:rPr>
                      <w:sz w:val="18"/>
                      <w:szCs w:val="18"/>
                    </w:rPr>
                  </w:pPr>
                  <w:r>
                    <w:rPr>
                      <w:sz w:val="18"/>
                      <w:szCs w:val="18"/>
                    </w:rPr>
                    <w:t>排泥废水</w:t>
                  </w:r>
                </w:p>
                <w:p>
                  <w:pPr>
                    <w:spacing w:line="360" w:lineRule="auto"/>
                    <w:jc w:val="center"/>
                    <w:rPr>
                      <w:sz w:val="18"/>
                      <w:szCs w:val="18"/>
                    </w:rPr>
                  </w:pPr>
                  <w:r>
                    <w:rPr>
                      <w:sz w:val="18"/>
                      <w:szCs w:val="18"/>
                    </w:rPr>
                    <w:t>沉淀池</w:t>
                  </w:r>
                </w:p>
              </w:tc>
              <w:tc>
                <w:tcPr>
                  <w:tcW w:w="2859" w:type="pct"/>
                  <w:noWrap w:val="0"/>
                  <w:vAlign w:val="center"/>
                </w:tcPr>
                <w:p>
                  <w:pPr>
                    <w:spacing w:line="360" w:lineRule="auto"/>
                    <w:rPr>
                      <w:sz w:val="18"/>
                      <w:szCs w:val="18"/>
                    </w:rPr>
                  </w:pPr>
                  <w:r>
                    <w:rPr>
                      <w:sz w:val="18"/>
                      <w:szCs w:val="18"/>
                    </w:rPr>
                    <w:t>1 座，按25m</w:t>
                  </w:r>
                  <w:r>
                    <w:rPr>
                      <w:sz w:val="18"/>
                      <w:szCs w:val="18"/>
                      <w:vertAlign w:val="superscript"/>
                    </w:rPr>
                    <w:t>3</w:t>
                  </w:r>
                  <w:r>
                    <w:rPr>
                      <w:sz w:val="18"/>
                      <w:szCs w:val="18"/>
                    </w:rPr>
                    <w:t xml:space="preserve"> 建设，沉淀污泥脱水后的滤液进入达州市污水处理厂进行处理。</w:t>
                  </w:r>
                </w:p>
              </w:tc>
              <w:tc>
                <w:tcPr>
                  <w:tcW w:w="897" w:type="pct"/>
                  <w:noWrap w:val="0"/>
                  <w:vAlign w:val="center"/>
                </w:tcPr>
                <w:p>
                  <w:pPr>
                    <w:spacing w:line="360" w:lineRule="auto"/>
                    <w:jc w:val="center"/>
                    <w:rPr>
                      <w:sz w:val="18"/>
                      <w:szCs w:val="18"/>
                    </w:rPr>
                  </w:pPr>
                  <w:r>
                    <w:rPr>
                      <w:sz w:val="18"/>
                      <w:szCs w:val="18"/>
                    </w:rPr>
                    <w:t>/</w:t>
                  </w:r>
                </w:p>
              </w:tc>
            </w:tr>
          </w:tbl>
          <w:p>
            <w:pPr>
              <w:widowControl/>
              <w:spacing w:line="500" w:lineRule="exact"/>
              <w:ind w:firstLine="422" w:firstLineChars="200"/>
              <w:rPr>
                <w:b/>
                <w:bCs/>
                <w:kern w:val="0"/>
                <w:szCs w:val="21"/>
              </w:rPr>
            </w:pPr>
            <w:r>
              <w:rPr>
                <w:b/>
                <w:bCs/>
                <w:kern w:val="0"/>
                <w:szCs w:val="21"/>
              </w:rPr>
              <w:t>二、原有项目污染物排放情况</w:t>
            </w:r>
          </w:p>
          <w:p>
            <w:pPr>
              <w:spacing w:line="500" w:lineRule="exact"/>
              <w:ind w:firstLine="420" w:firstLineChars="200"/>
              <w:rPr>
                <w:bCs/>
                <w:szCs w:val="21"/>
              </w:rPr>
            </w:pPr>
            <w:r>
              <w:rPr>
                <w:bCs/>
                <w:szCs w:val="21"/>
              </w:rPr>
              <w:t>1、废气</w:t>
            </w:r>
          </w:p>
          <w:p>
            <w:pPr>
              <w:spacing w:line="500" w:lineRule="exact"/>
              <w:ind w:firstLine="420" w:firstLineChars="200"/>
              <w:rPr>
                <w:szCs w:val="21"/>
              </w:rPr>
            </w:pPr>
            <w:r>
              <w:rPr>
                <w:szCs w:val="21"/>
              </w:rPr>
              <w:t>本项目原有工程</w:t>
            </w:r>
            <w:r>
              <w:rPr>
                <w:rFonts w:hint="eastAsia"/>
                <w:szCs w:val="21"/>
              </w:rPr>
              <w:t>不设食堂，也无柴油发电机等，项目原有工程</w:t>
            </w:r>
            <w:r>
              <w:rPr>
                <w:szCs w:val="21"/>
              </w:rPr>
              <w:t>无废气污染物排放。</w:t>
            </w:r>
          </w:p>
          <w:p>
            <w:pPr>
              <w:widowControl/>
              <w:spacing w:line="500" w:lineRule="exact"/>
              <w:ind w:firstLine="420" w:firstLineChars="200"/>
              <w:rPr>
                <w:bCs/>
                <w:kern w:val="0"/>
                <w:szCs w:val="21"/>
              </w:rPr>
            </w:pPr>
            <w:r>
              <w:rPr>
                <w:bCs/>
                <w:kern w:val="0"/>
                <w:szCs w:val="21"/>
              </w:rPr>
              <w:t>2、废水</w:t>
            </w:r>
          </w:p>
          <w:p>
            <w:pPr>
              <w:widowControl/>
              <w:spacing w:line="500" w:lineRule="exact"/>
              <w:ind w:firstLine="420" w:firstLineChars="200"/>
              <w:rPr>
                <w:rFonts w:hint="eastAsia"/>
                <w:kern w:val="0"/>
                <w:szCs w:val="21"/>
              </w:rPr>
            </w:pPr>
            <w:r>
              <w:rPr>
                <w:kern w:val="0"/>
                <w:szCs w:val="21"/>
              </w:rPr>
              <w:t>生活污水：生活污水进入预处理池处理后，进入达州市污水处理厂处理。</w:t>
            </w:r>
            <w:r>
              <w:rPr>
                <w:rFonts w:hint="eastAsia"/>
                <w:kern w:val="0"/>
                <w:szCs w:val="21"/>
              </w:rPr>
              <w:t>经调查核实，本项目原有工程生活污水产生量为2920</w:t>
            </w:r>
            <w:r>
              <w:rPr>
                <w:rFonts w:hint="eastAsia"/>
                <w:bCs/>
                <w:kern w:val="24"/>
                <w:szCs w:val="21"/>
              </w:rPr>
              <w:t>m</w:t>
            </w:r>
            <w:r>
              <w:rPr>
                <w:rFonts w:hint="eastAsia"/>
                <w:bCs/>
                <w:kern w:val="24"/>
                <w:szCs w:val="21"/>
                <w:vertAlign w:val="superscript"/>
              </w:rPr>
              <w:t>3</w:t>
            </w:r>
            <w:r>
              <w:rPr>
                <w:rFonts w:hint="eastAsia"/>
                <w:bCs/>
                <w:kern w:val="24"/>
                <w:szCs w:val="21"/>
              </w:rPr>
              <w:t>/a。</w:t>
            </w:r>
          </w:p>
          <w:p>
            <w:pPr>
              <w:widowControl/>
              <w:spacing w:line="500" w:lineRule="exact"/>
              <w:ind w:firstLine="420" w:firstLineChars="200"/>
              <w:rPr>
                <w:kern w:val="0"/>
                <w:szCs w:val="21"/>
              </w:rPr>
            </w:pPr>
            <w:r>
              <w:rPr>
                <w:kern w:val="0"/>
                <w:szCs w:val="21"/>
              </w:rPr>
              <w:t>反冲洗废水、重力浓缩池上清液：经回收水池收集后回流至配水井重复利用。</w:t>
            </w:r>
          </w:p>
          <w:p>
            <w:pPr>
              <w:widowControl/>
              <w:spacing w:line="500" w:lineRule="exact"/>
              <w:ind w:firstLine="420" w:firstLineChars="200"/>
              <w:rPr>
                <w:kern w:val="0"/>
                <w:szCs w:val="21"/>
              </w:rPr>
            </w:pPr>
            <w:r>
              <w:rPr>
                <w:kern w:val="0"/>
                <w:szCs w:val="21"/>
              </w:rPr>
              <w:t>压滤液：压滤液沉淀污泥脱水后的滤液进入达州市污水处理厂进行处理。</w:t>
            </w:r>
          </w:p>
          <w:p>
            <w:pPr>
              <w:spacing w:line="500" w:lineRule="exact"/>
              <w:ind w:firstLine="420" w:firstLineChars="200"/>
              <w:rPr>
                <w:bCs/>
                <w:szCs w:val="21"/>
              </w:rPr>
            </w:pPr>
            <w:r>
              <w:rPr>
                <w:bCs/>
                <w:szCs w:val="21"/>
              </w:rPr>
              <w:t>3、噪声</w:t>
            </w:r>
          </w:p>
          <w:p>
            <w:pPr>
              <w:spacing w:line="500" w:lineRule="exact"/>
              <w:ind w:firstLine="420" w:firstLineChars="200"/>
              <w:rPr>
                <w:szCs w:val="21"/>
              </w:rPr>
            </w:pPr>
            <w:r>
              <w:rPr>
                <w:szCs w:val="21"/>
              </w:rPr>
              <w:t>现有工程主要设备采取了隔声、减震措施，起到了降噪作用，根据本次环评检测，项目各厂界的噪声排放均满足《工业企业厂界环境噪声排放标准》（GB12348-2008）中2类标准要求。</w:t>
            </w:r>
          </w:p>
          <w:p>
            <w:pPr>
              <w:spacing w:line="500" w:lineRule="exact"/>
              <w:ind w:firstLine="420" w:firstLineChars="200"/>
              <w:rPr>
                <w:szCs w:val="21"/>
              </w:rPr>
            </w:pPr>
            <w:r>
              <w:rPr>
                <w:szCs w:val="21"/>
              </w:rPr>
              <w:t>4、固体废物</w:t>
            </w:r>
          </w:p>
          <w:p>
            <w:pPr>
              <w:spacing w:line="500" w:lineRule="exact"/>
              <w:ind w:firstLine="420" w:firstLineChars="200"/>
              <w:rPr>
                <w:szCs w:val="21"/>
              </w:rPr>
            </w:pPr>
            <w:r>
              <w:rPr>
                <w:szCs w:val="21"/>
              </w:rPr>
              <w:t>生活垃圾：</w:t>
            </w:r>
            <w:r>
              <w:rPr>
                <w:rFonts w:hint="eastAsia"/>
                <w:szCs w:val="21"/>
              </w:rPr>
              <w:t>约3.65t/a，</w:t>
            </w:r>
            <w:r>
              <w:rPr>
                <w:szCs w:val="21"/>
              </w:rPr>
              <w:t>集中收集后由环卫部门统一清运处置。</w:t>
            </w:r>
          </w:p>
          <w:p>
            <w:pPr>
              <w:spacing w:line="500" w:lineRule="exact"/>
              <w:ind w:firstLine="420" w:firstLineChars="200"/>
              <w:rPr>
                <w:rFonts w:hint="eastAsia"/>
                <w:szCs w:val="21"/>
              </w:rPr>
            </w:pPr>
            <w:r>
              <w:rPr>
                <w:szCs w:val="21"/>
              </w:rPr>
              <w:t>脱水泥饼：</w:t>
            </w:r>
            <w:r>
              <w:rPr>
                <w:rFonts w:hint="eastAsia"/>
                <w:szCs w:val="21"/>
              </w:rPr>
              <w:t>约3650t/a，</w:t>
            </w:r>
            <w:r>
              <w:rPr>
                <w:szCs w:val="21"/>
              </w:rPr>
              <w:t>泥饼暂存于泥饼暂存</w:t>
            </w:r>
            <w:r>
              <w:rPr>
                <w:rFonts w:hint="eastAsia"/>
                <w:szCs w:val="21"/>
              </w:rPr>
              <w:t>间</w:t>
            </w:r>
            <w:r>
              <w:rPr>
                <w:szCs w:val="21"/>
              </w:rPr>
              <w:t>，</w:t>
            </w:r>
            <w:r>
              <w:rPr>
                <w:rFonts w:hint="eastAsia"/>
                <w:szCs w:val="21"/>
              </w:rPr>
              <w:t>外运至城市建筑垃圾厂处理。</w:t>
            </w:r>
          </w:p>
          <w:p>
            <w:pPr>
              <w:spacing w:line="500" w:lineRule="exact"/>
              <w:ind w:firstLine="420" w:firstLineChars="200"/>
              <w:rPr>
                <w:rFonts w:hint="eastAsia"/>
              </w:rPr>
            </w:pPr>
            <w:r>
              <w:rPr>
                <w:rFonts w:hint="eastAsia"/>
              </w:rPr>
              <w:t>项目检修由水务集团统一负责，产生的检修废弃物由集团统一收集处置，现场无危险废物暂存。</w:t>
            </w:r>
          </w:p>
          <w:p>
            <w:pPr>
              <w:spacing w:line="500" w:lineRule="exact"/>
              <w:ind w:firstLine="422" w:firstLineChars="200"/>
              <w:rPr>
                <w:b/>
                <w:bCs/>
                <w:szCs w:val="21"/>
              </w:rPr>
            </w:pPr>
            <w:r>
              <w:rPr>
                <w:b/>
                <w:bCs/>
                <w:szCs w:val="21"/>
              </w:rPr>
              <w:t>三、原有项目存在的主要问题及“以新带老”措施</w:t>
            </w:r>
          </w:p>
          <w:p>
            <w:pPr>
              <w:spacing w:line="500" w:lineRule="exact"/>
              <w:ind w:firstLine="420" w:firstLineChars="200"/>
              <w:rPr>
                <w:szCs w:val="21"/>
              </w:rPr>
            </w:pPr>
            <w:r>
              <w:rPr>
                <w:szCs w:val="21"/>
              </w:rPr>
              <w:t>根据现场踏勘及查阅资料分析，原有项目各项环保手续齐备，污染物达标排放，环境风险可控，采取的措施切实可行、可靠，不存在环境问题。</w:t>
            </w:r>
          </w:p>
          <w:p>
            <w:pPr>
              <w:spacing w:line="336" w:lineRule="auto"/>
              <w:ind w:firstLine="480"/>
              <w:rPr>
                <w:bCs/>
                <w:color w:val="FF0000"/>
                <w:szCs w:val="21"/>
              </w:rPr>
            </w:pPr>
          </w:p>
          <w:p>
            <w:pPr>
              <w:spacing w:line="276" w:lineRule="auto"/>
              <w:ind w:firstLine="420" w:firstLineChars="200"/>
              <w:rPr>
                <w:rFonts w:hint="eastAsia" w:cs="Times New Roman"/>
                <w:color w:val="FF00FF"/>
                <w:szCs w:val="21"/>
              </w:rPr>
            </w:pPr>
          </w:p>
          <w:p>
            <w:pPr>
              <w:spacing w:line="276" w:lineRule="auto"/>
              <w:ind w:firstLine="420" w:firstLineChars="200"/>
              <w:rPr>
                <w:rFonts w:hint="eastAsia" w:cs="Times New Roman"/>
                <w:color w:val="FF00FF"/>
                <w:szCs w:val="21"/>
              </w:rPr>
            </w:pPr>
          </w:p>
          <w:p>
            <w:pPr>
              <w:spacing w:line="276" w:lineRule="auto"/>
              <w:ind w:firstLine="420" w:firstLineChars="200"/>
              <w:rPr>
                <w:rFonts w:hint="eastAsia" w:cs="Times New Roman"/>
                <w:color w:val="FF00FF"/>
                <w:szCs w:val="21"/>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spacing w:line="276" w:lineRule="auto"/>
              <w:ind w:firstLine="420" w:firstLineChars="200"/>
              <w:rPr>
                <w:rFonts w:hint="eastAsia" w:cs="Times New Roman"/>
                <w:color w:val="FF00FF"/>
                <w:szCs w:val="21"/>
              </w:rPr>
            </w:pPr>
          </w:p>
          <w:p>
            <w:pPr>
              <w:pStyle w:val="2"/>
              <w:rPr>
                <w:rFonts w:hint="eastAsia"/>
              </w:rPr>
            </w:pPr>
          </w:p>
          <w:p>
            <w:pPr>
              <w:spacing w:line="276" w:lineRule="auto"/>
              <w:ind w:firstLine="420" w:firstLineChars="200"/>
              <w:rPr>
                <w:rFonts w:cs="Times New Roman"/>
                <w:color w:val="FF00FF"/>
                <w:szCs w:val="21"/>
              </w:rPr>
            </w:pPr>
          </w:p>
        </w:tc>
      </w:tr>
    </w:tbl>
    <w:p>
      <w:pPr>
        <w:pStyle w:val="60"/>
        <w:jc w:val="center"/>
        <w:rPr>
          <w:rFonts w:ascii="黑体" w:hAnsi="黑体" w:eastAsia="黑体"/>
          <w:b w:val="0"/>
          <w:color w:val="FF00FF"/>
          <w:sz w:val="30"/>
          <w:szCs w:val="30"/>
        </w:rPr>
        <w:sectPr>
          <w:pgSz w:w="11906" w:h="16838"/>
          <w:pgMar w:top="1134" w:right="1134" w:bottom="1134" w:left="1418" w:header="851" w:footer="992" w:gutter="0"/>
          <w:cols w:space="720" w:num="1"/>
          <w:docGrid w:type="lines" w:linePitch="312" w:charSpace="0"/>
        </w:sectPr>
      </w:pPr>
    </w:p>
    <w:p>
      <w:pPr>
        <w:pStyle w:val="60"/>
        <w:jc w:val="center"/>
        <w:rPr>
          <w:rFonts w:ascii="黑体" w:hAnsi="黑体" w:eastAsia="黑体"/>
          <w:b w:val="0"/>
          <w:sz w:val="30"/>
          <w:szCs w:val="30"/>
        </w:rPr>
      </w:pPr>
      <w:r>
        <w:rPr>
          <w:rFonts w:hint="eastAsia" w:ascii="黑体" w:hAnsi="黑体" w:eastAsia="黑体"/>
          <w:b w:val="0"/>
          <w:sz w:val="30"/>
          <w:szCs w:val="30"/>
        </w:rPr>
        <w:t>三、区域环境质量现状、环境保护目标及评价标准</w:t>
      </w:r>
    </w:p>
    <w:tbl>
      <w:tblPr>
        <w:tblStyle w:val="26"/>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noWrap w:val="0"/>
            <w:vAlign w:val="center"/>
          </w:tcPr>
          <w:p>
            <w:pPr>
              <w:spacing w:line="276" w:lineRule="auto"/>
              <w:jc w:val="center"/>
              <w:rPr>
                <w:rFonts w:cs="Times New Roman"/>
                <w:szCs w:val="21"/>
              </w:rPr>
            </w:pPr>
            <w:r>
              <w:rPr>
                <w:rFonts w:hint="eastAsia" w:cs="Times New Roman"/>
                <w:szCs w:val="21"/>
              </w:rPr>
              <w:t>区域</w:t>
            </w:r>
          </w:p>
          <w:p>
            <w:pPr>
              <w:spacing w:line="276" w:lineRule="auto"/>
              <w:jc w:val="center"/>
              <w:rPr>
                <w:rFonts w:cs="Times New Roman"/>
                <w:szCs w:val="21"/>
              </w:rPr>
            </w:pPr>
            <w:r>
              <w:rPr>
                <w:rFonts w:hint="eastAsia" w:cs="Times New Roman"/>
                <w:szCs w:val="21"/>
              </w:rPr>
              <w:t>环境</w:t>
            </w:r>
          </w:p>
          <w:p>
            <w:pPr>
              <w:spacing w:line="276" w:lineRule="auto"/>
              <w:jc w:val="center"/>
              <w:rPr>
                <w:rFonts w:cs="Times New Roman"/>
                <w:szCs w:val="21"/>
              </w:rPr>
            </w:pPr>
            <w:r>
              <w:rPr>
                <w:rFonts w:hint="eastAsia" w:cs="Times New Roman"/>
                <w:szCs w:val="21"/>
              </w:rPr>
              <w:t>质量</w:t>
            </w:r>
          </w:p>
          <w:p>
            <w:pPr>
              <w:spacing w:line="276" w:lineRule="auto"/>
              <w:jc w:val="center"/>
              <w:rPr>
                <w:rFonts w:cs="Times New Roman"/>
                <w:szCs w:val="21"/>
              </w:rPr>
            </w:pPr>
            <w:r>
              <w:rPr>
                <w:rFonts w:hint="eastAsia" w:cs="Times New Roman"/>
                <w:szCs w:val="21"/>
              </w:rPr>
              <w:t>现状</w:t>
            </w:r>
          </w:p>
        </w:tc>
        <w:tc>
          <w:tcPr>
            <w:tcW w:w="8645" w:type="dxa"/>
            <w:noWrap w:val="0"/>
            <w:vAlign w:val="center"/>
          </w:tcPr>
          <w:p>
            <w:pPr>
              <w:spacing w:line="400" w:lineRule="exact"/>
              <w:ind w:left="142" w:firstLine="316" w:firstLineChars="150"/>
              <w:rPr>
                <w:b/>
                <w:szCs w:val="21"/>
              </w:rPr>
            </w:pPr>
            <w:r>
              <w:rPr>
                <w:rFonts w:hint="eastAsia"/>
                <w:b/>
                <w:szCs w:val="21"/>
              </w:rPr>
              <w:t>1、</w:t>
            </w:r>
            <w:r>
              <w:rPr>
                <w:b/>
                <w:szCs w:val="21"/>
              </w:rPr>
              <w:t>大气环境质量现状评价</w:t>
            </w:r>
          </w:p>
          <w:p>
            <w:pPr>
              <w:widowControl/>
              <w:overflowPunct w:val="0"/>
              <w:topLinePunct/>
              <w:adjustRightInd w:val="0"/>
              <w:spacing w:line="400" w:lineRule="exact"/>
              <w:ind w:firstLine="420" w:firstLineChars="200"/>
              <w:rPr>
                <w:szCs w:val="21"/>
              </w:rPr>
            </w:pPr>
            <w:r>
              <w:rPr>
                <w:szCs w:val="21"/>
              </w:rPr>
              <w:t>根据《环境影响评价技术导则—大气环境》（HJ 2.2-2018），环境空气质量现状调查与评价中规定，项目所在区域达标判定，优先选用国家或地方生态环境主管部门公开发布的评价基准年环境质量公告或环境质量报告中的数据或结论。</w:t>
            </w:r>
          </w:p>
          <w:p>
            <w:pPr>
              <w:widowControl/>
              <w:adjustRightInd w:val="0"/>
              <w:snapToGrid w:val="0"/>
              <w:spacing w:line="400" w:lineRule="exact"/>
              <w:ind w:firstLine="420" w:firstLineChars="200"/>
              <w:rPr>
                <w:rFonts w:hint="eastAsia"/>
                <w:kern w:val="0"/>
                <w:szCs w:val="21"/>
                <w:lang w:bidi="ar"/>
              </w:rPr>
            </w:pPr>
            <w:r>
              <w:rPr>
                <w:rFonts w:hint="eastAsia"/>
                <w:kern w:val="0"/>
                <w:szCs w:val="21"/>
                <w:lang w:bidi="ar"/>
              </w:rPr>
              <w:t>项目评价基准年为2022年，根据达州市生态环境局2023年1月19日发布的《2022年达州市下半年环境空气质量》（http://sthjj.dazhou.gov.cn/news-show-15462.html）及2022年7月26日发布的《2022年达州市上半年环境空气质量》（http://sthjj.dazhou.gov.cn/news-show-15226.html），项目所在地高新区6项因子均满足《环境空气质量标准》（GB3095-2012）二级标准，项目所在地环境空气为达标区。项目所在地2022年环境空气质量数据见下表。</w:t>
            </w:r>
          </w:p>
          <w:p>
            <w:pPr>
              <w:spacing w:line="400" w:lineRule="exact"/>
              <w:jc w:val="center"/>
              <w:rPr>
                <w:rFonts w:eastAsia="黑体"/>
                <w:sz w:val="18"/>
                <w:szCs w:val="18"/>
              </w:rPr>
            </w:pPr>
            <w:r>
              <w:rPr>
                <w:rFonts w:eastAsia="黑体"/>
                <w:sz w:val="18"/>
                <w:szCs w:val="18"/>
              </w:rPr>
              <w:t>表3-1：</w:t>
            </w:r>
            <w:r>
              <w:rPr>
                <w:rFonts w:hint="eastAsia" w:eastAsia="黑体"/>
                <w:sz w:val="18"/>
                <w:szCs w:val="18"/>
              </w:rPr>
              <w:t>达州市主城区2022年各项污染物环境质量数据（年均浓度）一览表</w:t>
            </w:r>
          </w:p>
          <w:tbl>
            <w:tblPr>
              <w:tblStyle w:val="1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6"/>
              <w:gridCol w:w="960"/>
              <w:gridCol w:w="960"/>
              <w:gridCol w:w="1012"/>
              <w:gridCol w:w="960"/>
              <w:gridCol w:w="1448"/>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9" w:type="pct"/>
                  <w:noWrap w:val="0"/>
                  <w:vAlign w:val="center"/>
                </w:tcPr>
                <w:p>
                  <w:pPr>
                    <w:pStyle w:val="52"/>
                    <w:ind w:firstLine="0" w:firstLineChars="0"/>
                    <w:rPr>
                      <w:rFonts w:eastAsia="宋体"/>
                      <w:sz w:val="18"/>
                      <w:szCs w:val="18"/>
                    </w:rPr>
                  </w:pPr>
                  <w:r>
                    <w:rPr>
                      <w:rFonts w:hAnsi="宋体" w:eastAsia="宋体"/>
                      <w:sz w:val="18"/>
                      <w:szCs w:val="18"/>
                    </w:rPr>
                    <w:t>年度</w:t>
                  </w:r>
                </w:p>
              </w:tc>
              <w:tc>
                <w:tcPr>
                  <w:tcW w:w="570" w:type="pct"/>
                  <w:noWrap w:val="0"/>
                  <w:vAlign w:val="center"/>
                </w:tcPr>
                <w:p>
                  <w:pPr>
                    <w:pStyle w:val="52"/>
                    <w:ind w:firstLine="0" w:firstLineChars="0"/>
                    <w:rPr>
                      <w:rFonts w:hint="eastAsia" w:eastAsia="宋体"/>
                      <w:sz w:val="18"/>
                      <w:szCs w:val="18"/>
                      <w:vertAlign w:val="subscript"/>
                    </w:rPr>
                  </w:pPr>
                  <w:r>
                    <w:rPr>
                      <w:rFonts w:eastAsia="宋体"/>
                      <w:sz w:val="18"/>
                      <w:szCs w:val="18"/>
                    </w:rPr>
                    <w:t>SO</w:t>
                  </w:r>
                  <w:r>
                    <w:rPr>
                      <w:rFonts w:eastAsia="宋体"/>
                      <w:sz w:val="18"/>
                      <w:szCs w:val="18"/>
                      <w:vertAlign w:val="subscript"/>
                    </w:rPr>
                    <w:t>2</w:t>
                  </w:r>
                </w:p>
                <w:p>
                  <w:pPr>
                    <w:pStyle w:val="52"/>
                    <w:ind w:firstLine="0" w:firstLineChars="0"/>
                    <w:rPr>
                      <w:rFonts w:eastAsia="宋体"/>
                      <w:sz w:val="18"/>
                      <w:szCs w:val="18"/>
                    </w:rPr>
                  </w:pPr>
                  <w:r>
                    <w:rPr>
                      <w:rFonts w:hAnsi="宋体" w:eastAsia="宋体"/>
                      <w:sz w:val="18"/>
                      <w:szCs w:val="18"/>
                    </w:rPr>
                    <w:t>（</w:t>
                  </w:r>
                  <w:r>
                    <w:rPr>
                      <w:rFonts w:eastAsia="宋体"/>
                      <w:sz w:val="18"/>
                      <w:szCs w:val="18"/>
                    </w:rPr>
                    <w:t>μg/m</w:t>
                  </w:r>
                  <w:r>
                    <w:rPr>
                      <w:rFonts w:eastAsia="宋体"/>
                      <w:sz w:val="18"/>
                      <w:szCs w:val="18"/>
                      <w:vertAlign w:val="superscript"/>
                    </w:rPr>
                    <w:t>3</w:t>
                  </w:r>
                  <w:r>
                    <w:rPr>
                      <w:rFonts w:hAnsi="宋体" w:eastAsia="宋体"/>
                      <w:sz w:val="18"/>
                      <w:szCs w:val="18"/>
                    </w:rPr>
                    <w:t>）</w:t>
                  </w:r>
                </w:p>
              </w:tc>
              <w:tc>
                <w:tcPr>
                  <w:tcW w:w="570" w:type="pct"/>
                  <w:noWrap w:val="0"/>
                  <w:vAlign w:val="center"/>
                </w:tcPr>
                <w:p>
                  <w:pPr>
                    <w:pStyle w:val="52"/>
                    <w:ind w:firstLine="0" w:firstLineChars="0"/>
                    <w:rPr>
                      <w:rFonts w:hint="eastAsia" w:eastAsia="宋体"/>
                      <w:sz w:val="18"/>
                      <w:szCs w:val="18"/>
                      <w:vertAlign w:val="subscript"/>
                    </w:rPr>
                  </w:pPr>
                  <w:r>
                    <w:rPr>
                      <w:rFonts w:eastAsia="宋体"/>
                      <w:sz w:val="18"/>
                      <w:szCs w:val="18"/>
                    </w:rPr>
                    <w:t>NO</w:t>
                  </w:r>
                  <w:r>
                    <w:rPr>
                      <w:rFonts w:eastAsia="宋体"/>
                      <w:sz w:val="18"/>
                      <w:szCs w:val="18"/>
                      <w:vertAlign w:val="subscript"/>
                    </w:rPr>
                    <w:t>2</w:t>
                  </w:r>
                </w:p>
                <w:p>
                  <w:pPr>
                    <w:pStyle w:val="52"/>
                    <w:ind w:firstLine="0" w:firstLineChars="0"/>
                    <w:rPr>
                      <w:rFonts w:eastAsia="宋体"/>
                      <w:sz w:val="18"/>
                      <w:szCs w:val="18"/>
                    </w:rPr>
                  </w:pPr>
                  <w:r>
                    <w:rPr>
                      <w:rFonts w:hAnsi="宋体" w:eastAsia="宋体"/>
                      <w:sz w:val="18"/>
                      <w:szCs w:val="18"/>
                    </w:rPr>
                    <w:t>（</w:t>
                  </w:r>
                  <w:r>
                    <w:rPr>
                      <w:rFonts w:eastAsia="宋体"/>
                      <w:sz w:val="18"/>
                      <w:szCs w:val="18"/>
                    </w:rPr>
                    <w:t>μg/m</w:t>
                  </w:r>
                  <w:r>
                    <w:rPr>
                      <w:rFonts w:eastAsia="宋体"/>
                      <w:sz w:val="18"/>
                      <w:szCs w:val="18"/>
                      <w:vertAlign w:val="superscript"/>
                    </w:rPr>
                    <w:t>3</w:t>
                  </w:r>
                  <w:r>
                    <w:rPr>
                      <w:rFonts w:hAnsi="宋体" w:eastAsia="宋体"/>
                      <w:sz w:val="18"/>
                      <w:szCs w:val="18"/>
                    </w:rPr>
                    <w:t>）</w:t>
                  </w:r>
                </w:p>
              </w:tc>
              <w:tc>
                <w:tcPr>
                  <w:tcW w:w="601" w:type="pct"/>
                  <w:noWrap w:val="0"/>
                  <w:vAlign w:val="center"/>
                </w:tcPr>
                <w:p>
                  <w:pPr>
                    <w:pStyle w:val="52"/>
                    <w:ind w:firstLine="0" w:firstLineChars="0"/>
                    <w:rPr>
                      <w:rFonts w:hint="eastAsia" w:eastAsia="宋体"/>
                      <w:sz w:val="18"/>
                      <w:szCs w:val="18"/>
                    </w:rPr>
                  </w:pPr>
                  <w:r>
                    <w:rPr>
                      <w:rFonts w:eastAsia="宋体"/>
                      <w:sz w:val="18"/>
                      <w:szCs w:val="18"/>
                    </w:rPr>
                    <w:t>CO</w:t>
                  </w:r>
                </w:p>
                <w:p>
                  <w:pPr>
                    <w:pStyle w:val="52"/>
                    <w:ind w:firstLine="0" w:firstLineChars="0"/>
                    <w:rPr>
                      <w:rFonts w:eastAsia="宋体"/>
                      <w:sz w:val="18"/>
                      <w:szCs w:val="18"/>
                    </w:rPr>
                  </w:pPr>
                  <w:r>
                    <w:rPr>
                      <w:rFonts w:hAnsi="宋体" w:eastAsia="宋体"/>
                      <w:sz w:val="18"/>
                      <w:szCs w:val="18"/>
                    </w:rPr>
                    <w:t>（</w:t>
                  </w:r>
                  <w:r>
                    <w:rPr>
                      <w:rFonts w:eastAsia="宋体"/>
                      <w:sz w:val="18"/>
                      <w:szCs w:val="18"/>
                    </w:rPr>
                    <w:t>mg/m</w:t>
                  </w:r>
                  <w:r>
                    <w:rPr>
                      <w:rFonts w:eastAsia="宋体"/>
                      <w:sz w:val="18"/>
                      <w:szCs w:val="18"/>
                      <w:vertAlign w:val="superscript"/>
                    </w:rPr>
                    <w:t>3</w:t>
                  </w:r>
                  <w:r>
                    <w:rPr>
                      <w:rFonts w:hAnsi="宋体" w:eastAsia="宋体"/>
                      <w:sz w:val="18"/>
                      <w:szCs w:val="18"/>
                    </w:rPr>
                    <w:t>）</w:t>
                  </w:r>
                </w:p>
              </w:tc>
              <w:tc>
                <w:tcPr>
                  <w:tcW w:w="570" w:type="pct"/>
                  <w:noWrap w:val="0"/>
                  <w:vAlign w:val="center"/>
                </w:tcPr>
                <w:p>
                  <w:pPr>
                    <w:pStyle w:val="52"/>
                    <w:ind w:firstLine="0" w:firstLineChars="0"/>
                    <w:rPr>
                      <w:rFonts w:hint="eastAsia" w:eastAsia="宋体"/>
                      <w:sz w:val="18"/>
                      <w:szCs w:val="18"/>
                      <w:vertAlign w:val="subscript"/>
                    </w:rPr>
                  </w:pPr>
                  <w:r>
                    <w:rPr>
                      <w:rFonts w:eastAsia="宋体"/>
                      <w:sz w:val="18"/>
                      <w:szCs w:val="18"/>
                    </w:rPr>
                    <w:t>O</w:t>
                  </w:r>
                  <w:r>
                    <w:rPr>
                      <w:rFonts w:eastAsia="宋体"/>
                      <w:sz w:val="18"/>
                      <w:szCs w:val="18"/>
                      <w:vertAlign w:val="subscript"/>
                    </w:rPr>
                    <w:t>3</w:t>
                  </w:r>
                </w:p>
                <w:p>
                  <w:pPr>
                    <w:pStyle w:val="52"/>
                    <w:ind w:firstLine="0" w:firstLineChars="0"/>
                    <w:rPr>
                      <w:rFonts w:eastAsia="宋体"/>
                      <w:sz w:val="18"/>
                      <w:szCs w:val="18"/>
                    </w:rPr>
                  </w:pPr>
                  <w:r>
                    <w:rPr>
                      <w:rFonts w:hAnsi="宋体" w:eastAsia="宋体"/>
                      <w:sz w:val="18"/>
                      <w:szCs w:val="18"/>
                    </w:rPr>
                    <w:t>（</w:t>
                  </w:r>
                  <w:r>
                    <w:rPr>
                      <w:rFonts w:eastAsia="宋体"/>
                      <w:sz w:val="18"/>
                      <w:szCs w:val="18"/>
                    </w:rPr>
                    <w:t>μg/m</w:t>
                  </w:r>
                  <w:r>
                    <w:rPr>
                      <w:rFonts w:eastAsia="宋体"/>
                      <w:sz w:val="18"/>
                      <w:szCs w:val="18"/>
                      <w:vertAlign w:val="superscript"/>
                    </w:rPr>
                    <w:t>3</w:t>
                  </w:r>
                  <w:r>
                    <w:rPr>
                      <w:rFonts w:hAnsi="宋体" w:eastAsia="宋体"/>
                      <w:sz w:val="18"/>
                      <w:szCs w:val="18"/>
                    </w:rPr>
                    <w:t>）</w:t>
                  </w:r>
                </w:p>
              </w:tc>
              <w:tc>
                <w:tcPr>
                  <w:tcW w:w="860" w:type="pct"/>
                  <w:noWrap w:val="0"/>
                  <w:vAlign w:val="center"/>
                </w:tcPr>
                <w:p>
                  <w:pPr>
                    <w:pStyle w:val="52"/>
                    <w:ind w:firstLine="0" w:firstLineChars="0"/>
                    <w:rPr>
                      <w:rFonts w:hint="eastAsia" w:eastAsia="宋体"/>
                      <w:sz w:val="18"/>
                      <w:szCs w:val="18"/>
                      <w:vertAlign w:val="subscript"/>
                    </w:rPr>
                  </w:pPr>
                  <w:r>
                    <w:rPr>
                      <w:rFonts w:eastAsia="宋体"/>
                      <w:sz w:val="18"/>
                      <w:szCs w:val="18"/>
                    </w:rPr>
                    <w:t>PM</w:t>
                  </w:r>
                  <w:r>
                    <w:rPr>
                      <w:rFonts w:eastAsia="宋体"/>
                      <w:sz w:val="18"/>
                      <w:szCs w:val="18"/>
                      <w:vertAlign w:val="subscript"/>
                    </w:rPr>
                    <w:t>2.5</w:t>
                  </w:r>
                </w:p>
                <w:p>
                  <w:pPr>
                    <w:pStyle w:val="52"/>
                    <w:ind w:firstLine="0" w:firstLineChars="0"/>
                    <w:rPr>
                      <w:rFonts w:eastAsia="宋体"/>
                      <w:sz w:val="18"/>
                      <w:szCs w:val="18"/>
                    </w:rPr>
                  </w:pPr>
                  <w:r>
                    <w:rPr>
                      <w:rFonts w:hAnsi="宋体" w:eastAsia="宋体"/>
                      <w:sz w:val="18"/>
                      <w:szCs w:val="18"/>
                    </w:rPr>
                    <w:t>（</w:t>
                  </w:r>
                  <w:r>
                    <w:rPr>
                      <w:rFonts w:eastAsia="宋体"/>
                      <w:sz w:val="18"/>
                      <w:szCs w:val="18"/>
                    </w:rPr>
                    <w:t>μg/m</w:t>
                  </w:r>
                  <w:r>
                    <w:rPr>
                      <w:rFonts w:eastAsia="宋体"/>
                      <w:sz w:val="18"/>
                      <w:szCs w:val="18"/>
                      <w:vertAlign w:val="superscript"/>
                    </w:rPr>
                    <w:t>3</w:t>
                  </w:r>
                  <w:r>
                    <w:rPr>
                      <w:rFonts w:hAnsi="宋体" w:eastAsia="宋体"/>
                      <w:sz w:val="18"/>
                      <w:szCs w:val="18"/>
                    </w:rPr>
                    <w:t>）</w:t>
                  </w:r>
                </w:p>
              </w:tc>
              <w:tc>
                <w:tcPr>
                  <w:tcW w:w="839" w:type="pct"/>
                  <w:noWrap w:val="0"/>
                  <w:vAlign w:val="center"/>
                </w:tcPr>
                <w:p>
                  <w:pPr>
                    <w:pStyle w:val="52"/>
                    <w:ind w:firstLine="0" w:firstLineChars="0"/>
                    <w:rPr>
                      <w:rFonts w:hint="eastAsia" w:eastAsia="宋体"/>
                      <w:sz w:val="18"/>
                      <w:szCs w:val="18"/>
                      <w:vertAlign w:val="subscript"/>
                    </w:rPr>
                  </w:pPr>
                  <w:r>
                    <w:rPr>
                      <w:rFonts w:eastAsia="宋体"/>
                      <w:sz w:val="18"/>
                      <w:szCs w:val="18"/>
                    </w:rPr>
                    <w:t>PM</w:t>
                  </w:r>
                  <w:r>
                    <w:rPr>
                      <w:rFonts w:eastAsia="宋体"/>
                      <w:sz w:val="18"/>
                      <w:szCs w:val="18"/>
                      <w:vertAlign w:val="subscript"/>
                    </w:rPr>
                    <w:t>10</w:t>
                  </w:r>
                </w:p>
                <w:p>
                  <w:pPr>
                    <w:pStyle w:val="52"/>
                    <w:ind w:firstLine="0" w:firstLineChars="0"/>
                    <w:rPr>
                      <w:rFonts w:eastAsia="宋体"/>
                      <w:sz w:val="18"/>
                      <w:szCs w:val="18"/>
                    </w:rPr>
                  </w:pPr>
                  <w:r>
                    <w:rPr>
                      <w:rFonts w:hAnsi="宋体" w:eastAsia="宋体"/>
                      <w:sz w:val="18"/>
                      <w:szCs w:val="18"/>
                    </w:rPr>
                    <w:t>（</w:t>
                  </w:r>
                  <w:r>
                    <w:rPr>
                      <w:rFonts w:eastAsia="宋体"/>
                      <w:sz w:val="18"/>
                      <w:szCs w:val="18"/>
                    </w:rPr>
                    <w:t>μg/m</w:t>
                  </w:r>
                  <w:r>
                    <w:rPr>
                      <w:rFonts w:eastAsia="宋体"/>
                      <w:sz w:val="18"/>
                      <w:szCs w:val="18"/>
                      <w:vertAlign w:val="superscript"/>
                    </w:rPr>
                    <w:t>3</w:t>
                  </w:r>
                  <w:r>
                    <w:rPr>
                      <w:rFonts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9" w:type="pct"/>
                  <w:noWrap w:val="0"/>
                  <w:vAlign w:val="center"/>
                </w:tcPr>
                <w:p>
                  <w:pPr>
                    <w:pStyle w:val="52"/>
                    <w:ind w:firstLine="0" w:firstLineChars="0"/>
                    <w:rPr>
                      <w:rFonts w:eastAsia="宋体"/>
                      <w:sz w:val="18"/>
                      <w:szCs w:val="18"/>
                    </w:rPr>
                  </w:pPr>
                  <w:r>
                    <w:rPr>
                      <w:rFonts w:eastAsia="宋体"/>
                      <w:sz w:val="18"/>
                      <w:szCs w:val="18"/>
                    </w:rPr>
                    <w:t>2022</w:t>
                  </w:r>
                  <w:r>
                    <w:rPr>
                      <w:rFonts w:hAnsi="宋体" w:eastAsia="宋体"/>
                      <w:sz w:val="18"/>
                      <w:szCs w:val="18"/>
                    </w:rPr>
                    <w:t>年上半年</w:t>
                  </w:r>
                </w:p>
              </w:tc>
              <w:tc>
                <w:tcPr>
                  <w:tcW w:w="570" w:type="pct"/>
                  <w:noWrap w:val="0"/>
                  <w:vAlign w:val="center"/>
                </w:tcPr>
                <w:p>
                  <w:pPr>
                    <w:pStyle w:val="52"/>
                    <w:ind w:firstLine="0" w:firstLineChars="0"/>
                    <w:rPr>
                      <w:rFonts w:eastAsia="宋体"/>
                      <w:sz w:val="18"/>
                      <w:szCs w:val="18"/>
                    </w:rPr>
                  </w:pPr>
                  <w:r>
                    <w:rPr>
                      <w:rFonts w:eastAsia="宋体"/>
                      <w:sz w:val="18"/>
                      <w:szCs w:val="18"/>
                    </w:rPr>
                    <w:t>7</w:t>
                  </w:r>
                </w:p>
              </w:tc>
              <w:tc>
                <w:tcPr>
                  <w:tcW w:w="570" w:type="pct"/>
                  <w:noWrap w:val="0"/>
                  <w:vAlign w:val="center"/>
                </w:tcPr>
                <w:p>
                  <w:pPr>
                    <w:pStyle w:val="52"/>
                    <w:ind w:firstLine="0" w:firstLineChars="0"/>
                    <w:rPr>
                      <w:rFonts w:eastAsia="宋体"/>
                      <w:sz w:val="18"/>
                      <w:szCs w:val="18"/>
                    </w:rPr>
                  </w:pPr>
                  <w:r>
                    <w:rPr>
                      <w:rFonts w:eastAsia="宋体"/>
                      <w:sz w:val="18"/>
                      <w:szCs w:val="18"/>
                    </w:rPr>
                    <w:t>36</w:t>
                  </w:r>
                </w:p>
              </w:tc>
              <w:tc>
                <w:tcPr>
                  <w:tcW w:w="601" w:type="pct"/>
                  <w:noWrap w:val="0"/>
                  <w:vAlign w:val="center"/>
                </w:tcPr>
                <w:p>
                  <w:pPr>
                    <w:pStyle w:val="52"/>
                    <w:ind w:firstLine="0" w:firstLineChars="0"/>
                    <w:rPr>
                      <w:rFonts w:eastAsia="宋体"/>
                      <w:sz w:val="18"/>
                      <w:szCs w:val="18"/>
                    </w:rPr>
                  </w:pPr>
                  <w:r>
                    <w:rPr>
                      <w:rFonts w:eastAsia="宋体"/>
                      <w:sz w:val="18"/>
                      <w:szCs w:val="18"/>
                    </w:rPr>
                    <w:t>1.2</w:t>
                  </w:r>
                </w:p>
              </w:tc>
              <w:tc>
                <w:tcPr>
                  <w:tcW w:w="570" w:type="pct"/>
                  <w:noWrap w:val="0"/>
                  <w:vAlign w:val="center"/>
                </w:tcPr>
                <w:p>
                  <w:pPr>
                    <w:pStyle w:val="52"/>
                    <w:ind w:firstLine="0" w:firstLineChars="0"/>
                    <w:rPr>
                      <w:rFonts w:eastAsia="宋体"/>
                      <w:sz w:val="18"/>
                      <w:szCs w:val="18"/>
                    </w:rPr>
                  </w:pPr>
                  <w:r>
                    <w:rPr>
                      <w:rFonts w:eastAsia="宋体"/>
                      <w:sz w:val="18"/>
                      <w:szCs w:val="18"/>
                    </w:rPr>
                    <w:t>118</w:t>
                  </w:r>
                </w:p>
              </w:tc>
              <w:tc>
                <w:tcPr>
                  <w:tcW w:w="860" w:type="pct"/>
                  <w:noWrap w:val="0"/>
                  <w:vAlign w:val="center"/>
                </w:tcPr>
                <w:p>
                  <w:pPr>
                    <w:pStyle w:val="52"/>
                    <w:ind w:firstLine="0" w:firstLineChars="0"/>
                    <w:rPr>
                      <w:rFonts w:eastAsia="宋体"/>
                      <w:sz w:val="18"/>
                      <w:szCs w:val="18"/>
                    </w:rPr>
                  </w:pPr>
                  <w:r>
                    <w:rPr>
                      <w:rFonts w:eastAsia="宋体"/>
                      <w:sz w:val="18"/>
                      <w:szCs w:val="18"/>
                    </w:rPr>
                    <w:t>33</w:t>
                  </w:r>
                </w:p>
              </w:tc>
              <w:tc>
                <w:tcPr>
                  <w:tcW w:w="839" w:type="pct"/>
                  <w:noWrap w:val="0"/>
                  <w:vAlign w:val="center"/>
                </w:tcPr>
                <w:p>
                  <w:pPr>
                    <w:pStyle w:val="52"/>
                    <w:ind w:firstLine="0" w:firstLineChars="0"/>
                    <w:rPr>
                      <w:rFonts w:eastAsia="宋体"/>
                      <w:sz w:val="18"/>
                      <w:szCs w:val="18"/>
                    </w:rPr>
                  </w:pPr>
                  <w:r>
                    <w:rPr>
                      <w:rFonts w:eastAsia="宋体"/>
                      <w:sz w:val="18"/>
                      <w:szCs w:val="18"/>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9" w:type="pct"/>
                  <w:noWrap w:val="0"/>
                  <w:vAlign w:val="center"/>
                </w:tcPr>
                <w:p>
                  <w:pPr>
                    <w:pStyle w:val="52"/>
                    <w:ind w:firstLine="0" w:firstLineChars="0"/>
                    <w:rPr>
                      <w:rFonts w:eastAsia="宋体"/>
                      <w:sz w:val="18"/>
                      <w:szCs w:val="18"/>
                    </w:rPr>
                  </w:pPr>
                  <w:r>
                    <w:rPr>
                      <w:rFonts w:eastAsia="宋体"/>
                      <w:sz w:val="18"/>
                      <w:szCs w:val="18"/>
                    </w:rPr>
                    <w:t>2022</w:t>
                  </w:r>
                  <w:r>
                    <w:rPr>
                      <w:rFonts w:hAnsi="宋体" w:eastAsia="宋体"/>
                      <w:sz w:val="18"/>
                      <w:szCs w:val="18"/>
                    </w:rPr>
                    <w:t>年下半年</w:t>
                  </w:r>
                </w:p>
              </w:tc>
              <w:tc>
                <w:tcPr>
                  <w:tcW w:w="570" w:type="pct"/>
                  <w:noWrap w:val="0"/>
                  <w:vAlign w:val="center"/>
                </w:tcPr>
                <w:p>
                  <w:pPr>
                    <w:pStyle w:val="52"/>
                    <w:ind w:firstLine="0" w:firstLineChars="0"/>
                    <w:rPr>
                      <w:rFonts w:eastAsia="宋体"/>
                      <w:sz w:val="18"/>
                      <w:szCs w:val="18"/>
                    </w:rPr>
                  </w:pPr>
                  <w:r>
                    <w:rPr>
                      <w:rFonts w:eastAsia="宋体"/>
                      <w:sz w:val="18"/>
                      <w:szCs w:val="18"/>
                    </w:rPr>
                    <w:t>8</w:t>
                  </w:r>
                </w:p>
              </w:tc>
              <w:tc>
                <w:tcPr>
                  <w:tcW w:w="570" w:type="pct"/>
                  <w:noWrap w:val="0"/>
                  <w:vAlign w:val="center"/>
                </w:tcPr>
                <w:p>
                  <w:pPr>
                    <w:pStyle w:val="52"/>
                    <w:ind w:firstLine="0" w:firstLineChars="0"/>
                    <w:rPr>
                      <w:rFonts w:eastAsia="宋体"/>
                      <w:sz w:val="18"/>
                      <w:szCs w:val="18"/>
                    </w:rPr>
                  </w:pPr>
                  <w:r>
                    <w:rPr>
                      <w:rFonts w:eastAsia="宋体"/>
                      <w:sz w:val="18"/>
                      <w:szCs w:val="18"/>
                    </w:rPr>
                    <w:t>33</w:t>
                  </w:r>
                </w:p>
              </w:tc>
              <w:tc>
                <w:tcPr>
                  <w:tcW w:w="601" w:type="pct"/>
                  <w:noWrap w:val="0"/>
                  <w:vAlign w:val="center"/>
                </w:tcPr>
                <w:p>
                  <w:pPr>
                    <w:pStyle w:val="52"/>
                    <w:ind w:firstLine="0" w:firstLineChars="0"/>
                    <w:rPr>
                      <w:rFonts w:eastAsia="宋体"/>
                      <w:sz w:val="18"/>
                      <w:szCs w:val="18"/>
                    </w:rPr>
                  </w:pPr>
                  <w:r>
                    <w:rPr>
                      <w:rFonts w:eastAsia="宋体"/>
                      <w:sz w:val="18"/>
                      <w:szCs w:val="18"/>
                    </w:rPr>
                    <w:t>1.2</w:t>
                  </w:r>
                </w:p>
              </w:tc>
              <w:tc>
                <w:tcPr>
                  <w:tcW w:w="570" w:type="pct"/>
                  <w:noWrap w:val="0"/>
                  <w:vAlign w:val="center"/>
                </w:tcPr>
                <w:p>
                  <w:pPr>
                    <w:pStyle w:val="52"/>
                    <w:ind w:firstLine="0" w:firstLineChars="0"/>
                    <w:rPr>
                      <w:rFonts w:eastAsia="宋体"/>
                      <w:sz w:val="18"/>
                      <w:szCs w:val="18"/>
                    </w:rPr>
                  </w:pPr>
                  <w:r>
                    <w:rPr>
                      <w:rFonts w:eastAsia="宋体"/>
                      <w:sz w:val="18"/>
                      <w:szCs w:val="18"/>
                    </w:rPr>
                    <w:t>114</w:t>
                  </w:r>
                </w:p>
              </w:tc>
              <w:tc>
                <w:tcPr>
                  <w:tcW w:w="860" w:type="pct"/>
                  <w:noWrap w:val="0"/>
                  <w:vAlign w:val="center"/>
                </w:tcPr>
                <w:p>
                  <w:pPr>
                    <w:pStyle w:val="52"/>
                    <w:ind w:firstLine="0" w:firstLineChars="0"/>
                    <w:rPr>
                      <w:rFonts w:eastAsia="宋体"/>
                      <w:sz w:val="18"/>
                      <w:szCs w:val="18"/>
                    </w:rPr>
                  </w:pPr>
                  <w:r>
                    <w:rPr>
                      <w:rFonts w:eastAsia="宋体"/>
                      <w:sz w:val="18"/>
                      <w:szCs w:val="18"/>
                    </w:rPr>
                    <w:t>28</w:t>
                  </w:r>
                </w:p>
              </w:tc>
              <w:tc>
                <w:tcPr>
                  <w:tcW w:w="839" w:type="pct"/>
                  <w:noWrap w:val="0"/>
                  <w:vAlign w:val="center"/>
                </w:tcPr>
                <w:p>
                  <w:pPr>
                    <w:pStyle w:val="52"/>
                    <w:ind w:firstLine="0" w:firstLineChars="0"/>
                    <w:rPr>
                      <w:rFonts w:eastAsia="宋体"/>
                      <w:sz w:val="18"/>
                      <w:szCs w:val="18"/>
                    </w:rPr>
                  </w:pPr>
                  <w:r>
                    <w:rPr>
                      <w:rFonts w:eastAsia="宋体"/>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9" w:type="pct"/>
                  <w:noWrap w:val="0"/>
                  <w:vAlign w:val="center"/>
                </w:tcPr>
                <w:p>
                  <w:pPr>
                    <w:pStyle w:val="52"/>
                    <w:ind w:firstLine="0" w:firstLineChars="0"/>
                    <w:jc w:val="both"/>
                    <w:rPr>
                      <w:rFonts w:eastAsia="宋体"/>
                      <w:sz w:val="18"/>
                      <w:szCs w:val="18"/>
                    </w:rPr>
                  </w:pPr>
                  <w:r>
                    <w:rPr>
                      <w:rFonts w:hAnsi="宋体" w:eastAsia="宋体"/>
                      <w:sz w:val="18"/>
                      <w:szCs w:val="18"/>
                    </w:rPr>
                    <w:t>二级标准值（</w:t>
                  </w:r>
                  <w:r>
                    <w:rPr>
                      <w:rFonts w:eastAsia="宋体"/>
                      <w:sz w:val="18"/>
                      <w:szCs w:val="18"/>
                    </w:rPr>
                    <w:t>GB3095-2012</w:t>
                  </w:r>
                  <w:r>
                    <w:rPr>
                      <w:rFonts w:hAnsi="宋体" w:eastAsia="宋体"/>
                      <w:sz w:val="18"/>
                      <w:szCs w:val="18"/>
                    </w:rPr>
                    <w:t>）</w:t>
                  </w:r>
                </w:p>
              </w:tc>
              <w:tc>
                <w:tcPr>
                  <w:tcW w:w="570" w:type="pct"/>
                  <w:noWrap w:val="0"/>
                  <w:vAlign w:val="center"/>
                </w:tcPr>
                <w:p>
                  <w:pPr>
                    <w:pStyle w:val="52"/>
                    <w:ind w:firstLine="0" w:firstLineChars="0"/>
                    <w:rPr>
                      <w:rFonts w:eastAsia="宋体"/>
                      <w:sz w:val="18"/>
                      <w:szCs w:val="18"/>
                    </w:rPr>
                  </w:pPr>
                  <w:r>
                    <w:rPr>
                      <w:rFonts w:eastAsia="宋体"/>
                      <w:sz w:val="18"/>
                      <w:szCs w:val="18"/>
                    </w:rPr>
                    <w:t>60</w:t>
                  </w:r>
                </w:p>
              </w:tc>
              <w:tc>
                <w:tcPr>
                  <w:tcW w:w="570" w:type="pct"/>
                  <w:noWrap w:val="0"/>
                  <w:vAlign w:val="center"/>
                </w:tcPr>
                <w:p>
                  <w:pPr>
                    <w:pStyle w:val="52"/>
                    <w:ind w:firstLine="0" w:firstLineChars="0"/>
                    <w:rPr>
                      <w:rFonts w:eastAsia="宋体"/>
                      <w:sz w:val="18"/>
                      <w:szCs w:val="18"/>
                    </w:rPr>
                  </w:pPr>
                  <w:r>
                    <w:rPr>
                      <w:rFonts w:eastAsia="宋体"/>
                      <w:sz w:val="18"/>
                      <w:szCs w:val="18"/>
                    </w:rPr>
                    <w:t>40</w:t>
                  </w:r>
                </w:p>
              </w:tc>
              <w:tc>
                <w:tcPr>
                  <w:tcW w:w="601" w:type="pct"/>
                  <w:noWrap w:val="0"/>
                  <w:vAlign w:val="center"/>
                </w:tcPr>
                <w:p>
                  <w:pPr>
                    <w:pStyle w:val="52"/>
                    <w:ind w:firstLine="0" w:firstLineChars="0"/>
                    <w:rPr>
                      <w:rFonts w:eastAsia="宋体"/>
                      <w:sz w:val="18"/>
                      <w:szCs w:val="18"/>
                    </w:rPr>
                  </w:pPr>
                  <w:r>
                    <w:rPr>
                      <w:rFonts w:eastAsia="宋体"/>
                      <w:sz w:val="18"/>
                      <w:szCs w:val="18"/>
                    </w:rPr>
                    <w:t>4</w:t>
                  </w:r>
                </w:p>
              </w:tc>
              <w:tc>
                <w:tcPr>
                  <w:tcW w:w="570" w:type="pct"/>
                  <w:noWrap w:val="0"/>
                  <w:vAlign w:val="center"/>
                </w:tcPr>
                <w:p>
                  <w:pPr>
                    <w:pStyle w:val="52"/>
                    <w:ind w:firstLine="0" w:firstLineChars="0"/>
                    <w:rPr>
                      <w:rFonts w:eastAsia="宋体"/>
                      <w:sz w:val="18"/>
                      <w:szCs w:val="18"/>
                    </w:rPr>
                  </w:pPr>
                  <w:r>
                    <w:rPr>
                      <w:rFonts w:eastAsia="宋体"/>
                      <w:sz w:val="18"/>
                      <w:szCs w:val="18"/>
                    </w:rPr>
                    <w:t>160</w:t>
                  </w:r>
                </w:p>
              </w:tc>
              <w:tc>
                <w:tcPr>
                  <w:tcW w:w="860" w:type="pct"/>
                  <w:noWrap w:val="0"/>
                  <w:vAlign w:val="center"/>
                </w:tcPr>
                <w:p>
                  <w:pPr>
                    <w:pStyle w:val="52"/>
                    <w:ind w:firstLine="0" w:firstLineChars="0"/>
                    <w:rPr>
                      <w:rFonts w:eastAsia="宋体"/>
                      <w:sz w:val="18"/>
                      <w:szCs w:val="18"/>
                    </w:rPr>
                  </w:pPr>
                  <w:r>
                    <w:rPr>
                      <w:rFonts w:eastAsia="宋体"/>
                      <w:sz w:val="18"/>
                      <w:szCs w:val="18"/>
                    </w:rPr>
                    <w:t>35</w:t>
                  </w:r>
                </w:p>
              </w:tc>
              <w:tc>
                <w:tcPr>
                  <w:tcW w:w="839" w:type="pct"/>
                  <w:noWrap w:val="0"/>
                  <w:vAlign w:val="center"/>
                </w:tcPr>
                <w:p>
                  <w:pPr>
                    <w:pStyle w:val="52"/>
                    <w:ind w:firstLine="0" w:firstLineChars="0"/>
                    <w:rPr>
                      <w:rFonts w:eastAsia="宋体"/>
                      <w:sz w:val="18"/>
                      <w:szCs w:val="18"/>
                    </w:rPr>
                  </w:pPr>
                  <w:r>
                    <w:rPr>
                      <w:rFonts w:eastAsia="宋体"/>
                      <w:sz w:val="18"/>
                      <w:szCs w:val="18"/>
                    </w:rPr>
                    <w:t>70</w:t>
                  </w:r>
                </w:p>
              </w:tc>
            </w:tr>
          </w:tbl>
          <w:p>
            <w:pPr>
              <w:widowControl/>
              <w:adjustRightInd w:val="0"/>
              <w:snapToGrid w:val="0"/>
              <w:spacing w:line="400" w:lineRule="exact"/>
              <w:ind w:firstLine="420" w:firstLineChars="200"/>
              <w:rPr>
                <w:kern w:val="0"/>
                <w:szCs w:val="21"/>
                <w:lang w:bidi="ar"/>
              </w:rPr>
            </w:pPr>
            <w:r>
              <w:rPr>
                <w:kern w:val="0"/>
                <w:szCs w:val="21"/>
                <w:lang w:bidi="ar"/>
              </w:rPr>
              <w:t>本项目位于通川区，</w:t>
            </w:r>
            <w:r>
              <w:rPr>
                <w:rFonts w:hint="eastAsia"/>
                <w:kern w:val="0"/>
                <w:szCs w:val="21"/>
                <w:lang w:bidi="ar"/>
              </w:rPr>
              <w:t>属于达州市主城区范围，根据上表可知，本项目所在区域为环境空气</w:t>
            </w:r>
            <w:r>
              <w:rPr>
                <w:kern w:val="0"/>
                <w:szCs w:val="21"/>
                <w:lang w:bidi="ar"/>
              </w:rPr>
              <w:t>质量达标区。</w:t>
            </w:r>
          </w:p>
          <w:p>
            <w:pPr>
              <w:spacing w:line="400" w:lineRule="exact"/>
              <w:ind w:left="142" w:firstLine="316" w:firstLineChars="150"/>
              <w:rPr>
                <w:b/>
                <w:bCs/>
                <w:szCs w:val="21"/>
              </w:rPr>
            </w:pPr>
            <w:r>
              <w:rPr>
                <w:b/>
                <w:szCs w:val="21"/>
              </w:rPr>
              <w:t>2、</w:t>
            </w:r>
            <w:r>
              <w:rPr>
                <w:b/>
                <w:bCs/>
                <w:szCs w:val="21"/>
              </w:rPr>
              <w:t>地表水环境质量现状评价</w:t>
            </w:r>
          </w:p>
          <w:p>
            <w:pPr>
              <w:autoSpaceDE w:val="0"/>
              <w:autoSpaceDN w:val="0"/>
              <w:adjustRightInd w:val="0"/>
              <w:spacing w:line="400" w:lineRule="exact"/>
              <w:ind w:firstLine="420" w:firstLineChars="200"/>
              <w:rPr>
                <w:szCs w:val="28"/>
                <w:lang w:val="zh-CN"/>
              </w:rPr>
            </w:pPr>
            <w:r>
              <w:rPr>
                <w:szCs w:val="28"/>
                <w:lang w:val="zh-CN"/>
              </w:rPr>
              <w:t>根据《2022年9月达州市地表水水质月报》：2022年9月全市33个河流断面中，优（I~II类）、良（II类）水质断面33个，占比100%。</w:t>
            </w:r>
          </w:p>
          <w:p>
            <w:pPr>
              <w:autoSpaceDE w:val="0"/>
              <w:autoSpaceDN w:val="0"/>
              <w:adjustRightInd w:val="0"/>
              <w:spacing w:line="400" w:lineRule="exact"/>
              <w:ind w:firstLine="420" w:firstLineChars="200"/>
              <w:rPr>
                <w:szCs w:val="21"/>
              </w:rPr>
            </w:pPr>
            <w:r>
              <w:rPr>
                <w:szCs w:val="28"/>
                <w:lang w:val="zh-CN"/>
              </w:rPr>
              <w:t>项目属于州河水系，区域水质评价结果表如下。</w:t>
            </w:r>
          </w:p>
          <w:p>
            <w:pPr>
              <w:spacing w:line="400" w:lineRule="exact"/>
              <w:jc w:val="center"/>
              <w:rPr>
                <w:rFonts w:eastAsia="黑体"/>
                <w:sz w:val="18"/>
                <w:szCs w:val="18"/>
              </w:rPr>
            </w:pPr>
            <w:r>
              <w:rPr>
                <w:rFonts w:eastAsia="黑体"/>
                <w:sz w:val="18"/>
                <w:szCs w:val="18"/>
              </w:rPr>
              <w:t>表3-1：2022年9月达州市河流水质评价结果表</w:t>
            </w:r>
          </w:p>
          <w:tbl>
            <w:tblPr>
              <w:tblStyle w:val="26"/>
              <w:tblW w:w="79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14"/>
              <w:gridCol w:w="461"/>
              <w:gridCol w:w="471"/>
              <w:gridCol w:w="802"/>
              <w:gridCol w:w="1561"/>
              <w:gridCol w:w="1180"/>
              <w:gridCol w:w="517"/>
              <w:gridCol w:w="612"/>
              <w:gridCol w:w="620"/>
              <w:gridCol w:w="12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jc w:val="center"/>
              </w:trPr>
              <w:tc>
                <w:tcPr>
                  <w:tcW w:w="514"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bCs/>
                      <w:sz w:val="18"/>
                      <w:szCs w:val="18"/>
                    </w:rPr>
                  </w:pPr>
                  <w:r>
                    <w:rPr>
                      <w:rFonts w:ascii="Times New Roman" w:hAnsi="Times New Roman"/>
                      <w:b/>
                      <w:bCs/>
                      <w:sz w:val="18"/>
                      <w:szCs w:val="18"/>
                    </w:rPr>
                    <w:t>序号</w:t>
                  </w:r>
                </w:p>
              </w:tc>
              <w:tc>
                <w:tcPr>
                  <w:tcW w:w="932" w:type="dxa"/>
                  <w:gridSpan w:val="2"/>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bCs/>
                      <w:sz w:val="18"/>
                      <w:szCs w:val="18"/>
                    </w:rPr>
                  </w:pPr>
                  <w:r>
                    <w:rPr>
                      <w:rFonts w:ascii="Times New Roman" w:hAnsi="Times New Roman"/>
                      <w:b/>
                      <w:bCs/>
                      <w:sz w:val="18"/>
                      <w:szCs w:val="18"/>
                    </w:rPr>
                    <w:t>河流</w:t>
                  </w:r>
                </w:p>
              </w:tc>
              <w:tc>
                <w:tcPr>
                  <w:tcW w:w="80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bCs/>
                      <w:sz w:val="18"/>
                      <w:szCs w:val="18"/>
                    </w:rPr>
                  </w:pPr>
                  <w:r>
                    <w:rPr>
                      <w:rFonts w:ascii="Times New Roman" w:hAnsi="Times New Roman"/>
                      <w:b/>
                      <w:bCs/>
                      <w:sz w:val="18"/>
                      <w:szCs w:val="18"/>
                    </w:rPr>
                    <w:t>断面名称</w:t>
                  </w:r>
                </w:p>
              </w:tc>
              <w:tc>
                <w:tcPr>
                  <w:tcW w:w="1561"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bCs/>
                      <w:sz w:val="18"/>
                      <w:szCs w:val="18"/>
                    </w:rPr>
                  </w:pPr>
                  <w:r>
                    <w:rPr>
                      <w:rFonts w:ascii="Times New Roman" w:hAnsi="Times New Roman"/>
                      <w:b/>
                      <w:bCs/>
                      <w:sz w:val="18"/>
                      <w:szCs w:val="18"/>
                    </w:rPr>
                    <w:t>断面属性</w:t>
                  </w:r>
                </w:p>
              </w:tc>
              <w:tc>
                <w:tcPr>
                  <w:tcW w:w="1180"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bCs/>
                      <w:sz w:val="18"/>
                      <w:szCs w:val="18"/>
                    </w:rPr>
                  </w:pPr>
                  <w:r>
                    <w:rPr>
                      <w:rFonts w:ascii="Times New Roman" w:hAnsi="Times New Roman"/>
                      <w:b/>
                      <w:bCs/>
                      <w:sz w:val="18"/>
                      <w:szCs w:val="18"/>
                    </w:rPr>
                    <w:t>断面性质</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bCs/>
                      <w:sz w:val="18"/>
                      <w:szCs w:val="18"/>
                    </w:rPr>
                  </w:pPr>
                  <w:r>
                    <w:rPr>
                      <w:rFonts w:ascii="Times New Roman" w:hAnsi="Times New Roman"/>
                      <w:b/>
                      <w:bCs/>
                      <w:sz w:val="18"/>
                      <w:szCs w:val="18"/>
                    </w:rPr>
                    <w:t>上年</w:t>
                  </w:r>
                </w:p>
                <w:p>
                  <w:pPr>
                    <w:pStyle w:val="24"/>
                    <w:spacing w:before="0" w:beforeAutospacing="0" w:after="0" w:afterAutospacing="0" w:line="400" w:lineRule="exact"/>
                    <w:jc w:val="center"/>
                    <w:rPr>
                      <w:rFonts w:ascii="Times New Roman" w:hAnsi="Times New Roman"/>
                      <w:b/>
                      <w:bCs/>
                      <w:sz w:val="18"/>
                      <w:szCs w:val="18"/>
                    </w:rPr>
                  </w:pPr>
                  <w:r>
                    <w:rPr>
                      <w:rFonts w:ascii="Times New Roman" w:hAnsi="Times New Roman"/>
                      <w:b/>
                      <w:bCs/>
                      <w:sz w:val="18"/>
                      <w:szCs w:val="18"/>
                    </w:rPr>
                    <w:t>同期</w:t>
                  </w:r>
                </w:p>
              </w:tc>
              <w:tc>
                <w:tcPr>
                  <w:tcW w:w="61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bCs/>
                      <w:sz w:val="18"/>
                      <w:szCs w:val="18"/>
                    </w:rPr>
                  </w:pPr>
                  <w:r>
                    <w:rPr>
                      <w:rFonts w:ascii="Times New Roman" w:hAnsi="Times New Roman"/>
                      <w:b/>
                      <w:bCs/>
                      <w:sz w:val="18"/>
                      <w:szCs w:val="18"/>
                    </w:rPr>
                    <w:t>上月</w:t>
                  </w:r>
                </w:p>
                <w:p>
                  <w:pPr>
                    <w:pStyle w:val="24"/>
                    <w:spacing w:before="0" w:beforeAutospacing="0" w:after="0" w:afterAutospacing="0" w:line="400" w:lineRule="exact"/>
                    <w:jc w:val="center"/>
                    <w:rPr>
                      <w:rFonts w:ascii="Times New Roman" w:hAnsi="Times New Roman"/>
                      <w:b/>
                      <w:bCs/>
                      <w:sz w:val="18"/>
                      <w:szCs w:val="18"/>
                    </w:rPr>
                  </w:pPr>
                  <w:r>
                    <w:rPr>
                      <w:rFonts w:ascii="Times New Roman" w:hAnsi="Times New Roman"/>
                      <w:b/>
                      <w:bCs/>
                      <w:sz w:val="18"/>
                      <w:szCs w:val="18"/>
                    </w:rPr>
                    <w:t>类别</w:t>
                  </w:r>
                </w:p>
              </w:tc>
              <w:tc>
                <w:tcPr>
                  <w:tcW w:w="620"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bCs/>
                      <w:sz w:val="18"/>
                      <w:szCs w:val="18"/>
                    </w:rPr>
                  </w:pPr>
                  <w:r>
                    <w:rPr>
                      <w:rFonts w:ascii="Times New Roman" w:hAnsi="Times New Roman"/>
                      <w:b/>
                      <w:bCs/>
                      <w:sz w:val="18"/>
                      <w:szCs w:val="18"/>
                    </w:rPr>
                    <w:t>本月</w:t>
                  </w:r>
                </w:p>
                <w:p>
                  <w:pPr>
                    <w:pStyle w:val="24"/>
                    <w:spacing w:before="0" w:beforeAutospacing="0" w:after="0" w:afterAutospacing="0" w:line="400" w:lineRule="exact"/>
                    <w:jc w:val="center"/>
                    <w:rPr>
                      <w:rFonts w:ascii="Times New Roman" w:hAnsi="Times New Roman"/>
                      <w:b/>
                      <w:bCs/>
                      <w:sz w:val="18"/>
                      <w:szCs w:val="18"/>
                    </w:rPr>
                  </w:pPr>
                  <w:r>
                    <w:rPr>
                      <w:rFonts w:ascii="Times New Roman" w:hAnsi="Times New Roman"/>
                      <w:b/>
                      <w:bCs/>
                      <w:sz w:val="18"/>
                      <w:szCs w:val="18"/>
                    </w:rPr>
                    <w:t>类别</w:t>
                  </w:r>
                </w:p>
              </w:tc>
              <w:tc>
                <w:tcPr>
                  <w:tcW w:w="124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bCs/>
                      <w:sz w:val="18"/>
                      <w:szCs w:val="18"/>
                    </w:rPr>
                  </w:pPr>
                  <w:r>
                    <w:rPr>
                      <w:rFonts w:ascii="Times New Roman" w:hAnsi="Times New Roman"/>
                      <w:b/>
                      <w:bCs/>
                      <w:sz w:val="18"/>
                      <w:szCs w:val="18"/>
                    </w:rPr>
                    <w:t>主要污染指标（类别）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4" w:hRule="atLeast"/>
                <w:jc w:val="center"/>
              </w:trPr>
              <w:tc>
                <w:tcPr>
                  <w:tcW w:w="514"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1</w:t>
                  </w:r>
                </w:p>
              </w:tc>
              <w:tc>
                <w:tcPr>
                  <w:tcW w:w="461" w:type="dxa"/>
                  <w:vMerge w:val="restart"/>
                  <w:tcBorders>
                    <w:top w:val="nil"/>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州河水系</w:t>
                  </w:r>
                </w:p>
              </w:tc>
              <w:tc>
                <w:tcPr>
                  <w:tcW w:w="471" w:type="dxa"/>
                  <w:vMerge w:val="restart"/>
                  <w:tcBorders>
                    <w:top w:val="nil"/>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干流</w:t>
                  </w:r>
                </w:p>
              </w:tc>
              <w:tc>
                <w:tcPr>
                  <w:tcW w:w="80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舵石盘</w:t>
                  </w:r>
                </w:p>
              </w:tc>
              <w:tc>
                <w:tcPr>
                  <w:tcW w:w="1561"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渠县境内</w:t>
                  </w:r>
                </w:p>
              </w:tc>
              <w:tc>
                <w:tcPr>
                  <w:tcW w:w="1180"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国考</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II</w:t>
                  </w:r>
                </w:p>
              </w:tc>
              <w:tc>
                <w:tcPr>
                  <w:tcW w:w="61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III</w:t>
                  </w:r>
                </w:p>
              </w:tc>
              <w:tc>
                <w:tcPr>
                  <w:tcW w:w="620"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III</w:t>
                  </w:r>
                </w:p>
              </w:tc>
              <w:tc>
                <w:tcPr>
                  <w:tcW w:w="124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4" w:hRule="atLeast"/>
                <w:jc w:val="center"/>
              </w:trPr>
              <w:tc>
                <w:tcPr>
                  <w:tcW w:w="514"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2</w:t>
                  </w:r>
                </w:p>
              </w:tc>
              <w:tc>
                <w:tcPr>
                  <w:tcW w:w="461" w:type="dxa"/>
                  <w:vMerge w:val="continue"/>
                  <w:tcBorders>
                    <w:top w:val="nil"/>
                    <w:left w:val="single" w:color="000000" w:sz="6" w:space="0"/>
                    <w:bottom w:val="single" w:color="000000" w:sz="6" w:space="0"/>
                    <w:right w:val="single" w:color="000000" w:sz="6" w:space="0"/>
                  </w:tcBorders>
                  <w:noWrap w:val="0"/>
                  <w:vAlign w:val="center"/>
                </w:tcPr>
                <w:p>
                  <w:pPr>
                    <w:widowControl/>
                    <w:spacing w:line="400" w:lineRule="exact"/>
                    <w:jc w:val="left"/>
                    <w:rPr>
                      <w:sz w:val="18"/>
                      <w:szCs w:val="18"/>
                    </w:rPr>
                  </w:pPr>
                </w:p>
              </w:tc>
              <w:tc>
                <w:tcPr>
                  <w:tcW w:w="471" w:type="dxa"/>
                  <w:vMerge w:val="continue"/>
                  <w:tcBorders>
                    <w:top w:val="nil"/>
                    <w:left w:val="single" w:color="000000" w:sz="6" w:space="0"/>
                    <w:bottom w:val="single" w:color="000000" w:sz="6" w:space="0"/>
                    <w:right w:val="single" w:color="000000" w:sz="6" w:space="0"/>
                  </w:tcBorders>
                  <w:noWrap w:val="0"/>
                  <w:vAlign w:val="center"/>
                </w:tcPr>
                <w:p>
                  <w:pPr>
                    <w:widowControl/>
                    <w:spacing w:line="400" w:lineRule="exact"/>
                    <w:jc w:val="left"/>
                    <w:rPr>
                      <w:sz w:val="18"/>
                      <w:szCs w:val="18"/>
                    </w:rPr>
                  </w:pPr>
                </w:p>
              </w:tc>
              <w:tc>
                <w:tcPr>
                  <w:tcW w:w="80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sz w:val="18"/>
                      <w:szCs w:val="18"/>
                    </w:rPr>
                  </w:pPr>
                  <w:r>
                    <w:rPr>
                      <w:rFonts w:ascii="Times New Roman" w:hAnsi="Times New Roman"/>
                      <w:b/>
                      <w:sz w:val="18"/>
                      <w:szCs w:val="18"/>
                    </w:rPr>
                    <w:t>车家河</w:t>
                  </w:r>
                </w:p>
              </w:tc>
              <w:tc>
                <w:tcPr>
                  <w:tcW w:w="1561"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sz w:val="18"/>
                      <w:szCs w:val="18"/>
                    </w:rPr>
                  </w:pPr>
                  <w:r>
                    <w:rPr>
                      <w:rFonts w:ascii="Times New Roman" w:hAnsi="Times New Roman"/>
                      <w:b/>
                      <w:sz w:val="18"/>
                      <w:szCs w:val="18"/>
                    </w:rPr>
                    <w:t>市城区</w:t>
                  </w:r>
                </w:p>
              </w:tc>
              <w:tc>
                <w:tcPr>
                  <w:tcW w:w="1180"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sz w:val="18"/>
                      <w:szCs w:val="18"/>
                    </w:rPr>
                  </w:pPr>
                  <w:r>
                    <w:rPr>
                      <w:rFonts w:ascii="Times New Roman" w:hAnsi="Times New Roman"/>
                      <w:b/>
                      <w:sz w:val="18"/>
                      <w:szCs w:val="18"/>
                    </w:rPr>
                    <w:t>国考</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sz w:val="18"/>
                      <w:szCs w:val="18"/>
                    </w:rPr>
                  </w:pPr>
                  <w:r>
                    <w:rPr>
                      <w:rFonts w:ascii="Times New Roman" w:hAnsi="Times New Roman"/>
                      <w:b/>
                      <w:sz w:val="18"/>
                      <w:szCs w:val="18"/>
                    </w:rPr>
                    <w:t>II</w:t>
                  </w:r>
                </w:p>
              </w:tc>
              <w:tc>
                <w:tcPr>
                  <w:tcW w:w="61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sz w:val="18"/>
                      <w:szCs w:val="18"/>
                    </w:rPr>
                  </w:pPr>
                  <w:r>
                    <w:rPr>
                      <w:rFonts w:ascii="Times New Roman" w:hAnsi="Times New Roman"/>
                      <w:b/>
                      <w:sz w:val="18"/>
                      <w:szCs w:val="18"/>
                    </w:rPr>
                    <w:t>II</w:t>
                  </w:r>
                </w:p>
              </w:tc>
              <w:tc>
                <w:tcPr>
                  <w:tcW w:w="620"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b/>
                      <w:sz w:val="18"/>
                      <w:szCs w:val="18"/>
                    </w:rPr>
                  </w:pPr>
                  <w:r>
                    <w:rPr>
                      <w:rFonts w:ascii="Times New Roman" w:hAnsi="Times New Roman"/>
                      <w:b/>
                      <w:sz w:val="18"/>
                      <w:szCs w:val="18"/>
                    </w:rPr>
                    <w:t>II</w:t>
                  </w:r>
                </w:p>
              </w:tc>
              <w:tc>
                <w:tcPr>
                  <w:tcW w:w="124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jc w:val="center"/>
              </w:trPr>
              <w:tc>
                <w:tcPr>
                  <w:tcW w:w="514"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3</w:t>
                  </w:r>
                </w:p>
              </w:tc>
              <w:tc>
                <w:tcPr>
                  <w:tcW w:w="461" w:type="dxa"/>
                  <w:vMerge w:val="continue"/>
                  <w:tcBorders>
                    <w:top w:val="nil"/>
                    <w:left w:val="single" w:color="000000" w:sz="6" w:space="0"/>
                    <w:bottom w:val="single" w:color="000000" w:sz="6" w:space="0"/>
                    <w:right w:val="single" w:color="000000" w:sz="6" w:space="0"/>
                  </w:tcBorders>
                  <w:noWrap w:val="0"/>
                  <w:vAlign w:val="center"/>
                </w:tcPr>
                <w:p>
                  <w:pPr>
                    <w:widowControl/>
                    <w:spacing w:line="400" w:lineRule="exact"/>
                    <w:jc w:val="left"/>
                    <w:rPr>
                      <w:sz w:val="18"/>
                      <w:szCs w:val="18"/>
                    </w:rPr>
                  </w:pPr>
                </w:p>
              </w:tc>
              <w:tc>
                <w:tcPr>
                  <w:tcW w:w="471" w:type="dxa"/>
                  <w:vMerge w:val="continue"/>
                  <w:tcBorders>
                    <w:top w:val="nil"/>
                    <w:left w:val="single" w:color="000000" w:sz="6" w:space="0"/>
                    <w:bottom w:val="single" w:color="000000" w:sz="6" w:space="0"/>
                    <w:right w:val="single" w:color="000000" w:sz="6" w:space="0"/>
                  </w:tcBorders>
                  <w:noWrap w:val="0"/>
                  <w:vAlign w:val="center"/>
                </w:tcPr>
                <w:p>
                  <w:pPr>
                    <w:widowControl/>
                    <w:spacing w:line="400" w:lineRule="exact"/>
                    <w:jc w:val="left"/>
                    <w:rPr>
                      <w:sz w:val="18"/>
                      <w:szCs w:val="18"/>
                    </w:rPr>
                  </w:pPr>
                </w:p>
              </w:tc>
              <w:tc>
                <w:tcPr>
                  <w:tcW w:w="80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张鼓坪</w:t>
                  </w:r>
                </w:p>
              </w:tc>
              <w:tc>
                <w:tcPr>
                  <w:tcW w:w="1561"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县界</w:t>
                  </w:r>
                </w:p>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(宣汉县-→通川区)</w:t>
                  </w:r>
                </w:p>
              </w:tc>
              <w:tc>
                <w:tcPr>
                  <w:tcW w:w="1180"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省控考核评价</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II</w:t>
                  </w:r>
                </w:p>
              </w:tc>
              <w:tc>
                <w:tcPr>
                  <w:tcW w:w="61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III</w:t>
                  </w:r>
                </w:p>
              </w:tc>
              <w:tc>
                <w:tcPr>
                  <w:tcW w:w="620"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III</w:t>
                  </w:r>
                </w:p>
              </w:tc>
              <w:tc>
                <w:tcPr>
                  <w:tcW w:w="124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8" w:hRule="atLeast"/>
                <w:jc w:val="center"/>
              </w:trPr>
              <w:tc>
                <w:tcPr>
                  <w:tcW w:w="514"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4</w:t>
                  </w:r>
                </w:p>
              </w:tc>
              <w:tc>
                <w:tcPr>
                  <w:tcW w:w="461" w:type="dxa"/>
                  <w:vMerge w:val="continue"/>
                  <w:tcBorders>
                    <w:top w:val="nil"/>
                    <w:left w:val="single" w:color="000000" w:sz="6" w:space="0"/>
                    <w:bottom w:val="single" w:color="000000" w:sz="6" w:space="0"/>
                    <w:right w:val="single" w:color="000000" w:sz="6" w:space="0"/>
                  </w:tcBorders>
                  <w:noWrap w:val="0"/>
                  <w:vAlign w:val="center"/>
                </w:tcPr>
                <w:p>
                  <w:pPr>
                    <w:widowControl/>
                    <w:spacing w:line="400" w:lineRule="exact"/>
                    <w:jc w:val="left"/>
                    <w:rPr>
                      <w:sz w:val="18"/>
                      <w:szCs w:val="18"/>
                    </w:rPr>
                  </w:pPr>
                </w:p>
              </w:tc>
              <w:tc>
                <w:tcPr>
                  <w:tcW w:w="471" w:type="dxa"/>
                  <w:vMerge w:val="continue"/>
                  <w:tcBorders>
                    <w:top w:val="nil"/>
                    <w:left w:val="single" w:color="000000" w:sz="6" w:space="0"/>
                    <w:bottom w:val="single" w:color="000000" w:sz="6" w:space="0"/>
                    <w:right w:val="single" w:color="000000" w:sz="6" w:space="0"/>
                  </w:tcBorders>
                  <w:noWrap w:val="0"/>
                  <w:vAlign w:val="center"/>
                </w:tcPr>
                <w:p>
                  <w:pPr>
                    <w:widowControl/>
                    <w:spacing w:line="400" w:lineRule="exact"/>
                    <w:jc w:val="left"/>
                    <w:rPr>
                      <w:sz w:val="18"/>
                      <w:szCs w:val="18"/>
                    </w:rPr>
                  </w:pPr>
                </w:p>
              </w:tc>
              <w:tc>
                <w:tcPr>
                  <w:tcW w:w="80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白鹤山</w:t>
                  </w:r>
                </w:p>
              </w:tc>
              <w:tc>
                <w:tcPr>
                  <w:tcW w:w="1561"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县界</w:t>
                  </w:r>
                </w:p>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(达川区-→渠县)</w:t>
                  </w:r>
                </w:p>
              </w:tc>
              <w:tc>
                <w:tcPr>
                  <w:tcW w:w="1180"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省控考核评价</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III</w:t>
                  </w:r>
                </w:p>
              </w:tc>
              <w:tc>
                <w:tcPr>
                  <w:tcW w:w="61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III</w:t>
                  </w:r>
                </w:p>
              </w:tc>
              <w:tc>
                <w:tcPr>
                  <w:tcW w:w="620"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r>
                    <w:rPr>
                      <w:rFonts w:ascii="Times New Roman" w:hAnsi="Times New Roman"/>
                      <w:sz w:val="18"/>
                      <w:szCs w:val="18"/>
                    </w:rPr>
                    <w:t>III</w:t>
                  </w:r>
                </w:p>
              </w:tc>
              <w:tc>
                <w:tcPr>
                  <w:tcW w:w="1242" w:type="dxa"/>
                  <w:tcBorders>
                    <w:top w:val="single" w:color="000000" w:sz="6" w:space="0"/>
                    <w:left w:val="single" w:color="000000" w:sz="6" w:space="0"/>
                    <w:bottom w:val="single" w:color="000000" w:sz="6" w:space="0"/>
                    <w:right w:val="single" w:color="000000" w:sz="6" w:space="0"/>
                  </w:tcBorders>
                  <w:noWrap w:val="0"/>
                  <w:vAlign w:val="center"/>
                </w:tcPr>
                <w:p>
                  <w:pPr>
                    <w:pStyle w:val="24"/>
                    <w:spacing w:before="0" w:beforeAutospacing="0" w:after="0" w:afterAutospacing="0" w:line="400" w:lineRule="exact"/>
                    <w:jc w:val="center"/>
                    <w:rPr>
                      <w:rFonts w:ascii="Times New Roman" w:hAnsi="Times New Roman"/>
                      <w:sz w:val="18"/>
                      <w:szCs w:val="18"/>
                    </w:rPr>
                  </w:pPr>
                </w:p>
              </w:tc>
            </w:tr>
          </w:tbl>
          <w:p>
            <w:pPr>
              <w:autoSpaceDE w:val="0"/>
              <w:autoSpaceDN w:val="0"/>
              <w:adjustRightInd w:val="0"/>
              <w:spacing w:line="400" w:lineRule="exact"/>
              <w:ind w:firstLine="420" w:firstLineChars="200"/>
              <w:rPr>
                <w:kern w:val="0"/>
                <w:szCs w:val="21"/>
                <w:lang w:bidi="ar"/>
              </w:rPr>
            </w:pPr>
            <w:r>
              <w:rPr>
                <w:kern w:val="0"/>
                <w:szCs w:val="21"/>
                <w:lang w:bidi="ar"/>
              </w:rPr>
              <w:t>本项目属于州河水系，与项目区相距较近的监测断面为州河车家河断面。根据上表例行监测数据表明：项目区域地表水体州河的车家河监测断面的水质能够满足《地表水环境质量标准》（GB3838-2002）Ⅲ类水域水质标准。</w:t>
            </w:r>
          </w:p>
          <w:p>
            <w:pPr>
              <w:spacing w:line="360" w:lineRule="auto"/>
              <w:ind w:firstLine="420" w:firstLineChars="200"/>
              <w:rPr>
                <w:b/>
                <w:bCs/>
                <w:szCs w:val="21"/>
              </w:rPr>
            </w:pPr>
            <w:r>
              <w:rPr>
                <w:szCs w:val="21"/>
              </w:rPr>
              <w:t>3、</w:t>
            </w:r>
            <w:r>
              <w:rPr>
                <w:b/>
                <w:bCs/>
                <w:szCs w:val="21"/>
              </w:rPr>
              <w:t>声环境质量现状评价</w:t>
            </w:r>
          </w:p>
          <w:p>
            <w:pPr>
              <w:spacing w:line="360" w:lineRule="auto"/>
              <w:ind w:firstLine="413" w:firstLineChars="197"/>
              <w:rPr>
                <w:szCs w:val="21"/>
              </w:rPr>
            </w:pPr>
            <w:r>
              <w:rPr>
                <w:szCs w:val="21"/>
              </w:rPr>
              <w:t>为了解区域环境噪声现在，本次评价委托达州恒福环境检测服务有限公司进行了现状检测，具体监测结果见下表。</w:t>
            </w:r>
          </w:p>
          <w:p>
            <w:pPr>
              <w:spacing w:line="400" w:lineRule="exact"/>
              <w:jc w:val="center"/>
              <w:rPr>
                <w:rFonts w:eastAsia="黑体"/>
                <w:sz w:val="18"/>
                <w:szCs w:val="18"/>
              </w:rPr>
            </w:pPr>
            <w:r>
              <w:rPr>
                <w:rFonts w:eastAsia="黑体"/>
                <w:sz w:val="18"/>
                <w:szCs w:val="18"/>
              </w:rPr>
              <w:t>表3-2：环境噪声环境现状评价结果  单位：dB(A)</w:t>
            </w:r>
          </w:p>
          <w:tbl>
            <w:tblPr>
              <w:tblStyle w:val="26"/>
              <w:tblW w:w="7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1134"/>
              <w:gridCol w:w="708"/>
              <w:gridCol w:w="773"/>
              <w:gridCol w:w="645"/>
              <w:gridCol w:w="709"/>
              <w:gridCol w:w="708"/>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410" w:type="dxa"/>
                  <w:vMerge w:val="restart"/>
                  <w:noWrap w:val="0"/>
                  <w:vAlign w:val="center"/>
                </w:tcPr>
                <w:p>
                  <w:pPr>
                    <w:widowControl/>
                    <w:spacing w:line="400" w:lineRule="exact"/>
                    <w:jc w:val="center"/>
                    <w:rPr>
                      <w:kern w:val="0"/>
                      <w:sz w:val="18"/>
                      <w:szCs w:val="18"/>
                    </w:rPr>
                  </w:pPr>
                  <w:r>
                    <w:rPr>
                      <w:kern w:val="0"/>
                      <w:sz w:val="18"/>
                      <w:szCs w:val="18"/>
                    </w:rPr>
                    <w:t>监测点位</w:t>
                  </w:r>
                </w:p>
              </w:tc>
              <w:tc>
                <w:tcPr>
                  <w:tcW w:w="1134" w:type="dxa"/>
                  <w:vMerge w:val="restart"/>
                  <w:noWrap w:val="0"/>
                  <w:vAlign w:val="center"/>
                </w:tcPr>
                <w:p>
                  <w:pPr>
                    <w:widowControl/>
                    <w:spacing w:line="400" w:lineRule="exact"/>
                    <w:jc w:val="center"/>
                    <w:rPr>
                      <w:kern w:val="0"/>
                      <w:sz w:val="18"/>
                      <w:szCs w:val="18"/>
                    </w:rPr>
                  </w:pPr>
                  <w:r>
                    <w:rPr>
                      <w:kern w:val="0"/>
                      <w:sz w:val="18"/>
                      <w:szCs w:val="18"/>
                    </w:rPr>
                    <w:t>监测时间</w:t>
                  </w:r>
                </w:p>
              </w:tc>
              <w:tc>
                <w:tcPr>
                  <w:tcW w:w="1481" w:type="dxa"/>
                  <w:gridSpan w:val="2"/>
                  <w:noWrap w:val="0"/>
                  <w:vAlign w:val="center"/>
                </w:tcPr>
                <w:p>
                  <w:pPr>
                    <w:widowControl/>
                    <w:spacing w:line="400" w:lineRule="exact"/>
                    <w:jc w:val="center"/>
                    <w:rPr>
                      <w:kern w:val="0"/>
                      <w:sz w:val="18"/>
                      <w:szCs w:val="18"/>
                    </w:rPr>
                  </w:pPr>
                  <w:r>
                    <w:rPr>
                      <w:kern w:val="0"/>
                      <w:sz w:val="18"/>
                      <w:szCs w:val="18"/>
                    </w:rPr>
                    <w:t>监测结果</w:t>
                  </w:r>
                </w:p>
              </w:tc>
              <w:tc>
                <w:tcPr>
                  <w:tcW w:w="1354" w:type="dxa"/>
                  <w:gridSpan w:val="2"/>
                  <w:noWrap w:val="0"/>
                  <w:vAlign w:val="center"/>
                </w:tcPr>
                <w:p>
                  <w:pPr>
                    <w:widowControl/>
                    <w:spacing w:line="400" w:lineRule="exact"/>
                    <w:jc w:val="center"/>
                    <w:rPr>
                      <w:kern w:val="0"/>
                      <w:sz w:val="18"/>
                      <w:szCs w:val="18"/>
                    </w:rPr>
                  </w:pPr>
                  <w:r>
                    <w:rPr>
                      <w:kern w:val="0"/>
                      <w:sz w:val="18"/>
                      <w:szCs w:val="18"/>
                    </w:rPr>
                    <w:t>评价标准</w:t>
                  </w:r>
                </w:p>
              </w:tc>
              <w:tc>
                <w:tcPr>
                  <w:tcW w:w="1407" w:type="dxa"/>
                  <w:gridSpan w:val="2"/>
                  <w:noWrap w:val="0"/>
                  <w:vAlign w:val="center"/>
                </w:tcPr>
                <w:p>
                  <w:pPr>
                    <w:widowControl/>
                    <w:spacing w:line="400" w:lineRule="exact"/>
                    <w:jc w:val="center"/>
                    <w:rPr>
                      <w:kern w:val="0"/>
                      <w:sz w:val="18"/>
                      <w:szCs w:val="18"/>
                    </w:rPr>
                  </w:pPr>
                  <w:r>
                    <w:rPr>
                      <w:kern w:val="0"/>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2410" w:type="dxa"/>
                  <w:vMerge w:val="continue"/>
                  <w:noWrap w:val="0"/>
                  <w:vAlign w:val="center"/>
                </w:tcPr>
                <w:p>
                  <w:pPr>
                    <w:widowControl/>
                    <w:spacing w:line="400" w:lineRule="exact"/>
                    <w:jc w:val="center"/>
                    <w:rPr>
                      <w:kern w:val="0"/>
                      <w:sz w:val="18"/>
                      <w:szCs w:val="18"/>
                    </w:rPr>
                  </w:pPr>
                </w:p>
              </w:tc>
              <w:tc>
                <w:tcPr>
                  <w:tcW w:w="1134" w:type="dxa"/>
                  <w:vMerge w:val="continue"/>
                  <w:noWrap w:val="0"/>
                  <w:vAlign w:val="center"/>
                </w:tcPr>
                <w:p>
                  <w:pPr>
                    <w:widowControl/>
                    <w:spacing w:line="400" w:lineRule="exact"/>
                    <w:jc w:val="center"/>
                    <w:rPr>
                      <w:kern w:val="0"/>
                      <w:sz w:val="18"/>
                      <w:szCs w:val="18"/>
                    </w:rPr>
                  </w:pPr>
                </w:p>
              </w:tc>
              <w:tc>
                <w:tcPr>
                  <w:tcW w:w="708" w:type="dxa"/>
                  <w:noWrap w:val="0"/>
                  <w:vAlign w:val="center"/>
                </w:tcPr>
                <w:p>
                  <w:pPr>
                    <w:widowControl/>
                    <w:spacing w:line="400" w:lineRule="exact"/>
                    <w:jc w:val="center"/>
                    <w:rPr>
                      <w:kern w:val="0"/>
                      <w:sz w:val="18"/>
                      <w:szCs w:val="18"/>
                    </w:rPr>
                  </w:pPr>
                  <w:r>
                    <w:rPr>
                      <w:kern w:val="0"/>
                      <w:sz w:val="18"/>
                      <w:szCs w:val="18"/>
                    </w:rPr>
                    <w:t>昼间</w:t>
                  </w:r>
                </w:p>
              </w:tc>
              <w:tc>
                <w:tcPr>
                  <w:tcW w:w="773" w:type="dxa"/>
                  <w:noWrap w:val="0"/>
                  <w:vAlign w:val="center"/>
                </w:tcPr>
                <w:p>
                  <w:pPr>
                    <w:widowControl/>
                    <w:spacing w:line="400" w:lineRule="exact"/>
                    <w:jc w:val="center"/>
                    <w:rPr>
                      <w:kern w:val="0"/>
                      <w:sz w:val="18"/>
                      <w:szCs w:val="18"/>
                    </w:rPr>
                  </w:pPr>
                  <w:r>
                    <w:rPr>
                      <w:kern w:val="0"/>
                      <w:sz w:val="18"/>
                      <w:szCs w:val="18"/>
                    </w:rPr>
                    <w:t>夜间</w:t>
                  </w:r>
                </w:p>
              </w:tc>
              <w:tc>
                <w:tcPr>
                  <w:tcW w:w="645" w:type="dxa"/>
                  <w:noWrap w:val="0"/>
                  <w:vAlign w:val="center"/>
                </w:tcPr>
                <w:p>
                  <w:pPr>
                    <w:widowControl/>
                    <w:spacing w:line="400" w:lineRule="exact"/>
                    <w:jc w:val="center"/>
                    <w:rPr>
                      <w:kern w:val="0"/>
                      <w:sz w:val="18"/>
                      <w:szCs w:val="18"/>
                    </w:rPr>
                  </w:pPr>
                  <w:r>
                    <w:rPr>
                      <w:kern w:val="0"/>
                      <w:sz w:val="18"/>
                      <w:szCs w:val="18"/>
                    </w:rPr>
                    <w:t>昼间</w:t>
                  </w:r>
                </w:p>
              </w:tc>
              <w:tc>
                <w:tcPr>
                  <w:tcW w:w="709" w:type="dxa"/>
                  <w:noWrap w:val="0"/>
                  <w:vAlign w:val="center"/>
                </w:tcPr>
                <w:p>
                  <w:pPr>
                    <w:widowControl/>
                    <w:spacing w:line="400" w:lineRule="exact"/>
                    <w:jc w:val="center"/>
                    <w:rPr>
                      <w:kern w:val="0"/>
                      <w:sz w:val="18"/>
                      <w:szCs w:val="18"/>
                    </w:rPr>
                  </w:pPr>
                  <w:r>
                    <w:rPr>
                      <w:kern w:val="0"/>
                      <w:sz w:val="18"/>
                      <w:szCs w:val="18"/>
                    </w:rPr>
                    <w:t>夜间</w:t>
                  </w:r>
                </w:p>
              </w:tc>
              <w:tc>
                <w:tcPr>
                  <w:tcW w:w="708" w:type="dxa"/>
                  <w:noWrap w:val="0"/>
                  <w:vAlign w:val="center"/>
                </w:tcPr>
                <w:p>
                  <w:pPr>
                    <w:widowControl/>
                    <w:spacing w:line="400" w:lineRule="exact"/>
                    <w:jc w:val="center"/>
                    <w:rPr>
                      <w:kern w:val="0"/>
                      <w:sz w:val="18"/>
                      <w:szCs w:val="18"/>
                    </w:rPr>
                  </w:pPr>
                  <w:r>
                    <w:rPr>
                      <w:kern w:val="0"/>
                      <w:sz w:val="18"/>
                      <w:szCs w:val="18"/>
                    </w:rPr>
                    <w:t>昼间</w:t>
                  </w:r>
                </w:p>
              </w:tc>
              <w:tc>
                <w:tcPr>
                  <w:tcW w:w="699" w:type="dxa"/>
                  <w:noWrap w:val="0"/>
                  <w:vAlign w:val="center"/>
                </w:tcPr>
                <w:p>
                  <w:pPr>
                    <w:widowControl/>
                    <w:spacing w:line="400" w:lineRule="exact"/>
                    <w:jc w:val="center"/>
                    <w:rPr>
                      <w:kern w:val="0"/>
                      <w:sz w:val="18"/>
                      <w:szCs w:val="18"/>
                    </w:rPr>
                  </w:pPr>
                  <w:r>
                    <w:rPr>
                      <w:kern w:val="0"/>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2410" w:type="dxa"/>
                  <w:noWrap w:val="0"/>
                  <w:vAlign w:val="center"/>
                </w:tcPr>
                <w:p>
                  <w:pPr>
                    <w:widowControl/>
                    <w:spacing w:line="400" w:lineRule="exact"/>
                    <w:jc w:val="center"/>
                    <w:rPr>
                      <w:kern w:val="0"/>
                      <w:sz w:val="18"/>
                      <w:szCs w:val="18"/>
                    </w:rPr>
                  </w:pPr>
                  <w:r>
                    <w:rPr>
                      <w:kern w:val="0"/>
                      <w:sz w:val="18"/>
                      <w:szCs w:val="18"/>
                    </w:rPr>
                    <w:t>5#（拟建项目南界）</w:t>
                  </w:r>
                </w:p>
              </w:tc>
              <w:tc>
                <w:tcPr>
                  <w:tcW w:w="1134" w:type="dxa"/>
                  <w:noWrap w:val="0"/>
                  <w:vAlign w:val="center"/>
                </w:tcPr>
                <w:p>
                  <w:pPr>
                    <w:spacing w:line="400" w:lineRule="exact"/>
                    <w:jc w:val="center"/>
                    <w:rPr>
                      <w:sz w:val="18"/>
                      <w:szCs w:val="18"/>
                    </w:rPr>
                  </w:pPr>
                  <w:r>
                    <w:rPr>
                      <w:sz w:val="18"/>
                      <w:szCs w:val="18"/>
                    </w:rPr>
                    <w:t>2022.10.16</w:t>
                  </w:r>
                </w:p>
              </w:tc>
              <w:tc>
                <w:tcPr>
                  <w:tcW w:w="708" w:type="dxa"/>
                  <w:noWrap w:val="0"/>
                  <w:vAlign w:val="bottom"/>
                </w:tcPr>
                <w:p>
                  <w:pPr>
                    <w:spacing w:line="400" w:lineRule="exact"/>
                    <w:jc w:val="center"/>
                    <w:rPr>
                      <w:sz w:val="18"/>
                      <w:szCs w:val="18"/>
                    </w:rPr>
                  </w:pPr>
                  <w:r>
                    <w:rPr>
                      <w:sz w:val="18"/>
                      <w:szCs w:val="18"/>
                    </w:rPr>
                    <w:t>52</w:t>
                  </w:r>
                </w:p>
              </w:tc>
              <w:tc>
                <w:tcPr>
                  <w:tcW w:w="773" w:type="dxa"/>
                  <w:noWrap w:val="0"/>
                  <w:vAlign w:val="bottom"/>
                </w:tcPr>
                <w:p>
                  <w:pPr>
                    <w:spacing w:line="400" w:lineRule="exact"/>
                    <w:jc w:val="center"/>
                    <w:rPr>
                      <w:sz w:val="18"/>
                      <w:szCs w:val="18"/>
                    </w:rPr>
                  </w:pPr>
                  <w:r>
                    <w:rPr>
                      <w:sz w:val="18"/>
                      <w:szCs w:val="18"/>
                    </w:rPr>
                    <w:t>42</w:t>
                  </w:r>
                </w:p>
              </w:tc>
              <w:tc>
                <w:tcPr>
                  <w:tcW w:w="645" w:type="dxa"/>
                  <w:noWrap w:val="0"/>
                  <w:vAlign w:val="center"/>
                </w:tcPr>
                <w:p>
                  <w:pPr>
                    <w:widowControl/>
                    <w:spacing w:line="400" w:lineRule="exact"/>
                    <w:jc w:val="center"/>
                    <w:rPr>
                      <w:kern w:val="0"/>
                      <w:sz w:val="18"/>
                      <w:szCs w:val="18"/>
                    </w:rPr>
                  </w:pPr>
                  <w:r>
                    <w:rPr>
                      <w:kern w:val="0"/>
                      <w:sz w:val="18"/>
                      <w:szCs w:val="18"/>
                    </w:rPr>
                    <w:t>60</w:t>
                  </w:r>
                </w:p>
              </w:tc>
              <w:tc>
                <w:tcPr>
                  <w:tcW w:w="709" w:type="dxa"/>
                  <w:noWrap w:val="0"/>
                  <w:vAlign w:val="center"/>
                </w:tcPr>
                <w:p>
                  <w:pPr>
                    <w:widowControl/>
                    <w:spacing w:line="400" w:lineRule="exact"/>
                    <w:jc w:val="center"/>
                    <w:rPr>
                      <w:kern w:val="0"/>
                      <w:sz w:val="18"/>
                      <w:szCs w:val="18"/>
                    </w:rPr>
                  </w:pPr>
                  <w:r>
                    <w:rPr>
                      <w:kern w:val="0"/>
                      <w:sz w:val="18"/>
                      <w:szCs w:val="18"/>
                    </w:rPr>
                    <w:t>50</w:t>
                  </w:r>
                </w:p>
              </w:tc>
              <w:tc>
                <w:tcPr>
                  <w:tcW w:w="708" w:type="dxa"/>
                  <w:noWrap w:val="0"/>
                  <w:vAlign w:val="center"/>
                </w:tcPr>
                <w:p>
                  <w:pPr>
                    <w:spacing w:line="400" w:lineRule="exact"/>
                    <w:jc w:val="center"/>
                    <w:rPr>
                      <w:sz w:val="18"/>
                      <w:szCs w:val="18"/>
                    </w:rPr>
                  </w:pPr>
                  <w:r>
                    <w:rPr>
                      <w:sz w:val="18"/>
                      <w:szCs w:val="18"/>
                    </w:rPr>
                    <w:t>达标</w:t>
                  </w:r>
                </w:p>
              </w:tc>
              <w:tc>
                <w:tcPr>
                  <w:tcW w:w="699" w:type="dxa"/>
                  <w:noWrap w:val="0"/>
                  <w:vAlign w:val="center"/>
                </w:tcPr>
                <w:p>
                  <w:pPr>
                    <w:spacing w:line="400" w:lineRule="exact"/>
                    <w:jc w:val="center"/>
                    <w:rPr>
                      <w:sz w:val="18"/>
                      <w:szCs w:val="18"/>
                    </w:rPr>
                  </w:pPr>
                  <w:r>
                    <w:rPr>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2410" w:type="dxa"/>
                  <w:noWrap w:val="0"/>
                  <w:vAlign w:val="center"/>
                </w:tcPr>
                <w:p>
                  <w:pPr>
                    <w:widowControl/>
                    <w:spacing w:line="400" w:lineRule="exact"/>
                    <w:jc w:val="center"/>
                    <w:rPr>
                      <w:kern w:val="0"/>
                      <w:sz w:val="18"/>
                      <w:szCs w:val="18"/>
                    </w:rPr>
                  </w:pPr>
                  <w:r>
                    <w:rPr>
                      <w:kern w:val="0"/>
                      <w:sz w:val="18"/>
                      <w:szCs w:val="18"/>
                    </w:rPr>
                    <w:t>6#（拟建项目西界）</w:t>
                  </w:r>
                </w:p>
              </w:tc>
              <w:tc>
                <w:tcPr>
                  <w:tcW w:w="1134" w:type="dxa"/>
                  <w:noWrap w:val="0"/>
                  <w:vAlign w:val="center"/>
                </w:tcPr>
                <w:p>
                  <w:pPr>
                    <w:spacing w:line="400" w:lineRule="exact"/>
                    <w:jc w:val="center"/>
                    <w:rPr>
                      <w:sz w:val="18"/>
                      <w:szCs w:val="18"/>
                    </w:rPr>
                  </w:pPr>
                  <w:r>
                    <w:rPr>
                      <w:sz w:val="18"/>
                      <w:szCs w:val="18"/>
                    </w:rPr>
                    <w:t>2022.10.16</w:t>
                  </w:r>
                </w:p>
              </w:tc>
              <w:tc>
                <w:tcPr>
                  <w:tcW w:w="708" w:type="dxa"/>
                  <w:noWrap w:val="0"/>
                  <w:vAlign w:val="bottom"/>
                </w:tcPr>
                <w:p>
                  <w:pPr>
                    <w:spacing w:line="400" w:lineRule="exact"/>
                    <w:jc w:val="center"/>
                    <w:rPr>
                      <w:sz w:val="18"/>
                      <w:szCs w:val="18"/>
                    </w:rPr>
                  </w:pPr>
                  <w:r>
                    <w:rPr>
                      <w:sz w:val="18"/>
                      <w:szCs w:val="18"/>
                    </w:rPr>
                    <w:t>55</w:t>
                  </w:r>
                </w:p>
              </w:tc>
              <w:tc>
                <w:tcPr>
                  <w:tcW w:w="773" w:type="dxa"/>
                  <w:noWrap w:val="0"/>
                  <w:vAlign w:val="bottom"/>
                </w:tcPr>
                <w:p>
                  <w:pPr>
                    <w:spacing w:line="400" w:lineRule="exact"/>
                    <w:jc w:val="center"/>
                    <w:rPr>
                      <w:sz w:val="18"/>
                      <w:szCs w:val="18"/>
                    </w:rPr>
                  </w:pPr>
                  <w:r>
                    <w:rPr>
                      <w:sz w:val="18"/>
                      <w:szCs w:val="18"/>
                    </w:rPr>
                    <w:t>43</w:t>
                  </w:r>
                </w:p>
              </w:tc>
              <w:tc>
                <w:tcPr>
                  <w:tcW w:w="645" w:type="dxa"/>
                  <w:noWrap w:val="0"/>
                  <w:vAlign w:val="center"/>
                </w:tcPr>
                <w:p>
                  <w:pPr>
                    <w:widowControl/>
                    <w:spacing w:line="400" w:lineRule="exact"/>
                    <w:jc w:val="center"/>
                    <w:rPr>
                      <w:kern w:val="0"/>
                      <w:sz w:val="18"/>
                      <w:szCs w:val="18"/>
                    </w:rPr>
                  </w:pPr>
                  <w:r>
                    <w:rPr>
                      <w:kern w:val="0"/>
                      <w:sz w:val="18"/>
                      <w:szCs w:val="18"/>
                    </w:rPr>
                    <w:t>60</w:t>
                  </w:r>
                </w:p>
              </w:tc>
              <w:tc>
                <w:tcPr>
                  <w:tcW w:w="709" w:type="dxa"/>
                  <w:noWrap w:val="0"/>
                  <w:vAlign w:val="center"/>
                </w:tcPr>
                <w:p>
                  <w:pPr>
                    <w:widowControl/>
                    <w:spacing w:line="400" w:lineRule="exact"/>
                    <w:jc w:val="center"/>
                    <w:rPr>
                      <w:kern w:val="0"/>
                      <w:sz w:val="18"/>
                      <w:szCs w:val="18"/>
                    </w:rPr>
                  </w:pPr>
                  <w:r>
                    <w:rPr>
                      <w:kern w:val="0"/>
                      <w:sz w:val="18"/>
                      <w:szCs w:val="18"/>
                    </w:rPr>
                    <w:t>50</w:t>
                  </w:r>
                </w:p>
              </w:tc>
              <w:tc>
                <w:tcPr>
                  <w:tcW w:w="708" w:type="dxa"/>
                  <w:noWrap w:val="0"/>
                  <w:vAlign w:val="center"/>
                </w:tcPr>
                <w:p>
                  <w:pPr>
                    <w:spacing w:line="400" w:lineRule="exact"/>
                    <w:jc w:val="center"/>
                    <w:rPr>
                      <w:sz w:val="18"/>
                      <w:szCs w:val="18"/>
                    </w:rPr>
                  </w:pPr>
                  <w:r>
                    <w:rPr>
                      <w:sz w:val="18"/>
                      <w:szCs w:val="18"/>
                    </w:rPr>
                    <w:t>达标</w:t>
                  </w:r>
                </w:p>
              </w:tc>
              <w:tc>
                <w:tcPr>
                  <w:tcW w:w="699" w:type="dxa"/>
                  <w:noWrap w:val="0"/>
                  <w:vAlign w:val="center"/>
                </w:tcPr>
                <w:p>
                  <w:pPr>
                    <w:spacing w:line="400" w:lineRule="exact"/>
                    <w:jc w:val="center"/>
                    <w:rPr>
                      <w:sz w:val="18"/>
                      <w:szCs w:val="18"/>
                    </w:rPr>
                  </w:pPr>
                  <w:r>
                    <w:rPr>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2410" w:type="dxa"/>
                  <w:noWrap w:val="0"/>
                  <w:vAlign w:val="center"/>
                </w:tcPr>
                <w:p>
                  <w:pPr>
                    <w:widowControl/>
                    <w:spacing w:line="400" w:lineRule="exact"/>
                    <w:jc w:val="center"/>
                    <w:rPr>
                      <w:kern w:val="0"/>
                      <w:sz w:val="18"/>
                      <w:szCs w:val="18"/>
                    </w:rPr>
                  </w:pPr>
                  <w:r>
                    <w:rPr>
                      <w:kern w:val="0"/>
                      <w:sz w:val="18"/>
                      <w:szCs w:val="18"/>
                    </w:rPr>
                    <w:t>7#（拟建项目北界）</w:t>
                  </w:r>
                </w:p>
              </w:tc>
              <w:tc>
                <w:tcPr>
                  <w:tcW w:w="1134" w:type="dxa"/>
                  <w:noWrap w:val="0"/>
                  <w:vAlign w:val="center"/>
                </w:tcPr>
                <w:p>
                  <w:pPr>
                    <w:spacing w:line="400" w:lineRule="exact"/>
                    <w:jc w:val="center"/>
                    <w:rPr>
                      <w:sz w:val="18"/>
                      <w:szCs w:val="18"/>
                    </w:rPr>
                  </w:pPr>
                  <w:r>
                    <w:rPr>
                      <w:sz w:val="18"/>
                      <w:szCs w:val="18"/>
                    </w:rPr>
                    <w:t>2022.10.16</w:t>
                  </w:r>
                </w:p>
              </w:tc>
              <w:tc>
                <w:tcPr>
                  <w:tcW w:w="708" w:type="dxa"/>
                  <w:noWrap w:val="0"/>
                  <w:vAlign w:val="bottom"/>
                </w:tcPr>
                <w:p>
                  <w:pPr>
                    <w:spacing w:line="400" w:lineRule="exact"/>
                    <w:jc w:val="center"/>
                    <w:rPr>
                      <w:sz w:val="18"/>
                      <w:szCs w:val="18"/>
                    </w:rPr>
                  </w:pPr>
                  <w:r>
                    <w:rPr>
                      <w:sz w:val="18"/>
                      <w:szCs w:val="18"/>
                    </w:rPr>
                    <w:t>57</w:t>
                  </w:r>
                </w:p>
              </w:tc>
              <w:tc>
                <w:tcPr>
                  <w:tcW w:w="773" w:type="dxa"/>
                  <w:noWrap w:val="0"/>
                  <w:vAlign w:val="bottom"/>
                </w:tcPr>
                <w:p>
                  <w:pPr>
                    <w:spacing w:line="400" w:lineRule="exact"/>
                    <w:jc w:val="center"/>
                    <w:rPr>
                      <w:sz w:val="18"/>
                      <w:szCs w:val="18"/>
                    </w:rPr>
                  </w:pPr>
                  <w:r>
                    <w:rPr>
                      <w:sz w:val="18"/>
                      <w:szCs w:val="18"/>
                    </w:rPr>
                    <w:t>44</w:t>
                  </w:r>
                </w:p>
              </w:tc>
              <w:tc>
                <w:tcPr>
                  <w:tcW w:w="645" w:type="dxa"/>
                  <w:noWrap w:val="0"/>
                  <w:vAlign w:val="center"/>
                </w:tcPr>
                <w:p>
                  <w:pPr>
                    <w:widowControl/>
                    <w:spacing w:line="400" w:lineRule="exact"/>
                    <w:jc w:val="center"/>
                    <w:rPr>
                      <w:kern w:val="0"/>
                      <w:sz w:val="18"/>
                      <w:szCs w:val="18"/>
                    </w:rPr>
                  </w:pPr>
                  <w:r>
                    <w:rPr>
                      <w:kern w:val="0"/>
                      <w:sz w:val="18"/>
                      <w:szCs w:val="18"/>
                    </w:rPr>
                    <w:t>60</w:t>
                  </w:r>
                </w:p>
              </w:tc>
              <w:tc>
                <w:tcPr>
                  <w:tcW w:w="709" w:type="dxa"/>
                  <w:noWrap w:val="0"/>
                  <w:vAlign w:val="center"/>
                </w:tcPr>
                <w:p>
                  <w:pPr>
                    <w:widowControl/>
                    <w:spacing w:line="400" w:lineRule="exact"/>
                    <w:jc w:val="center"/>
                    <w:rPr>
                      <w:kern w:val="0"/>
                      <w:sz w:val="18"/>
                      <w:szCs w:val="18"/>
                    </w:rPr>
                  </w:pPr>
                  <w:r>
                    <w:rPr>
                      <w:kern w:val="0"/>
                      <w:sz w:val="18"/>
                      <w:szCs w:val="18"/>
                    </w:rPr>
                    <w:t>50</w:t>
                  </w:r>
                </w:p>
              </w:tc>
              <w:tc>
                <w:tcPr>
                  <w:tcW w:w="708" w:type="dxa"/>
                  <w:noWrap w:val="0"/>
                  <w:vAlign w:val="center"/>
                </w:tcPr>
                <w:p>
                  <w:pPr>
                    <w:spacing w:line="400" w:lineRule="exact"/>
                    <w:jc w:val="center"/>
                    <w:rPr>
                      <w:sz w:val="18"/>
                      <w:szCs w:val="18"/>
                    </w:rPr>
                  </w:pPr>
                  <w:r>
                    <w:rPr>
                      <w:sz w:val="18"/>
                      <w:szCs w:val="18"/>
                    </w:rPr>
                    <w:t>达标</w:t>
                  </w:r>
                </w:p>
              </w:tc>
              <w:tc>
                <w:tcPr>
                  <w:tcW w:w="699" w:type="dxa"/>
                  <w:noWrap w:val="0"/>
                  <w:vAlign w:val="center"/>
                </w:tcPr>
                <w:p>
                  <w:pPr>
                    <w:spacing w:line="400" w:lineRule="exact"/>
                    <w:jc w:val="center"/>
                    <w:rPr>
                      <w:sz w:val="18"/>
                      <w:szCs w:val="18"/>
                    </w:rPr>
                  </w:pPr>
                  <w:r>
                    <w:rPr>
                      <w:sz w:val="18"/>
                      <w:szCs w:val="18"/>
                    </w:rPr>
                    <w:t>达标</w:t>
                  </w:r>
                </w:p>
              </w:tc>
            </w:tr>
          </w:tbl>
          <w:p>
            <w:pPr>
              <w:spacing w:line="360" w:lineRule="auto"/>
              <w:ind w:firstLine="413" w:firstLineChars="197"/>
              <w:rPr>
                <w:szCs w:val="21"/>
              </w:rPr>
            </w:pPr>
            <w:r>
              <w:rPr>
                <w:szCs w:val="28"/>
                <w:lang w:val="zh-CN"/>
              </w:rPr>
              <w:t>由上表监测结果可知，</w:t>
            </w:r>
            <w:r>
              <w:rPr>
                <w:kern w:val="0"/>
                <w:szCs w:val="21"/>
              </w:rPr>
              <w:t>项目区周边噪声监测点位的监测结果均满足</w:t>
            </w:r>
            <w:r>
              <w:rPr>
                <w:szCs w:val="21"/>
              </w:rPr>
              <w:t>《声环境质量标准》（GB3096-2008）中的2类标准要求。</w:t>
            </w:r>
          </w:p>
          <w:p>
            <w:pPr>
              <w:spacing w:line="276" w:lineRule="auto"/>
              <w:ind w:firstLine="422" w:firstLineChars="200"/>
              <w:rPr>
                <w:rFonts w:hint="eastAsia" w:cs="Times New Roman"/>
                <w:b/>
                <w:bCs/>
                <w:szCs w:val="21"/>
              </w:rPr>
            </w:pPr>
            <w:r>
              <w:rPr>
                <w:rFonts w:hint="eastAsia" w:cs="Times New Roman"/>
                <w:b/>
                <w:bCs/>
                <w:szCs w:val="21"/>
              </w:rPr>
              <w:t>4、地下水环境现状</w:t>
            </w:r>
          </w:p>
          <w:p>
            <w:pPr>
              <w:spacing w:line="276" w:lineRule="auto"/>
              <w:ind w:firstLine="420" w:firstLineChars="200"/>
              <w:rPr>
                <w:rFonts w:hint="eastAsia" w:cs="Times New Roman"/>
                <w:szCs w:val="21"/>
              </w:rPr>
            </w:pPr>
            <w:r>
              <w:rPr>
                <w:rFonts w:hint="eastAsia" w:cs="Times New Roman"/>
                <w:szCs w:val="21"/>
              </w:rPr>
              <w:t>根据《环境影响评价技术导则-地下水环境》(HJ610-2016)“附录A（规范性附录）地下水环境影响评价行业分类表”的划分，本项目对应“U城镇基础设施及房地产-143自来水生产和供应工程”的“全部”类别，为报告表，属于地下水环境影响评价项目类别中的Ⅳ类，可不开展地下水环境影响评价工作。</w:t>
            </w:r>
          </w:p>
          <w:p>
            <w:pPr>
              <w:spacing w:line="276" w:lineRule="auto"/>
              <w:ind w:firstLine="422" w:firstLineChars="200"/>
              <w:rPr>
                <w:rFonts w:hint="eastAsia" w:cs="Times New Roman"/>
                <w:b/>
                <w:bCs/>
                <w:szCs w:val="21"/>
              </w:rPr>
            </w:pPr>
            <w:r>
              <w:rPr>
                <w:rFonts w:hint="eastAsia" w:cs="Times New Roman"/>
                <w:b/>
                <w:bCs/>
                <w:szCs w:val="21"/>
              </w:rPr>
              <w:t>5、土壤环境现状</w:t>
            </w:r>
          </w:p>
          <w:p>
            <w:pPr>
              <w:spacing w:line="276" w:lineRule="auto"/>
              <w:ind w:firstLine="420" w:firstLineChars="200"/>
              <w:rPr>
                <w:rFonts w:hint="eastAsia" w:cs="Times New Roman"/>
                <w:szCs w:val="21"/>
              </w:rPr>
            </w:pPr>
            <w:r>
              <w:rPr>
                <w:rFonts w:hint="eastAsia" w:cs="Times New Roman"/>
                <w:szCs w:val="21"/>
              </w:rPr>
              <w:t>根据《环境影响评价技术导则土壤环境（试行）》（HJ 964-2018）附录A，本项目属于其他行业，土壤环境影响评价项目类别为Ⅳ类，可不开展土壤环境影响评价。</w:t>
            </w:r>
          </w:p>
          <w:p>
            <w:pPr>
              <w:spacing w:line="360" w:lineRule="auto"/>
              <w:ind w:firstLine="420" w:firstLineChars="200"/>
              <w:jc w:val="left"/>
              <w:rPr>
                <w:b/>
                <w:bCs/>
                <w:szCs w:val="21"/>
              </w:rPr>
            </w:pPr>
            <w:r>
              <w:rPr>
                <w:rFonts w:hint="eastAsia"/>
                <w:szCs w:val="21"/>
              </w:rPr>
              <w:t>6</w:t>
            </w:r>
            <w:r>
              <w:rPr>
                <w:szCs w:val="21"/>
              </w:rPr>
              <w:t>、</w:t>
            </w:r>
            <w:r>
              <w:rPr>
                <w:b/>
                <w:bCs/>
                <w:szCs w:val="21"/>
              </w:rPr>
              <w:t>生态环境质量现状</w:t>
            </w:r>
          </w:p>
          <w:p>
            <w:pPr>
              <w:spacing w:line="276" w:lineRule="auto"/>
              <w:ind w:firstLine="420" w:firstLineChars="200"/>
              <w:rPr>
                <w:rFonts w:hint="eastAsia" w:cs="Times New Roman"/>
                <w:szCs w:val="21"/>
                <w:lang w:val="zh-CN"/>
              </w:rPr>
            </w:pPr>
            <w:r>
              <w:rPr>
                <w:szCs w:val="21"/>
              </w:rPr>
              <w:t>本项目工程建设地块位于</w:t>
            </w:r>
            <w:r>
              <w:rPr>
                <w:rFonts w:hint="eastAsia"/>
                <w:szCs w:val="21"/>
              </w:rPr>
              <w:t>达州通川区邱家店社区、新酢坊社区（现莲花湖水厂西侧），该区域</w:t>
            </w:r>
            <w:r>
              <w:rPr>
                <w:szCs w:val="21"/>
              </w:rPr>
              <w:t>周围属典型的人工环境。区域内自然生态已被人工生态所代替</w:t>
            </w:r>
            <w:r>
              <w:rPr>
                <w:rFonts w:hint="eastAsia"/>
                <w:szCs w:val="21"/>
              </w:rPr>
              <w:t>。</w:t>
            </w:r>
            <w:r>
              <w:rPr>
                <w:rFonts w:hint="eastAsia" w:cs="Times New Roman"/>
                <w:szCs w:val="21"/>
                <w:lang w:val="zh-CN"/>
              </w:rPr>
              <w:t>评价区内未发现国家重点保护野生植物，同时，经收集资料和实地调查核实，评价区内无古树名木分布。项目所在区域动物主要为常见小型动物</w:t>
            </w:r>
            <w:r>
              <w:rPr>
                <w:rFonts w:hint="eastAsia"/>
                <w:szCs w:val="21"/>
              </w:rPr>
              <w:t>，也无国家和地方受保护的动物分布</w:t>
            </w:r>
            <w:r>
              <w:rPr>
                <w:szCs w:val="21"/>
              </w:rPr>
              <w:t>。</w:t>
            </w:r>
          </w:p>
          <w:p>
            <w:pPr>
              <w:spacing w:line="276" w:lineRule="auto"/>
              <w:ind w:firstLine="420" w:firstLineChars="200"/>
              <w:rPr>
                <w:rFonts w:hint="eastAsia" w:cs="Times New Roman"/>
                <w:szCs w:val="21"/>
                <w:lang w:val="zh-CN"/>
              </w:rPr>
            </w:pPr>
            <w:r>
              <w:rPr>
                <w:rFonts w:hint="eastAsia" w:cs="Times New Roman"/>
                <w:szCs w:val="21"/>
                <w:lang w:val="zh-CN"/>
              </w:rPr>
              <w:t>项目所属区域未发现特殊文物保护单位、风景名胜区、重点文物及名胜古迹、生态敏感与珍稀野生动植物栖息地等环境保护敏感目标。</w:t>
            </w:r>
          </w:p>
          <w:p>
            <w:pPr>
              <w:spacing w:line="276" w:lineRule="auto"/>
              <w:ind w:firstLine="420" w:firstLineChars="200"/>
              <w:rPr>
                <w:rFonts w:hint="eastAsia" w:cs="Times New Roman"/>
                <w:color w:val="FF00FF"/>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noWrap w:val="0"/>
            <w:vAlign w:val="center"/>
          </w:tcPr>
          <w:p>
            <w:pPr>
              <w:spacing w:line="276" w:lineRule="auto"/>
              <w:jc w:val="center"/>
              <w:rPr>
                <w:rFonts w:cs="Times New Roman"/>
                <w:szCs w:val="21"/>
              </w:rPr>
            </w:pPr>
            <w:r>
              <w:rPr>
                <w:rFonts w:hint="eastAsia" w:cs="Times New Roman"/>
                <w:szCs w:val="21"/>
              </w:rPr>
              <w:t>环境</w:t>
            </w:r>
          </w:p>
          <w:p>
            <w:pPr>
              <w:spacing w:line="276" w:lineRule="auto"/>
              <w:jc w:val="center"/>
              <w:rPr>
                <w:rFonts w:cs="Times New Roman"/>
                <w:szCs w:val="21"/>
              </w:rPr>
            </w:pPr>
            <w:r>
              <w:rPr>
                <w:rFonts w:hint="eastAsia" w:cs="Times New Roman"/>
                <w:szCs w:val="21"/>
              </w:rPr>
              <w:t>保护</w:t>
            </w:r>
          </w:p>
          <w:p>
            <w:pPr>
              <w:spacing w:line="276" w:lineRule="auto"/>
              <w:jc w:val="center"/>
              <w:rPr>
                <w:rFonts w:cs="Times New Roman"/>
                <w:szCs w:val="21"/>
              </w:rPr>
            </w:pPr>
            <w:r>
              <w:rPr>
                <w:rFonts w:hint="eastAsia" w:cs="Times New Roman"/>
                <w:szCs w:val="21"/>
              </w:rPr>
              <w:t>目标</w:t>
            </w:r>
          </w:p>
        </w:tc>
        <w:tc>
          <w:tcPr>
            <w:tcW w:w="8645" w:type="dxa"/>
            <w:noWrap w:val="0"/>
            <w:vAlign w:val="center"/>
          </w:tcPr>
          <w:p>
            <w:pPr>
              <w:spacing w:line="276" w:lineRule="auto"/>
              <w:ind w:firstLine="422" w:firstLineChars="200"/>
              <w:rPr>
                <w:rFonts w:cs="Times New Roman"/>
                <w:b/>
                <w:szCs w:val="21"/>
              </w:rPr>
            </w:pPr>
            <w:r>
              <w:rPr>
                <w:rFonts w:cs="Times New Roman"/>
                <w:b/>
                <w:szCs w:val="21"/>
              </w:rPr>
              <w:t>1、大气环境</w:t>
            </w:r>
          </w:p>
          <w:p>
            <w:pPr>
              <w:spacing w:line="276" w:lineRule="auto"/>
              <w:ind w:firstLine="420" w:firstLineChars="200"/>
              <w:rPr>
                <w:rFonts w:hint="eastAsia" w:cs="Times New Roman"/>
                <w:szCs w:val="21"/>
              </w:rPr>
            </w:pPr>
            <w:r>
              <w:rPr>
                <w:rFonts w:hint="eastAsia" w:cs="Times New Roman"/>
                <w:szCs w:val="21"/>
              </w:rPr>
              <w:t>项目厂界外500米范围内无自然保护区、风景名胜区等特殊环境敏感目标；经调查核实，本项目厂界外500米范围内的主要大气环境保护目标</w:t>
            </w:r>
            <w:r>
              <w:rPr>
                <w:rFonts w:cs="Times New Roman"/>
                <w:szCs w:val="21"/>
              </w:rPr>
              <w:t>见</w:t>
            </w:r>
            <w:r>
              <w:rPr>
                <w:rFonts w:hint="eastAsia" w:cs="Times New Roman"/>
                <w:szCs w:val="21"/>
              </w:rPr>
              <w:t>下</w:t>
            </w:r>
            <w:r>
              <w:rPr>
                <w:rFonts w:cs="Times New Roman"/>
                <w:szCs w:val="21"/>
              </w:rPr>
              <w:t>表。</w:t>
            </w:r>
          </w:p>
          <w:p>
            <w:pPr>
              <w:spacing w:line="276" w:lineRule="auto"/>
              <w:jc w:val="center"/>
              <w:rPr>
                <w:rFonts w:hint="eastAsia"/>
                <w:b/>
                <w:bCs/>
                <w:szCs w:val="21"/>
              </w:rPr>
            </w:pPr>
            <w:r>
              <w:rPr>
                <w:rFonts w:hint="eastAsia"/>
                <w:b/>
                <w:bCs/>
                <w:szCs w:val="21"/>
              </w:rPr>
              <w:t>表3-3  主要环境保护目标</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677"/>
              <w:gridCol w:w="1050"/>
              <w:gridCol w:w="1081"/>
              <w:gridCol w:w="1349"/>
              <w:gridCol w:w="1033"/>
              <w:gridCol w:w="15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noWrap w:val="0"/>
                  <w:vAlign w:val="center"/>
                </w:tcPr>
                <w:p>
                  <w:pPr>
                    <w:jc w:val="center"/>
                    <w:rPr>
                      <w:rFonts w:hint="eastAsia" w:cs="Times New Roman"/>
                      <w:b/>
                      <w:bCs/>
                      <w:szCs w:val="21"/>
                    </w:rPr>
                  </w:pPr>
                  <w:r>
                    <w:rPr>
                      <w:rFonts w:hint="eastAsia" w:cs="Times New Roman"/>
                      <w:b/>
                      <w:bCs/>
                      <w:szCs w:val="21"/>
                    </w:rPr>
                    <w:t>项目</w:t>
                  </w:r>
                </w:p>
              </w:tc>
              <w:tc>
                <w:tcPr>
                  <w:tcW w:w="995" w:type="pct"/>
                  <w:noWrap w:val="0"/>
                  <w:vAlign w:val="center"/>
                </w:tcPr>
                <w:p>
                  <w:pPr>
                    <w:jc w:val="center"/>
                    <w:rPr>
                      <w:rFonts w:cs="Times New Roman"/>
                      <w:b/>
                      <w:bCs/>
                      <w:szCs w:val="21"/>
                    </w:rPr>
                  </w:pPr>
                  <w:r>
                    <w:rPr>
                      <w:rFonts w:cs="Times New Roman"/>
                      <w:b/>
                      <w:bCs/>
                      <w:szCs w:val="21"/>
                    </w:rPr>
                    <w:t>保护对象</w:t>
                  </w:r>
                </w:p>
              </w:tc>
              <w:tc>
                <w:tcPr>
                  <w:tcW w:w="623" w:type="pct"/>
                  <w:noWrap w:val="0"/>
                  <w:vAlign w:val="center"/>
                </w:tcPr>
                <w:p>
                  <w:pPr>
                    <w:jc w:val="center"/>
                    <w:rPr>
                      <w:rFonts w:cs="Times New Roman"/>
                      <w:b/>
                      <w:bCs/>
                      <w:szCs w:val="21"/>
                    </w:rPr>
                  </w:pPr>
                  <w:r>
                    <w:rPr>
                      <w:rFonts w:cs="Times New Roman"/>
                      <w:b/>
                      <w:bCs/>
                      <w:szCs w:val="21"/>
                    </w:rPr>
                    <w:t>方位</w:t>
                  </w:r>
                </w:p>
              </w:tc>
              <w:tc>
                <w:tcPr>
                  <w:tcW w:w="641" w:type="pct"/>
                  <w:noWrap w:val="0"/>
                  <w:vAlign w:val="center"/>
                </w:tcPr>
                <w:p>
                  <w:pPr>
                    <w:jc w:val="center"/>
                    <w:rPr>
                      <w:rFonts w:cs="Times New Roman"/>
                      <w:b/>
                      <w:bCs/>
                      <w:szCs w:val="21"/>
                    </w:rPr>
                  </w:pPr>
                  <w:r>
                    <w:rPr>
                      <w:rFonts w:cs="Times New Roman"/>
                      <w:b/>
                      <w:bCs/>
                      <w:szCs w:val="21"/>
                    </w:rPr>
                    <w:t>距离</w:t>
                  </w:r>
                </w:p>
              </w:tc>
              <w:tc>
                <w:tcPr>
                  <w:tcW w:w="800" w:type="pct"/>
                  <w:noWrap w:val="0"/>
                  <w:vAlign w:val="center"/>
                </w:tcPr>
                <w:p>
                  <w:pPr>
                    <w:jc w:val="center"/>
                    <w:rPr>
                      <w:rFonts w:cs="Times New Roman"/>
                      <w:b/>
                      <w:bCs/>
                      <w:szCs w:val="21"/>
                    </w:rPr>
                  </w:pPr>
                  <w:r>
                    <w:rPr>
                      <w:rFonts w:cs="Times New Roman"/>
                      <w:b/>
                      <w:bCs/>
                      <w:szCs w:val="21"/>
                    </w:rPr>
                    <w:t>规模</w:t>
                  </w:r>
                </w:p>
              </w:tc>
              <w:tc>
                <w:tcPr>
                  <w:tcW w:w="613" w:type="pct"/>
                  <w:noWrap w:val="0"/>
                  <w:vAlign w:val="center"/>
                </w:tcPr>
                <w:p>
                  <w:pPr>
                    <w:jc w:val="center"/>
                    <w:rPr>
                      <w:rFonts w:cs="Times New Roman"/>
                      <w:b/>
                      <w:bCs/>
                      <w:szCs w:val="21"/>
                    </w:rPr>
                  </w:pPr>
                  <w:r>
                    <w:rPr>
                      <w:rFonts w:cs="Times New Roman"/>
                      <w:b/>
                      <w:bCs/>
                      <w:szCs w:val="21"/>
                    </w:rPr>
                    <w:t>性质</w:t>
                  </w:r>
                </w:p>
              </w:tc>
              <w:tc>
                <w:tcPr>
                  <w:tcW w:w="938" w:type="pct"/>
                  <w:noWrap w:val="0"/>
                  <w:vAlign w:val="center"/>
                </w:tcPr>
                <w:p>
                  <w:pPr>
                    <w:jc w:val="center"/>
                    <w:rPr>
                      <w:rFonts w:cs="Times New Roman"/>
                      <w:b/>
                      <w:bCs/>
                      <w:szCs w:val="21"/>
                    </w:rPr>
                  </w:pPr>
                  <w:r>
                    <w:rPr>
                      <w:rFonts w:cs="Times New Roman"/>
                      <w:b/>
                      <w:bCs/>
                      <w:szCs w:val="21"/>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noWrap w:val="0"/>
                  <w:vAlign w:val="center"/>
                </w:tcPr>
                <w:p>
                  <w:pPr>
                    <w:jc w:val="center"/>
                    <w:rPr>
                      <w:rFonts w:hint="eastAsia"/>
                      <w:szCs w:val="21"/>
                    </w:rPr>
                  </w:pPr>
                  <w:r>
                    <w:rPr>
                      <w:rFonts w:hint="eastAsia"/>
                      <w:szCs w:val="21"/>
                    </w:rPr>
                    <w:t>净</w:t>
                  </w:r>
                </w:p>
                <w:p>
                  <w:pPr>
                    <w:jc w:val="center"/>
                    <w:rPr>
                      <w:rFonts w:hint="eastAsia"/>
                      <w:szCs w:val="21"/>
                    </w:rPr>
                  </w:pPr>
                  <w:r>
                    <w:rPr>
                      <w:rFonts w:hint="eastAsia"/>
                      <w:szCs w:val="21"/>
                    </w:rPr>
                    <w:t>水</w:t>
                  </w:r>
                </w:p>
                <w:p>
                  <w:pPr>
                    <w:jc w:val="center"/>
                    <w:rPr>
                      <w:rFonts w:hint="eastAsia"/>
                      <w:szCs w:val="21"/>
                    </w:rPr>
                  </w:pPr>
                  <w:r>
                    <w:rPr>
                      <w:rFonts w:hint="eastAsia"/>
                      <w:szCs w:val="21"/>
                    </w:rPr>
                    <w:t>厂</w:t>
                  </w:r>
                </w:p>
                <w:p>
                  <w:pPr>
                    <w:pStyle w:val="2"/>
                    <w:rPr>
                      <w:rFonts w:hint="eastAsia"/>
                    </w:rPr>
                  </w:pPr>
                </w:p>
              </w:tc>
              <w:tc>
                <w:tcPr>
                  <w:tcW w:w="995" w:type="pct"/>
                  <w:noWrap w:val="0"/>
                  <w:vAlign w:val="center"/>
                </w:tcPr>
                <w:p>
                  <w:pPr>
                    <w:jc w:val="center"/>
                    <w:rPr>
                      <w:rFonts w:hint="eastAsia" w:cs="Times New Roman"/>
                      <w:bCs/>
                      <w:szCs w:val="21"/>
                    </w:rPr>
                  </w:pPr>
                  <w:r>
                    <w:rPr>
                      <w:rFonts w:hint="eastAsia" w:cs="Times New Roman"/>
                      <w:bCs/>
                      <w:szCs w:val="21"/>
                    </w:rPr>
                    <w:t>达州市第一人民医院</w:t>
                  </w:r>
                </w:p>
              </w:tc>
              <w:tc>
                <w:tcPr>
                  <w:tcW w:w="623" w:type="pct"/>
                  <w:noWrap w:val="0"/>
                  <w:vAlign w:val="center"/>
                </w:tcPr>
                <w:p>
                  <w:pPr>
                    <w:pStyle w:val="20"/>
                    <w:snapToGrid/>
                    <w:jc w:val="center"/>
                    <w:rPr>
                      <w:rFonts w:cs="Times New Roman"/>
                      <w:sz w:val="21"/>
                      <w:szCs w:val="21"/>
                    </w:rPr>
                  </w:pPr>
                  <w:r>
                    <w:rPr>
                      <w:rFonts w:hint="eastAsia" w:cs="Times New Roman"/>
                      <w:sz w:val="21"/>
                      <w:szCs w:val="21"/>
                    </w:rPr>
                    <w:t>S</w:t>
                  </w:r>
                </w:p>
              </w:tc>
              <w:tc>
                <w:tcPr>
                  <w:tcW w:w="641" w:type="pct"/>
                  <w:noWrap w:val="0"/>
                  <w:vAlign w:val="center"/>
                </w:tcPr>
                <w:p>
                  <w:pPr>
                    <w:jc w:val="center"/>
                    <w:rPr>
                      <w:rFonts w:hint="eastAsia" w:cs="Times New Roman"/>
                      <w:bCs/>
                      <w:szCs w:val="21"/>
                    </w:rPr>
                  </w:pPr>
                  <w:r>
                    <w:rPr>
                      <w:rFonts w:hint="eastAsia" w:cs="Times New Roman"/>
                      <w:bCs/>
                      <w:szCs w:val="21"/>
                    </w:rPr>
                    <w:t>460m</w:t>
                  </w:r>
                </w:p>
              </w:tc>
              <w:tc>
                <w:tcPr>
                  <w:tcW w:w="800" w:type="pct"/>
                  <w:noWrap w:val="0"/>
                  <w:vAlign w:val="center"/>
                </w:tcPr>
                <w:p>
                  <w:pPr>
                    <w:jc w:val="center"/>
                    <w:rPr>
                      <w:rFonts w:hint="eastAsia" w:cs="Times New Roman"/>
                      <w:bCs/>
                      <w:szCs w:val="21"/>
                    </w:rPr>
                  </w:pPr>
                  <w:r>
                    <w:rPr>
                      <w:rFonts w:hint="eastAsia" w:cs="Times New Roman"/>
                      <w:bCs/>
                      <w:szCs w:val="21"/>
                    </w:rPr>
                    <w:t>三甲医院</w:t>
                  </w:r>
                </w:p>
              </w:tc>
              <w:tc>
                <w:tcPr>
                  <w:tcW w:w="613" w:type="pct"/>
                  <w:noWrap w:val="0"/>
                  <w:vAlign w:val="center"/>
                </w:tcPr>
                <w:p>
                  <w:pPr>
                    <w:jc w:val="center"/>
                    <w:rPr>
                      <w:rFonts w:hint="eastAsia" w:cs="Times New Roman"/>
                      <w:bCs/>
                      <w:szCs w:val="21"/>
                    </w:rPr>
                  </w:pPr>
                  <w:r>
                    <w:rPr>
                      <w:rFonts w:hint="eastAsia" w:cs="Times New Roman"/>
                      <w:bCs/>
                      <w:szCs w:val="21"/>
                    </w:rPr>
                    <w:t>医院（在建）</w:t>
                  </w:r>
                </w:p>
              </w:tc>
              <w:tc>
                <w:tcPr>
                  <w:tcW w:w="938" w:type="pct"/>
                  <w:vMerge w:val="restart"/>
                  <w:noWrap w:val="0"/>
                  <w:vAlign w:val="center"/>
                </w:tcPr>
                <w:p>
                  <w:pPr>
                    <w:jc w:val="center"/>
                    <w:rPr>
                      <w:rFonts w:cs="Times New Roman"/>
                      <w:bCs/>
                      <w:szCs w:val="21"/>
                    </w:rPr>
                  </w:pPr>
                  <w:r>
                    <w:rPr>
                      <w:rFonts w:cs="Times New Roman"/>
                      <w:szCs w:val="21"/>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jc w:val="center"/>
                    <w:rPr>
                      <w:rFonts w:cs="Times New Roman"/>
                      <w:szCs w:val="21"/>
                    </w:rPr>
                  </w:pPr>
                </w:p>
              </w:tc>
              <w:tc>
                <w:tcPr>
                  <w:tcW w:w="995" w:type="pct"/>
                  <w:noWrap w:val="0"/>
                  <w:vAlign w:val="center"/>
                </w:tcPr>
                <w:p>
                  <w:pPr>
                    <w:pStyle w:val="20"/>
                    <w:snapToGrid/>
                    <w:jc w:val="center"/>
                    <w:rPr>
                      <w:rFonts w:hint="eastAsia" w:cs="Times New Roman"/>
                      <w:sz w:val="21"/>
                      <w:szCs w:val="21"/>
                    </w:rPr>
                  </w:pPr>
                  <w:r>
                    <w:rPr>
                      <w:rFonts w:hint="eastAsia" w:cs="Times New Roman"/>
                      <w:sz w:val="21"/>
                      <w:szCs w:val="21"/>
                    </w:rPr>
                    <w:t>邦泰天著安置房</w:t>
                  </w:r>
                </w:p>
              </w:tc>
              <w:tc>
                <w:tcPr>
                  <w:tcW w:w="623" w:type="pct"/>
                  <w:noWrap w:val="0"/>
                  <w:vAlign w:val="center"/>
                </w:tcPr>
                <w:p>
                  <w:pPr>
                    <w:pStyle w:val="20"/>
                    <w:snapToGrid/>
                    <w:jc w:val="center"/>
                    <w:rPr>
                      <w:rFonts w:cs="Times New Roman"/>
                      <w:sz w:val="21"/>
                      <w:szCs w:val="21"/>
                    </w:rPr>
                  </w:pPr>
                  <w:r>
                    <w:rPr>
                      <w:rFonts w:hint="eastAsia" w:cs="Times New Roman"/>
                      <w:sz w:val="21"/>
                      <w:szCs w:val="21"/>
                    </w:rPr>
                    <w:t>S</w:t>
                  </w:r>
                </w:p>
              </w:tc>
              <w:tc>
                <w:tcPr>
                  <w:tcW w:w="641" w:type="pct"/>
                  <w:noWrap w:val="0"/>
                  <w:vAlign w:val="center"/>
                </w:tcPr>
                <w:p>
                  <w:pPr>
                    <w:pStyle w:val="20"/>
                    <w:snapToGrid/>
                    <w:jc w:val="center"/>
                    <w:rPr>
                      <w:rFonts w:cs="Times New Roman"/>
                      <w:sz w:val="21"/>
                      <w:szCs w:val="21"/>
                    </w:rPr>
                  </w:pPr>
                  <w:r>
                    <w:rPr>
                      <w:rFonts w:hint="eastAsia" w:cs="Times New Roman"/>
                      <w:sz w:val="21"/>
                      <w:szCs w:val="21"/>
                    </w:rPr>
                    <w:t>490m</w:t>
                  </w:r>
                </w:p>
              </w:tc>
              <w:tc>
                <w:tcPr>
                  <w:tcW w:w="800" w:type="pct"/>
                  <w:noWrap w:val="0"/>
                  <w:vAlign w:val="center"/>
                </w:tcPr>
                <w:p>
                  <w:pPr>
                    <w:pStyle w:val="20"/>
                    <w:snapToGrid/>
                    <w:jc w:val="center"/>
                    <w:rPr>
                      <w:rFonts w:cs="Times New Roman"/>
                      <w:sz w:val="21"/>
                      <w:szCs w:val="21"/>
                    </w:rPr>
                  </w:pPr>
                  <w:r>
                    <w:rPr>
                      <w:rFonts w:hint="eastAsia" w:cs="Times New Roman"/>
                      <w:sz w:val="21"/>
                      <w:szCs w:val="21"/>
                    </w:rPr>
                    <w:t>3栋</w:t>
                  </w:r>
                  <w:r>
                    <w:rPr>
                      <w:rFonts w:cs="Times New Roman"/>
                      <w:sz w:val="21"/>
                      <w:szCs w:val="21"/>
                    </w:rPr>
                    <w:t>，约</w:t>
                  </w:r>
                  <w:r>
                    <w:rPr>
                      <w:rFonts w:hint="eastAsia" w:cs="Times New Roman"/>
                      <w:sz w:val="21"/>
                      <w:szCs w:val="21"/>
                    </w:rPr>
                    <w:t>1200</w:t>
                  </w:r>
                  <w:r>
                    <w:rPr>
                      <w:rFonts w:cs="Times New Roman"/>
                      <w:sz w:val="21"/>
                      <w:szCs w:val="21"/>
                    </w:rPr>
                    <w:t>人</w:t>
                  </w:r>
                </w:p>
              </w:tc>
              <w:tc>
                <w:tcPr>
                  <w:tcW w:w="613" w:type="pct"/>
                  <w:noWrap w:val="0"/>
                  <w:vAlign w:val="center"/>
                </w:tcPr>
                <w:p>
                  <w:pPr>
                    <w:pStyle w:val="20"/>
                    <w:snapToGrid/>
                    <w:jc w:val="center"/>
                    <w:rPr>
                      <w:rFonts w:hint="eastAsia" w:cs="Times New Roman"/>
                      <w:sz w:val="21"/>
                      <w:szCs w:val="21"/>
                    </w:rPr>
                  </w:pPr>
                  <w:r>
                    <w:rPr>
                      <w:rFonts w:cs="Times New Roman"/>
                      <w:sz w:val="21"/>
                      <w:szCs w:val="21"/>
                    </w:rPr>
                    <w:t>住宅</w:t>
                  </w:r>
                  <w:r>
                    <w:rPr>
                      <w:rFonts w:hint="eastAsia" w:cs="Times New Roman"/>
                      <w:sz w:val="21"/>
                      <w:szCs w:val="21"/>
                    </w:rPr>
                    <w:t>小区</w:t>
                  </w:r>
                </w:p>
              </w:tc>
              <w:tc>
                <w:tcPr>
                  <w:tcW w:w="938" w:type="pct"/>
                  <w:vMerge w:val="continue"/>
                  <w:noWrap w:val="0"/>
                  <w:vAlign w:val="center"/>
                </w:tcPr>
                <w:p>
                  <w:pPr>
                    <w:jc w:val="center"/>
                    <w:rPr>
                      <w:rFonts w:cs="Times New Roman"/>
                      <w:color w:val="FF00FF"/>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jc w:val="center"/>
                    <w:rPr>
                      <w:rFonts w:cs="Times New Roman"/>
                      <w:szCs w:val="21"/>
                    </w:rPr>
                  </w:pPr>
                </w:p>
              </w:tc>
              <w:tc>
                <w:tcPr>
                  <w:tcW w:w="995" w:type="pct"/>
                  <w:noWrap w:val="0"/>
                  <w:vAlign w:val="center"/>
                </w:tcPr>
                <w:p>
                  <w:pPr>
                    <w:pStyle w:val="20"/>
                    <w:snapToGrid/>
                    <w:jc w:val="center"/>
                    <w:rPr>
                      <w:rFonts w:hint="eastAsia" w:cs="Times New Roman"/>
                      <w:sz w:val="21"/>
                      <w:szCs w:val="21"/>
                    </w:rPr>
                  </w:pPr>
                  <w:r>
                    <w:rPr>
                      <w:rFonts w:hint="eastAsia" w:cs="Times New Roman"/>
                      <w:sz w:val="21"/>
                      <w:szCs w:val="21"/>
                    </w:rPr>
                    <w:t>天誉·锦院</w:t>
                  </w:r>
                </w:p>
              </w:tc>
              <w:tc>
                <w:tcPr>
                  <w:tcW w:w="623" w:type="pct"/>
                  <w:noWrap w:val="0"/>
                  <w:vAlign w:val="center"/>
                </w:tcPr>
                <w:p>
                  <w:pPr>
                    <w:pStyle w:val="20"/>
                    <w:snapToGrid/>
                    <w:jc w:val="center"/>
                    <w:rPr>
                      <w:rFonts w:hint="eastAsia" w:cs="Times New Roman"/>
                      <w:sz w:val="21"/>
                      <w:szCs w:val="21"/>
                    </w:rPr>
                  </w:pPr>
                  <w:r>
                    <w:rPr>
                      <w:rFonts w:hint="eastAsia" w:cs="Times New Roman"/>
                      <w:sz w:val="21"/>
                      <w:szCs w:val="21"/>
                    </w:rPr>
                    <w:t>SW</w:t>
                  </w:r>
                </w:p>
              </w:tc>
              <w:tc>
                <w:tcPr>
                  <w:tcW w:w="641" w:type="pct"/>
                  <w:noWrap w:val="0"/>
                  <w:vAlign w:val="center"/>
                </w:tcPr>
                <w:p>
                  <w:pPr>
                    <w:pStyle w:val="20"/>
                    <w:snapToGrid/>
                    <w:jc w:val="center"/>
                    <w:rPr>
                      <w:rFonts w:hint="eastAsia" w:cs="Times New Roman"/>
                      <w:sz w:val="21"/>
                      <w:szCs w:val="21"/>
                    </w:rPr>
                  </w:pPr>
                  <w:r>
                    <w:rPr>
                      <w:rFonts w:hint="eastAsia" w:cs="Times New Roman"/>
                      <w:sz w:val="21"/>
                      <w:szCs w:val="21"/>
                    </w:rPr>
                    <w:t>200m</w:t>
                  </w:r>
                </w:p>
              </w:tc>
              <w:tc>
                <w:tcPr>
                  <w:tcW w:w="800" w:type="pct"/>
                  <w:noWrap w:val="0"/>
                  <w:vAlign w:val="center"/>
                </w:tcPr>
                <w:p>
                  <w:pPr>
                    <w:pStyle w:val="20"/>
                    <w:snapToGrid/>
                    <w:jc w:val="center"/>
                    <w:rPr>
                      <w:rFonts w:cs="Times New Roman"/>
                      <w:sz w:val="21"/>
                      <w:szCs w:val="21"/>
                    </w:rPr>
                  </w:pPr>
                  <w:r>
                    <w:rPr>
                      <w:rFonts w:hint="eastAsia" w:cs="Times New Roman"/>
                      <w:sz w:val="21"/>
                      <w:szCs w:val="21"/>
                    </w:rPr>
                    <w:t>7栋</w:t>
                  </w:r>
                  <w:r>
                    <w:rPr>
                      <w:rFonts w:cs="Times New Roman"/>
                      <w:sz w:val="21"/>
                      <w:szCs w:val="21"/>
                    </w:rPr>
                    <w:t>，约2</w:t>
                  </w:r>
                  <w:r>
                    <w:rPr>
                      <w:rFonts w:hint="eastAsia" w:cs="Times New Roman"/>
                      <w:sz w:val="21"/>
                      <w:szCs w:val="21"/>
                    </w:rPr>
                    <w:t>000</w:t>
                  </w:r>
                  <w:r>
                    <w:rPr>
                      <w:rFonts w:cs="Times New Roman"/>
                      <w:sz w:val="21"/>
                      <w:szCs w:val="21"/>
                    </w:rPr>
                    <w:t>人</w:t>
                  </w:r>
                </w:p>
              </w:tc>
              <w:tc>
                <w:tcPr>
                  <w:tcW w:w="613" w:type="pct"/>
                  <w:noWrap w:val="0"/>
                  <w:vAlign w:val="center"/>
                </w:tcPr>
                <w:p>
                  <w:pPr>
                    <w:pStyle w:val="20"/>
                    <w:snapToGrid/>
                    <w:jc w:val="center"/>
                    <w:rPr>
                      <w:rFonts w:hint="eastAsia" w:cs="Times New Roman"/>
                      <w:sz w:val="21"/>
                      <w:szCs w:val="21"/>
                    </w:rPr>
                  </w:pPr>
                  <w:r>
                    <w:rPr>
                      <w:rFonts w:hint="eastAsia" w:cs="Times New Roman"/>
                      <w:sz w:val="21"/>
                      <w:szCs w:val="21"/>
                    </w:rPr>
                    <w:t>住宅小区（在建）</w:t>
                  </w:r>
                </w:p>
              </w:tc>
              <w:tc>
                <w:tcPr>
                  <w:tcW w:w="938" w:type="pct"/>
                  <w:vMerge w:val="continue"/>
                  <w:noWrap w:val="0"/>
                  <w:vAlign w:val="center"/>
                </w:tcPr>
                <w:p>
                  <w:pPr>
                    <w:jc w:val="center"/>
                    <w:rPr>
                      <w:rFonts w:cs="Times New Roman"/>
                      <w:color w:val="FF00FF"/>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jc w:val="center"/>
                    <w:rPr>
                      <w:rFonts w:cs="Times New Roman"/>
                      <w:szCs w:val="21"/>
                    </w:rPr>
                  </w:pPr>
                </w:p>
              </w:tc>
              <w:tc>
                <w:tcPr>
                  <w:tcW w:w="995" w:type="pct"/>
                  <w:noWrap w:val="0"/>
                  <w:vAlign w:val="center"/>
                </w:tcPr>
                <w:p>
                  <w:pPr>
                    <w:pStyle w:val="20"/>
                    <w:snapToGrid/>
                    <w:jc w:val="center"/>
                    <w:rPr>
                      <w:rFonts w:hint="eastAsia" w:cs="Times New Roman"/>
                      <w:sz w:val="21"/>
                      <w:szCs w:val="21"/>
                    </w:rPr>
                  </w:pPr>
                  <w:r>
                    <w:rPr>
                      <w:rFonts w:hint="eastAsia" w:cs="Times New Roman"/>
                      <w:sz w:val="21"/>
                      <w:szCs w:val="21"/>
                    </w:rPr>
                    <w:t>达州市委党校</w:t>
                  </w:r>
                </w:p>
              </w:tc>
              <w:tc>
                <w:tcPr>
                  <w:tcW w:w="623" w:type="pct"/>
                  <w:noWrap w:val="0"/>
                  <w:vAlign w:val="center"/>
                </w:tcPr>
                <w:p>
                  <w:pPr>
                    <w:pStyle w:val="20"/>
                    <w:snapToGrid/>
                    <w:jc w:val="center"/>
                    <w:rPr>
                      <w:rFonts w:hint="eastAsia" w:cs="Times New Roman"/>
                      <w:sz w:val="21"/>
                      <w:szCs w:val="21"/>
                    </w:rPr>
                  </w:pPr>
                  <w:r>
                    <w:rPr>
                      <w:rFonts w:hint="eastAsia" w:cs="Times New Roman"/>
                      <w:sz w:val="21"/>
                      <w:szCs w:val="21"/>
                    </w:rPr>
                    <w:t>SW</w:t>
                  </w:r>
                </w:p>
              </w:tc>
              <w:tc>
                <w:tcPr>
                  <w:tcW w:w="641" w:type="pct"/>
                  <w:noWrap w:val="0"/>
                  <w:vAlign w:val="center"/>
                </w:tcPr>
                <w:p>
                  <w:pPr>
                    <w:pStyle w:val="20"/>
                    <w:snapToGrid/>
                    <w:jc w:val="center"/>
                    <w:rPr>
                      <w:rFonts w:hint="eastAsia" w:cs="Times New Roman"/>
                      <w:sz w:val="21"/>
                      <w:szCs w:val="21"/>
                    </w:rPr>
                  </w:pPr>
                  <w:r>
                    <w:rPr>
                      <w:rFonts w:hint="eastAsia" w:cs="Times New Roman"/>
                      <w:sz w:val="21"/>
                      <w:szCs w:val="21"/>
                    </w:rPr>
                    <w:t>460m</w:t>
                  </w:r>
                </w:p>
              </w:tc>
              <w:tc>
                <w:tcPr>
                  <w:tcW w:w="800" w:type="pct"/>
                  <w:noWrap w:val="0"/>
                  <w:vAlign w:val="center"/>
                </w:tcPr>
                <w:p>
                  <w:pPr>
                    <w:pStyle w:val="20"/>
                    <w:snapToGrid/>
                    <w:jc w:val="center"/>
                    <w:rPr>
                      <w:rFonts w:hint="eastAsia" w:cs="Times New Roman"/>
                      <w:sz w:val="21"/>
                      <w:szCs w:val="21"/>
                    </w:rPr>
                  </w:pPr>
                  <w:r>
                    <w:rPr>
                      <w:rFonts w:hint="eastAsia" w:cs="Times New Roman"/>
                      <w:sz w:val="21"/>
                      <w:szCs w:val="21"/>
                    </w:rPr>
                    <w:t>/</w:t>
                  </w:r>
                </w:p>
              </w:tc>
              <w:tc>
                <w:tcPr>
                  <w:tcW w:w="613" w:type="pct"/>
                  <w:noWrap w:val="0"/>
                  <w:vAlign w:val="center"/>
                </w:tcPr>
                <w:p>
                  <w:pPr>
                    <w:pStyle w:val="20"/>
                    <w:snapToGrid/>
                    <w:jc w:val="center"/>
                    <w:rPr>
                      <w:rFonts w:hint="eastAsia" w:cs="Times New Roman"/>
                      <w:sz w:val="21"/>
                      <w:szCs w:val="21"/>
                    </w:rPr>
                  </w:pPr>
                  <w:r>
                    <w:rPr>
                      <w:rFonts w:hint="eastAsia" w:cs="Times New Roman"/>
                      <w:sz w:val="21"/>
                      <w:szCs w:val="21"/>
                    </w:rPr>
                    <w:t>/</w:t>
                  </w:r>
                </w:p>
              </w:tc>
              <w:tc>
                <w:tcPr>
                  <w:tcW w:w="938" w:type="pct"/>
                  <w:vMerge w:val="continue"/>
                  <w:noWrap w:val="0"/>
                  <w:vAlign w:val="center"/>
                </w:tcPr>
                <w:p>
                  <w:pPr>
                    <w:jc w:val="center"/>
                    <w:rPr>
                      <w:rFonts w:cs="Times New Roman"/>
                      <w:color w:val="FF00FF"/>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jc w:val="center"/>
                    <w:rPr>
                      <w:rFonts w:cs="Times New Roman"/>
                      <w:szCs w:val="21"/>
                    </w:rPr>
                  </w:pPr>
                </w:p>
              </w:tc>
              <w:tc>
                <w:tcPr>
                  <w:tcW w:w="995" w:type="pct"/>
                  <w:noWrap w:val="0"/>
                  <w:vAlign w:val="center"/>
                </w:tcPr>
                <w:p>
                  <w:pPr>
                    <w:pStyle w:val="20"/>
                    <w:snapToGrid/>
                    <w:jc w:val="center"/>
                    <w:rPr>
                      <w:rFonts w:hint="eastAsia" w:cs="Times New Roman"/>
                      <w:sz w:val="21"/>
                      <w:szCs w:val="21"/>
                    </w:rPr>
                  </w:pPr>
                  <w:r>
                    <w:rPr>
                      <w:rFonts w:hint="eastAsia" w:cs="Times New Roman"/>
                      <w:sz w:val="21"/>
                      <w:szCs w:val="21"/>
                    </w:rPr>
                    <w:t>蓝光·芙蓉芳华</w:t>
                  </w:r>
                </w:p>
              </w:tc>
              <w:tc>
                <w:tcPr>
                  <w:tcW w:w="623" w:type="pct"/>
                  <w:noWrap w:val="0"/>
                  <w:vAlign w:val="center"/>
                </w:tcPr>
                <w:p>
                  <w:pPr>
                    <w:pStyle w:val="20"/>
                    <w:snapToGrid/>
                    <w:jc w:val="center"/>
                    <w:rPr>
                      <w:rFonts w:hint="eastAsia" w:cs="Times New Roman"/>
                      <w:sz w:val="21"/>
                      <w:szCs w:val="21"/>
                    </w:rPr>
                  </w:pPr>
                  <w:r>
                    <w:rPr>
                      <w:rFonts w:hint="eastAsia" w:cs="Times New Roman"/>
                      <w:sz w:val="21"/>
                      <w:szCs w:val="21"/>
                    </w:rPr>
                    <w:t>W</w:t>
                  </w:r>
                </w:p>
              </w:tc>
              <w:tc>
                <w:tcPr>
                  <w:tcW w:w="641" w:type="pct"/>
                  <w:noWrap w:val="0"/>
                  <w:vAlign w:val="center"/>
                </w:tcPr>
                <w:p>
                  <w:pPr>
                    <w:pStyle w:val="20"/>
                    <w:snapToGrid/>
                    <w:jc w:val="center"/>
                    <w:rPr>
                      <w:rFonts w:hint="eastAsia" w:cs="Times New Roman"/>
                      <w:sz w:val="21"/>
                      <w:szCs w:val="21"/>
                    </w:rPr>
                  </w:pPr>
                  <w:r>
                    <w:rPr>
                      <w:rFonts w:hint="eastAsia" w:cs="Times New Roman"/>
                      <w:sz w:val="21"/>
                      <w:szCs w:val="21"/>
                    </w:rPr>
                    <w:t>390m</w:t>
                  </w:r>
                </w:p>
              </w:tc>
              <w:tc>
                <w:tcPr>
                  <w:tcW w:w="800" w:type="pct"/>
                  <w:noWrap w:val="0"/>
                  <w:vAlign w:val="center"/>
                </w:tcPr>
                <w:p>
                  <w:pPr>
                    <w:pStyle w:val="20"/>
                    <w:snapToGrid/>
                    <w:jc w:val="center"/>
                    <w:rPr>
                      <w:rFonts w:hint="eastAsia" w:cs="Times New Roman"/>
                      <w:sz w:val="21"/>
                      <w:szCs w:val="21"/>
                    </w:rPr>
                  </w:pPr>
                  <w:r>
                    <w:rPr>
                      <w:rFonts w:hint="eastAsia" w:cs="Times New Roman"/>
                      <w:sz w:val="21"/>
                      <w:szCs w:val="21"/>
                    </w:rPr>
                    <w:t>25栋，约1.5万人</w:t>
                  </w:r>
                </w:p>
              </w:tc>
              <w:tc>
                <w:tcPr>
                  <w:tcW w:w="613" w:type="pct"/>
                  <w:noWrap w:val="0"/>
                  <w:vAlign w:val="center"/>
                </w:tcPr>
                <w:p>
                  <w:pPr>
                    <w:pStyle w:val="20"/>
                    <w:snapToGrid/>
                    <w:jc w:val="center"/>
                    <w:rPr>
                      <w:rFonts w:hint="eastAsia" w:cs="Times New Roman"/>
                      <w:sz w:val="21"/>
                      <w:szCs w:val="21"/>
                    </w:rPr>
                  </w:pPr>
                  <w:r>
                    <w:rPr>
                      <w:rFonts w:hint="eastAsia" w:cs="Times New Roman"/>
                      <w:sz w:val="21"/>
                      <w:szCs w:val="21"/>
                    </w:rPr>
                    <w:t>住宅小区</w:t>
                  </w:r>
                </w:p>
              </w:tc>
              <w:tc>
                <w:tcPr>
                  <w:tcW w:w="938" w:type="pct"/>
                  <w:vMerge w:val="continue"/>
                  <w:noWrap w:val="0"/>
                  <w:vAlign w:val="center"/>
                </w:tcPr>
                <w:p>
                  <w:pPr>
                    <w:jc w:val="center"/>
                    <w:rPr>
                      <w:rFonts w:cs="Times New Roman"/>
                      <w:color w:val="FF00FF"/>
                      <w:szCs w:val="21"/>
                    </w:rPr>
                  </w:pPr>
                </w:p>
              </w:tc>
            </w:tr>
          </w:tbl>
          <w:p>
            <w:pPr>
              <w:spacing w:line="276" w:lineRule="auto"/>
              <w:ind w:firstLine="422" w:firstLineChars="200"/>
              <w:rPr>
                <w:rFonts w:cs="Times New Roman"/>
                <w:b/>
                <w:szCs w:val="21"/>
              </w:rPr>
            </w:pPr>
            <w:r>
              <w:rPr>
                <w:rFonts w:cs="Times New Roman"/>
                <w:b/>
                <w:szCs w:val="21"/>
              </w:rPr>
              <w:t>2、</w:t>
            </w:r>
            <w:r>
              <w:rPr>
                <w:rFonts w:hint="eastAsia" w:cs="Times New Roman"/>
                <w:b/>
                <w:szCs w:val="21"/>
              </w:rPr>
              <w:t>声</w:t>
            </w:r>
            <w:r>
              <w:rPr>
                <w:rFonts w:cs="Times New Roman"/>
                <w:b/>
                <w:szCs w:val="21"/>
              </w:rPr>
              <w:t>环境</w:t>
            </w:r>
          </w:p>
          <w:p>
            <w:pPr>
              <w:spacing w:line="276" w:lineRule="auto"/>
              <w:ind w:firstLine="420" w:firstLineChars="200"/>
              <w:rPr>
                <w:rFonts w:hint="eastAsia" w:cs="Times New Roman"/>
                <w:szCs w:val="21"/>
              </w:rPr>
            </w:pPr>
            <w:r>
              <w:rPr>
                <w:rFonts w:hint="eastAsia" w:cs="Times New Roman"/>
                <w:szCs w:val="21"/>
              </w:rPr>
              <w:t>经调查核实，本项目厂界外50米范围内无住户，也无其他声环境敏感目标。</w:t>
            </w:r>
          </w:p>
          <w:p>
            <w:pPr>
              <w:spacing w:line="276" w:lineRule="auto"/>
              <w:ind w:firstLine="422" w:firstLineChars="200"/>
              <w:rPr>
                <w:rFonts w:cs="Times New Roman"/>
                <w:b/>
                <w:szCs w:val="21"/>
              </w:rPr>
            </w:pPr>
            <w:r>
              <w:rPr>
                <w:rFonts w:cs="Times New Roman"/>
                <w:b/>
                <w:szCs w:val="21"/>
              </w:rPr>
              <w:t>3、</w:t>
            </w:r>
            <w:r>
              <w:rPr>
                <w:rFonts w:hint="eastAsia" w:cs="Times New Roman"/>
                <w:b/>
                <w:szCs w:val="21"/>
              </w:rPr>
              <w:t>地下水</w:t>
            </w:r>
            <w:r>
              <w:rPr>
                <w:rFonts w:cs="Times New Roman"/>
                <w:b/>
                <w:szCs w:val="21"/>
              </w:rPr>
              <w:t>环境</w:t>
            </w:r>
          </w:p>
          <w:p>
            <w:pPr>
              <w:spacing w:line="276" w:lineRule="auto"/>
              <w:ind w:firstLine="420" w:firstLineChars="200"/>
              <w:rPr>
                <w:rFonts w:hint="eastAsia" w:cs="Times New Roman"/>
                <w:szCs w:val="21"/>
              </w:rPr>
            </w:pPr>
            <w:r>
              <w:rPr>
                <w:rFonts w:cs="Times New Roman"/>
                <w:szCs w:val="21"/>
              </w:rPr>
              <w:t>本项目厂界外500m范围内无地下水集中式饮用水水源和热水</w:t>
            </w:r>
            <w:r>
              <w:rPr>
                <w:rFonts w:hint="eastAsia" w:cs="Times New Roman"/>
                <w:szCs w:val="21"/>
              </w:rPr>
              <w:t>、矿泉水、温泉等特殊地下水资源。</w:t>
            </w:r>
          </w:p>
          <w:p>
            <w:pPr>
              <w:spacing w:line="276" w:lineRule="auto"/>
              <w:ind w:firstLine="422" w:firstLineChars="200"/>
              <w:rPr>
                <w:rFonts w:cs="Times New Roman"/>
                <w:b/>
                <w:bCs/>
                <w:szCs w:val="21"/>
              </w:rPr>
            </w:pPr>
            <w:r>
              <w:rPr>
                <w:rFonts w:hint="eastAsia" w:cs="Times New Roman"/>
                <w:b/>
                <w:bCs/>
                <w:szCs w:val="21"/>
              </w:rPr>
              <w:t>4、地表水</w:t>
            </w:r>
          </w:p>
          <w:p>
            <w:pPr>
              <w:spacing w:line="276" w:lineRule="auto"/>
              <w:jc w:val="center"/>
              <w:rPr>
                <w:rFonts w:hint="eastAsia"/>
                <w:b/>
                <w:bCs/>
                <w:szCs w:val="21"/>
              </w:rPr>
            </w:pPr>
            <w:r>
              <w:rPr>
                <w:rFonts w:hint="eastAsia"/>
                <w:b/>
                <w:bCs/>
                <w:szCs w:val="21"/>
              </w:rPr>
              <w:t>表3-4：项目水环境保护目标</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0"/>
              <w:gridCol w:w="907"/>
              <w:gridCol w:w="2034"/>
              <w:gridCol w:w="843"/>
              <w:gridCol w:w="649"/>
              <w:gridCol w:w="30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pct"/>
                  <w:noWrap w:val="0"/>
                  <w:vAlign w:val="center"/>
                </w:tcPr>
                <w:p>
                  <w:pPr>
                    <w:jc w:val="center"/>
                    <w:rPr>
                      <w:rFonts w:hint="eastAsia" w:cs="Times New Roman"/>
                      <w:b/>
                      <w:bCs/>
                      <w:szCs w:val="21"/>
                    </w:rPr>
                  </w:pPr>
                  <w:r>
                    <w:rPr>
                      <w:rFonts w:cs="Times New Roman"/>
                      <w:b/>
                      <w:bCs/>
                      <w:szCs w:val="21"/>
                    </w:rPr>
                    <w:t>环境</w:t>
                  </w:r>
                </w:p>
                <w:p>
                  <w:pPr>
                    <w:jc w:val="center"/>
                    <w:rPr>
                      <w:rFonts w:cs="Times New Roman"/>
                      <w:b/>
                      <w:bCs/>
                      <w:szCs w:val="21"/>
                    </w:rPr>
                  </w:pPr>
                  <w:r>
                    <w:rPr>
                      <w:rFonts w:cs="Times New Roman"/>
                      <w:b/>
                      <w:bCs/>
                      <w:szCs w:val="21"/>
                    </w:rPr>
                    <w:t>要素</w:t>
                  </w:r>
                </w:p>
              </w:tc>
              <w:tc>
                <w:tcPr>
                  <w:tcW w:w="538" w:type="pct"/>
                  <w:noWrap w:val="0"/>
                  <w:vAlign w:val="center"/>
                </w:tcPr>
                <w:p>
                  <w:pPr>
                    <w:jc w:val="center"/>
                    <w:rPr>
                      <w:rFonts w:cs="Times New Roman"/>
                      <w:b/>
                      <w:bCs/>
                      <w:szCs w:val="21"/>
                    </w:rPr>
                  </w:pPr>
                  <w:r>
                    <w:rPr>
                      <w:rFonts w:cs="Times New Roman"/>
                      <w:b/>
                      <w:bCs/>
                      <w:szCs w:val="21"/>
                    </w:rPr>
                    <w:t>名称</w:t>
                  </w:r>
                </w:p>
              </w:tc>
              <w:tc>
                <w:tcPr>
                  <w:tcW w:w="1207" w:type="pct"/>
                  <w:noWrap w:val="0"/>
                  <w:vAlign w:val="center"/>
                </w:tcPr>
                <w:p>
                  <w:pPr>
                    <w:jc w:val="center"/>
                    <w:rPr>
                      <w:rFonts w:cs="Times New Roman"/>
                      <w:b/>
                      <w:bCs/>
                      <w:szCs w:val="21"/>
                    </w:rPr>
                  </w:pPr>
                  <w:r>
                    <w:rPr>
                      <w:rFonts w:cs="Times New Roman"/>
                      <w:b/>
                      <w:bCs/>
                      <w:szCs w:val="21"/>
                    </w:rPr>
                    <w:t>方位</w:t>
                  </w:r>
                </w:p>
              </w:tc>
              <w:tc>
                <w:tcPr>
                  <w:tcW w:w="500" w:type="pct"/>
                  <w:noWrap w:val="0"/>
                  <w:vAlign w:val="center"/>
                </w:tcPr>
                <w:p>
                  <w:pPr>
                    <w:jc w:val="center"/>
                    <w:rPr>
                      <w:rFonts w:cs="Times New Roman"/>
                      <w:b/>
                      <w:bCs/>
                      <w:szCs w:val="21"/>
                    </w:rPr>
                  </w:pPr>
                  <w:r>
                    <w:rPr>
                      <w:rFonts w:cs="Times New Roman"/>
                      <w:b/>
                      <w:bCs/>
                      <w:szCs w:val="21"/>
                    </w:rPr>
                    <w:t>距离</w:t>
                  </w:r>
                </w:p>
              </w:tc>
              <w:tc>
                <w:tcPr>
                  <w:tcW w:w="385" w:type="pct"/>
                  <w:noWrap w:val="0"/>
                  <w:vAlign w:val="center"/>
                </w:tcPr>
                <w:p>
                  <w:pPr>
                    <w:jc w:val="center"/>
                    <w:rPr>
                      <w:rFonts w:cs="Times New Roman"/>
                      <w:b/>
                      <w:bCs/>
                      <w:szCs w:val="21"/>
                    </w:rPr>
                  </w:pPr>
                  <w:r>
                    <w:rPr>
                      <w:rFonts w:cs="Times New Roman"/>
                      <w:b/>
                      <w:bCs/>
                      <w:szCs w:val="21"/>
                    </w:rPr>
                    <w:t>规模</w:t>
                  </w:r>
                </w:p>
              </w:tc>
              <w:tc>
                <w:tcPr>
                  <w:tcW w:w="1794" w:type="pct"/>
                  <w:noWrap w:val="0"/>
                  <w:vAlign w:val="center"/>
                </w:tcPr>
                <w:p>
                  <w:pPr>
                    <w:jc w:val="center"/>
                    <w:rPr>
                      <w:rFonts w:cs="Times New Roman"/>
                      <w:b/>
                      <w:bCs/>
                      <w:szCs w:val="21"/>
                    </w:rPr>
                  </w:pPr>
                  <w:r>
                    <w:rPr>
                      <w:rFonts w:cs="Times New Roman"/>
                      <w:b/>
                      <w:bCs/>
                      <w:szCs w:val="21"/>
                    </w:rPr>
                    <w:t>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pct"/>
                  <w:noWrap w:val="0"/>
                  <w:vAlign w:val="center"/>
                </w:tcPr>
                <w:p>
                  <w:pPr>
                    <w:jc w:val="center"/>
                    <w:rPr>
                      <w:rFonts w:cs="Times New Roman"/>
                      <w:szCs w:val="21"/>
                    </w:rPr>
                  </w:pPr>
                  <w:r>
                    <w:rPr>
                      <w:rFonts w:cs="Times New Roman"/>
                      <w:szCs w:val="21"/>
                    </w:rPr>
                    <w:t>地表水</w:t>
                  </w:r>
                </w:p>
              </w:tc>
              <w:tc>
                <w:tcPr>
                  <w:tcW w:w="538" w:type="pct"/>
                  <w:noWrap w:val="0"/>
                  <w:vAlign w:val="center"/>
                </w:tcPr>
                <w:p>
                  <w:pPr>
                    <w:jc w:val="center"/>
                    <w:rPr>
                      <w:rFonts w:cs="Times New Roman"/>
                      <w:szCs w:val="21"/>
                    </w:rPr>
                  </w:pPr>
                  <w:r>
                    <w:rPr>
                      <w:rFonts w:hint="eastAsia" w:cs="Times New Roman"/>
                      <w:szCs w:val="21"/>
                    </w:rPr>
                    <w:t>州河</w:t>
                  </w:r>
                </w:p>
              </w:tc>
              <w:tc>
                <w:tcPr>
                  <w:tcW w:w="1207" w:type="pct"/>
                  <w:noWrap w:val="0"/>
                  <w:vAlign w:val="center"/>
                </w:tcPr>
                <w:p>
                  <w:pPr>
                    <w:jc w:val="center"/>
                    <w:rPr>
                      <w:rFonts w:cs="Times New Roman"/>
                      <w:szCs w:val="21"/>
                    </w:rPr>
                  </w:pPr>
                  <w:r>
                    <w:rPr>
                      <w:rFonts w:hint="eastAsia" w:cs="Times New Roman"/>
                      <w:szCs w:val="21"/>
                    </w:rPr>
                    <w:t>净水厂南</w:t>
                  </w:r>
                  <w:r>
                    <w:rPr>
                      <w:rFonts w:cs="Times New Roman"/>
                      <w:szCs w:val="21"/>
                    </w:rPr>
                    <w:t>侧</w:t>
                  </w:r>
                </w:p>
              </w:tc>
              <w:tc>
                <w:tcPr>
                  <w:tcW w:w="500" w:type="pct"/>
                  <w:noWrap w:val="0"/>
                  <w:vAlign w:val="center"/>
                </w:tcPr>
                <w:p>
                  <w:pPr>
                    <w:jc w:val="center"/>
                    <w:rPr>
                      <w:rFonts w:cs="Times New Roman"/>
                      <w:szCs w:val="21"/>
                    </w:rPr>
                  </w:pPr>
                  <w:r>
                    <w:rPr>
                      <w:rFonts w:hint="eastAsia" w:cs="Times New Roman"/>
                      <w:szCs w:val="21"/>
                    </w:rPr>
                    <w:t>约4km</w:t>
                  </w:r>
                </w:p>
              </w:tc>
              <w:tc>
                <w:tcPr>
                  <w:tcW w:w="385" w:type="pct"/>
                  <w:noWrap w:val="0"/>
                  <w:vAlign w:val="center"/>
                </w:tcPr>
                <w:p>
                  <w:pPr>
                    <w:jc w:val="center"/>
                    <w:rPr>
                      <w:rFonts w:cs="Times New Roman"/>
                      <w:szCs w:val="21"/>
                    </w:rPr>
                  </w:pPr>
                  <w:r>
                    <w:rPr>
                      <w:rFonts w:hint="eastAsia" w:cs="Times New Roman"/>
                      <w:szCs w:val="21"/>
                    </w:rPr>
                    <w:t>大河</w:t>
                  </w:r>
                </w:p>
              </w:tc>
              <w:tc>
                <w:tcPr>
                  <w:tcW w:w="1794" w:type="pct"/>
                  <w:noWrap w:val="0"/>
                  <w:vAlign w:val="center"/>
                </w:tcPr>
                <w:p>
                  <w:pPr>
                    <w:jc w:val="center"/>
                    <w:rPr>
                      <w:rFonts w:cs="Times New Roman"/>
                      <w:szCs w:val="21"/>
                    </w:rPr>
                  </w:pPr>
                  <w:r>
                    <w:rPr>
                      <w:rFonts w:cs="Times New Roman"/>
                      <w:szCs w:val="21"/>
                    </w:rPr>
                    <w:t>《地表水环境质量标准》（GB3838-2002）Ⅲ类标准</w:t>
                  </w:r>
                </w:p>
              </w:tc>
            </w:tr>
          </w:tbl>
          <w:p>
            <w:pPr>
              <w:spacing w:line="276" w:lineRule="auto"/>
              <w:ind w:firstLine="422" w:firstLineChars="200"/>
              <w:rPr>
                <w:rFonts w:cs="Times New Roman"/>
                <w:b/>
                <w:szCs w:val="21"/>
              </w:rPr>
            </w:pPr>
            <w:r>
              <w:rPr>
                <w:rFonts w:hint="eastAsia" w:cs="Times New Roman"/>
                <w:b/>
                <w:szCs w:val="21"/>
              </w:rPr>
              <w:t>5</w:t>
            </w:r>
            <w:r>
              <w:rPr>
                <w:rFonts w:cs="Times New Roman"/>
                <w:b/>
                <w:szCs w:val="21"/>
              </w:rPr>
              <w:t>、</w:t>
            </w:r>
            <w:r>
              <w:rPr>
                <w:rFonts w:hint="eastAsia" w:cs="Times New Roman"/>
                <w:b/>
                <w:szCs w:val="21"/>
              </w:rPr>
              <w:t>生态</w:t>
            </w:r>
            <w:r>
              <w:rPr>
                <w:rFonts w:cs="Times New Roman"/>
                <w:b/>
                <w:szCs w:val="21"/>
              </w:rPr>
              <w:t>环境</w:t>
            </w:r>
          </w:p>
          <w:p>
            <w:pPr>
              <w:spacing w:line="276" w:lineRule="auto"/>
              <w:ind w:firstLine="420" w:firstLineChars="200"/>
              <w:rPr>
                <w:rFonts w:cs="Times New Roman"/>
                <w:b/>
                <w:color w:val="FF00FF"/>
                <w:szCs w:val="21"/>
              </w:rPr>
            </w:pPr>
            <w:r>
              <w:rPr>
                <w:rFonts w:cs="Times New Roman"/>
                <w:szCs w:val="21"/>
              </w:rPr>
              <w:t>本项目用地范围内无生态环境保护目标</w:t>
            </w: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noWrap w:val="0"/>
            <w:vAlign w:val="center"/>
          </w:tcPr>
          <w:p>
            <w:pPr>
              <w:spacing w:line="276" w:lineRule="auto"/>
              <w:jc w:val="center"/>
              <w:rPr>
                <w:rFonts w:cs="Times New Roman"/>
                <w:szCs w:val="21"/>
              </w:rPr>
            </w:pPr>
            <w:r>
              <w:rPr>
                <w:rFonts w:hint="eastAsia" w:cs="Times New Roman"/>
                <w:szCs w:val="21"/>
              </w:rPr>
              <w:t>污染</w:t>
            </w:r>
          </w:p>
          <w:p>
            <w:pPr>
              <w:spacing w:line="276" w:lineRule="auto"/>
              <w:jc w:val="center"/>
              <w:rPr>
                <w:rFonts w:cs="Times New Roman"/>
                <w:szCs w:val="21"/>
              </w:rPr>
            </w:pPr>
            <w:r>
              <w:rPr>
                <w:rFonts w:hint="eastAsia" w:cs="Times New Roman"/>
                <w:szCs w:val="21"/>
              </w:rPr>
              <w:t>物排</w:t>
            </w:r>
          </w:p>
          <w:p>
            <w:pPr>
              <w:spacing w:line="276" w:lineRule="auto"/>
              <w:jc w:val="center"/>
              <w:rPr>
                <w:rFonts w:cs="Times New Roman"/>
                <w:szCs w:val="21"/>
              </w:rPr>
            </w:pPr>
            <w:r>
              <w:rPr>
                <w:rFonts w:hint="eastAsia" w:cs="Times New Roman"/>
                <w:szCs w:val="21"/>
              </w:rPr>
              <w:t>放控</w:t>
            </w:r>
          </w:p>
          <w:p>
            <w:pPr>
              <w:spacing w:line="276" w:lineRule="auto"/>
              <w:jc w:val="center"/>
              <w:rPr>
                <w:rFonts w:cs="Times New Roman"/>
                <w:szCs w:val="21"/>
              </w:rPr>
            </w:pPr>
            <w:r>
              <w:rPr>
                <w:rFonts w:hint="eastAsia" w:cs="Times New Roman"/>
                <w:szCs w:val="21"/>
              </w:rPr>
              <w:t>制标</w:t>
            </w:r>
          </w:p>
          <w:p>
            <w:pPr>
              <w:spacing w:line="276" w:lineRule="auto"/>
              <w:jc w:val="center"/>
              <w:rPr>
                <w:rFonts w:cs="Times New Roman"/>
                <w:szCs w:val="21"/>
              </w:rPr>
            </w:pPr>
            <w:r>
              <w:rPr>
                <w:rFonts w:hint="eastAsia" w:cs="Times New Roman"/>
                <w:szCs w:val="21"/>
              </w:rPr>
              <w:t>准</w:t>
            </w:r>
          </w:p>
        </w:tc>
        <w:tc>
          <w:tcPr>
            <w:tcW w:w="8645" w:type="dxa"/>
            <w:noWrap w:val="0"/>
            <w:vAlign w:val="center"/>
          </w:tcPr>
          <w:p>
            <w:pPr>
              <w:spacing w:line="276" w:lineRule="auto"/>
              <w:ind w:firstLine="422" w:firstLineChars="200"/>
              <w:rPr>
                <w:rFonts w:cs="Times New Roman"/>
                <w:b/>
                <w:szCs w:val="21"/>
              </w:rPr>
            </w:pPr>
            <w:r>
              <w:rPr>
                <w:rFonts w:cs="Times New Roman"/>
                <w:b/>
                <w:szCs w:val="21"/>
              </w:rPr>
              <w:t>1、废气</w:t>
            </w:r>
          </w:p>
          <w:p>
            <w:pPr>
              <w:spacing w:line="276" w:lineRule="auto"/>
              <w:ind w:firstLine="420" w:firstLineChars="200"/>
              <w:rPr>
                <w:rFonts w:cs="Times New Roman"/>
                <w:color w:val="FF00FF"/>
                <w:szCs w:val="21"/>
              </w:rPr>
            </w:pPr>
            <w:r>
              <w:rPr>
                <w:rFonts w:cs="Times New Roman"/>
                <w:szCs w:val="21"/>
              </w:rPr>
              <w:t>施工期扬尘执行《四川省施工场地扬尘排放标准》（DB51/2682-2020）</w:t>
            </w:r>
            <w:r>
              <w:rPr>
                <w:rFonts w:hint="eastAsia" w:cs="Times New Roman"/>
                <w:szCs w:val="21"/>
              </w:rPr>
              <w:t>相关要求；</w:t>
            </w:r>
            <w:r>
              <w:rPr>
                <w:rFonts w:cs="Times New Roman"/>
                <w:szCs w:val="21"/>
              </w:rPr>
              <w:t>运营期食堂油烟执行《饮食业油烟排放标准》（GB18483-2001）</w:t>
            </w:r>
            <w:r>
              <w:rPr>
                <w:rFonts w:hint="eastAsia" w:cs="Times New Roman"/>
                <w:szCs w:val="21"/>
              </w:rPr>
              <w:t>中</w:t>
            </w:r>
            <w:r>
              <w:rPr>
                <w:rFonts w:cs="Times New Roman"/>
                <w:szCs w:val="21"/>
              </w:rPr>
              <w:t>型规模标准</w:t>
            </w:r>
            <w:r>
              <w:rPr>
                <w:rFonts w:hint="eastAsia" w:cs="Times New Roman"/>
                <w:szCs w:val="21"/>
              </w:rPr>
              <w:t>；柴油发电机废气执行《大气污染物综合排放标准》（GB 16297-1996）</w:t>
            </w:r>
            <w:r>
              <w:rPr>
                <w:rFonts w:cs="Times New Roman"/>
                <w:szCs w:val="21"/>
              </w:rPr>
              <w:t>。</w:t>
            </w:r>
          </w:p>
          <w:p>
            <w:pPr>
              <w:spacing w:line="276" w:lineRule="auto"/>
              <w:jc w:val="center"/>
              <w:rPr>
                <w:rFonts w:hint="eastAsia" w:cs="Times New Roman"/>
                <w:b/>
                <w:bCs/>
                <w:szCs w:val="21"/>
              </w:rPr>
            </w:pPr>
            <w:r>
              <w:rPr>
                <w:rFonts w:cs="Times New Roman"/>
                <w:b/>
                <w:bCs/>
                <w:szCs w:val="21"/>
              </w:rPr>
              <w:t>表3-</w:t>
            </w:r>
            <w:r>
              <w:rPr>
                <w:rFonts w:hint="eastAsia" w:cs="Times New Roman"/>
                <w:b/>
                <w:bCs/>
                <w:szCs w:val="21"/>
              </w:rPr>
              <w:t>5</w:t>
            </w:r>
            <w:r>
              <w:rPr>
                <w:rFonts w:cs="Times New Roman"/>
                <w:b/>
                <w:bCs/>
                <w:szCs w:val="21"/>
              </w:rPr>
              <w:t xml:space="preserve">  施工场地扬尘排放限值</w:t>
            </w:r>
          </w:p>
          <w:tbl>
            <w:tblPr>
              <w:tblStyle w:val="26"/>
              <w:tblW w:w="7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3105"/>
              <w:gridCol w:w="1437"/>
              <w:gridCol w:w="1332"/>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312" w:type="dxa"/>
                  <w:noWrap w:val="0"/>
                  <w:vAlign w:val="center"/>
                </w:tcPr>
                <w:p>
                  <w:pPr>
                    <w:spacing w:line="320" w:lineRule="exact"/>
                    <w:ind w:left="-105" w:leftChars="-50" w:right="-105" w:rightChars="-50"/>
                    <w:jc w:val="center"/>
                    <w:rPr>
                      <w:b/>
                      <w:bCs/>
                      <w:sz w:val="18"/>
                      <w:szCs w:val="18"/>
                    </w:rPr>
                  </w:pPr>
                  <w:r>
                    <w:rPr>
                      <w:b/>
                      <w:bCs/>
                      <w:sz w:val="18"/>
                      <w:szCs w:val="18"/>
                    </w:rPr>
                    <w:t>监测项目</w:t>
                  </w:r>
                </w:p>
              </w:tc>
              <w:tc>
                <w:tcPr>
                  <w:tcW w:w="3105" w:type="dxa"/>
                  <w:noWrap w:val="0"/>
                  <w:vAlign w:val="center"/>
                </w:tcPr>
                <w:p>
                  <w:pPr>
                    <w:spacing w:line="320" w:lineRule="exact"/>
                    <w:ind w:left="-105" w:leftChars="-50" w:right="-105" w:rightChars="-50"/>
                    <w:jc w:val="center"/>
                    <w:rPr>
                      <w:b/>
                      <w:bCs/>
                      <w:sz w:val="18"/>
                      <w:szCs w:val="18"/>
                    </w:rPr>
                  </w:pPr>
                  <w:r>
                    <w:rPr>
                      <w:b/>
                      <w:bCs/>
                      <w:sz w:val="18"/>
                      <w:szCs w:val="18"/>
                    </w:rPr>
                    <w:t>区域</w:t>
                  </w:r>
                </w:p>
              </w:tc>
              <w:tc>
                <w:tcPr>
                  <w:tcW w:w="1437" w:type="dxa"/>
                  <w:noWrap w:val="0"/>
                  <w:vAlign w:val="center"/>
                </w:tcPr>
                <w:p>
                  <w:pPr>
                    <w:spacing w:line="320" w:lineRule="exact"/>
                    <w:ind w:left="-105" w:leftChars="-50" w:right="-105" w:rightChars="-50"/>
                    <w:jc w:val="center"/>
                    <w:rPr>
                      <w:b/>
                      <w:bCs/>
                      <w:sz w:val="18"/>
                      <w:szCs w:val="18"/>
                    </w:rPr>
                  </w:pPr>
                  <w:r>
                    <w:rPr>
                      <w:b/>
                      <w:bCs/>
                      <w:sz w:val="18"/>
                      <w:szCs w:val="18"/>
                    </w:rPr>
                    <w:t>施工阶段</w:t>
                  </w:r>
                </w:p>
              </w:tc>
              <w:tc>
                <w:tcPr>
                  <w:tcW w:w="1332" w:type="dxa"/>
                  <w:noWrap w:val="0"/>
                  <w:vAlign w:val="center"/>
                </w:tcPr>
                <w:p>
                  <w:pPr>
                    <w:spacing w:line="320" w:lineRule="exact"/>
                    <w:ind w:left="-105" w:leftChars="-50" w:right="-105" w:rightChars="-50"/>
                    <w:jc w:val="center"/>
                    <w:rPr>
                      <w:b/>
                      <w:bCs/>
                      <w:sz w:val="18"/>
                      <w:szCs w:val="18"/>
                    </w:rPr>
                  </w:pPr>
                  <w:r>
                    <w:rPr>
                      <w:b/>
                      <w:bCs/>
                      <w:sz w:val="18"/>
                      <w:szCs w:val="18"/>
                    </w:rPr>
                    <w:t>监测点排放限值</w:t>
                  </w:r>
                </w:p>
                <w:p>
                  <w:pPr>
                    <w:spacing w:line="320" w:lineRule="exact"/>
                    <w:ind w:left="-105" w:leftChars="-50" w:right="-105" w:rightChars="-50"/>
                    <w:jc w:val="center"/>
                    <w:rPr>
                      <w:b/>
                      <w:bCs/>
                      <w:sz w:val="18"/>
                      <w:szCs w:val="18"/>
                    </w:rPr>
                  </w:pPr>
                  <w:r>
                    <w:rPr>
                      <w:b/>
                      <w:bCs/>
                      <w:sz w:val="18"/>
                      <w:szCs w:val="18"/>
                    </w:rPr>
                    <w:t>（μg/m</w:t>
                  </w:r>
                  <w:r>
                    <w:rPr>
                      <w:b/>
                      <w:bCs/>
                      <w:sz w:val="18"/>
                      <w:szCs w:val="18"/>
                      <w:vertAlign w:val="superscript"/>
                    </w:rPr>
                    <w:t>3</w:t>
                  </w:r>
                  <w:r>
                    <w:rPr>
                      <w:b/>
                      <w:bCs/>
                      <w:sz w:val="18"/>
                      <w:szCs w:val="18"/>
                    </w:rPr>
                    <w:t>）</w:t>
                  </w:r>
                </w:p>
              </w:tc>
              <w:tc>
                <w:tcPr>
                  <w:tcW w:w="792" w:type="dxa"/>
                  <w:noWrap w:val="0"/>
                  <w:vAlign w:val="center"/>
                </w:tcPr>
                <w:p>
                  <w:pPr>
                    <w:spacing w:line="320" w:lineRule="exact"/>
                    <w:ind w:left="-105" w:leftChars="-50" w:right="-105" w:rightChars="-50"/>
                    <w:jc w:val="center"/>
                    <w:rPr>
                      <w:b/>
                      <w:bCs/>
                      <w:sz w:val="18"/>
                      <w:szCs w:val="18"/>
                    </w:rPr>
                  </w:pPr>
                  <w:r>
                    <w:rPr>
                      <w:b/>
                      <w:bCs/>
                      <w:sz w:val="18"/>
                      <w:szCs w:val="18"/>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312" w:type="dxa"/>
                  <w:vMerge w:val="restart"/>
                  <w:noWrap w:val="0"/>
                  <w:vAlign w:val="center"/>
                </w:tcPr>
                <w:p>
                  <w:pPr>
                    <w:spacing w:line="320" w:lineRule="exact"/>
                    <w:ind w:left="-105" w:leftChars="-50" w:right="-105" w:rightChars="-50"/>
                    <w:jc w:val="center"/>
                    <w:rPr>
                      <w:sz w:val="18"/>
                      <w:szCs w:val="18"/>
                    </w:rPr>
                  </w:pPr>
                  <w:r>
                    <w:rPr>
                      <w:sz w:val="18"/>
                      <w:szCs w:val="18"/>
                    </w:rPr>
                    <w:t>总悬浮颗粒物</w:t>
                  </w:r>
                </w:p>
                <w:p>
                  <w:pPr>
                    <w:spacing w:line="320" w:lineRule="exact"/>
                    <w:ind w:left="-105" w:leftChars="-50" w:right="-105" w:rightChars="-50"/>
                    <w:jc w:val="center"/>
                    <w:rPr>
                      <w:sz w:val="18"/>
                      <w:szCs w:val="18"/>
                    </w:rPr>
                  </w:pPr>
                  <w:r>
                    <w:rPr>
                      <w:sz w:val="18"/>
                      <w:szCs w:val="18"/>
                    </w:rPr>
                    <w:t>（TSP）</w:t>
                  </w:r>
                </w:p>
              </w:tc>
              <w:tc>
                <w:tcPr>
                  <w:tcW w:w="3105" w:type="dxa"/>
                  <w:vMerge w:val="restart"/>
                  <w:noWrap w:val="0"/>
                  <w:vAlign w:val="center"/>
                </w:tcPr>
                <w:p>
                  <w:pPr>
                    <w:spacing w:line="320" w:lineRule="exact"/>
                    <w:ind w:left="-105" w:leftChars="-50" w:right="-105" w:rightChars="-50"/>
                    <w:jc w:val="center"/>
                    <w:rPr>
                      <w:sz w:val="18"/>
                      <w:szCs w:val="18"/>
                    </w:rPr>
                  </w:pPr>
                  <w:r>
                    <w:rPr>
                      <w:sz w:val="18"/>
                      <w:szCs w:val="18"/>
                    </w:rPr>
                    <w:t>成都市、自贡市、泸州市、德阳市、绵 阳市、广元市、遂宁市、内江市、乐山市、南充市、宜宾市、广安市、</w:t>
                  </w:r>
                  <w:r>
                    <w:rPr>
                      <w:b/>
                      <w:bCs/>
                      <w:sz w:val="18"/>
                      <w:szCs w:val="18"/>
                    </w:rPr>
                    <w:t>达州市</w:t>
                  </w:r>
                  <w:r>
                    <w:rPr>
                      <w:sz w:val="18"/>
                      <w:szCs w:val="18"/>
                    </w:rPr>
                    <w:t>、巴中市、雅安市、眉山市、资阳市</w:t>
                  </w:r>
                </w:p>
              </w:tc>
              <w:tc>
                <w:tcPr>
                  <w:tcW w:w="1437" w:type="dxa"/>
                  <w:noWrap w:val="0"/>
                  <w:vAlign w:val="center"/>
                </w:tcPr>
                <w:p>
                  <w:pPr>
                    <w:spacing w:line="320" w:lineRule="exact"/>
                    <w:ind w:left="-105" w:leftChars="-50" w:right="-105" w:rightChars="-50"/>
                    <w:jc w:val="center"/>
                    <w:rPr>
                      <w:sz w:val="18"/>
                      <w:szCs w:val="18"/>
                    </w:rPr>
                  </w:pPr>
                  <w:r>
                    <w:rPr>
                      <w:sz w:val="18"/>
                      <w:szCs w:val="18"/>
                    </w:rPr>
                    <w:t>拆除工程/土方开挖/土方回填阶段</w:t>
                  </w:r>
                </w:p>
              </w:tc>
              <w:tc>
                <w:tcPr>
                  <w:tcW w:w="1332" w:type="dxa"/>
                  <w:noWrap w:val="0"/>
                  <w:vAlign w:val="center"/>
                </w:tcPr>
                <w:p>
                  <w:pPr>
                    <w:spacing w:line="320" w:lineRule="exact"/>
                    <w:ind w:left="-105" w:leftChars="-50" w:right="-105" w:rightChars="-50"/>
                    <w:jc w:val="center"/>
                    <w:rPr>
                      <w:sz w:val="18"/>
                      <w:szCs w:val="18"/>
                    </w:rPr>
                  </w:pPr>
                  <w:r>
                    <w:rPr>
                      <w:sz w:val="18"/>
                      <w:szCs w:val="18"/>
                    </w:rPr>
                    <w:t>600</w:t>
                  </w:r>
                </w:p>
              </w:tc>
              <w:tc>
                <w:tcPr>
                  <w:tcW w:w="792" w:type="dxa"/>
                  <w:vMerge w:val="restart"/>
                  <w:noWrap w:val="0"/>
                  <w:vAlign w:val="center"/>
                </w:tcPr>
                <w:p>
                  <w:pPr>
                    <w:spacing w:line="320" w:lineRule="exact"/>
                    <w:ind w:left="-105" w:leftChars="-50" w:right="-105" w:rightChars="-50"/>
                    <w:jc w:val="center"/>
                    <w:rPr>
                      <w:sz w:val="18"/>
                      <w:szCs w:val="18"/>
                    </w:rPr>
                  </w:pPr>
                  <w:r>
                    <w:rPr>
                      <w:sz w:val="18"/>
                      <w:szCs w:val="18"/>
                    </w:rPr>
                    <w:t>自监测起持续15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312" w:type="dxa"/>
                  <w:vMerge w:val="continue"/>
                  <w:noWrap w:val="0"/>
                  <w:vAlign w:val="center"/>
                </w:tcPr>
                <w:p>
                  <w:pPr>
                    <w:spacing w:line="320" w:lineRule="exact"/>
                    <w:ind w:left="-105" w:leftChars="-50" w:right="-105" w:rightChars="-50"/>
                    <w:jc w:val="center"/>
                    <w:rPr>
                      <w:sz w:val="18"/>
                      <w:szCs w:val="18"/>
                    </w:rPr>
                  </w:pPr>
                </w:p>
              </w:tc>
              <w:tc>
                <w:tcPr>
                  <w:tcW w:w="3105" w:type="dxa"/>
                  <w:vMerge w:val="continue"/>
                  <w:noWrap w:val="0"/>
                  <w:vAlign w:val="center"/>
                </w:tcPr>
                <w:p>
                  <w:pPr>
                    <w:spacing w:line="320" w:lineRule="exact"/>
                    <w:ind w:left="-105" w:leftChars="-50" w:right="-105" w:rightChars="-50"/>
                    <w:jc w:val="center"/>
                    <w:rPr>
                      <w:sz w:val="18"/>
                      <w:szCs w:val="18"/>
                    </w:rPr>
                  </w:pPr>
                </w:p>
              </w:tc>
              <w:tc>
                <w:tcPr>
                  <w:tcW w:w="1437" w:type="dxa"/>
                  <w:noWrap w:val="0"/>
                  <w:vAlign w:val="center"/>
                </w:tcPr>
                <w:p>
                  <w:pPr>
                    <w:spacing w:line="320" w:lineRule="exact"/>
                    <w:ind w:left="-105" w:leftChars="-50" w:right="-105" w:rightChars="-50"/>
                    <w:jc w:val="center"/>
                    <w:rPr>
                      <w:sz w:val="18"/>
                      <w:szCs w:val="18"/>
                    </w:rPr>
                  </w:pPr>
                  <w:r>
                    <w:rPr>
                      <w:sz w:val="18"/>
                      <w:szCs w:val="18"/>
                    </w:rPr>
                    <w:t>其他工程阶段</w:t>
                  </w:r>
                </w:p>
              </w:tc>
              <w:tc>
                <w:tcPr>
                  <w:tcW w:w="1332" w:type="dxa"/>
                  <w:noWrap w:val="0"/>
                  <w:vAlign w:val="center"/>
                </w:tcPr>
                <w:p>
                  <w:pPr>
                    <w:spacing w:line="320" w:lineRule="exact"/>
                    <w:ind w:left="-105" w:leftChars="-50" w:right="-105" w:rightChars="-50"/>
                    <w:jc w:val="center"/>
                    <w:rPr>
                      <w:sz w:val="18"/>
                      <w:szCs w:val="18"/>
                    </w:rPr>
                  </w:pPr>
                  <w:r>
                    <w:rPr>
                      <w:sz w:val="18"/>
                      <w:szCs w:val="18"/>
                    </w:rPr>
                    <w:t>250</w:t>
                  </w:r>
                </w:p>
              </w:tc>
              <w:tc>
                <w:tcPr>
                  <w:tcW w:w="792" w:type="dxa"/>
                  <w:vMerge w:val="continue"/>
                  <w:noWrap w:val="0"/>
                  <w:vAlign w:val="center"/>
                </w:tcPr>
                <w:p>
                  <w:pPr>
                    <w:spacing w:line="320" w:lineRule="exact"/>
                    <w:ind w:left="-105" w:leftChars="-50" w:right="-105" w:rightChars="-50"/>
                    <w:jc w:val="center"/>
                    <w:rPr>
                      <w:color w:val="FF0000"/>
                      <w:sz w:val="18"/>
                      <w:szCs w:val="18"/>
                    </w:rPr>
                  </w:pPr>
                </w:p>
              </w:tc>
            </w:tr>
          </w:tbl>
          <w:p>
            <w:pPr>
              <w:spacing w:line="276" w:lineRule="auto"/>
              <w:jc w:val="center"/>
              <w:rPr>
                <w:rFonts w:hint="eastAsia" w:cs="Times New Roman"/>
                <w:b/>
                <w:bCs/>
                <w:szCs w:val="21"/>
              </w:rPr>
            </w:pPr>
          </w:p>
          <w:p>
            <w:pPr>
              <w:spacing w:line="276" w:lineRule="auto"/>
              <w:jc w:val="center"/>
              <w:rPr>
                <w:rFonts w:cs="Times New Roman"/>
                <w:b/>
                <w:bCs/>
                <w:szCs w:val="21"/>
              </w:rPr>
            </w:pPr>
            <w:r>
              <w:rPr>
                <w:rFonts w:cs="Times New Roman"/>
                <w:b/>
                <w:bCs/>
                <w:szCs w:val="21"/>
              </w:rPr>
              <w:t>表3-</w:t>
            </w:r>
            <w:r>
              <w:rPr>
                <w:rFonts w:hint="eastAsia" w:cs="Times New Roman"/>
                <w:b/>
                <w:bCs/>
                <w:szCs w:val="21"/>
              </w:rPr>
              <w:t>6</w:t>
            </w:r>
            <w:r>
              <w:rPr>
                <w:rFonts w:cs="Times New Roman"/>
                <w:b/>
                <w:bCs/>
                <w:szCs w:val="21"/>
              </w:rPr>
              <w:t xml:space="preserve">  饮食业油烟排放标准</w:t>
            </w:r>
          </w:p>
          <w:tbl>
            <w:tblPr>
              <w:tblStyle w:val="26"/>
              <w:tblW w:w="81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28"/>
              <w:gridCol w:w="1740"/>
              <w:gridCol w:w="1740"/>
              <w:gridCol w:w="1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blHeader/>
                <w:jc w:val="center"/>
              </w:trPr>
              <w:tc>
                <w:tcPr>
                  <w:tcW w:w="2928" w:type="dxa"/>
                  <w:noWrap w:val="0"/>
                  <w:vAlign w:val="center"/>
                </w:tcPr>
                <w:p>
                  <w:pPr>
                    <w:jc w:val="center"/>
                    <w:rPr>
                      <w:rFonts w:cs="Times New Roman"/>
                      <w:b/>
                      <w:bCs/>
                      <w:szCs w:val="21"/>
                    </w:rPr>
                  </w:pPr>
                  <w:r>
                    <w:rPr>
                      <w:rFonts w:cs="Times New Roman"/>
                      <w:b/>
                      <w:bCs/>
                      <w:szCs w:val="21"/>
                    </w:rPr>
                    <w:t>规模</w:t>
                  </w:r>
                </w:p>
              </w:tc>
              <w:tc>
                <w:tcPr>
                  <w:tcW w:w="1740" w:type="dxa"/>
                  <w:noWrap w:val="0"/>
                  <w:vAlign w:val="center"/>
                </w:tcPr>
                <w:p>
                  <w:pPr>
                    <w:jc w:val="center"/>
                    <w:rPr>
                      <w:rFonts w:cs="Times New Roman"/>
                      <w:b/>
                      <w:bCs/>
                      <w:szCs w:val="21"/>
                    </w:rPr>
                  </w:pPr>
                  <w:r>
                    <w:rPr>
                      <w:rFonts w:cs="Times New Roman"/>
                      <w:b/>
                      <w:bCs/>
                      <w:szCs w:val="21"/>
                    </w:rPr>
                    <w:t>小型</w:t>
                  </w:r>
                </w:p>
              </w:tc>
              <w:tc>
                <w:tcPr>
                  <w:tcW w:w="1740" w:type="dxa"/>
                  <w:noWrap w:val="0"/>
                  <w:vAlign w:val="center"/>
                </w:tcPr>
                <w:p>
                  <w:pPr>
                    <w:jc w:val="center"/>
                    <w:rPr>
                      <w:rFonts w:cs="Times New Roman"/>
                      <w:b/>
                      <w:bCs/>
                      <w:szCs w:val="21"/>
                    </w:rPr>
                  </w:pPr>
                  <w:r>
                    <w:rPr>
                      <w:rFonts w:cs="Times New Roman"/>
                      <w:b/>
                      <w:bCs/>
                      <w:szCs w:val="21"/>
                    </w:rPr>
                    <w:t>中型</w:t>
                  </w:r>
                </w:p>
              </w:tc>
              <w:tc>
                <w:tcPr>
                  <w:tcW w:w="1745" w:type="dxa"/>
                  <w:noWrap w:val="0"/>
                  <w:vAlign w:val="center"/>
                </w:tcPr>
                <w:p>
                  <w:pPr>
                    <w:jc w:val="center"/>
                    <w:rPr>
                      <w:rFonts w:cs="Times New Roman"/>
                      <w:b/>
                      <w:bCs/>
                      <w:szCs w:val="21"/>
                    </w:rPr>
                  </w:pPr>
                  <w:r>
                    <w:rPr>
                      <w:rFonts w:cs="Times New Roman"/>
                      <w:b/>
                      <w:bCs/>
                      <w:szCs w:val="21"/>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tblHeader/>
                <w:jc w:val="center"/>
              </w:trPr>
              <w:tc>
                <w:tcPr>
                  <w:tcW w:w="2928" w:type="dxa"/>
                  <w:noWrap w:val="0"/>
                  <w:vAlign w:val="center"/>
                </w:tcPr>
                <w:p>
                  <w:pPr>
                    <w:jc w:val="center"/>
                    <w:rPr>
                      <w:rFonts w:cs="Times New Roman"/>
                      <w:szCs w:val="21"/>
                    </w:rPr>
                  </w:pPr>
                  <w:r>
                    <w:rPr>
                      <w:rFonts w:cs="Times New Roman"/>
                      <w:szCs w:val="21"/>
                    </w:rPr>
                    <w:t>最高运行排放浓度（mg/m</w:t>
                  </w:r>
                  <w:r>
                    <w:rPr>
                      <w:rFonts w:cs="Times New Roman"/>
                      <w:szCs w:val="21"/>
                      <w:vertAlign w:val="superscript"/>
                    </w:rPr>
                    <w:t>3</w:t>
                  </w:r>
                  <w:r>
                    <w:rPr>
                      <w:rFonts w:cs="Times New Roman"/>
                      <w:szCs w:val="21"/>
                    </w:rPr>
                    <w:t>）</w:t>
                  </w:r>
                </w:p>
              </w:tc>
              <w:tc>
                <w:tcPr>
                  <w:tcW w:w="5226" w:type="dxa"/>
                  <w:gridSpan w:val="3"/>
                  <w:noWrap w:val="0"/>
                  <w:vAlign w:val="center"/>
                </w:tcPr>
                <w:p>
                  <w:pPr>
                    <w:jc w:val="center"/>
                    <w:rPr>
                      <w:rFonts w:cs="Times New Roman"/>
                      <w:szCs w:val="21"/>
                    </w:rPr>
                  </w:pPr>
                  <w:r>
                    <w:rPr>
                      <w:rFonts w:cs="Times New Roman"/>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blHeader/>
                <w:jc w:val="center"/>
              </w:trPr>
              <w:tc>
                <w:tcPr>
                  <w:tcW w:w="2928" w:type="dxa"/>
                  <w:noWrap w:val="0"/>
                  <w:vAlign w:val="center"/>
                </w:tcPr>
                <w:p>
                  <w:pPr>
                    <w:jc w:val="center"/>
                    <w:rPr>
                      <w:rFonts w:cs="Times New Roman"/>
                      <w:szCs w:val="21"/>
                    </w:rPr>
                  </w:pPr>
                  <w:r>
                    <w:rPr>
                      <w:rFonts w:cs="Times New Roman"/>
                      <w:szCs w:val="21"/>
                    </w:rPr>
                    <w:t>净化设施最低去除效率（%）</w:t>
                  </w:r>
                </w:p>
              </w:tc>
              <w:tc>
                <w:tcPr>
                  <w:tcW w:w="1740" w:type="dxa"/>
                  <w:noWrap w:val="0"/>
                  <w:vAlign w:val="center"/>
                </w:tcPr>
                <w:p>
                  <w:pPr>
                    <w:jc w:val="center"/>
                    <w:rPr>
                      <w:rFonts w:cs="Times New Roman"/>
                      <w:szCs w:val="21"/>
                    </w:rPr>
                  </w:pPr>
                  <w:r>
                    <w:rPr>
                      <w:rFonts w:cs="Times New Roman"/>
                      <w:b/>
                      <w:bCs/>
                      <w:szCs w:val="21"/>
                    </w:rPr>
                    <w:t>60</w:t>
                  </w:r>
                </w:p>
              </w:tc>
              <w:tc>
                <w:tcPr>
                  <w:tcW w:w="1740" w:type="dxa"/>
                  <w:noWrap w:val="0"/>
                  <w:vAlign w:val="center"/>
                </w:tcPr>
                <w:p>
                  <w:pPr>
                    <w:jc w:val="center"/>
                    <w:rPr>
                      <w:rFonts w:cs="Times New Roman"/>
                      <w:szCs w:val="21"/>
                    </w:rPr>
                  </w:pPr>
                  <w:r>
                    <w:rPr>
                      <w:rFonts w:cs="Times New Roman"/>
                      <w:szCs w:val="21"/>
                    </w:rPr>
                    <w:t>75</w:t>
                  </w:r>
                </w:p>
              </w:tc>
              <w:tc>
                <w:tcPr>
                  <w:tcW w:w="1745" w:type="dxa"/>
                  <w:noWrap w:val="0"/>
                  <w:vAlign w:val="center"/>
                </w:tcPr>
                <w:p>
                  <w:pPr>
                    <w:jc w:val="center"/>
                    <w:rPr>
                      <w:rFonts w:cs="Times New Roman"/>
                      <w:szCs w:val="21"/>
                    </w:rPr>
                  </w:pPr>
                  <w:r>
                    <w:rPr>
                      <w:rFonts w:cs="Times New Roman"/>
                      <w:szCs w:val="21"/>
                    </w:rPr>
                    <w:t>85</w:t>
                  </w:r>
                </w:p>
              </w:tc>
            </w:tr>
          </w:tbl>
          <w:p>
            <w:pPr>
              <w:spacing w:line="276" w:lineRule="auto"/>
              <w:ind w:firstLine="422" w:firstLineChars="200"/>
              <w:rPr>
                <w:rFonts w:cs="Times New Roman"/>
                <w:b/>
                <w:szCs w:val="21"/>
              </w:rPr>
            </w:pPr>
            <w:r>
              <w:rPr>
                <w:rFonts w:hint="eastAsia" w:cs="Times New Roman"/>
                <w:b/>
                <w:szCs w:val="21"/>
              </w:rPr>
              <w:t>2、废水</w:t>
            </w:r>
          </w:p>
          <w:p>
            <w:pPr>
              <w:spacing w:line="320" w:lineRule="exact"/>
              <w:ind w:firstLine="420" w:firstLineChars="200"/>
              <w:rPr>
                <w:sz w:val="24"/>
              </w:rPr>
            </w:pPr>
            <w:r>
              <w:rPr>
                <w:rFonts w:hint="eastAsia" w:cs="Times New Roman"/>
                <w:szCs w:val="21"/>
                <w:lang w:val="zh-CN"/>
              </w:rPr>
              <w:t>本项目生产过程滤池反冲洗水回流至配水井回用，不外排；生活污水（食堂含油废水经隔油处理）经化粪池处理后，与污泥压滤液均排入市政污水管网引至达州市污水处理厂处理后排放。废水排放执行</w:t>
            </w:r>
            <w:r>
              <w:rPr>
                <w:szCs w:val="21"/>
              </w:rPr>
              <w:t>《污水综合排放标准》</w:t>
            </w:r>
            <w:r>
              <w:rPr>
                <w:rFonts w:hint="eastAsia"/>
                <w:szCs w:val="21"/>
              </w:rPr>
              <w:t>（</w:t>
            </w:r>
            <w:r>
              <w:rPr>
                <w:szCs w:val="21"/>
              </w:rPr>
              <w:t>GB8978-1996</w:t>
            </w:r>
            <w:r>
              <w:rPr>
                <w:rFonts w:hint="eastAsia"/>
                <w:szCs w:val="21"/>
              </w:rPr>
              <w:t>）三</w:t>
            </w:r>
            <w:r>
              <w:rPr>
                <w:szCs w:val="21"/>
              </w:rPr>
              <w:t>级标准；具体标准值见下表。</w:t>
            </w:r>
          </w:p>
          <w:p>
            <w:pPr>
              <w:spacing w:line="320" w:lineRule="exact"/>
              <w:jc w:val="center"/>
              <w:rPr>
                <w:b/>
                <w:bCs/>
                <w:sz w:val="18"/>
                <w:szCs w:val="18"/>
              </w:rPr>
            </w:pPr>
            <w:r>
              <w:rPr>
                <w:b/>
                <w:bCs/>
                <w:sz w:val="18"/>
                <w:szCs w:val="18"/>
              </w:rPr>
              <w:t>3-</w:t>
            </w:r>
            <w:r>
              <w:rPr>
                <w:rFonts w:hint="eastAsia"/>
                <w:b/>
                <w:bCs/>
                <w:sz w:val="18"/>
                <w:szCs w:val="18"/>
              </w:rPr>
              <w:t>7</w:t>
            </w:r>
            <w:r>
              <w:rPr>
                <w:b/>
                <w:bCs/>
                <w:sz w:val="18"/>
                <w:szCs w:val="18"/>
              </w:rPr>
              <w:t>：项目污水排放标准限值  单位：mg/L（pH无量纲）</w:t>
            </w:r>
          </w:p>
          <w:tbl>
            <w:tblPr>
              <w:tblStyle w:val="26"/>
              <w:tblW w:w="7930" w:type="dxa"/>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92"/>
              <w:gridCol w:w="572"/>
              <w:gridCol w:w="937"/>
              <w:gridCol w:w="817"/>
              <w:gridCol w:w="572"/>
              <w:gridCol w:w="887"/>
              <w:gridCol w:w="1153"/>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992" w:type="dxa"/>
                  <w:noWrap w:val="0"/>
                  <w:vAlign w:val="center"/>
                </w:tcPr>
                <w:p>
                  <w:pPr>
                    <w:spacing w:line="320" w:lineRule="exact"/>
                    <w:jc w:val="center"/>
                    <w:rPr>
                      <w:b/>
                      <w:bCs/>
                      <w:sz w:val="18"/>
                      <w:szCs w:val="18"/>
                    </w:rPr>
                  </w:pPr>
                  <w:r>
                    <w:rPr>
                      <w:b/>
                      <w:bCs/>
                      <w:sz w:val="18"/>
                      <w:szCs w:val="18"/>
                    </w:rPr>
                    <w:t>执行标准主要污染物</w:t>
                  </w:r>
                </w:p>
              </w:tc>
              <w:tc>
                <w:tcPr>
                  <w:tcW w:w="572" w:type="dxa"/>
                  <w:noWrap w:val="0"/>
                  <w:vAlign w:val="center"/>
                </w:tcPr>
                <w:p>
                  <w:pPr>
                    <w:spacing w:line="320" w:lineRule="exact"/>
                    <w:jc w:val="center"/>
                    <w:rPr>
                      <w:b/>
                      <w:bCs/>
                      <w:sz w:val="18"/>
                      <w:szCs w:val="18"/>
                    </w:rPr>
                  </w:pPr>
                  <w:r>
                    <w:rPr>
                      <w:b/>
                      <w:bCs/>
                      <w:sz w:val="18"/>
                      <w:szCs w:val="18"/>
                    </w:rPr>
                    <w:t>pH</w:t>
                  </w:r>
                </w:p>
              </w:tc>
              <w:tc>
                <w:tcPr>
                  <w:tcW w:w="937" w:type="dxa"/>
                  <w:noWrap w:val="0"/>
                  <w:vAlign w:val="center"/>
                </w:tcPr>
                <w:p>
                  <w:pPr>
                    <w:spacing w:line="320" w:lineRule="exact"/>
                    <w:jc w:val="center"/>
                    <w:rPr>
                      <w:b/>
                      <w:bCs/>
                      <w:sz w:val="18"/>
                      <w:szCs w:val="18"/>
                    </w:rPr>
                  </w:pPr>
                  <w:r>
                    <w:rPr>
                      <w:b/>
                      <w:bCs/>
                      <w:sz w:val="18"/>
                      <w:szCs w:val="18"/>
                    </w:rPr>
                    <w:t>CODcr</w:t>
                  </w:r>
                </w:p>
              </w:tc>
              <w:tc>
                <w:tcPr>
                  <w:tcW w:w="817" w:type="dxa"/>
                  <w:noWrap w:val="0"/>
                  <w:vAlign w:val="center"/>
                </w:tcPr>
                <w:p>
                  <w:pPr>
                    <w:spacing w:line="320" w:lineRule="exact"/>
                    <w:jc w:val="center"/>
                    <w:rPr>
                      <w:b/>
                      <w:bCs/>
                      <w:sz w:val="18"/>
                      <w:szCs w:val="18"/>
                    </w:rPr>
                  </w:pPr>
                  <w:r>
                    <w:rPr>
                      <w:b/>
                      <w:bCs/>
                      <w:sz w:val="18"/>
                      <w:szCs w:val="18"/>
                    </w:rPr>
                    <w:t>BOD</w:t>
                  </w:r>
                  <w:r>
                    <w:rPr>
                      <w:b/>
                      <w:bCs/>
                      <w:sz w:val="18"/>
                      <w:szCs w:val="18"/>
                      <w:vertAlign w:val="subscript"/>
                    </w:rPr>
                    <w:t>5</w:t>
                  </w:r>
                </w:p>
              </w:tc>
              <w:tc>
                <w:tcPr>
                  <w:tcW w:w="572" w:type="dxa"/>
                  <w:noWrap w:val="0"/>
                  <w:vAlign w:val="center"/>
                </w:tcPr>
                <w:p>
                  <w:pPr>
                    <w:spacing w:line="320" w:lineRule="exact"/>
                    <w:jc w:val="center"/>
                    <w:rPr>
                      <w:b/>
                      <w:bCs/>
                      <w:sz w:val="18"/>
                      <w:szCs w:val="18"/>
                    </w:rPr>
                  </w:pPr>
                  <w:r>
                    <w:rPr>
                      <w:b/>
                      <w:bCs/>
                      <w:sz w:val="18"/>
                      <w:szCs w:val="18"/>
                    </w:rPr>
                    <w:t>SS</w:t>
                  </w:r>
                </w:p>
              </w:tc>
              <w:tc>
                <w:tcPr>
                  <w:tcW w:w="887" w:type="dxa"/>
                  <w:noWrap w:val="0"/>
                  <w:vAlign w:val="center"/>
                </w:tcPr>
                <w:p>
                  <w:pPr>
                    <w:spacing w:line="320" w:lineRule="exact"/>
                    <w:jc w:val="center"/>
                    <w:rPr>
                      <w:b/>
                      <w:bCs/>
                      <w:sz w:val="18"/>
                      <w:szCs w:val="18"/>
                    </w:rPr>
                  </w:pPr>
                  <w:r>
                    <w:rPr>
                      <w:b/>
                      <w:bCs/>
                      <w:sz w:val="18"/>
                      <w:szCs w:val="18"/>
                    </w:rPr>
                    <w:t>NH</w:t>
                  </w:r>
                  <w:r>
                    <w:rPr>
                      <w:b/>
                      <w:bCs/>
                      <w:sz w:val="18"/>
                      <w:szCs w:val="18"/>
                      <w:vertAlign w:val="subscript"/>
                    </w:rPr>
                    <w:t>3</w:t>
                  </w:r>
                  <w:r>
                    <w:rPr>
                      <w:b/>
                      <w:bCs/>
                      <w:sz w:val="18"/>
                      <w:szCs w:val="18"/>
                    </w:rPr>
                    <w:t>-N</w:t>
                  </w:r>
                </w:p>
              </w:tc>
              <w:tc>
                <w:tcPr>
                  <w:tcW w:w="1153" w:type="dxa"/>
                  <w:noWrap w:val="0"/>
                  <w:vAlign w:val="center"/>
                </w:tcPr>
                <w:p>
                  <w:pPr>
                    <w:spacing w:line="320" w:lineRule="exact"/>
                    <w:jc w:val="center"/>
                    <w:rPr>
                      <w:b/>
                      <w:bCs/>
                      <w:sz w:val="18"/>
                      <w:szCs w:val="18"/>
                    </w:rPr>
                  </w:pPr>
                  <w:r>
                    <w:rPr>
                      <w:b/>
                      <w:bCs/>
                      <w:sz w:val="18"/>
                      <w:szCs w:val="18"/>
                    </w:rPr>
                    <w:t>动植物油</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92" w:type="dxa"/>
                  <w:noWrap w:val="0"/>
                  <w:vAlign w:val="center"/>
                </w:tcPr>
                <w:p>
                  <w:pPr>
                    <w:spacing w:line="320" w:lineRule="exact"/>
                    <w:jc w:val="center"/>
                    <w:rPr>
                      <w:sz w:val="18"/>
                      <w:szCs w:val="18"/>
                    </w:rPr>
                  </w:pPr>
                  <w:r>
                    <w:rPr>
                      <w:sz w:val="18"/>
                      <w:szCs w:val="18"/>
                    </w:rPr>
                    <w:t>GB8978-1996三级标准</w:t>
                  </w:r>
                </w:p>
              </w:tc>
              <w:tc>
                <w:tcPr>
                  <w:tcW w:w="572" w:type="dxa"/>
                  <w:noWrap w:val="0"/>
                  <w:vAlign w:val="center"/>
                </w:tcPr>
                <w:p>
                  <w:pPr>
                    <w:spacing w:line="320" w:lineRule="exact"/>
                    <w:jc w:val="center"/>
                    <w:rPr>
                      <w:sz w:val="18"/>
                      <w:szCs w:val="18"/>
                    </w:rPr>
                  </w:pPr>
                  <w:r>
                    <w:rPr>
                      <w:sz w:val="18"/>
                      <w:szCs w:val="18"/>
                    </w:rPr>
                    <w:t>6~9</w:t>
                  </w:r>
                </w:p>
              </w:tc>
              <w:tc>
                <w:tcPr>
                  <w:tcW w:w="937" w:type="dxa"/>
                  <w:noWrap w:val="0"/>
                  <w:vAlign w:val="center"/>
                </w:tcPr>
                <w:p>
                  <w:pPr>
                    <w:spacing w:line="320" w:lineRule="exact"/>
                    <w:jc w:val="center"/>
                    <w:rPr>
                      <w:sz w:val="18"/>
                      <w:szCs w:val="18"/>
                    </w:rPr>
                  </w:pPr>
                  <w:r>
                    <w:rPr>
                      <w:sz w:val="18"/>
                      <w:szCs w:val="18"/>
                    </w:rPr>
                    <w:t>500</w:t>
                  </w:r>
                </w:p>
              </w:tc>
              <w:tc>
                <w:tcPr>
                  <w:tcW w:w="817" w:type="dxa"/>
                  <w:noWrap w:val="0"/>
                  <w:vAlign w:val="center"/>
                </w:tcPr>
                <w:p>
                  <w:pPr>
                    <w:spacing w:line="320" w:lineRule="exact"/>
                    <w:jc w:val="center"/>
                    <w:rPr>
                      <w:sz w:val="18"/>
                      <w:szCs w:val="18"/>
                    </w:rPr>
                  </w:pPr>
                  <w:r>
                    <w:rPr>
                      <w:sz w:val="18"/>
                      <w:szCs w:val="18"/>
                    </w:rPr>
                    <w:t>300</w:t>
                  </w:r>
                </w:p>
              </w:tc>
              <w:tc>
                <w:tcPr>
                  <w:tcW w:w="572" w:type="dxa"/>
                  <w:noWrap w:val="0"/>
                  <w:vAlign w:val="center"/>
                </w:tcPr>
                <w:p>
                  <w:pPr>
                    <w:spacing w:line="320" w:lineRule="exact"/>
                    <w:jc w:val="center"/>
                    <w:rPr>
                      <w:sz w:val="18"/>
                      <w:szCs w:val="18"/>
                    </w:rPr>
                  </w:pPr>
                  <w:r>
                    <w:rPr>
                      <w:sz w:val="18"/>
                      <w:szCs w:val="18"/>
                    </w:rPr>
                    <w:t>400</w:t>
                  </w:r>
                </w:p>
              </w:tc>
              <w:tc>
                <w:tcPr>
                  <w:tcW w:w="887" w:type="dxa"/>
                  <w:noWrap w:val="0"/>
                  <w:vAlign w:val="center"/>
                </w:tcPr>
                <w:p>
                  <w:pPr>
                    <w:spacing w:line="320" w:lineRule="exact"/>
                    <w:jc w:val="center"/>
                    <w:rPr>
                      <w:sz w:val="18"/>
                      <w:szCs w:val="18"/>
                    </w:rPr>
                  </w:pPr>
                  <w:r>
                    <w:rPr>
                      <w:sz w:val="18"/>
                      <w:szCs w:val="18"/>
                    </w:rPr>
                    <w:t>/</w:t>
                  </w:r>
                </w:p>
              </w:tc>
              <w:tc>
                <w:tcPr>
                  <w:tcW w:w="1153" w:type="dxa"/>
                  <w:noWrap w:val="0"/>
                  <w:vAlign w:val="center"/>
                </w:tcPr>
                <w:p>
                  <w:pPr>
                    <w:spacing w:line="320" w:lineRule="exact"/>
                    <w:jc w:val="center"/>
                    <w:rPr>
                      <w:sz w:val="18"/>
                      <w:szCs w:val="18"/>
                    </w:rPr>
                  </w:pPr>
                  <w:r>
                    <w:rPr>
                      <w:sz w:val="18"/>
                      <w:szCs w:val="18"/>
                    </w:rPr>
                    <w:t>100</w:t>
                  </w:r>
                </w:p>
              </w:tc>
            </w:tr>
          </w:tbl>
          <w:p>
            <w:pPr>
              <w:spacing w:line="276" w:lineRule="auto"/>
              <w:ind w:firstLine="420" w:firstLineChars="200"/>
              <w:rPr>
                <w:rFonts w:hint="eastAsia" w:cs="Times New Roman"/>
                <w:szCs w:val="21"/>
                <w:lang w:val="zh-CN"/>
              </w:rPr>
            </w:pPr>
          </w:p>
          <w:p>
            <w:pPr>
              <w:spacing w:line="276" w:lineRule="auto"/>
              <w:ind w:firstLine="422" w:firstLineChars="200"/>
              <w:rPr>
                <w:rFonts w:cs="Times New Roman"/>
                <w:b/>
                <w:szCs w:val="21"/>
              </w:rPr>
            </w:pPr>
            <w:r>
              <w:rPr>
                <w:rFonts w:hint="eastAsia" w:cs="Times New Roman"/>
                <w:b/>
                <w:szCs w:val="21"/>
              </w:rPr>
              <w:t>3</w:t>
            </w:r>
            <w:r>
              <w:rPr>
                <w:rFonts w:cs="Times New Roman"/>
                <w:b/>
                <w:szCs w:val="21"/>
              </w:rPr>
              <w:t>、</w:t>
            </w:r>
            <w:r>
              <w:rPr>
                <w:rFonts w:hint="eastAsia" w:cs="Times New Roman"/>
                <w:b/>
                <w:szCs w:val="21"/>
              </w:rPr>
              <w:t>噪声</w:t>
            </w:r>
          </w:p>
          <w:p>
            <w:pPr>
              <w:spacing w:line="276" w:lineRule="auto"/>
              <w:ind w:firstLine="420" w:firstLineChars="200"/>
              <w:rPr>
                <w:rFonts w:hint="eastAsia" w:cs="Times New Roman"/>
                <w:szCs w:val="21"/>
              </w:rPr>
            </w:pPr>
            <w:r>
              <w:rPr>
                <w:rFonts w:hint="eastAsia" w:cs="Times New Roman"/>
                <w:szCs w:val="21"/>
              </w:rPr>
              <w:t>施工期噪声执行国家《建筑施工场界环境噪声排放标准》（GB12523-2011）标准。标准限值见下表：</w:t>
            </w:r>
          </w:p>
          <w:p>
            <w:pPr>
              <w:spacing w:line="276" w:lineRule="auto"/>
              <w:jc w:val="center"/>
              <w:rPr>
                <w:rFonts w:hint="eastAsia"/>
                <w:b/>
                <w:bCs/>
                <w:szCs w:val="21"/>
              </w:rPr>
            </w:pPr>
            <w:r>
              <w:rPr>
                <w:rFonts w:hint="eastAsia"/>
                <w:b/>
                <w:bCs/>
                <w:szCs w:val="21"/>
              </w:rPr>
              <w:t>表3-8  噪声排放标准限值</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2708"/>
              <w:gridCol w:w="27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7" w:type="pct"/>
                  <w:noWrap w:val="0"/>
                  <w:vAlign w:val="center"/>
                </w:tcPr>
                <w:p>
                  <w:pPr>
                    <w:jc w:val="center"/>
                    <w:rPr>
                      <w:rFonts w:cs="Calibri"/>
                      <w:b/>
                      <w:bCs/>
                      <w:szCs w:val="21"/>
                    </w:rPr>
                  </w:pPr>
                  <w:r>
                    <w:rPr>
                      <w:rFonts w:cs="Calibri"/>
                      <w:b/>
                      <w:bCs/>
                      <w:szCs w:val="21"/>
                    </w:rPr>
                    <w:t>项目</w:t>
                  </w:r>
                </w:p>
              </w:tc>
              <w:tc>
                <w:tcPr>
                  <w:tcW w:w="1606" w:type="pct"/>
                  <w:noWrap w:val="0"/>
                  <w:vAlign w:val="center"/>
                </w:tcPr>
                <w:p>
                  <w:pPr>
                    <w:jc w:val="center"/>
                    <w:rPr>
                      <w:rFonts w:cs="Calibri"/>
                      <w:b/>
                      <w:bCs/>
                      <w:szCs w:val="21"/>
                    </w:rPr>
                  </w:pPr>
                  <w:r>
                    <w:rPr>
                      <w:rFonts w:cs="Calibri"/>
                      <w:b/>
                      <w:bCs/>
                      <w:szCs w:val="21"/>
                    </w:rPr>
                    <w:t>昼间</w:t>
                  </w:r>
                </w:p>
              </w:tc>
              <w:tc>
                <w:tcPr>
                  <w:tcW w:w="1606" w:type="pct"/>
                  <w:noWrap w:val="0"/>
                  <w:vAlign w:val="center"/>
                </w:tcPr>
                <w:p>
                  <w:pPr>
                    <w:jc w:val="center"/>
                    <w:rPr>
                      <w:rFonts w:cs="Calibri"/>
                      <w:b/>
                      <w:bCs/>
                      <w:szCs w:val="21"/>
                    </w:rPr>
                  </w:pPr>
                  <w:r>
                    <w:rPr>
                      <w:rFonts w:cs="Calibri"/>
                      <w:b/>
                      <w:bCs/>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7" w:type="pct"/>
                  <w:noWrap w:val="0"/>
                  <w:vAlign w:val="center"/>
                </w:tcPr>
                <w:p>
                  <w:pPr>
                    <w:jc w:val="center"/>
                    <w:rPr>
                      <w:rFonts w:cs="Calibri"/>
                      <w:szCs w:val="21"/>
                    </w:rPr>
                  </w:pPr>
                  <w:r>
                    <w:rPr>
                      <w:rFonts w:hint="eastAsia" w:cs="Calibri"/>
                      <w:szCs w:val="21"/>
                    </w:rPr>
                    <w:t>施工期</w:t>
                  </w:r>
                  <w:r>
                    <w:rPr>
                      <w:rFonts w:cs="Calibri"/>
                      <w:szCs w:val="21"/>
                    </w:rPr>
                    <w:t>排放限值</w:t>
                  </w:r>
                  <w:r>
                    <w:rPr>
                      <w:rFonts w:eastAsia="仿宋" w:cs="Calibri"/>
                      <w:szCs w:val="21"/>
                    </w:rPr>
                    <w:t>[</w:t>
                  </w:r>
                  <w:r>
                    <w:rPr>
                      <w:rFonts w:cs="Calibri"/>
                      <w:szCs w:val="21"/>
                    </w:rPr>
                    <w:t>dB（A）</w:t>
                  </w:r>
                  <w:r>
                    <w:rPr>
                      <w:rFonts w:eastAsia="仿宋" w:cs="Calibri"/>
                      <w:szCs w:val="21"/>
                    </w:rPr>
                    <w:t>]</w:t>
                  </w:r>
                </w:p>
              </w:tc>
              <w:tc>
                <w:tcPr>
                  <w:tcW w:w="1606" w:type="pct"/>
                  <w:noWrap w:val="0"/>
                  <w:vAlign w:val="center"/>
                </w:tcPr>
                <w:p>
                  <w:pPr>
                    <w:jc w:val="center"/>
                    <w:rPr>
                      <w:rFonts w:cs="Calibri"/>
                      <w:szCs w:val="21"/>
                    </w:rPr>
                  </w:pPr>
                  <w:r>
                    <w:rPr>
                      <w:rFonts w:hint="eastAsia" w:cs="Calibri"/>
                      <w:szCs w:val="21"/>
                    </w:rPr>
                    <w:t>70</w:t>
                  </w:r>
                </w:p>
              </w:tc>
              <w:tc>
                <w:tcPr>
                  <w:tcW w:w="1606" w:type="pct"/>
                  <w:noWrap w:val="0"/>
                  <w:vAlign w:val="center"/>
                </w:tcPr>
                <w:p>
                  <w:pPr>
                    <w:jc w:val="center"/>
                    <w:rPr>
                      <w:rFonts w:cs="Calibri"/>
                      <w:szCs w:val="21"/>
                    </w:rPr>
                  </w:pPr>
                  <w:r>
                    <w:rPr>
                      <w:rFonts w:hint="eastAsia" w:cs="Calibri"/>
                      <w:szCs w:val="21"/>
                    </w:rPr>
                    <w:t>55</w:t>
                  </w:r>
                </w:p>
              </w:tc>
            </w:tr>
          </w:tbl>
          <w:p>
            <w:pPr>
              <w:spacing w:line="276" w:lineRule="auto"/>
              <w:ind w:firstLine="420" w:firstLineChars="200"/>
              <w:rPr>
                <w:rFonts w:hint="eastAsia" w:cs="Times New Roman"/>
                <w:szCs w:val="21"/>
              </w:rPr>
            </w:pPr>
          </w:p>
          <w:p>
            <w:pPr>
              <w:spacing w:line="276" w:lineRule="auto"/>
              <w:ind w:firstLine="420" w:firstLineChars="200"/>
              <w:rPr>
                <w:rFonts w:cs="Times New Roman"/>
                <w:szCs w:val="21"/>
              </w:rPr>
            </w:pPr>
            <w:r>
              <w:rPr>
                <w:rFonts w:hint="eastAsia" w:cs="Times New Roman"/>
                <w:szCs w:val="21"/>
              </w:rPr>
              <w:t>运营期执行《工业企业厂界环境噪声排放标准》（GB12348-2008）2类标准。</w:t>
            </w:r>
          </w:p>
          <w:p>
            <w:pPr>
              <w:spacing w:line="276" w:lineRule="auto"/>
              <w:jc w:val="center"/>
              <w:rPr>
                <w:rFonts w:hint="eastAsia"/>
                <w:b/>
                <w:bCs/>
                <w:szCs w:val="21"/>
              </w:rPr>
            </w:pPr>
            <w:r>
              <w:rPr>
                <w:rFonts w:hint="eastAsia"/>
                <w:b/>
                <w:bCs/>
                <w:szCs w:val="21"/>
              </w:rPr>
              <w:t>表3-9  噪声排放标准限值</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2708"/>
              <w:gridCol w:w="27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7" w:type="pct"/>
                  <w:noWrap w:val="0"/>
                  <w:vAlign w:val="center"/>
                </w:tcPr>
                <w:p>
                  <w:pPr>
                    <w:jc w:val="center"/>
                    <w:rPr>
                      <w:rFonts w:cs="Calibri"/>
                      <w:b/>
                      <w:bCs/>
                      <w:szCs w:val="21"/>
                    </w:rPr>
                  </w:pPr>
                  <w:r>
                    <w:rPr>
                      <w:rFonts w:cs="Calibri"/>
                      <w:b/>
                      <w:bCs/>
                      <w:szCs w:val="21"/>
                    </w:rPr>
                    <w:t>项目</w:t>
                  </w:r>
                </w:p>
              </w:tc>
              <w:tc>
                <w:tcPr>
                  <w:tcW w:w="1606" w:type="pct"/>
                  <w:noWrap w:val="0"/>
                  <w:vAlign w:val="center"/>
                </w:tcPr>
                <w:p>
                  <w:pPr>
                    <w:jc w:val="center"/>
                    <w:rPr>
                      <w:rFonts w:cs="Calibri"/>
                      <w:b/>
                      <w:bCs/>
                      <w:szCs w:val="21"/>
                    </w:rPr>
                  </w:pPr>
                  <w:r>
                    <w:rPr>
                      <w:rFonts w:cs="Calibri"/>
                      <w:b/>
                      <w:bCs/>
                      <w:szCs w:val="21"/>
                    </w:rPr>
                    <w:t>昼间</w:t>
                  </w:r>
                </w:p>
              </w:tc>
              <w:tc>
                <w:tcPr>
                  <w:tcW w:w="1606" w:type="pct"/>
                  <w:noWrap w:val="0"/>
                  <w:vAlign w:val="center"/>
                </w:tcPr>
                <w:p>
                  <w:pPr>
                    <w:jc w:val="center"/>
                    <w:rPr>
                      <w:rFonts w:cs="Calibri"/>
                      <w:b/>
                      <w:bCs/>
                      <w:szCs w:val="21"/>
                    </w:rPr>
                  </w:pPr>
                  <w:r>
                    <w:rPr>
                      <w:rFonts w:cs="Calibri"/>
                      <w:b/>
                      <w:bCs/>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7" w:type="pct"/>
                  <w:noWrap w:val="0"/>
                  <w:vAlign w:val="center"/>
                </w:tcPr>
                <w:p>
                  <w:pPr>
                    <w:jc w:val="center"/>
                    <w:rPr>
                      <w:rFonts w:cs="Calibri"/>
                      <w:szCs w:val="21"/>
                    </w:rPr>
                  </w:pPr>
                  <w:r>
                    <w:rPr>
                      <w:rFonts w:cs="Calibri"/>
                      <w:szCs w:val="21"/>
                    </w:rPr>
                    <w:t>运营期排放限值</w:t>
                  </w:r>
                  <w:r>
                    <w:rPr>
                      <w:rFonts w:eastAsia="仿宋" w:cs="Calibri"/>
                      <w:szCs w:val="21"/>
                    </w:rPr>
                    <w:t>[</w:t>
                  </w:r>
                  <w:r>
                    <w:rPr>
                      <w:rFonts w:cs="Calibri"/>
                      <w:szCs w:val="21"/>
                    </w:rPr>
                    <w:t>dB（A）</w:t>
                  </w:r>
                  <w:r>
                    <w:rPr>
                      <w:rFonts w:eastAsia="仿宋" w:cs="Calibri"/>
                      <w:szCs w:val="21"/>
                    </w:rPr>
                    <w:t>]</w:t>
                  </w:r>
                </w:p>
              </w:tc>
              <w:tc>
                <w:tcPr>
                  <w:tcW w:w="1606" w:type="pct"/>
                  <w:noWrap w:val="0"/>
                  <w:vAlign w:val="center"/>
                </w:tcPr>
                <w:p>
                  <w:pPr>
                    <w:jc w:val="center"/>
                    <w:rPr>
                      <w:rFonts w:hint="eastAsia" w:cs="Calibri"/>
                      <w:szCs w:val="21"/>
                    </w:rPr>
                  </w:pPr>
                  <w:r>
                    <w:rPr>
                      <w:rFonts w:cs="Calibri"/>
                      <w:szCs w:val="21"/>
                    </w:rPr>
                    <w:t>6</w:t>
                  </w:r>
                  <w:r>
                    <w:rPr>
                      <w:rFonts w:hint="eastAsia" w:cs="Calibri"/>
                      <w:szCs w:val="21"/>
                    </w:rPr>
                    <w:t>0</w:t>
                  </w:r>
                </w:p>
              </w:tc>
              <w:tc>
                <w:tcPr>
                  <w:tcW w:w="1606" w:type="pct"/>
                  <w:noWrap w:val="0"/>
                  <w:vAlign w:val="center"/>
                </w:tcPr>
                <w:p>
                  <w:pPr>
                    <w:jc w:val="center"/>
                    <w:rPr>
                      <w:rFonts w:hint="eastAsia" w:cs="Calibri"/>
                      <w:szCs w:val="21"/>
                    </w:rPr>
                  </w:pPr>
                  <w:r>
                    <w:rPr>
                      <w:rFonts w:cs="Calibri"/>
                      <w:szCs w:val="21"/>
                    </w:rPr>
                    <w:t>5</w:t>
                  </w:r>
                  <w:r>
                    <w:rPr>
                      <w:rFonts w:hint="eastAsia" w:cs="Calibri"/>
                      <w:szCs w:val="21"/>
                    </w:rPr>
                    <w:t>0</w:t>
                  </w:r>
                </w:p>
              </w:tc>
            </w:tr>
          </w:tbl>
          <w:p>
            <w:pPr>
              <w:spacing w:line="276" w:lineRule="auto"/>
              <w:ind w:firstLine="422" w:firstLineChars="200"/>
              <w:rPr>
                <w:rFonts w:hint="eastAsia" w:cs="Times New Roman"/>
                <w:b/>
                <w:szCs w:val="21"/>
              </w:rPr>
            </w:pPr>
          </w:p>
          <w:p>
            <w:pPr>
              <w:spacing w:line="276" w:lineRule="auto"/>
              <w:ind w:firstLine="422" w:firstLineChars="200"/>
              <w:rPr>
                <w:rFonts w:cs="Times New Roman"/>
                <w:b/>
                <w:szCs w:val="21"/>
              </w:rPr>
            </w:pPr>
            <w:r>
              <w:rPr>
                <w:rFonts w:hint="eastAsia" w:cs="Times New Roman"/>
                <w:b/>
                <w:szCs w:val="21"/>
              </w:rPr>
              <w:t>4</w:t>
            </w:r>
            <w:r>
              <w:rPr>
                <w:rFonts w:cs="Times New Roman"/>
                <w:b/>
                <w:szCs w:val="21"/>
              </w:rPr>
              <w:t>、</w:t>
            </w:r>
            <w:r>
              <w:rPr>
                <w:rFonts w:hint="eastAsia" w:cs="Times New Roman"/>
                <w:b/>
                <w:szCs w:val="21"/>
              </w:rPr>
              <w:t>固体废物</w:t>
            </w:r>
          </w:p>
          <w:p>
            <w:pPr>
              <w:spacing w:line="276" w:lineRule="auto"/>
              <w:ind w:firstLine="420" w:firstLineChars="200"/>
              <w:rPr>
                <w:rFonts w:hint="eastAsia" w:cs="Times New Roman"/>
                <w:color w:val="FF00FF"/>
                <w:szCs w:val="21"/>
              </w:rPr>
            </w:pPr>
            <w:r>
              <w:rPr>
                <w:rFonts w:hint="eastAsia" w:cs="Times New Roman"/>
                <w:szCs w:val="21"/>
              </w:rPr>
              <w:t>按照《中华人民共和国固体废弃物防治法》的要求，固体废物要妥善处置，不得形成二次污染。项目固体废物在其贮存过程应满足相应防渗漏、防雨淋、防扬尘等环境保护要求。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pPr>
              <w:spacing w:line="276" w:lineRule="auto"/>
              <w:jc w:val="center"/>
              <w:rPr>
                <w:rFonts w:cs="Times New Roman"/>
                <w:szCs w:val="21"/>
              </w:rPr>
            </w:pPr>
            <w:r>
              <w:rPr>
                <w:rFonts w:hint="eastAsia" w:cs="Times New Roman"/>
                <w:szCs w:val="21"/>
              </w:rPr>
              <w:t>总量</w:t>
            </w:r>
          </w:p>
          <w:p>
            <w:pPr>
              <w:spacing w:line="276" w:lineRule="auto"/>
              <w:jc w:val="center"/>
              <w:rPr>
                <w:rFonts w:cs="Times New Roman"/>
                <w:szCs w:val="21"/>
              </w:rPr>
            </w:pPr>
            <w:r>
              <w:rPr>
                <w:rFonts w:hint="eastAsia" w:cs="Times New Roman"/>
                <w:szCs w:val="21"/>
              </w:rPr>
              <w:t>控制</w:t>
            </w:r>
          </w:p>
          <w:p>
            <w:pPr>
              <w:spacing w:line="276" w:lineRule="auto"/>
              <w:jc w:val="center"/>
              <w:rPr>
                <w:rFonts w:cs="Times New Roman"/>
                <w:szCs w:val="21"/>
              </w:rPr>
            </w:pPr>
            <w:r>
              <w:rPr>
                <w:rFonts w:hint="eastAsia" w:cs="Times New Roman"/>
                <w:szCs w:val="21"/>
              </w:rPr>
              <w:t>指标</w:t>
            </w:r>
          </w:p>
        </w:tc>
        <w:tc>
          <w:tcPr>
            <w:tcW w:w="8645" w:type="dxa"/>
            <w:noWrap w:val="0"/>
            <w:vAlign w:val="center"/>
          </w:tcPr>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pStyle w:val="2"/>
              <w:rPr>
                <w:rFonts w:hint="eastAsia"/>
              </w:rPr>
            </w:pPr>
          </w:p>
          <w:p>
            <w:pPr>
              <w:rPr>
                <w:rFonts w:hint="eastAsia"/>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r>
              <w:rPr>
                <w:rFonts w:hint="eastAsia" w:cs="Times New Roman"/>
                <w:szCs w:val="21"/>
              </w:rPr>
              <w:t>本项目不涉及废气总量控制指标排放。</w:t>
            </w:r>
          </w:p>
          <w:p>
            <w:pPr>
              <w:spacing w:line="276" w:lineRule="auto"/>
              <w:ind w:firstLine="420" w:firstLineChars="200"/>
              <w:rPr>
                <w:rFonts w:hint="eastAsia" w:cs="Times New Roman"/>
                <w:szCs w:val="21"/>
              </w:rPr>
            </w:pPr>
            <w:r>
              <w:rPr>
                <w:rFonts w:hint="eastAsia" w:cs="Times New Roman"/>
                <w:szCs w:val="21"/>
              </w:rPr>
              <w:t>根据工程分析，本项目生产过程滤池反冲洗水回流至配水井回用，不外排；生活污水（食堂含油废水经隔油处理）经化粪池处理后，与污泥压滤液均排入市政污水管网引至达州市污水处理厂处理后排放。本项目不设置排污口，结合国家污染物排放总量控制原则，本项目无需申请总量指标。</w:t>
            </w: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pStyle w:val="2"/>
              <w:rPr>
                <w:rFonts w:hint="eastAsia"/>
              </w:rPr>
            </w:pPr>
          </w:p>
          <w:p>
            <w:pPr>
              <w:pStyle w:val="2"/>
              <w:rPr>
                <w:rFonts w:hint="eastAsia"/>
              </w:rPr>
            </w:pPr>
          </w:p>
          <w:p>
            <w:pPr>
              <w:rPr>
                <w:rFonts w:hint="eastAsia"/>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pStyle w:val="81"/>
              <w:tabs>
                <w:tab w:val="left" w:pos="8789"/>
              </w:tabs>
              <w:spacing w:line="240" w:lineRule="auto"/>
              <w:ind w:firstLine="480"/>
              <w:jc w:val="left"/>
              <w:rPr>
                <w:rFonts w:hint="eastAsia" w:cs="Times New Roman"/>
                <w:color w:val="auto"/>
                <w:szCs w:val="21"/>
              </w:rPr>
            </w:pPr>
          </w:p>
        </w:tc>
      </w:tr>
    </w:tbl>
    <w:p>
      <w:pPr>
        <w:spacing w:line="360" w:lineRule="auto"/>
        <w:rPr>
          <w:rFonts w:cs="Times New Roman"/>
          <w:b/>
          <w:color w:val="FF00FF"/>
          <w:sz w:val="28"/>
          <w:szCs w:val="24"/>
        </w:rPr>
        <w:sectPr>
          <w:pgSz w:w="11906" w:h="16838"/>
          <w:pgMar w:top="1134" w:right="1134" w:bottom="1134" w:left="1418" w:header="851" w:footer="992" w:gutter="0"/>
          <w:cols w:space="720" w:num="1"/>
          <w:docGrid w:type="lines" w:linePitch="312" w:charSpace="0"/>
        </w:sectPr>
      </w:pPr>
    </w:p>
    <w:p>
      <w:pPr>
        <w:pStyle w:val="60"/>
        <w:jc w:val="center"/>
        <w:rPr>
          <w:rFonts w:ascii="黑体" w:hAnsi="黑体" w:eastAsia="黑体"/>
          <w:b w:val="0"/>
          <w:sz w:val="30"/>
          <w:szCs w:val="30"/>
        </w:rPr>
      </w:pPr>
      <w:r>
        <w:rPr>
          <w:rFonts w:hint="eastAsia" w:ascii="黑体" w:hAnsi="黑体" w:eastAsia="黑体"/>
          <w:b w:val="0"/>
          <w:sz w:val="30"/>
          <w:szCs w:val="30"/>
        </w:rPr>
        <w:t>四、主要环境影响和保护措施</w:t>
      </w:r>
    </w:p>
    <w:tbl>
      <w:tblPr>
        <w:tblStyle w:val="26"/>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noWrap w:val="0"/>
            <w:vAlign w:val="center"/>
          </w:tcPr>
          <w:p>
            <w:pPr>
              <w:spacing w:line="276" w:lineRule="auto"/>
              <w:jc w:val="center"/>
              <w:rPr>
                <w:rFonts w:cs="Times New Roman"/>
                <w:szCs w:val="21"/>
              </w:rPr>
            </w:pPr>
            <w:r>
              <w:rPr>
                <w:rFonts w:cs="Times New Roman"/>
                <w:szCs w:val="21"/>
              </w:rPr>
              <w:t>施工</w:t>
            </w:r>
          </w:p>
          <w:p>
            <w:pPr>
              <w:spacing w:line="276" w:lineRule="auto"/>
              <w:jc w:val="center"/>
              <w:rPr>
                <w:rFonts w:cs="Times New Roman"/>
                <w:szCs w:val="21"/>
              </w:rPr>
            </w:pPr>
            <w:r>
              <w:rPr>
                <w:rFonts w:cs="Times New Roman"/>
                <w:szCs w:val="21"/>
              </w:rPr>
              <w:t>期环</w:t>
            </w:r>
          </w:p>
          <w:p>
            <w:pPr>
              <w:spacing w:line="276" w:lineRule="auto"/>
              <w:jc w:val="center"/>
              <w:rPr>
                <w:rFonts w:cs="Times New Roman"/>
                <w:szCs w:val="21"/>
              </w:rPr>
            </w:pPr>
            <w:r>
              <w:rPr>
                <w:rFonts w:cs="Times New Roman"/>
                <w:szCs w:val="21"/>
              </w:rPr>
              <w:t>境保</w:t>
            </w:r>
          </w:p>
          <w:p>
            <w:pPr>
              <w:spacing w:line="276" w:lineRule="auto"/>
              <w:jc w:val="center"/>
              <w:rPr>
                <w:rFonts w:cs="Times New Roman"/>
                <w:szCs w:val="21"/>
              </w:rPr>
            </w:pPr>
            <w:r>
              <w:rPr>
                <w:rFonts w:cs="Times New Roman"/>
                <w:szCs w:val="21"/>
              </w:rPr>
              <w:t>护措</w:t>
            </w:r>
          </w:p>
          <w:p>
            <w:pPr>
              <w:spacing w:line="276" w:lineRule="auto"/>
              <w:jc w:val="center"/>
              <w:rPr>
                <w:rFonts w:cs="Times New Roman"/>
                <w:szCs w:val="21"/>
              </w:rPr>
            </w:pPr>
            <w:r>
              <w:rPr>
                <w:rFonts w:cs="Times New Roman"/>
                <w:szCs w:val="21"/>
              </w:rPr>
              <w:t>施</w:t>
            </w:r>
          </w:p>
        </w:tc>
        <w:tc>
          <w:tcPr>
            <w:tcW w:w="8645" w:type="dxa"/>
            <w:noWrap w:val="0"/>
            <w:vAlign w:val="center"/>
          </w:tcPr>
          <w:p>
            <w:pPr>
              <w:spacing w:line="276" w:lineRule="auto"/>
              <w:ind w:firstLine="422" w:firstLineChars="200"/>
              <w:rPr>
                <w:rFonts w:cs="Times New Roman"/>
                <w:b/>
                <w:szCs w:val="21"/>
              </w:rPr>
            </w:pPr>
            <w:r>
              <w:rPr>
                <w:rFonts w:cs="Times New Roman"/>
                <w:b/>
                <w:szCs w:val="21"/>
              </w:rPr>
              <w:t>1、废气</w:t>
            </w:r>
          </w:p>
          <w:p>
            <w:pPr>
              <w:spacing w:line="276" w:lineRule="auto"/>
              <w:ind w:firstLine="315" w:firstLineChars="150"/>
              <w:rPr>
                <w:rFonts w:cs="Times New Roman"/>
                <w:bCs/>
                <w:szCs w:val="21"/>
              </w:rPr>
            </w:pPr>
            <w:r>
              <w:rPr>
                <w:rFonts w:cs="Times New Roman"/>
                <w:bCs/>
                <w:szCs w:val="21"/>
              </w:rPr>
              <w:t>施工期产生的大气环境污染物主要来源：施工扬尘、施工机械废气、焊接废气</w:t>
            </w:r>
            <w:r>
              <w:rPr>
                <w:rFonts w:hint="eastAsia" w:cs="Times New Roman"/>
                <w:bCs/>
                <w:szCs w:val="21"/>
              </w:rPr>
              <w:t>、装修废气</w:t>
            </w:r>
            <w:r>
              <w:rPr>
                <w:rFonts w:cs="Times New Roman"/>
                <w:bCs/>
                <w:szCs w:val="21"/>
              </w:rPr>
              <w:t>等。本项目施工期混凝土</w:t>
            </w:r>
            <w:r>
              <w:rPr>
                <w:rFonts w:hint="eastAsia" w:cs="Times New Roman"/>
                <w:bCs/>
                <w:szCs w:val="21"/>
              </w:rPr>
              <w:t>全部</w:t>
            </w:r>
            <w:r>
              <w:rPr>
                <w:rFonts w:cs="Times New Roman"/>
                <w:bCs/>
                <w:szCs w:val="21"/>
              </w:rPr>
              <w:t>采用商品混凝土，不在场地内进行拌和。</w:t>
            </w:r>
          </w:p>
          <w:p>
            <w:pPr>
              <w:spacing w:line="276" w:lineRule="auto"/>
              <w:ind w:firstLine="316" w:firstLineChars="150"/>
              <w:rPr>
                <w:rFonts w:cs="Times New Roman"/>
                <w:b/>
                <w:szCs w:val="21"/>
              </w:rPr>
            </w:pPr>
            <w:r>
              <w:rPr>
                <w:rFonts w:cs="Times New Roman"/>
                <w:b/>
                <w:szCs w:val="21"/>
              </w:rPr>
              <w:t>（1）施工扬尘</w:t>
            </w:r>
          </w:p>
          <w:p>
            <w:pPr>
              <w:spacing w:line="276" w:lineRule="auto"/>
              <w:ind w:firstLine="420" w:firstLineChars="200"/>
              <w:rPr>
                <w:rFonts w:cs="Times New Roman"/>
                <w:color w:val="FF00FF"/>
                <w:szCs w:val="21"/>
              </w:rPr>
            </w:pPr>
            <w:r>
              <w:rPr>
                <w:rFonts w:cs="Times New Roman"/>
                <w:szCs w:val="21"/>
              </w:rPr>
              <w:t>在施工阶段，产生扬尘的作业主要有土地平整、开挖、回填、建材运输、装卸等过程，经类比分析，施工场地扬尘浓度一般约为3.5mg/m</w:t>
            </w:r>
            <w:r>
              <w:rPr>
                <w:rFonts w:cs="Times New Roman"/>
                <w:szCs w:val="21"/>
                <w:vertAlign w:val="superscript"/>
              </w:rPr>
              <w:t>3</w:t>
            </w:r>
            <w:r>
              <w:rPr>
                <w:rFonts w:cs="Times New Roman"/>
                <w:szCs w:val="21"/>
              </w:rPr>
              <w:t>，会对周围环境产生一定影响。为减轻施工期扬尘对大气环境的影响</w:t>
            </w:r>
            <w:r>
              <w:rPr>
                <w:rFonts w:hint="eastAsia" w:cs="Times New Roman"/>
                <w:szCs w:val="21"/>
              </w:rPr>
              <w:t>，</w:t>
            </w:r>
            <w:r>
              <w:rPr>
                <w:rFonts w:cs="Times New Roman"/>
                <w:szCs w:val="21"/>
              </w:rPr>
              <w:t>施工单位必须严格按照《四川省建筑工程扬尘污染防治技术导则（试行）》（川建发〔201</w:t>
            </w:r>
            <w:r>
              <w:rPr>
                <w:rFonts w:hint="eastAsia" w:cs="Times New Roman"/>
                <w:szCs w:val="21"/>
              </w:rPr>
              <w:t>8</w:t>
            </w:r>
            <w:r>
              <w:rPr>
                <w:rFonts w:cs="Times New Roman"/>
                <w:szCs w:val="21"/>
              </w:rPr>
              <w:t>〕16号）等有关要求进行施工，采取以下扬尘防治措施：</w:t>
            </w:r>
          </w:p>
          <w:p>
            <w:pPr>
              <w:spacing w:line="276" w:lineRule="auto"/>
              <w:ind w:firstLine="420" w:firstLineChars="200"/>
              <w:rPr>
                <w:rFonts w:cs="Times New Roman"/>
                <w:szCs w:val="21"/>
              </w:rPr>
            </w:pPr>
            <w:r>
              <w:rPr>
                <w:rFonts w:cs="Times New Roman"/>
                <w:szCs w:val="21"/>
              </w:rPr>
              <w:t>①施工现场架设2.5~3m高围挡，</w:t>
            </w:r>
            <w:r>
              <w:rPr>
                <w:rFonts w:hint="eastAsia"/>
              </w:rPr>
              <w:t>围挡顶部设置水喷雾装置且</w:t>
            </w:r>
            <w:r>
              <w:rPr>
                <w:rFonts w:cs="Times New Roman"/>
                <w:szCs w:val="21"/>
              </w:rPr>
              <w:t>封闭施工现场，施工现场主要道路及施工区域与社会通行道路交叉通道必须硬化；推行绿色施工和装配式建筑施工方式，在专业化工厂预制构件，在工地进行装配，减少现场浇筑。</w:t>
            </w:r>
          </w:p>
          <w:p>
            <w:pPr>
              <w:spacing w:line="276" w:lineRule="auto"/>
              <w:ind w:firstLine="420" w:firstLineChars="200"/>
              <w:rPr>
                <w:rFonts w:cs="Times New Roman"/>
                <w:szCs w:val="21"/>
              </w:rPr>
            </w:pPr>
            <w:r>
              <w:rPr>
                <w:rFonts w:cs="Times New Roman"/>
                <w:szCs w:val="21"/>
              </w:rPr>
              <w:t>②施工车辆实施限速管理，施工现场主要运输道路定期洒水抑尘；施工场地安装扬尘在线视频监测设备，设置喷淋、冲洗等防尘降尘设施，对驶离车辆实施冲洗，配套设置地面排水沟、沉淀池。</w:t>
            </w:r>
          </w:p>
          <w:p>
            <w:pPr>
              <w:spacing w:line="276" w:lineRule="auto"/>
              <w:ind w:firstLine="420" w:firstLineChars="200"/>
              <w:rPr>
                <w:rFonts w:cs="Times New Roman"/>
                <w:szCs w:val="21"/>
              </w:rPr>
            </w:pPr>
            <w:r>
              <w:rPr>
                <w:rFonts w:cs="Times New Roman"/>
                <w:szCs w:val="21"/>
              </w:rPr>
              <w:t>③运输车辆严禁超载行驶，必须采取密闭运输，装卸作业时必须采取有效防护措施，不得遗撒、泄漏、违规倾倒；运输时应选择对周围环境影响较小的运输路线，定时对运输路线进行清扫。</w:t>
            </w:r>
          </w:p>
          <w:p>
            <w:pPr>
              <w:spacing w:line="276" w:lineRule="auto"/>
              <w:ind w:firstLine="420" w:firstLineChars="200"/>
              <w:rPr>
                <w:rFonts w:cs="Times New Roman"/>
                <w:szCs w:val="21"/>
              </w:rPr>
            </w:pPr>
            <w:r>
              <w:rPr>
                <w:rFonts w:cs="Times New Roman"/>
                <w:szCs w:val="21"/>
              </w:rPr>
              <w:t>④禁止在风天进行渣土堆放作业，建材堆放地点要相对集中，建筑垃圾应及时清运，并对堆场以防尘布覆盖，禁止露天堆放。</w:t>
            </w:r>
          </w:p>
          <w:p>
            <w:pPr>
              <w:spacing w:line="276" w:lineRule="auto"/>
              <w:ind w:firstLine="420" w:firstLineChars="200"/>
              <w:rPr>
                <w:rFonts w:hint="eastAsia" w:cs="Times New Roman"/>
                <w:szCs w:val="21"/>
              </w:rPr>
            </w:pPr>
            <w:r>
              <w:rPr>
                <w:rFonts w:cs="Times New Roman"/>
                <w:szCs w:val="21"/>
              </w:rPr>
              <w:t>⑤风速大于4m/s时应停止施工；尽量避免冬季、春季进行大规模土方作业，做到“慎开工，早完工”；遇重污染天气，建设单位和施工单位应按照《达州市重污染天气应急预案（</w:t>
            </w:r>
            <w:r>
              <w:rPr>
                <w:rFonts w:hint="eastAsia" w:cs="Times New Roman"/>
                <w:szCs w:val="21"/>
              </w:rPr>
              <w:t>试行</w:t>
            </w:r>
            <w:r>
              <w:rPr>
                <w:rFonts w:cs="Times New Roman"/>
                <w:szCs w:val="21"/>
              </w:rPr>
              <w:t>年修订）》</w:t>
            </w:r>
            <w:r>
              <w:rPr>
                <w:rFonts w:hint="eastAsia" w:cs="Times New Roman"/>
                <w:szCs w:val="21"/>
              </w:rPr>
              <w:t>（达市府办发〔2022〕32号）</w:t>
            </w:r>
            <w:r>
              <w:rPr>
                <w:rFonts w:cs="Times New Roman"/>
                <w:szCs w:val="21"/>
              </w:rPr>
              <w:t>通知落实重污染天气状况下的应急措施要求</w:t>
            </w:r>
            <w:r>
              <w:rPr>
                <w:rFonts w:hint="eastAsia" w:cs="Times New Roman"/>
                <w:szCs w:val="21"/>
              </w:rPr>
              <w:t>：停止除应急抢险外施工工地土石方作业（包括停止土石方开挖、回填、场内倒运、土石方转运、掺拌石灰、混凝土剔凿等作业，停止建筑工程配套道路和管沟开挖作业）；停止建筑工地室外喷涂、粉刷作业，基坑护坡粉浆作业等）。</w:t>
            </w:r>
          </w:p>
          <w:p>
            <w:pPr>
              <w:spacing w:line="276" w:lineRule="auto"/>
              <w:ind w:firstLine="420" w:firstLineChars="200"/>
              <w:rPr>
                <w:rFonts w:cs="Times New Roman"/>
                <w:color w:val="FF00FF"/>
                <w:szCs w:val="21"/>
              </w:rPr>
            </w:pPr>
            <w:r>
              <w:rPr>
                <w:rFonts w:cs="Times New Roman"/>
                <w:szCs w:val="21"/>
              </w:rPr>
              <w:t>同时，施工单位</w:t>
            </w:r>
            <w:r>
              <w:rPr>
                <w:rFonts w:hint="eastAsia" w:cs="Times New Roman"/>
                <w:szCs w:val="21"/>
                <w:lang w:eastAsia="zh-CN"/>
              </w:rPr>
              <w:t>必须</w:t>
            </w:r>
            <w:r>
              <w:rPr>
                <w:rFonts w:cs="Times New Roman"/>
                <w:szCs w:val="21"/>
              </w:rPr>
              <w:t>全面督查建筑工地现场管理“六必须”、“六不准”的执行情况，即：必须打围作业、必须硬化道路、必须设置冲洗设施、必须湿法作业、必须配齐保洁人员、必须定时清扫施工现场；不准车辆带泥出门，不准运渣车辆冒顶装载、不准高空抛撒建渣、不准现场搅拌混凝土、不准场地积水、不准现场焚烧废弃物。同时，施工单位必须严格按照《四川省建筑工程扬尘污染防治技术导则（试行）》（川建发〔201</w:t>
            </w:r>
            <w:r>
              <w:rPr>
                <w:rFonts w:hint="eastAsia" w:cs="Times New Roman"/>
                <w:szCs w:val="21"/>
              </w:rPr>
              <w:t>8</w:t>
            </w:r>
            <w:r>
              <w:rPr>
                <w:rFonts w:cs="Times New Roman"/>
                <w:szCs w:val="21"/>
              </w:rPr>
              <w:t>〕16号）中</w:t>
            </w:r>
            <w:r>
              <w:rPr>
                <w:rFonts w:hint="eastAsia" w:cs="Times New Roman"/>
                <w:szCs w:val="21"/>
                <w:lang w:eastAsia="zh-CN"/>
              </w:rPr>
              <w:t>要求</w:t>
            </w:r>
            <w:r>
              <w:rPr>
                <w:rFonts w:cs="Times New Roman"/>
                <w:szCs w:val="21"/>
              </w:rPr>
              <w:t>，严格落实“六个百分百”要求，包括：工地周边围挡、物料堆放覆盖、出入车辆冲洗、施工现场道路及材料堆场硬化、工地湿法作业及渣土车辆密闭运输，确保施工场地扬尘达到《四川省施工场地扬尘排放标准》（DB51/2682-2020）中相关限值要求。</w:t>
            </w:r>
          </w:p>
          <w:p>
            <w:pPr>
              <w:spacing w:line="276" w:lineRule="auto"/>
              <w:ind w:firstLine="316" w:firstLineChars="150"/>
              <w:rPr>
                <w:rFonts w:cs="Times New Roman"/>
                <w:b/>
                <w:szCs w:val="21"/>
              </w:rPr>
            </w:pPr>
            <w:r>
              <w:rPr>
                <w:rFonts w:cs="Times New Roman"/>
                <w:b/>
                <w:szCs w:val="21"/>
              </w:rPr>
              <w:t>（2）施工机械废气</w:t>
            </w:r>
          </w:p>
          <w:p>
            <w:pPr>
              <w:spacing w:line="276" w:lineRule="auto"/>
              <w:ind w:firstLine="420" w:firstLineChars="200"/>
              <w:rPr>
                <w:rFonts w:cs="Times New Roman"/>
                <w:szCs w:val="21"/>
              </w:rPr>
            </w:pPr>
            <w:r>
              <w:rPr>
                <w:rFonts w:cs="Times New Roman"/>
                <w:szCs w:val="21"/>
              </w:rPr>
              <w:t>项目施工设备和建筑机械设备的运转，会排放一定量的CO、NO</w:t>
            </w:r>
            <w:r>
              <w:rPr>
                <w:rFonts w:cs="Times New Roman"/>
                <w:szCs w:val="21"/>
                <w:vertAlign w:val="subscript"/>
              </w:rPr>
              <w:t>x</w:t>
            </w:r>
            <w:r>
              <w:rPr>
                <w:rFonts w:cs="Times New Roman"/>
                <w:szCs w:val="21"/>
              </w:rPr>
              <w:t>以及未完全燃烧的THC等，这些机械集中使用的时间是在土建阶段，考虑其废气排放量不大，且表现为间歇特征，加之施工场地开阔，扩散条件良好，对其不加处理也可达到相应的排放标准。建议施工机械采用轻质柴油，严禁使用劣质燃油，保持施工机械的良好工作状态，并加强施工设备的维护和用油管理。故其环境影响可以接受，对周围大气环境的影响较小。</w:t>
            </w:r>
          </w:p>
          <w:p>
            <w:pPr>
              <w:spacing w:line="276" w:lineRule="auto"/>
              <w:ind w:firstLine="422" w:firstLineChars="200"/>
              <w:rPr>
                <w:rFonts w:cs="Times New Roman"/>
                <w:b/>
                <w:bCs/>
                <w:szCs w:val="21"/>
              </w:rPr>
            </w:pPr>
            <w:r>
              <w:rPr>
                <w:rFonts w:hint="eastAsia" w:cs="Times New Roman"/>
                <w:b/>
                <w:bCs/>
                <w:szCs w:val="21"/>
              </w:rPr>
              <w:t>（3）焊接废气</w:t>
            </w:r>
          </w:p>
          <w:p>
            <w:pPr>
              <w:spacing w:line="276" w:lineRule="auto"/>
              <w:ind w:firstLine="420" w:firstLineChars="200"/>
              <w:rPr>
                <w:rFonts w:hint="eastAsia" w:cs="Times New Roman"/>
                <w:szCs w:val="21"/>
              </w:rPr>
            </w:pPr>
            <w:r>
              <w:rPr>
                <w:rFonts w:hint="eastAsia" w:cs="Times New Roman"/>
                <w:szCs w:val="21"/>
              </w:rPr>
              <w:t>项目建设过程中会</w:t>
            </w:r>
            <w:r>
              <w:rPr>
                <w:rFonts w:cs="Times New Roman"/>
                <w:szCs w:val="21"/>
              </w:rPr>
              <w:t>采用国内应用技术较成熟的焊接工艺进行焊接，由于</w:t>
            </w:r>
            <w:r>
              <w:rPr>
                <w:rFonts w:hint="eastAsia" w:cs="Times New Roman"/>
                <w:szCs w:val="21"/>
              </w:rPr>
              <w:t>需要焊接的工序少其</w:t>
            </w:r>
            <w:r>
              <w:rPr>
                <w:rFonts w:cs="Times New Roman"/>
                <w:szCs w:val="21"/>
              </w:rPr>
              <w:t>废气量较小，</w:t>
            </w:r>
            <w:r>
              <w:rPr>
                <w:rFonts w:hint="eastAsia" w:cs="Times New Roman"/>
                <w:szCs w:val="21"/>
              </w:rPr>
              <w:t>区域环境</w:t>
            </w:r>
            <w:r>
              <w:rPr>
                <w:rFonts w:cs="Times New Roman"/>
                <w:szCs w:val="21"/>
              </w:rPr>
              <w:t>有利于空气的扩散，同时废气</w:t>
            </w:r>
            <w:r>
              <w:rPr>
                <w:rFonts w:hint="eastAsia" w:cs="Times New Roman"/>
                <w:szCs w:val="21"/>
                <w:lang w:eastAsia="zh-CN"/>
              </w:rPr>
              <w:t>污染源</w:t>
            </w:r>
            <w:r>
              <w:rPr>
                <w:rFonts w:cs="Times New Roman"/>
                <w:szCs w:val="21"/>
              </w:rPr>
              <w:t>具有间歇性和流动性，因此对局部地区的环境影响较轻</w:t>
            </w:r>
            <w:r>
              <w:rPr>
                <w:rFonts w:hint="eastAsia" w:cs="Times New Roman"/>
                <w:szCs w:val="21"/>
              </w:rPr>
              <w:t>。</w:t>
            </w:r>
          </w:p>
          <w:p>
            <w:pPr>
              <w:spacing w:line="276" w:lineRule="auto"/>
              <w:ind w:firstLine="422" w:firstLineChars="200"/>
              <w:rPr>
                <w:rFonts w:cs="Times New Roman"/>
                <w:b/>
                <w:bCs/>
                <w:szCs w:val="21"/>
              </w:rPr>
            </w:pPr>
            <w:r>
              <w:rPr>
                <w:rFonts w:cs="Times New Roman"/>
                <w:b/>
                <w:bCs/>
                <w:szCs w:val="21"/>
              </w:rPr>
              <w:t>（</w:t>
            </w:r>
            <w:r>
              <w:rPr>
                <w:rFonts w:hint="eastAsia" w:cs="Times New Roman"/>
                <w:b/>
                <w:bCs/>
                <w:szCs w:val="21"/>
              </w:rPr>
              <w:t>4</w:t>
            </w:r>
            <w:r>
              <w:rPr>
                <w:rFonts w:cs="Times New Roman"/>
                <w:b/>
                <w:bCs/>
                <w:szCs w:val="21"/>
              </w:rPr>
              <w:t>）装修废气</w:t>
            </w:r>
          </w:p>
          <w:p>
            <w:pPr>
              <w:spacing w:line="276" w:lineRule="auto"/>
              <w:ind w:firstLine="420" w:firstLineChars="200"/>
              <w:rPr>
                <w:rFonts w:cs="Times New Roman"/>
                <w:szCs w:val="21"/>
              </w:rPr>
            </w:pPr>
            <w:r>
              <w:rPr>
                <w:rFonts w:cs="Times New Roman"/>
                <w:szCs w:val="21"/>
              </w:rPr>
              <w:t>装修过程中主要污染因子是涂料挥发废气，该废气的排放属无组织排放，由于装修阶段的装修废气排放周期短，且装修面积较少、作业点分散，故装修期间应加强通风换气，环评要求：施工期采用优质环保的装修材料，使用无污染性废气产生的材料、涂料，减少废气中有害物质的排放。</w:t>
            </w:r>
          </w:p>
          <w:p>
            <w:pPr>
              <w:spacing w:line="276" w:lineRule="auto"/>
              <w:ind w:firstLine="422" w:firstLineChars="200"/>
              <w:rPr>
                <w:rFonts w:cs="Times New Roman"/>
                <w:b/>
                <w:szCs w:val="21"/>
              </w:rPr>
            </w:pPr>
            <w:r>
              <w:rPr>
                <w:rFonts w:cs="Times New Roman"/>
                <w:b/>
                <w:szCs w:val="21"/>
              </w:rPr>
              <w:t>2、废水</w:t>
            </w:r>
          </w:p>
          <w:p>
            <w:pPr>
              <w:spacing w:line="276" w:lineRule="auto"/>
              <w:ind w:firstLine="315" w:firstLineChars="150"/>
              <w:rPr>
                <w:rFonts w:cs="Times New Roman"/>
                <w:bCs/>
                <w:szCs w:val="21"/>
              </w:rPr>
            </w:pPr>
            <w:r>
              <w:rPr>
                <w:rFonts w:cs="Times New Roman"/>
                <w:bCs/>
                <w:szCs w:val="21"/>
              </w:rPr>
              <w:t>施工期废水主要为工地</w:t>
            </w:r>
            <w:r>
              <w:rPr>
                <w:rFonts w:hint="eastAsia" w:cs="Times New Roman"/>
                <w:bCs/>
                <w:szCs w:val="21"/>
              </w:rPr>
              <w:t>员工</w:t>
            </w:r>
            <w:r>
              <w:rPr>
                <w:rFonts w:cs="Times New Roman"/>
                <w:bCs/>
                <w:szCs w:val="21"/>
              </w:rPr>
              <w:t>生活</w:t>
            </w:r>
            <w:r>
              <w:rPr>
                <w:rFonts w:hint="eastAsia" w:cs="Times New Roman"/>
                <w:bCs/>
                <w:szCs w:val="21"/>
              </w:rPr>
              <w:t>污水、</w:t>
            </w:r>
            <w:r>
              <w:rPr>
                <w:rFonts w:cs="Times New Roman"/>
                <w:bCs/>
                <w:szCs w:val="21"/>
              </w:rPr>
              <w:t>施工废水。</w:t>
            </w:r>
          </w:p>
          <w:p>
            <w:pPr>
              <w:spacing w:line="276" w:lineRule="auto"/>
              <w:ind w:firstLine="316" w:firstLineChars="150"/>
              <w:rPr>
                <w:rFonts w:cs="Times New Roman"/>
                <w:b/>
                <w:szCs w:val="21"/>
              </w:rPr>
            </w:pPr>
            <w:r>
              <w:rPr>
                <w:rFonts w:cs="Times New Roman"/>
                <w:b/>
                <w:szCs w:val="21"/>
              </w:rPr>
              <w:t>（1）生活污水</w:t>
            </w:r>
          </w:p>
          <w:p>
            <w:pPr>
              <w:spacing w:line="276" w:lineRule="auto"/>
              <w:ind w:firstLine="420" w:firstLineChars="200"/>
              <w:rPr>
                <w:rFonts w:cs="Times New Roman"/>
                <w:szCs w:val="21"/>
              </w:rPr>
            </w:pPr>
            <w:r>
              <w:rPr>
                <w:rFonts w:cs="Times New Roman"/>
                <w:szCs w:val="21"/>
              </w:rPr>
              <w:t>施工高峰期施工人员预计约</w:t>
            </w:r>
            <w:r>
              <w:rPr>
                <w:rFonts w:hint="eastAsia" w:cs="Times New Roman"/>
                <w:szCs w:val="21"/>
              </w:rPr>
              <w:t>100</w:t>
            </w:r>
            <w:r>
              <w:rPr>
                <w:rFonts w:cs="Times New Roman"/>
                <w:szCs w:val="21"/>
              </w:rPr>
              <w:t>人，施工人员生活用水量按0.1m</w:t>
            </w:r>
            <w:r>
              <w:rPr>
                <w:rFonts w:cs="Times New Roman"/>
                <w:szCs w:val="21"/>
                <w:vertAlign w:val="superscript"/>
              </w:rPr>
              <w:t>3</w:t>
            </w:r>
            <w:r>
              <w:rPr>
                <w:rFonts w:cs="Times New Roman"/>
                <w:szCs w:val="21"/>
              </w:rPr>
              <w:t>/d，生活污水产生系数取0.85，则生活污水产生量为</w:t>
            </w:r>
            <w:r>
              <w:rPr>
                <w:rFonts w:hint="eastAsia" w:cs="Times New Roman"/>
                <w:szCs w:val="21"/>
              </w:rPr>
              <w:t>8.5</w:t>
            </w:r>
            <w:r>
              <w:rPr>
                <w:rFonts w:cs="Times New Roman"/>
                <w:szCs w:val="21"/>
              </w:rPr>
              <w:t>m</w:t>
            </w:r>
            <w:r>
              <w:rPr>
                <w:rFonts w:cs="Times New Roman"/>
                <w:szCs w:val="21"/>
                <w:vertAlign w:val="superscript"/>
              </w:rPr>
              <w:t>3</w:t>
            </w:r>
            <w:r>
              <w:rPr>
                <w:rFonts w:cs="Times New Roman"/>
                <w:szCs w:val="21"/>
              </w:rPr>
              <w:t>/d</w:t>
            </w:r>
            <w:r>
              <w:rPr>
                <w:rFonts w:hint="eastAsia" w:cs="Times New Roman"/>
                <w:szCs w:val="21"/>
              </w:rPr>
              <w:t>。本项目不在施工现场设生活设施，</w:t>
            </w:r>
            <w:r>
              <w:rPr>
                <w:rFonts w:cs="Times New Roman"/>
                <w:szCs w:val="21"/>
              </w:rPr>
              <w:t>生活污水依托</w:t>
            </w:r>
            <w:r>
              <w:rPr>
                <w:rFonts w:hint="eastAsia" w:cs="Times New Roman"/>
                <w:szCs w:val="21"/>
              </w:rPr>
              <w:t>周边</w:t>
            </w:r>
            <w:r>
              <w:rPr>
                <w:rFonts w:cs="Times New Roman"/>
                <w:szCs w:val="21"/>
              </w:rPr>
              <w:t>现有的污水处理设施进行处理。</w:t>
            </w:r>
          </w:p>
          <w:p>
            <w:pPr>
              <w:spacing w:line="276" w:lineRule="auto"/>
              <w:ind w:firstLine="316" w:firstLineChars="150"/>
              <w:rPr>
                <w:rFonts w:cs="Times New Roman"/>
                <w:b/>
                <w:szCs w:val="21"/>
              </w:rPr>
            </w:pPr>
            <w:r>
              <w:rPr>
                <w:rFonts w:cs="Times New Roman"/>
                <w:b/>
                <w:szCs w:val="21"/>
              </w:rPr>
              <w:t>（2）施工废水</w:t>
            </w:r>
          </w:p>
          <w:p>
            <w:pPr>
              <w:spacing w:line="276" w:lineRule="auto"/>
              <w:ind w:firstLine="420" w:firstLineChars="200"/>
              <w:rPr>
                <w:rFonts w:hint="eastAsia" w:cs="Times New Roman"/>
                <w:szCs w:val="21"/>
              </w:rPr>
            </w:pPr>
            <w:r>
              <w:rPr>
                <w:rFonts w:hint="eastAsia" w:cs="Times New Roman"/>
                <w:szCs w:val="21"/>
              </w:rPr>
              <w:t>本项目施工废水主要为机械、车辆冲洗废水，混凝土养护废水，无基坑降水。如不经治理直接排放，将会对当地地表水环境造成一定的污染影响。废水主要污染物为SS、CODcr、石油类。本项目施工期的施工废水主要是设置简易沉淀池对废水进行沉淀后循环利用，不外排。要求施工方对产生的不同水质废水采取相应的处理方法：</w:t>
            </w:r>
          </w:p>
          <w:p>
            <w:pPr>
              <w:spacing w:line="276" w:lineRule="auto"/>
              <w:ind w:firstLine="420" w:firstLineChars="200"/>
              <w:rPr>
                <w:rFonts w:hint="eastAsia" w:cs="Times New Roman"/>
                <w:szCs w:val="21"/>
              </w:rPr>
            </w:pPr>
            <w:r>
              <w:rPr>
                <w:rFonts w:hint="eastAsia" w:cs="Times New Roman"/>
                <w:szCs w:val="21"/>
              </w:rPr>
              <w:t>机械和车辆冲洗废水：主要为含油废水，应尽量要求施工机械和车辆到附近专门清洗点或修理点进行清洗和修理，小部分在项目区内进行临时清洗和修理的施工机械、车辆所产生的含油废水或废弃物，不得随意弃置和倾流，含油废弃物可用容器收集后交有资质单位处理，以防止油污染。机械保养冲洗水、含油污水不得随意排放，需修建排水沟和小型隔油池，经沉淀处理后可以循环利用，可回用于施工洒水，降尘，清洗进出场地车辆轮胎、车身等，不外排。</w:t>
            </w:r>
          </w:p>
          <w:p>
            <w:pPr>
              <w:spacing w:line="276" w:lineRule="auto"/>
              <w:ind w:firstLine="420" w:firstLineChars="200"/>
              <w:rPr>
                <w:rFonts w:hint="eastAsia" w:cs="Times New Roman"/>
                <w:szCs w:val="21"/>
              </w:rPr>
            </w:pPr>
            <w:r>
              <w:rPr>
                <w:rFonts w:hint="eastAsia" w:cs="Times New Roman"/>
                <w:szCs w:val="21"/>
              </w:rPr>
              <w:t>混凝土养护废水：混凝土养护可以直接用薄膜或塑料溶液喷刷在混凝土表面，待溶液挥发后，与混凝土表面结合成一层塑料薄膜，使混凝土与空气隔离，封闭混凝土中水分不再蒸发外逸，水泥依靠混凝土中水分完成水化作用，其多余废水经沉淀处理后，上清液可以回用。</w:t>
            </w:r>
          </w:p>
          <w:p>
            <w:pPr>
              <w:spacing w:line="276" w:lineRule="auto"/>
              <w:ind w:firstLine="420" w:firstLineChars="200"/>
              <w:rPr>
                <w:rFonts w:cs="Times New Roman"/>
                <w:szCs w:val="21"/>
              </w:rPr>
            </w:pPr>
            <w:r>
              <w:rPr>
                <w:rFonts w:hint="eastAsia" w:cs="Times New Roman"/>
                <w:szCs w:val="21"/>
              </w:rPr>
              <w:t>项目施工期的废水经处理后回用，不外排，对</w:t>
            </w:r>
            <w:r>
              <w:rPr>
                <w:rFonts w:cs="Times New Roman"/>
                <w:szCs w:val="21"/>
              </w:rPr>
              <w:t>周边河网的水环境和生态环境影响不大。</w:t>
            </w:r>
          </w:p>
          <w:p>
            <w:pPr>
              <w:spacing w:line="276" w:lineRule="auto"/>
              <w:ind w:firstLine="480"/>
              <w:rPr>
                <w:rFonts w:cs="Times New Roman"/>
                <w:b/>
                <w:szCs w:val="21"/>
              </w:rPr>
            </w:pPr>
            <w:r>
              <w:rPr>
                <w:rFonts w:cs="Times New Roman"/>
                <w:b/>
                <w:szCs w:val="21"/>
              </w:rPr>
              <w:t>3、噪声</w:t>
            </w:r>
          </w:p>
          <w:p>
            <w:pPr>
              <w:spacing w:line="276" w:lineRule="auto"/>
              <w:ind w:firstLine="480"/>
              <w:rPr>
                <w:rFonts w:hint="eastAsia" w:cs="Times New Roman"/>
                <w:szCs w:val="21"/>
              </w:rPr>
            </w:pPr>
            <w:r>
              <w:rPr>
                <w:rFonts w:cs="Times New Roman"/>
                <w:szCs w:val="21"/>
              </w:rPr>
              <w:t>施工期噪声主要来源于施工现场的各类机械设备噪声，不同施工阶段和不同施工机械发出的噪声水平是不同的，且有大量设备交互作业，各施工阶段主要施工机械设备噪声源强值见表4-1。</w:t>
            </w:r>
          </w:p>
          <w:p>
            <w:pPr>
              <w:spacing w:line="276" w:lineRule="auto"/>
              <w:jc w:val="center"/>
              <w:rPr>
                <w:rFonts w:cs="Times New Roman"/>
                <w:b/>
                <w:bCs/>
                <w:szCs w:val="21"/>
              </w:rPr>
            </w:pPr>
            <w:r>
              <w:rPr>
                <w:rFonts w:cs="Times New Roman"/>
                <w:b/>
                <w:bCs/>
                <w:szCs w:val="21"/>
              </w:rPr>
              <w:t>表4-1  主要机械设备源强值</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578"/>
              <w:gridCol w:w="1446"/>
              <w:gridCol w:w="1448"/>
              <w:gridCol w:w="1446"/>
              <w:gridCol w:w="1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5" w:type="pct"/>
                  <w:gridSpan w:val="2"/>
                  <w:noWrap w:val="0"/>
                  <w:vAlign w:val="center"/>
                </w:tcPr>
                <w:p>
                  <w:pPr>
                    <w:jc w:val="center"/>
                    <w:rPr>
                      <w:b/>
                      <w:bCs/>
                      <w:szCs w:val="21"/>
                    </w:rPr>
                  </w:pPr>
                  <w:r>
                    <w:rPr>
                      <w:rFonts w:hint="eastAsia"/>
                      <w:b/>
                      <w:bCs/>
                      <w:szCs w:val="21"/>
                    </w:rPr>
                    <w:t>施工设备</w:t>
                  </w:r>
                  <w:r>
                    <w:rPr>
                      <w:b/>
                      <w:bCs/>
                      <w:szCs w:val="21"/>
                    </w:rPr>
                    <w:t>明</w:t>
                  </w:r>
                  <w:r>
                    <w:rPr>
                      <w:rFonts w:hint="eastAsia"/>
                      <w:b/>
                      <w:bCs/>
                      <w:szCs w:val="21"/>
                    </w:rPr>
                    <w:t>名称</w:t>
                  </w:r>
                </w:p>
              </w:tc>
              <w:tc>
                <w:tcPr>
                  <w:tcW w:w="857" w:type="pct"/>
                  <w:noWrap w:val="0"/>
                  <w:vAlign w:val="center"/>
                </w:tcPr>
                <w:p>
                  <w:pPr>
                    <w:jc w:val="center"/>
                    <w:rPr>
                      <w:b/>
                      <w:bCs/>
                      <w:szCs w:val="21"/>
                    </w:rPr>
                  </w:pPr>
                  <w:r>
                    <w:rPr>
                      <w:rFonts w:hint="eastAsia"/>
                      <w:b/>
                      <w:bCs/>
                      <w:szCs w:val="21"/>
                    </w:rPr>
                    <w:t>运输</w:t>
                  </w:r>
                  <w:r>
                    <w:rPr>
                      <w:b/>
                      <w:bCs/>
                      <w:szCs w:val="21"/>
                    </w:rPr>
                    <w:t>车辆</w:t>
                  </w:r>
                </w:p>
              </w:tc>
              <w:tc>
                <w:tcPr>
                  <w:tcW w:w="858" w:type="pct"/>
                  <w:noWrap w:val="0"/>
                  <w:vAlign w:val="center"/>
                </w:tcPr>
                <w:p>
                  <w:pPr>
                    <w:jc w:val="center"/>
                    <w:rPr>
                      <w:b/>
                      <w:bCs/>
                      <w:szCs w:val="21"/>
                    </w:rPr>
                  </w:pPr>
                  <w:r>
                    <w:rPr>
                      <w:rFonts w:hint="eastAsia"/>
                      <w:b/>
                      <w:bCs/>
                      <w:szCs w:val="21"/>
                    </w:rPr>
                    <w:t>装载机</w:t>
                  </w:r>
                </w:p>
              </w:tc>
              <w:tc>
                <w:tcPr>
                  <w:tcW w:w="857" w:type="pct"/>
                  <w:noWrap w:val="0"/>
                  <w:vAlign w:val="center"/>
                </w:tcPr>
                <w:p>
                  <w:pPr>
                    <w:jc w:val="center"/>
                    <w:rPr>
                      <w:b/>
                      <w:bCs/>
                      <w:szCs w:val="21"/>
                    </w:rPr>
                  </w:pPr>
                  <w:r>
                    <w:rPr>
                      <w:rFonts w:hint="eastAsia"/>
                      <w:b/>
                      <w:bCs/>
                      <w:szCs w:val="21"/>
                    </w:rPr>
                    <w:t>推土机</w:t>
                  </w:r>
                </w:p>
              </w:tc>
              <w:tc>
                <w:tcPr>
                  <w:tcW w:w="859" w:type="pct"/>
                  <w:noWrap w:val="0"/>
                  <w:vAlign w:val="center"/>
                </w:tcPr>
                <w:p>
                  <w:pPr>
                    <w:jc w:val="center"/>
                    <w:rPr>
                      <w:b/>
                      <w:bCs/>
                      <w:szCs w:val="21"/>
                    </w:rPr>
                  </w:pPr>
                  <w:r>
                    <w:rPr>
                      <w:rFonts w:hint="eastAsia"/>
                      <w:b/>
                      <w:bCs/>
                      <w:szCs w:val="21"/>
                    </w:rPr>
                    <w:t>挖掘机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pct"/>
                  <w:vMerge w:val="restart"/>
                  <w:noWrap w:val="0"/>
                  <w:vAlign w:val="center"/>
                </w:tcPr>
                <w:p>
                  <w:pPr>
                    <w:jc w:val="center"/>
                    <w:rPr>
                      <w:szCs w:val="21"/>
                    </w:rPr>
                  </w:pPr>
                  <w:r>
                    <w:rPr>
                      <w:rFonts w:hint="eastAsia"/>
                      <w:szCs w:val="21"/>
                    </w:rPr>
                    <w:t>噪声值</w:t>
                  </w:r>
                </w:p>
                <w:p>
                  <w:pPr>
                    <w:jc w:val="center"/>
                    <w:rPr>
                      <w:szCs w:val="21"/>
                    </w:rPr>
                  </w:pPr>
                  <w:r>
                    <w:rPr>
                      <w:rFonts w:hint="eastAsia"/>
                      <w:szCs w:val="21"/>
                    </w:rPr>
                    <w:t>dB</w:t>
                  </w:r>
                  <w:r>
                    <w:rPr>
                      <w:szCs w:val="21"/>
                    </w:rPr>
                    <w:t>（A）</w:t>
                  </w:r>
                </w:p>
              </w:tc>
              <w:tc>
                <w:tcPr>
                  <w:tcW w:w="935" w:type="pct"/>
                  <w:noWrap w:val="0"/>
                  <w:vAlign w:val="center"/>
                </w:tcPr>
                <w:p>
                  <w:pPr>
                    <w:jc w:val="center"/>
                    <w:rPr>
                      <w:szCs w:val="21"/>
                    </w:rPr>
                  </w:pPr>
                  <w:r>
                    <w:rPr>
                      <w:rFonts w:hint="eastAsia"/>
                      <w:szCs w:val="21"/>
                    </w:rPr>
                    <w:t>距机械5</w:t>
                  </w:r>
                  <w:r>
                    <w:rPr>
                      <w:szCs w:val="21"/>
                    </w:rPr>
                    <w:t>m处</w:t>
                  </w:r>
                </w:p>
              </w:tc>
              <w:tc>
                <w:tcPr>
                  <w:tcW w:w="857" w:type="pct"/>
                  <w:noWrap w:val="0"/>
                  <w:vAlign w:val="center"/>
                </w:tcPr>
                <w:p>
                  <w:pPr>
                    <w:jc w:val="center"/>
                    <w:rPr>
                      <w:szCs w:val="21"/>
                    </w:rPr>
                  </w:pPr>
                  <w:r>
                    <w:rPr>
                      <w:rFonts w:hint="eastAsia"/>
                      <w:szCs w:val="21"/>
                    </w:rPr>
                    <w:t>90</w:t>
                  </w:r>
                </w:p>
              </w:tc>
              <w:tc>
                <w:tcPr>
                  <w:tcW w:w="858" w:type="pct"/>
                  <w:noWrap w:val="0"/>
                  <w:vAlign w:val="center"/>
                </w:tcPr>
                <w:p>
                  <w:pPr>
                    <w:jc w:val="center"/>
                    <w:rPr>
                      <w:szCs w:val="21"/>
                    </w:rPr>
                  </w:pPr>
                  <w:r>
                    <w:rPr>
                      <w:szCs w:val="21"/>
                    </w:rPr>
                    <w:t>93</w:t>
                  </w:r>
                </w:p>
              </w:tc>
              <w:tc>
                <w:tcPr>
                  <w:tcW w:w="857" w:type="pct"/>
                  <w:noWrap w:val="0"/>
                  <w:vAlign w:val="center"/>
                </w:tcPr>
                <w:p>
                  <w:pPr>
                    <w:jc w:val="center"/>
                    <w:rPr>
                      <w:szCs w:val="21"/>
                    </w:rPr>
                  </w:pPr>
                  <w:r>
                    <w:rPr>
                      <w:rFonts w:hint="eastAsia"/>
                      <w:szCs w:val="21"/>
                    </w:rPr>
                    <w:t>82</w:t>
                  </w:r>
                </w:p>
              </w:tc>
              <w:tc>
                <w:tcPr>
                  <w:tcW w:w="859" w:type="pct"/>
                  <w:noWrap w:val="0"/>
                  <w:vAlign w:val="center"/>
                </w:tcPr>
                <w:p>
                  <w:pPr>
                    <w:jc w:val="center"/>
                    <w:rPr>
                      <w:szCs w:val="21"/>
                    </w:rPr>
                  </w:pPr>
                  <w:r>
                    <w:rPr>
                      <w:rFonts w:hint="eastAsia"/>
                      <w:szCs w:val="21"/>
                    </w:rPr>
                    <w:t>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pct"/>
                  <w:vMerge w:val="continue"/>
                  <w:noWrap w:val="0"/>
                  <w:vAlign w:val="center"/>
                </w:tcPr>
                <w:p>
                  <w:pPr>
                    <w:jc w:val="center"/>
                    <w:rPr>
                      <w:szCs w:val="21"/>
                    </w:rPr>
                  </w:pPr>
                </w:p>
              </w:tc>
              <w:tc>
                <w:tcPr>
                  <w:tcW w:w="935" w:type="pct"/>
                  <w:noWrap w:val="0"/>
                  <w:vAlign w:val="center"/>
                </w:tcPr>
                <w:p>
                  <w:pPr>
                    <w:jc w:val="center"/>
                    <w:rPr>
                      <w:szCs w:val="21"/>
                    </w:rPr>
                  </w:pPr>
                  <w:r>
                    <w:rPr>
                      <w:rFonts w:hint="eastAsia"/>
                      <w:szCs w:val="21"/>
                    </w:rPr>
                    <w:t>距机械</w:t>
                  </w:r>
                  <w:r>
                    <w:rPr>
                      <w:szCs w:val="21"/>
                    </w:rPr>
                    <w:t>10m处</w:t>
                  </w:r>
                </w:p>
              </w:tc>
              <w:tc>
                <w:tcPr>
                  <w:tcW w:w="857" w:type="pct"/>
                  <w:noWrap w:val="0"/>
                  <w:vAlign w:val="center"/>
                </w:tcPr>
                <w:p>
                  <w:pPr>
                    <w:jc w:val="center"/>
                    <w:rPr>
                      <w:szCs w:val="21"/>
                    </w:rPr>
                  </w:pPr>
                  <w:r>
                    <w:rPr>
                      <w:rFonts w:hint="eastAsia"/>
                      <w:szCs w:val="21"/>
                    </w:rPr>
                    <w:t>84</w:t>
                  </w:r>
                </w:p>
              </w:tc>
              <w:tc>
                <w:tcPr>
                  <w:tcW w:w="858" w:type="pct"/>
                  <w:noWrap w:val="0"/>
                  <w:vAlign w:val="center"/>
                </w:tcPr>
                <w:p>
                  <w:pPr>
                    <w:jc w:val="center"/>
                    <w:rPr>
                      <w:szCs w:val="21"/>
                    </w:rPr>
                  </w:pPr>
                  <w:r>
                    <w:rPr>
                      <w:rFonts w:hint="eastAsia"/>
                      <w:szCs w:val="21"/>
                    </w:rPr>
                    <w:t>87</w:t>
                  </w:r>
                </w:p>
              </w:tc>
              <w:tc>
                <w:tcPr>
                  <w:tcW w:w="857" w:type="pct"/>
                  <w:noWrap w:val="0"/>
                  <w:vAlign w:val="center"/>
                </w:tcPr>
                <w:p>
                  <w:pPr>
                    <w:jc w:val="center"/>
                    <w:rPr>
                      <w:szCs w:val="21"/>
                    </w:rPr>
                  </w:pPr>
                  <w:r>
                    <w:rPr>
                      <w:rFonts w:hint="eastAsia"/>
                      <w:szCs w:val="21"/>
                    </w:rPr>
                    <w:t>76</w:t>
                  </w:r>
                </w:p>
              </w:tc>
              <w:tc>
                <w:tcPr>
                  <w:tcW w:w="859" w:type="pct"/>
                  <w:noWrap w:val="0"/>
                  <w:vAlign w:val="center"/>
                </w:tcPr>
                <w:p>
                  <w:pPr>
                    <w:jc w:val="center"/>
                    <w:rPr>
                      <w:szCs w:val="21"/>
                    </w:rPr>
                  </w:pPr>
                  <w:r>
                    <w:rPr>
                      <w:rFonts w:hint="eastAsia"/>
                      <w:szCs w:val="21"/>
                    </w:rPr>
                    <w:t>83</w:t>
                  </w:r>
                </w:p>
              </w:tc>
            </w:tr>
          </w:tbl>
          <w:p>
            <w:pPr>
              <w:spacing w:line="276" w:lineRule="auto"/>
              <w:ind w:firstLine="480"/>
              <w:rPr>
                <w:rFonts w:cs="Times New Roman"/>
                <w:szCs w:val="21"/>
              </w:rPr>
            </w:pPr>
          </w:p>
          <w:p>
            <w:pPr>
              <w:spacing w:line="276" w:lineRule="auto"/>
              <w:ind w:firstLine="480"/>
              <w:rPr>
                <w:rFonts w:cs="Times New Roman"/>
                <w:szCs w:val="21"/>
              </w:rPr>
            </w:pPr>
            <w:r>
              <w:rPr>
                <w:rFonts w:cs="Times New Roman"/>
                <w:szCs w:val="21"/>
              </w:rPr>
              <w:t>为实现施工场界噪声达标排放，降低施工噪声对周围环境的影响，施工单位需严格按照相关要求文明施工，采取以下噪声防治措施：</w:t>
            </w:r>
          </w:p>
          <w:p>
            <w:pPr>
              <w:spacing w:line="276" w:lineRule="auto"/>
              <w:ind w:firstLine="420" w:firstLineChars="200"/>
              <w:rPr>
                <w:rFonts w:cs="Times New Roman"/>
                <w:szCs w:val="21"/>
              </w:rPr>
            </w:pPr>
            <w:r>
              <w:rPr>
                <w:rFonts w:cs="Times New Roman"/>
                <w:szCs w:val="21"/>
              </w:rPr>
              <w:t>①选用符合国家标准的低噪声设备，定期加强对设备的维修保养，避免由于设备非正常工作而产生噪声污染。</w:t>
            </w:r>
          </w:p>
          <w:p>
            <w:pPr>
              <w:spacing w:line="276" w:lineRule="auto"/>
              <w:ind w:firstLine="420" w:firstLineChars="200"/>
              <w:rPr>
                <w:rFonts w:hint="eastAsia" w:cs="Times New Roman"/>
                <w:szCs w:val="21"/>
              </w:rPr>
            </w:pPr>
            <w:r>
              <w:rPr>
                <w:rFonts w:cs="Times New Roman"/>
                <w:szCs w:val="21"/>
              </w:rPr>
              <w:t>②合理安排施工时间，</w:t>
            </w:r>
            <w:r>
              <w:rPr>
                <w:rFonts w:hint="eastAsia" w:cs="Times New Roman"/>
                <w:szCs w:val="21"/>
              </w:rPr>
              <w:t>禁止夜间</w:t>
            </w:r>
            <w:r>
              <w:rPr>
                <w:rFonts w:cs="Times New Roman"/>
                <w:szCs w:val="21"/>
              </w:rPr>
              <w:t>（22:00~</w:t>
            </w:r>
            <w:r>
              <w:rPr>
                <w:rFonts w:hint="eastAsia" w:cs="Times New Roman"/>
                <w:szCs w:val="21"/>
              </w:rPr>
              <w:t>次日</w:t>
            </w:r>
            <w:r>
              <w:rPr>
                <w:rFonts w:cs="Times New Roman"/>
                <w:szCs w:val="21"/>
              </w:rPr>
              <w:t>6:00）</w:t>
            </w:r>
            <w:r>
              <w:rPr>
                <w:rFonts w:hint="eastAsia" w:cs="Times New Roman"/>
                <w:szCs w:val="21"/>
              </w:rPr>
              <w:t>进行产生环境噪声污染的建筑施工作业，但抢修、抢险作业和因生产工艺上要求或者特殊需要必须连续作业的除外。因特殊需要必须连续作业的，必须有县级以上人民政府或者其有关主管部门的证明。对于经批准的夜间施工作业，必须公告附近居民。</w:t>
            </w:r>
          </w:p>
          <w:p>
            <w:pPr>
              <w:spacing w:line="276" w:lineRule="auto"/>
              <w:ind w:firstLine="420" w:firstLineChars="200"/>
              <w:rPr>
                <w:rFonts w:cs="Times New Roman"/>
                <w:b/>
                <w:szCs w:val="21"/>
              </w:rPr>
            </w:pPr>
            <w:r>
              <w:rPr>
                <w:rFonts w:cs="Times New Roman"/>
                <w:szCs w:val="21"/>
              </w:rPr>
              <w:t>③加强管理，文明施工。装卸、搬运木材、模具、钢材等严禁抛掷，材料运输车辆进场要专人指挥，厂内运输车辆实施限速、禁止鸣笛。施工监理单位应做好噪声控制措施，确保施工场界噪声达标排放。</w:t>
            </w:r>
          </w:p>
          <w:p>
            <w:pPr>
              <w:spacing w:line="276" w:lineRule="auto"/>
              <w:ind w:firstLine="420" w:firstLineChars="200"/>
              <w:rPr>
                <w:rFonts w:cs="Times New Roman"/>
                <w:szCs w:val="21"/>
              </w:rPr>
            </w:pPr>
            <w:r>
              <w:rPr>
                <w:rFonts w:cs="Times New Roman"/>
                <w:szCs w:val="21"/>
              </w:rPr>
              <w:t>④施工运输车辆应按照有关部门同意的运输路线行进，运输时间应避开居民进出高峰期，同时严格限速、限载管理，禁止鸣笛。</w:t>
            </w:r>
          </w:p>
          <w:p>
            <w:pPr>
              <w:spacing w:line="276" w:lineRule="auto"/>
              <w:ind w:firstLine="420" w:firstLineChars="200"/>
              <w:rPr>
                <w:rFonts w:cs="Times New Roman"/>
                <w:b/>
                <w:szCs w:val="21"/>
              </w:rPr>
            </w:pPr>
            <w:r>
              <w:rPr>
                <w:rFonts w:cs="Times New Roman"/>
                <w:szCs w:val="21"/>
              </w:rPr>
              <w:t>⑤合理布置施工总平面。施工期高噪声尽量设备布置在场地中央，有效利用距离的衰减，确保场界达标排放。</w:t>
            </w:r>
          </w:p>
          <w:p>
            <w:pPr>
              <w:spacing w:line="276" w:lineRule="auto"/>
              <w:ind w:firstLine="480"/>
              <w:rPr>
                <w:rFonts w:cs="Times New Roman"/>
                <w:szCs w:val="21"/>
              </w:rPr>
            </w:pPr>
            <w:r>
              <w:rPr>
                <w:rFonts w:cs="Times New Roman"/>
                <w:szCs w:val="21"/>
              </w:rPr>
              <w:t>⑥施工前应进行公示，施工单位应在现场张贴通告和投诉电话，建设单位在接到投诉电话后及时与当地环保部门联系，及时处理各种环境纠纷。</w:t>
            </w:r>
          </w:p>
          <w:p>
            <w:pPr>
              <w:spacing w:line="276" w:lineRule="auto"/>
              <w:ind w:firstLine="422" w:firstLineChars="200"/>
              <w:rPr>
                <w:rFonts w:cs="Times New Roman"/>
                <w:b/>
                <w:szCs w:val="21"/>
              </w:rPr>
            </w:pPr>
            <w:r>
              <w:rPr>
                <w:rFonts w:cs="Times New Roman"/>
                <w:b/>
                <w:szCs w:val="21"/>
              </w:rPr>
              <w:t>4、固体废物</w:t>
            </w:r>
          </w:p>
          <w:p>
            <w:pPr>
              <w:spacing w:line="276" w:lineRule="auto"/>
              <w:ind w:firstLine="422" w:firstLineChars="200"/>
              <w:rPr>
                <w:rFonts w:cs="Times New Roman"/>
                <w:b/>
                <w:szCs w:val="21"/>
              </w:rPr>
            </w:pPr>
            <w:r>
              <w:rPr>
                <w:rFonts w:hint="eastAsia" w:cs="Times New Roman"/>
                <w:b/>
                <w:szCs w:val="21"/>
              </w:rPr>
              <w:t>（1）土石方</w:t>
            </w:r>
          </w:p>
          <w:p>
            <w:pPr>
              <w:spacing w:line="276" w:lineRule="auto"/>
              <w:ind w:firstLine="420" w:firstLineChars="200"/>
              <w:rPr>
                <w:rFonts w:hint="eastAsia"/>
              </w:rPr>
            </w:pPr>
            <w:r>
              <w:rPr>
                <w:rFonts w:hint="eastAsia"/>
              </w:rPr>
              <w:t>根据业主提供的数据资料，结合现场踏勘并比对项目区地形图、总平面布置图后，经复核计算，本项目土石方开挖总量11万m</w:t>
            </w:r>
            <w:r>
              <w:rPr>
                <w:rFonts w:hint="eastAsia"/>
                <w:vertAlign w:val="superscript"/>
              </w:rPr>
              <w:t>3</w:t>
            </w:r>
            <w:r>
              <w:rPr>
                <w:rFonts w:hint="eastAsia"/>
              </w:rPr>
              <w:t>，其中剥离表土3.9万m</w:t>
            </w:r>
            <w:r>
              <w:rPr>
                <w:rFonts w:hint="eastAsia"/>
                <w:vertAlign w:val="superscript"/>
              </w:rPr>
              <w:t>3</w:t>
            </w:r>
            <w:r>
              <w:rPr>
                <w:rFonts w:hint="eastAsia"/>
              </w:rPr>
              <w:t>、土石方7.1万m</w:t>
            </w:r>
            <w:r>
              <w:rPr>
                <w:rFonts w:hint="eastAsia"/>
                <w:vertAlign w:val="superscript"/>
              </w:rPr>
              <w:t>3</w:t>
            </w:r>
            <w:r>
              <w:rPr>
                <w:rFonts w:hint="eastAsia"/>
              </w:rPr>
              <w:t>。</w:t>
            </w:r>
            <w:r>
              <w:t>项目不设专门的取弃土场</w:t>
            </w:r>
            <w:r>
              <w:rPr>
                <w:rFonts w:hint="eastAsia"/>
              </w:rPr>
              <w:t>，对于表土拟临时堆放于项目区内预先设置的临时堆放区，全部用于回填和绿化，场内平衡，无弃方产生。为防止施工期土石方处置不当对周围环境的影响，本环评要求：施工期禁止大风天气和雨天进行土石方开挖作业，开挖的土石方应及时回填，回填后应及时夯实覆土；施工完成后，应尽快进行绿化建设，优先选用固沙植物，覆盖的泥土应不超出绿化边界。</w:t>
            </w:r>
          </w:p>
          <w:p>
            <w:pPr>
              <w:spacing w:line="276" w:lineRule="auto"/>
              <w:ind w:firstLine="422" w:firstLineChars="200"/>
              <w:rPr>
                <w:rFonts w:cs="Times New Roman"/>
                <w:b/>
                <w:szCs w:val="21"/>
              </w:rPr>
            </w:pPr>
            <w:r>
              <w:rPr>
                <w:rFonts w:cs="Times New Roman"/>
                <w:b/>
                <w:szCs w:val="21"/>
              </w:rPr>
              <w:t>（</w:t>
            </w:r>
            <w:r>
              <w:rPr>
                <w:rFonts w:hint="eastAsia" w:cs="Times New Roman"/>
                <w:b/>
                <w:szCs w:val="21"/>
              </w:rPr>
              <w:t>2</w:t>
            </w:r>
            <w:r>
              <w:rPr>
                <w:rFonts w:cs="Times New Roman"/>
                <w:b/>
                <w:szCs w:val="21"/>
              </w:rPr>
              <w:t>）建筑</w:t>
            </w:r>
            <w:r>
              <w:rPr>
                <w:rFonts w:hint="eastAsia" w:cs="Times New Roman"/>
                <w:b/>
                <w:szCs w:val="21"/>
              </w:rPr>
              <w:t>废弃物</w:t>
            </w:r>
          </w:p>
          <w:p>
            <w:pPr>
              <w:widowControl/>
              <w:spacing w:line="360" w:lineRule="auto"/>
              <w:ind w:firstLine="420" w:firstLineChars="200"/>
              <w:jc w:val="left"/>
              <w:rPr>
                <w:kern w:val="0"/>
                <w:szCs w:val="21"/>
              </w:rPr>
            </w:pPr>
            <w:r>
              <w:rPr>
                <w:rFonts w:hint="eastAsia" w:cs="Times New Roman"/>
                <w:szCs w:val="21"/>
              </w:rPr>
              <w:t>项目建筑垃圾主要来自施工作业，包括砂石、石块、碎砖瓦、废木料、废金属、废钢筋等杂物。建筑垃圾进行规范堆放、及时清运至城建部门指定的地点。根据工程内容及统计资料，工程施工将产生的施工废料约1000t。施工现场应设置建筑废弃物临时堆场（树立标示牌）并进行防雨、防风处理。施工生产的废料首先应考虑废料的回收利用，对钢筋、钢板、木材等下角料可分类回收，交废物收购站处理；不能回收的建筑垃圾，如混凝土废料、含砖、石、砂的杂土等应集中堆放，定时清运到指定垃圾场，以免影响环境质量。</w:t>
            </w:r>
            <w:r>
              <w:rPr>
                <w:kern w:val="0"/>
                <w:szCs w:val="21"/>
              </w:rPr>
              <w:t>施工期固体废物需要注意及时收集和清运，采取日清日洁、密闭运输等方式。避免随意丢弃和在装载、搬移或运输途中出现渗漏、溢出、抛洒造成的二次污染，同时应注意收集后尽量压实以减少固体废物体积、提高固废装载的效率。规划好合理的垃圾收集和运输路线，采取防护措施尽量减少在运输途中导致的垃圾散落。</w:t>
            </w:r>
            <w:r>
              <w:rPr>
                <w:rFonts w:hint="eastAsia" w:cs="Times New Roman"/>
                <w:szCs w:val="21"/>
              </w:rPr>
              <w:t>为确保废弃物处置措施落实，建设单位或施工总承包单位在与建筑垃圾清运公司签订清运合同时，应要求承包公司提供废弃物去向的证明材料，严禁随意倾倒、填埋，造成二次污染。</w:t>
            </w:r>
          </w:p>
          <w:p>
            <w:pPr>
              <w:spacing w:line="276" w:lineRule="auto"/>
              <w:ind w:firstLine="422" w:firstLineChars="200"/>
              <w:rPr>
                <w:rFonts w:cs="Times New Roman"/>
                <w:b/>
                <w:bCs/>
                <w:szCs w:val="21"/>
              </w:rPr>
            </w:pPr>
            <w:r>
              <w:rPr>
                <w:rFonts w:cs="Times New Roman"/>
                <w:b/>
                <w:bCs/>
                <w:szCs w:val="21"/>
              </w:rPr>
              <w:t>（</w:t>
            </w:r>
            <w:r>
              <w:rPr>
                <w:rFonts w:hint="eastAsia" w:cs="Times New Roman"/>
                <w:b/>
                <w:bCs/>
                <w:szCs w:val="21"/>
              </w:rPr>
              <w:t>3</w:t>
            </w:r>
            <w:r>
              <w:rPr>
                <w:rFonts w:cs="Times New Roman"/>
                <w:b/>
                <w:bCs/>
                <w:szCs w:val="21"/>
              </w:rPr>
              <w:t>）废包装料</w:t>
            </w:r>
          </w:p>
          <w:p>
            <w:pPr>
              <w:spacing w:line="276" w:lineRule="auto"/>
              <w:ind w:firstLine="420" w:firstLineChars="200"/>
              <w:rPr>
                <w:rFonts w:cs="Times New Roman"/>
                <w:szCs w:val="21"/>
              </w:rPr>
            </w:pPr>
            <w:r>
              <w:rPr>
                <w:rFonts w:cs="Times New Roman"/>
                <w:szCs w:val="21"/>
              </w:rPr>
              <w:t>施工期设备安装过程废包材料以塑料膜、纸板、木材等为主，预计产生量约</w:t>
            </w:r>
            <w:r>
              <w:rPr>
                <w:rFonts w:hint="eastAsia" w:cs="Times New Roman"/>
                <w:szCs w:val="21"/>
              </w:rPr>
              <w:t>5.0</w:t>
            </w:r>
            <w:r>
              <w:rPr>
                <w:rFonts w:cs="Times New Roman"/>
                <w:szCs w:val="21"/>
              </w:rPr>
              <w:t>t，应分类收集后统一外售至废旧资源回收站。</w:t>
            </w:r>
          </w:p>
          <w:p>
            <w:pPr>
              <w:spacing w:line="276" w:lineRule="auto"/>
              <w:ind w:firstLine="422" w:firstLineChars="200"/>
              <w:rPr>
                <w:rFonts w:cs="Times New Roman"/>
                <w:b/>
                <w:szCs w:val="21"/>
              </w:rPr>
            </w:pPr>
            <w:r>
              <w:rPr>
                <w:rFonts w:cs="Times New Roman"/>
                <w:b/>
                <w:szCs w:val="21"/>
              </w:rPr>
              <w:t>（</w:t>
            </w:r>
            <w:r>
              <w:rPr>
                <w:rFonts w:hint="eastAsia" w:cs="Times New Roman"/>
                <w:b/>
                <w:szCs w:val="21"/>
              </w:rPr>
              <w:t>4</w:t>
            </w:r>
            <w:r>
              <w:rPr>
                <w:rFonts w:cs="Times New Roman"/>
                <w:b/>
                <w:szCs w:val="21"/>
              </w:rPr>
              <w:t>）生活垃圾</w:t>
            </w:r>
          </w:p>
          <w:p>
            <w:pPr>
              <w:widowControl/>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施工人员每日生活垃圾量约为50kg/d（按100人，0.5kg/d•人计）。</w:t>
            </w:r>
            <w:r>
              <w:rPr>
                <w:rFonts w:cs="Times New Roman"/>
                <w:szCs w:val="21"/>
              </w:rPr>
              <w:t>生活垃圾经袋装收集后，由环卫部门统一运送到垃圾处理场集中处理。</w:t>
            </w:r>
          </w:p>
          <w:p>
            <w:pPr>
              <w:spacing w:line="276" w:lineRule="auto"/>
              <w:ind w:firstLine="420" w:firstLineChars="200"/>
              <w:rPr>
                <w:rFonts w:cs="Times New Roman"/>
                <w:szCs w:val="21"/>
              </w:rPr>
            </w:pPr>
            <w:r>
              <w:rPr>
                <w:rFonts w:cs="Times New Roman"/>
                <w:szCs w:val="21"/>
              </w:rPr>
              <w:t>在采取以上措施后，</w:t>
            </w:r>
            <w:r>
              <w:rPr>
                <w:rFonts w:hint="eastAsia" w:cs="Times New Roman"/>
                <w:szCs w:val="21"/>
              </w:rPr>
              <w:t>项目</w:t>
            </w:r>
            <w:r>
              <w:rPr>
                <w:rFonts w:cs="Times New Roman"/>
                <w:szCs w:val="21"/>
              </w:rPr>
              <w:t>产生的固体废物均能得到有效处置或综合利用，对周围环境影响较小。</w:t>
            </w:r>
          </w:p>
          <w:p>
            <w:pPr>
              <w:spacing w:line="276" w:lineRule="auto"/>
              <w:ind w:firstLine="422" w:firstLineChars="200"/>
              <w:rPr>
                <w:rFonts w:hint="eastAsia" w:cs="Times New Roman"/>
                <w:b/>
                <w:bCs/>
                <w:szCs w:val="21"/>
              </w:rPr>
            </w:pPr>
            <w:r>
              <w:rPr>
                <w:rFonts w:hint="eastAsia" w:cs="Times New Roman"/>
                <w:b/>
                <w:bCs/>
                <w:szCs w:val="21"/>
              </w:rPr>
              <w:t>5、施工期生态影响分析</w:t>
            </w:r>
          </w:p>
          <w:p>
            <w:pPr>
              <w:spacing w:line="276" w:lineRule="auto"/>
              <w:ind w:firstLine="420" w:firstLineChars="200"/>
              <w:rPr>
                <w:rFonts w:hint="eastAsia" w:cs="Times New Roman"/>
                <w:szCs w:val="21"/>
              </w:rPr>
            </w:pPr>
            <w:r>
              <w:rPr>
                <w:rFonts w:hint="eastAsia" w:cs="Times New Roman"/>
                <w:szCs w:val="21"/>
              </w:rPr>
              <w:t>项目占地类型主要为城市规划区的建设用地，项目建设期间的施工作业、弃渣堆放、工程临时占地将破坏原有植被，造成一定的新增水土流失，对项目直接影响区生态环境有一定的不利影响。由于项目建设期短，不利影响很快就消失。施工结束后对破坏区域进行恢复和绿化。</w:t>
            </w:r>
          </w:p>
          <w:p>
            <w:pPr>
              <w:spacing w:line="276" w:lineRule="auto"/>
              <w:ind w:firstLine="422" w:firstLineChars="200"/>
              <w:rPr>
                <w:rFonts w:hint="eastAsia" w:cs="Times New Roman"/>
                <w:b/>
                <w:bCs/>
                <w:szCs w:val="21"/>
              </w:rPr>
            </w:pPr>
            <w:r>
              <w:rPr>
                <w:rFonts w:hint="eastAsia" w:cs="Times New Roman"/>
                <w:b/>
                <w:bCs/>
                <w:szCs w:val="21"/>
              </w:rPr>
              <w:t>环评要求施工单位采取以下措施防止生态破坏和水土流失：</w:t>
            </w:r>
          </w:p>
          <w:p>
            <w:pPr>
              <w:spacing w:line="276" w:lineRule="auto"/>
              <w:ind w:firstLine="420" w:firstLineChars="200"/>
              <w:rPr>
                <w:rFonts w:hint="eastAsia" w:cs="Times New Roman"/>
                <w:szCs w:val="21"/>
              </w:rPr>
            </w:pPr>
            <w:r>
              <w:rPr>
                <w:rFonts w:hint="eastAsia" w:cs="Times New Roman"/>
                <w:szCs w:val="21"/>
              </w:rPr>
              <w:t>①严格按照《中华人民共和国水土保持法》等有关法律法规以及当地有关部门的要求进行施工。</w:t>
            </w:r>
          </w:p>
          <w:p>
            <w:pPr>
              <w:spacing w:line="276" w:lineRule="auto"/>
              <w:ind w:firstLine="420" w:firstLineChars="200"/>
              <w:rPr>
                <w:rFonts w:hint="eastAsia" w:cs="Times New Roman"/>
                <w:szCs w:val="21"/>
              </w:rPr>
            </w:pPr>
            <w:r>
              <w:rPr>
                <w:rFonts w:hint="eastAsia" w:cs="Times New Roman"/>
                <w:szCs w:val="21"/>
              </w:rPr>
              <w:t>②严格遵守环保法律法规，加强施工人员环保意识；科学合理的安排施工进度与时序，严格控制开挖施工作业面。</w:t>
            </w:r>
          </w:p>
          <w:p>
            <w:pPr>
              <w:spacing w:line="276" w:lineRule="auto"/>
              <w:ind w:firstLine="420" w:firstLineChars="200"/>
              <w:rPr>
                <w:rFonts w:hint="eastAsia" w:cs="Times New Roman"/>
                <w:szCs w:val="21"/>
              </w:rPr>
            </w:pPr>
            <w:r>
              <w:rPr>
                <w:rFonts w:hint="eastAsia" w:cs="Times New Roman"/>
                <w:szCs w:val="21"/>
              </w:rPr>
              <w:t>③严格控制施工作业范围，合理安排施工进度，减少施工裸露面的暴露时间。</w:t>
            </w:r>
          </w:p>
          <w:p>
            <w:pPr>
              <w:spacing w:line="276" w:lineRule="auto"/>
              <w:ind w:firstLine="420" w:firstLineChars="200"/>
              <w:rPr>
                <w:rFonts w:hint="eastAsia" w:cs="Times New Roman"/>
                <w:szCs w:val="21"/>
              </w:rPr>
            </w:pPr>
            <w:r>
              <w:rPr>
                <w:rFonts w:hint="eastAsia" w:cs="Times New Roman"/>
                <w:szCs w:val="21"/>
              </w:rPr>
              <w:t>④为防止雨水、地表径流对堆料场和渣（土）体的冲刷，应对临时堆土、裸土采取覆盖、拦挡措施，避免雨水冲刷造成水土流失。</w:t>
            </w:r>
          </w:p>
          <w:p>
            <w:pPr>
              <w:spacing w:line="276" w:lineRule="auto"/>
              <w:ind w:firstLine="420" w:firstLineChars="200"/>
              <w:rPr>
                <w:rFonts w:hint="eastAsia" w:cs="Times New Roman"/>
                <w:szCs w:val="21"/>
              </w:rPr>
            </w:pPr>
            <w:r>
              <w:rPr>
                <w:rFonts w:hint="eastAsia" w:cs="Times New Roman"/>
                <w:szCs w:val="21"/>
              </w:rPr>
              <w:t>⑤避免雨季进行挖填方作业，土石方及时回填，回填后及时夯实覆土，弃方及时清运。</w:t>
            </w:r>
          </w:p>
          <w:p>
            <w:pPr>
              <w:spacing w:line="276" w:lineRule="auto"/>
              <w:ind w:firstLine="420" w:firstLineChars="200"/>
              <w:rPr>
                <w:rFonts w:hint="eastAsia" w:cs="Times New Roman"/>
                <w:szCs w:val="21"/>
              </w:rPr>
            </w:pPr>
            <w:r>
              <w:rPr>
                <w:rFonts w:hint="eastAsia" w:cs="Times New Roman"/>
                <w:szCs w:val="21"/>
              </w:rPr>
              <w:t>⑥施工完成后，做好施工迹地的恢复工作。</w:t>
            </w:r>
          </w:p>
          <w:p>
            <w:pPr>
              <w:spacing w:line="276" w:lineRule="auto"/>
              <w:ind w:firstLine="420" w:firstLineChars="200"/>
              <w:rPr>
                <w:rFonts w:hint="eastAsia" w:cs="Times New Roman"/>
                <w:szCs w:val="21"/>
              </w:rPr>
            </w:pPr>
            <w:r>
              <w:rPr>
                <w:rFonts w:hint="eastAsia" w:cs="Times New Roman"/>
                <w:szCs w:val="21"/>
              </w:rPr>
              <w:t>⑦在施工区周围建排水沟，防止雨水冲刷场地，并在排水沟出口设沉淀池，使雨水经沉淀池沉清后回用，尽力减少施工期水土流失。</w:t>
            </w:r>
          </w:p>
          <w:p>
            <w:pPr>
              <w:spacing w:line="276" w:lineRule="auto"/>
              <w:ind w:firstLine="420" w:firstLineChars="200"/>
              <w:rPr>
                <w:rFonts w:hint="eastAsia" w:cs="Times New Roman"/>
                <w:szCs w:val="21"/>
              </w:rPr>
            </w:pPr>
            <w:r>
              <w:rPr>
                <w:rFonts w:hint="eastAsia" w:cs="Times New Roman"/>
                <w:szCs w:val="21"/>
              </w:rPr>
              <w:t>⑧做好表层土剥离、暂存工作，施工结束后及时进行回铺表土、撒草绿化等，所选草种应具有抗逆性强、保土性好、生长快的特点，最大限度保护和恢复植被。</w:t>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spacing w:line="276" w:lineRule="auto"/>
              <w:ind w:firstLine="420" w:firstLineChars="200"/>
              <w:rPr>
                <w:rFonts w:hint="eastAsia" w:cs="Times New Roman"/>
                <w:color w:val="FF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noWrap w:val="0"/>
            <w:vAlign w:val="center"/>
          </w:tcPr>
          <w:p>
            <w:pPr>
              <w:spacing w:line="276" w:lineRule="auto"/>
              <w:jc w:val="center"/>
              <w:rPr>
                <w:rFonts w:cs="Times New Roman"/>
                <w:szCs w:val="21"/>
              </w:rPr>
            </w:pPr>
            <w:r>
              <w:rPr>
                <w:rFonts w:cs="Times New Roman"/>
                <w:szCs w:val="21"/>
              </w:rPr>
              <w:t>运营</w:t>
            </w:r>
          </w:p>
          <w:p>
            <w:pPr>
              <w:spacing w:line="276" w:lineRule="auto"/>
              <w:jc w:val="center"/>
              <w:rPr>
                <w:rFonts w:cs="Times New Roman"/>
                <w:szCs w:val="21"/>
              </w:rPr>
            </w:pPr>
            <w:r>
              <w:rPr>
                <w:rFonts w:cs="Times New Roman"/>
                <w:szCs w:val="21"/>
              </w:rPr>
              <w:t>期环</w:t>
            </w:r>
          </w:p>
          <w:p>
            <w:pPr>
              <w:spacing w:line="276" w:lineRule="auto"/>
              <w:jc w:val="center"/>
              <w:rPr>
                <w:rFonts w:cs="Times New Roman"/>
                <w:szCs w:val="21"/>
              </w:rPr>
            </w:pPr>
            <w:r>
              <w:rPr>
                <w:rFonts w:cs="Times New Roman"/>
                <w:szCs w:val="21"/>
              </w:rPr>
              <w:t>境影</w:t>
            </w:r>
          </w:p>
          <w:p>
            <w:pPr>
              <w:spacing w:line="276" w:lineRule="auto"/>
              <w:jc w:val="center"/>
              <w:rPr>
                <w:rFonts w:cs="Times New Roman"/>
                <w:szCs w:val="21"/>
              </w:rPr>
            </w:pPr>
            <w:r>
              <w:rPr>
                <w:rFonts w:cs="Times New Roman"/>
                <w:szCs w:val="21"/>
              </w:rPr>
              <w:t>响和</w:t>
            </w:r>
          </w:p>
          <w:p>
            <w:pPr>
              <w:spacing w:line="276" w:lineRule="auto"/>
              <w:jc w:val="center"/>
              <w:rPr>
                <w:rFonts w:cs="Times New Roman"/>
                <w:szCs w:val="21"/>
              </w:rPr>
            </w:pPr>
            <w:r>
              <w:rPr>
                <w:rFonts w:cs="Times New Roman"/>
                <w:szCs w:val="21"/>
              </w:rPr>
              <w:t>保护</w:t>
            </w:r>
          </w:p>
          <w:p>
            <w:pPr>
              <w:spacing w:line="276" w:lineRule="auto"/>
              <w:jc w:val="center"/>
              <w:rPr>
                <w:rFonts w:cs="Times New Roman"/>
                <w:szCs w:val="21"/>
              </w:rPr>
            </w:pPr>
            <w:r>
              <w:rPr>
                <w:rFonts w:cs="Times New Roman"/>
                <w:szCs w:val="21"/>
              </w:rPr>
              <w:t>措施</w:t>
            </w:r>
          </w:p>
        </w:tc>
        <w:tc>
          <w:tcPr>
            <w:tcW w:w="8645" w:type="dxa"/>
            <w:noWrap w:val="0"/>
            <w:vAlign w:val="center"/>
          </w:tcPr>
          <w:p>
            <w:pPr>
              <w:spacing w:line="276" w:lineRule="auto"/>
              <w:ind w:firstLine="422" w:firstLineChars="200"/>
              <w:rPr>
                <w:rFonts w:cs="Times New Roman"/>
                <w:b/>
                <w:szCs w:val="21"/>
              </w:rPr>
            </w:pPr>
            <w:r>
              <w:rPr>
                <w:rFonts w:cs="Times New Roman"/>
                <w:b/>
                <w:szCs w:val="21"/>
              </w:rPr>
              <w:t>1、废气</w:t>
            </w:r>
          </w:p>
          <w:p>
            <w:pPr>
              <w:spacing w:line="276" w:lineRule="auto"/>
              <w:ind w:firstLine="420" w:firstLineChars="200"/>
              <w:rPr>
                <w:rFonts w:cs="Times New Roman"/>
                <w:szCs w:val="21"/>
              </w:rPr>
            </w:pPr>
            <w:r>
              <w:rPr>
                <w:rFonts w:hint="eastAsia" w:cs="Times New Roman"/>
                <w:szCs w:val="21"/>
              </w:rPr>
              <w:t>本项目营运期废气主要为食堂油烟、柴油发电机废气</w:t>
            </w:r>
          </w:p>
          <w:p>
            <w:pPr>
              <w:spacing w:line="276" w:lineRule="auto"/>
              <w:ind w:firstLine="422" w:firstLineChars="200"/>
              <w:rPr>
                <w:rFonts w:cs="Times New Roman"/>
                <w:b/>
                <w:szCs w:val="21"/>
              </w:rPr>
            </w:pPr>
            <w:r>
              <w:rPr>
                <w:rFonts w:cs="Times New Roman"/>
                <w:b/>
                <w:szCs w:val="21"/>
              </w:rPr>
              <w:t>（1）产排污环节、污染物种类、产生量核算</w:t>
            </w:r>
          </w:p>
          <w:p>
            <w:pPr>
              <w:spacing w:line="276" w:lineRule="auto"/>
              <w:ind w:firstLine="422" w:firstLineChars="200"/>
              <w:rPr>
                <w:rFonts w:cs="Times New Roman"/>
                <w:bCs/>
                <w:szCs w:val="21"/>
              </w:rPr>
            </w:pPr>
            <w:r>
              <w:rPr>
                <w:rFonts w:hint="eastAsia" w:cs="Times New Roman"/>
                <w:b/>
                <w:bCs/>
                <w:szCs w:val="21"/>
              </w:rPr>
              <w:t>①食堂油烟</w:t>
            </w:r>
          </w:p>
          <w:p>
            <w:pPr>
              <w:spacing w:line="276" w:lineRule="auto"/>
              <w:ind w:firstLine="420" w:firstLineChars="200"/>
              <w:rPr>
                <w:rFonts w:hint="eastAsia" w:cs="Times New Roman"/>
                <w:color w:val="FF00FF"/>
                <w:szCs w:val="21"/>
              </w:rPr>
            </w:pPr>
            <w:r>
              <w:rPr>
                <w:rFonts w:cs="Times New Roman"/>
                <w:bCs/>
                <w:szCs w:val="21"/>
              </w:rPr>
              <w:t>项目提供员工食堂供工作人员就餐，项目食堂就餐人数为</w:t>
            </w:r>
            <w:r>
              <w:rPr>
                <w:rFonts w:hint="eastAsia" w:cs="Times New Roman"/>
                <w:bCs/>
                <w:szCs w:val="21"/>
              </w:rPr>
              <w:t>4</w:t>
            </w:r>
            <w:r>
              <w:rPr>
                <w:rFonts w:cs="Times New Roman"/>
                <w:bCs/>
                <w:szCs w:val="21"/>
              </w:rPr>
              <w:t>0人，食物在烹饪、加工过程中将挥发出油脂、有机质及热分解或裂解产物，从而产生油烟废气。油烟废气成分复杂，包括有醛、酮、烃、脂肪酸、醇、芳香化合物、脂、内脂和杂环化合物等300多种化学物质，对人体危害较大。人均食用油日用量约30g/人·d，一般油烟挥发量占总耗油量的2~4%，平均为2.83%，则本项目食堂油烟产生量为</w:t>
            </w:r>
            <w:r>
              <w:rPr>
                <w:rFonts w:hint="eastAsia" w:cs="Times New Roman"/>
                <w:bCs/>
                <w:szCs w:val="21"/>
              </w:rPr>
              <w:t>0.034</w:t>
            </w:r>
            <w:r>
              <w:rPr>
                <w:rFonts w:cs="Times New Roman"/>
                <w:bCs/>
                <w:szCs w:val="21"/>
              </w:rPr>
              <w:t>kg/d，</w:t>
            </w:r>
            <w:r>
              <w:rPr>
                <w:rFonts w:hint="eastAsia" w:cs="Times New Roman"/>
                <w:bCs/>
                <w:szCs w:val="21"/>
              </w:rPr>
              <w:t>0.012</w:t>
            </w:r>
            <w:r>
              <w:rPr>
                <w:rFonts w:cs="Times New Roman"/>
                <w:bCs/>
                <w:szCs w:val="21"/>
              </w:rPr>
              <w:t>t/a</w:t>
            </w:r>
            <w:r>
              <w:rPr>
                <w:rFonts w:hint="eastAsia" w:cs="Times New Roman"/>
                <w:bCs/>
                <w:szCs w:val="21"/>
              </w:rPr>
              <w:t>（以365d计）</w:t>
            </w:r>
            <w:r>
              <w:rPr>
                <w:rFonts w:cs="Times New Roman"/>
                <w:bCs/>
                <w:szCs w:val="21"/>
              </w:rPr>
              <w:t>。</w:t>
            </w:r>
          </w:p>
          <w:p>
            <w:pPr>
              <w:spacing w:line="276" w:lineRule="auto"/>
              <w:ind w:firstLine="422" w:firstLineChars="200"/>
              <w:rPr>
                <w:rFonts w:cs="Times New Roman"/>
                <w:b/>
                <w:bCs/>
                <w:szCs w:val="21"/>
              </w:rPr>
            </w:pPr>
            <w:r>
              <w:rPr>
                <w:rFonts w:hint="eastAsia" w:cs="Times New Roman"/>
                <w:b/>
                <w:bCs/>
                <w:szCs w:val="21"/>
              </w:rPr>
              <w:t>②柴油发电机废气</w:t>
            </w:r>
          </w:p>
          <w:p>
            <w:pPr>
              <w:spacing w:line="276" w:lineRule="auto"/>
              <w:ind w:firstLine="420" w:firstLineChars="200"/>
              <w:rPr>
                <w:rFonts w:cs="Times New Roman"/>
                <w:szCs w:val="21"/>
              </w:rPr>
            </w:pPr>
            <w:r>
              <w:rPr>
                <w:rFonts w:cs="Times New Roman"/>
                <w:bCs/>
                <w:szCs w:val="21"/>
              </w:rPr>
              <w:t>为保证供水，项目设1台400KW的柴油发电机组，以备停电时使用。根据《大气污染工程师手册》，当空气过剩系数为1时，1kg柴油产生的烟气量约为11m</w:t>
            </w:r>
            <w:r>
              <w:rPr>
                <w:rFonts w:cs="Times New Roman"/>
                <w:bCs/>
                <w:szCs w:val="21"/>
                <w:vertAlign w:val="superscript"/>
              </w:rPr>
              <w:t>3</w:t>
            </w:r>
            <w:r>
              <w:rPr>
                <w:rFonts w:cs="Times New Roman"/>
                <w:bCs/>
                <w:szCs w:val="21"/>
              </w:rPr>
              <w:t>。一般柴油发电机空气过剩系数为1.8，则发电机每燃烧1kg柴油产生的烟气量为11×1.8≈20m</w:t>
            </w:r>
            <w:r>
              <w:rPr>
                <w:rFonts w:cs="Times New Roman"/>
                <w:bCs/>
                <w:szCs w:val="21"/>
                <w:vertAlign w:val="superscript"/>
              </w:rPr>
              <w:t>3</w:t>
            </w:r>
            <w:r>
              <w:rPr>
                <w:rFonts w:cs="Times New Roman"/>
                <w:bCs/>
                <w:szCs w:val="21"/>
              </w:rPr>
              <w:t>。柴油发电机组采用含硫量小于0.01%的柴油作燃料，按单位耗油量212.5g/kw·h计，则单台柴油发电机的耗油量为63.75kg/h，烟气量约为1275m</w:t>
            </w:r>
            <w:r>
              <w:rPr>
                <w:rFonts w:cs="Times New Roman"/>
                <w:bCs/>
                <w:szCs w:val="21"/>
                <w:vertAlign w:val="superscript"/>
              </w:rPr>
              <w:t>3</w:t>
            </w:r>
            <w:r>
              <w:rPr>
                <w:rFonts w:cs="Times New Roman"/>
                <w:bCs/>
                <w:szCs w:val="21"/>
              </w:rPr>
              <w:t>/h。由于达州市供电充足，柴油发电机使用频率很低，每月使用时间远远小于8h，按最大概率每月发电1次、每次运行8h计，则单台柴油发电机组每年耗油总量为6.12t（相当于7330L）。根据环境影响评价工程师职业资格登记培训教材《社会区域类环境影响评价》（中国环境科学出版社）中P192中给出的产污系数：发电机运行污染物排放系数为：SO</w:t>
            </w:r>
            <w:r>
              <w:rPr>
                <w:rFonts w:cs="Times New Roman"/>
                <w:bCs/>
                <w:szCs w:val="21"/>
                <w:vertAlign w:val="subscript"/>
              </w:rPr>
              <w:t>2</w:t>
            </w:r>
            <w:r>
              <w:rPr>
                <w:rFonts w:cs="Times New Roman"/>
                <w:bCs/>
                <w:szCs w:val="21"/>
              </w:rPr>
              <w:t xml:space="preserve"> 4g/L，烟尘0.714g/L，NO</w:t>
            </w:r>
            <w:r>
              <w:rPr>
                <w:rFonts w:cs="Times New Roman"/>
                <w:bCs/>
                <w:szCs w:val="21"/>
                <w:vertAlign w:val="subscript"/>
              </w:rPr>
              <w:t>x</w:t>
            </w:r>
            <w:r>
              <w:rPr>
                <w:rFonts w:cs="Times New Roman"/>
                <w:bCs/>
                <w:szCs w:val="21"/>
              </w:rPr>
              <w:t>2.88 g/L，则污染物产生量分别为SO</w:t>
            </w:r>
            <w:r>
              <w:rPr>
                <w:rFonts w:cs="Times New Roman"/>
                <w:bCs/>
                <w:szCs w:val="21"/>
                <w:vertAlign w:val="subscript"/>
              </w:rPr>
              <w:t xml:space="preserve">2 </w:t>
            </w:r>
            <w:r>
              <w:rPr>
                <w:rFonts w:cs="Times New Roman"/>
                <w:bCs/>
                <w:szCs w:val="21"/>
              </w:rPr>
              <w:t>29.32kg/a，NO</w:t>
            </w:r>
            <w:r>
              <w:rPr>
                <w:rFonts w:cs="Times New Roman"/>
                <w:bCs/>
                <w:szCs w:val="21"/>
                <w:vertAlign w:val="subscript"/>
              </w:rPr>
              <w:t xml:space="preserve">x </w:t>
            </w:r>
            <w:r>
              <w:rPr>
                <w:rFonts w:cs="Times New Roman"/>
                <w:bCs/>
                <w:szCs w:val="21"/>
              </w:rPr>
              <w:t>18.76kg/a，烟尘5.23kg/a。柴油发电机尾气经专用排气筒引至屋顶高空排放，排放速率分别为SO</w:t>
            </w:r>
            <w:r>
              <w:rPr>
                <w:rFonts w:cs="Times New Roman"/>
                <w:bCs/>
                <w:szCs w:val="21"/>
                <w:vertAlign w:val="subscript"/>
              </w:rPr>
              <w:t xml:space="preserve">2 </w:t>
            </w:r>
            <w:r>
              <w:rPr>
                <w:rFonts w:cs="Times New Roman"/>
                <w:bCs/>
                <w:szCs w:val="21"/>
              </w:rPr>
              <w:t>0.305kg/h，NO</w:t>
            </w:r>
            <w:r>
              <w:rPr>
                <w:rFonts w:cs="Times New Roman"/>
                <w:bCs/>
                <w:szCs w:val="21"/>
                <w:vertAlign w:val="subscript"/>
              </w:rPr>
              <w:t xml:space="preserve">x </w:t>
            </w:r>
            <w:r>
              <w:rPr>
                <w:rFonts w:cs="Times New Roman"/>
                <w:bCs/>
                <w:szCs w:val="21"/>
              </w:rPr>
              <w:t>0.196kg/h，烟尘0.545kg/h，排放浓度SO</w:t>
            </w:r>
            <w:r>
              <w:rPr>
                <w:rFonts w:cs="Times New Roman"/>
                <w:bCs/>
                <w:szCs w:val="21"/>
                <w:vertAlign w:val="subscript"/>
              </w:rPr>
              <w:t>2</w:t>
            </w:r>
            <w:r>
              <w:rPr>
                <w:rFonts w:cs="Times New Roman"/>
                <w:bCs/>
                <w:szCs w:val="21"/>
              </w:rPr>
              <w:t>为119.7mg/m</w:t>
            </w:r>
            <w:r>
              <w:rPr>
                <w:rFonts w:cs="Times New Roman"/>
                <w:bCs/>
                <w:szCs w:val="21"/>
                <w:vertAlign w:val="superscript"/>
              </w:rPr>
              <w:t>3</w:t>
            </w:r>
            <w:r>
              <w:rPr>
                <w:rFonts w:cs="Times New Roman"/>
                <w:bCs/>
                <w:szCs w:val="21"/>
              </w:rPr>
              <w:t>、NO</w:t>
            </w:r>
            <w:r>
              <w:rPr>
                <w:rFonts w:cs="Times New Roman"/>
                <w:bCs/>
                <w:szCs w:val="21"/>
                <w:vertAlign w:val="subscript"/>
              </w:rPr>
              <w:t>x</w:t>
            </w:r>
            <w:r>
              <w:rPr>
                <w:rFonts w:cs="Times New Roman"/>
                <w:bCs/>
                <w:szCs w:val="21"/>
              </w:rPr>
              <w:t>为76.7mg/m</w:t>
            </w:r>
            <w:r>
              <w:rPr>
                <w:rFonts w:cs="Times New Roman"/>
                <w:bCs/>
                <w:szCs w:val="21"/>
                <w:vertAlign w:val="superscript"/>
              </w:rPr>
              <w:t>3</w:t>
            </w:r>
            <w:r>
              <w:rPr>
                <w:rFonts w:cs="Times New Roman"/>
                <w:bCs/>
                <w:szCs w:val="21"/>
              </w:rPr>
              <w:t>、烟尘为21.4mg/m</w:t>
            </w:r>
            <w:r>
              <w:rPr>
                <w:rFonts w:cs="Times New Roman"/>
                <w:bCs/>
                <w:szCs w:val="21"/>
                <w:vertAlign w:val="superscript"/>
              </w:rPr>
              <w:t>3</w:t>
            </w:r>
            <w:r>
              <w:rPr>
                <w:rFonts w:cs="Times New Roman"/>
                <w:bCs/>
                <w:szCs w:val="21"/>
              </w:rPr>
              <w:t>，污染物排放浓度和速率均</w:t>
            </w:r>
            <w:r>
              <w:rPr>
                <w:rFonts w:cs="Times New Roman"/>
                <w:szCs w:val="21"/>
              </w:rPr>
              <w:t>低于《大气污染物综合排放标准》(GB16297-1996)中新污染源大气污染物排放限值，即SO</w:t>
            </w:r>
            <w:r>
              <w:rPr>
                <w:rFonts w:cs="Times New Roman"/>
                <w:szCs w:val="21"/>
                <w:vertAlign w:val="subscript"/>
              </w:rPr>
              <w:t>2</w:t>
            </w:r>
            <w:r>
              <w:rPr>
                <w:rFonts w:cs="Times New Roman"/>
                <w:szCs w:val="21"/>
              </w:rPr>
              <w:t>≤550mg/m</w:t>
            </w:r>
            <w:r>
              <w:rPr>
                <w:rFonts w:cs="Times New Roman"/>
                <w:szCs w:val="21"/>
                <w:vertAlign w:val="superscript"/>
              </w:rPr>
              <w:t>3</w:t>
            </w:r>
            <w:r>
              <w:rPr>
                <w:rFonts w:cs="Times New Roman"/>
                <w:szCs w:val="21"/>
              </w:rPr>
              <w:t>（排放速率≤2.6kg/h）、NO</w:t>
            </w:r>
            <w:r>
              <w:rPr>
                <w:rFonts w:cs="Times New Roman"/>
                <w:szCs w:val="21"/>
                <w:vertAlign w:val="subscript"/>
              </w:rPr>
              <w:t>X</w:t>
            </w:r>
            <w:r>
              <w:rPr>
                <w:rFonts w:cs="Times New Roman"/>
                <w:szCs w:val="21"/>
              </w:rPr>
              <w:t>≤240mg/m</w:t>
            </w:r>
            <w:r>
              <w:rPr>
                <w:rFonts w:cs="Times New Roman"/>
                <w:szCs w:val="21"/>
                <w:vertAlign w:val="superscript"/>
              </w:rPr>
              <w:t>3</w:t>
            </w:r>
            <w:r>
              <w:rPr>
                <w:rFonts w:cs="Times New Roman"/>
                <w:szCs w:val="21"/>
              </w:rPr>
              <w:t>（排放速率≤0.77kg/h）、烟尘≤120mg/m</w:t>
            </w:r>
            <w:r>
              <w:rPr>
                <w:rFonts w:cs="Times New Roman"/>
                <w:szCs w:val="21"/>
                <w:vertAlign w:val="superscript"/>
              </w:rPr>
              <w:t>3</w:t>
            </w:r>
            <w:r>
              <w:rPr>
                <w:rFonts w:cs="Times New Roman"/>
                <w:szCs w:val="21"/>
              </w:rPr>
              <w:t>（排放速率≤3.5kg/h）。项目柴油发电机满足达标排放要求，对周围环境影响很小。</w:t>
            </w:r>
          </w:p>
          <w:p>
            <w:pPr>
              <w:spacing w:line="276" w:lineRule="auto"/>
              <w:ind w:firstLine="422" w:firstLineChars="200"/>
              <w:rPr>
                <w:rFonts w:cs="Times New Roman"/>
                <w:b/>
                <w:szCs w:val="21"/>
              </w:rPr>
            </w:pPr>
            <w:r>
              <w:rPr>
                <w:rFonts w:cs="Times New Roman"/>
                <w:b/>
                <w:szCs w:val="21"/>
              </w:rPr>
              <w:t>（2）治理设施、排放形式、排放口基本信息</w:t>
            </w:r>
          </w:p>
          <w:p>
            <w:pPr>
              <w:spacing w:line="276" w:lineRule="auto"/>
              <w:ind w:firstLine="422" w:firstLineChars="200"/>
              <w:rPr>
                <w:rFonts w:hint="eastAsia" w:cs="Times New Roman"/>
                <w:b/>
                <w:bCs/>
                <w:szCs w:val="21"/>
              </w:rPr>
            </w:pPr>
            <w:r>
              <w:rPr>
                <w:rFonts w:hint="eastAsia" w:cs="Times New Roman"/>
                <w:b/>
                <w:bCs/>
                <w:szCs w:val="21"/>
              </w:rPr>
              <w:t>①食堂油烟</w:t>
            </w:r>
          </w:p>
          <w:p>
            <w:pPr>
              <w:spacing w:line="276" w:lineRule="auto"/>
              <w:ind w:firstLine="420" w:firstLineChars="200"/>
              <w:rPr>
                <w:rFonts w:cs="Times New Roman"/>
                <w:szCs w:val="21"/>
              </w:rPr>
            </w:pPr>
            <w:r>
              <w:rPr>
                <w:rFonts w:cs="Times New Roman"/>
                <w:bCs/>
                <w:szCs w:val="21"/>
              </w:rPr>
              <w:t>环评要求食堂安装1台油烟净化器（净化效率85%，风量为</w:t>
            </w:r>
            <w:r>
              <w:rPr>
                <w:rFonts w:hint="eastAsia" w:cs="Times New Roman"/>
                <w:bCs/>
                <w:szCs w:val="21"/>
              </w:rPr>
              <w:t>20</w:t>
            </w:r>
            <w:r>
              <w:rPr>
                <w:rFonts w:cs="Times New Roman"/>
                <w:bCs/>
                <w:szCs w:val="21"/>
              </w:rPr>
              <w:t>00m</w:t>
            </w:r>
            <w:r>
              <w:rPr>
                <w:rFonts w:cs="Times New Roman"/>
                <w:bCs/>
                <w:szCs w:val="21"/>
                <w:vertAlign w:val="superscript"/>
              </w:rPr>
              <w:t>3</w:t>
            </w:r>
            <w:r>
              <w:rPr>
                <w:rFonts w:cs="Times New Roman"/>
                <w:bCs/>
                <w:szCs w:val="21"/>
              </w:rPr>
              <w:t>/h），食堂油烟经处理后通过油烟管道引至楼顶排放</w:t>
            </w:r>
            <w:r>
              <w:rPr>
                <w:rFonts w:hint="eastAsia" w:cs="Times New Roman"/>
                <w:bCs/>
                <w:szCs w:val="21"/>
              </w:rPr>
              <w:t>（DA001）</w:t>
            </w:r>
            <w:r>
              <w:rPr>
                <w:rFonts w:cs="Times New Roman"/>
                <w:bCs/>
                <w:szCs w:val="21"/>
              </w:rPr>
              <w:t>。</w:t>
            </w:r>
          </w:p>
          <w:p>
            <w:pPr>
              <w:spacing w:line="276" w:lineRule="auto"/>
              <w:ind w:firstLine="420" w:firstLineChars="200"/>
              <w:rPr>
                <w:rFonts w:hint="eastAsia" w:cs="Times New Roman"/>
                <w:szCs w:val="21"/>
              </w:rPr>
            </w:pPr>
            <w:r>
              <w:rPr>
                <w:rFonts w:cs="Times New Roman"/>
                <w:szCs w:val="21"/>
              </w:rPr>
              <w:t>食堂油烟经上述治理措施后，食堂油烟排放量为</w:t>
            </w:r>
            <w:r>
              <w:rPr>
                <w:rFonts w:hint="eastAsia" w:cs="Times New Roman"/>
                <w:szCs w:val="21"/>
              </w:rPr>
              <w:t>0.0018</w:t>
            </w:r>
            <w:r>
              <w:rPr>
                <w:rFonts w:cs="Times New Roman"/>
                <w:szCs w:val="21"/>
              </w:rPr>
              <w:t>t/a，排放速率为</w:t>
            </w:r>
            <w:r>
              <w:rPr>
                <w:rFonts w:hint="eastAsia" w:cs="Times New Roman"/>
                <w:szCs w:val="21"/>
              </w:rPr>
              <w:t>0.0012</w:t>
            </w:r>
            <w:r>
              <w:rPr>
                <w:rFonts w:cs="Times New Roman"/>
                <w:szCs w:val="21"/>
              </w:rPr>
              <w:t>kg/h（</w:t>
            </w:r>
            <w:r>
              <w:rPr>
                <w:rFonts w:hint="eastAsia" w:cs="Times New Roman"/>
                <w:szCs w:val="21"/>
              </w:rPr>
              <w:t>365</w:t>
            </w:r>
            <w:r>
              <w:rPr>
                <w:rFonts w:cs="Times New Roman"/>
                <w:szCs w:val="21"/>
              </w:rPr>
              <w:t>d，</w:t>
            </w:r>
            <w:r>
              <w:rPr>
                <w:rFonts w:hint="eastAsia" w:cs="Times New Roman"/>
                <w:szCs w:val="21"/>
              </w:rPr>
              <w:t>4</w:t>
            </w:r>
            <w:r>
              <w:rPr>
                <w:rFonts w:cs="Times New Roman"/>
                <w:szCs w:val="21"/>
              </w:rPr>
              <w:t>h），排放浓度为</w:t>
            </w:r>
            <w:r>
              <w:rPr>
                <w:rFonts w:hint="eastAsia" w:cs="Times New Roman"/>
                <w:szCs w:val="21"/>
              </w:rPr>
              <w:t>0.3</w:t>
            </w:r>
            <w:r>
              <w:rPr>
                <w:rFonts w:cs="Times New Roman"/>
                <w:szCs w:val="21"/>
              </w:rPr>
              <w:t>mg/m</w:t>
            </w:r>
            <w:r>
              <w:rPr>
                <w:rFonts w:cs="Times New Roman"/>
                <w:szCs w:val="21"/>
                <w:vertAlign w:val="superscript"/>
              </w:rPr>
              <w:t>3</w:t>
            </w:r>
            <w:r>
              <w:rPr>
                <w:rFonts w:cs="Times New Roman"/>
                <w:szCs w:val="21"/>
              </w:rPr>
              <w:t>。因此，</w:t>
            </w:r>
            <w:r>
              <w:rPr>
                <w:rFonts w:cs="Times New Roman"/>
                <w:bCs/>
                <w:szCs w:val="21"/>
              </w:rPr>
              <w:t>本项目</w:t>
            </w:r>
            <w:r>
              <w:rPr>
                <w:rFonts w:cs="Times New Roman"/>
                <w:szCs w:val="21"/>
              </w:rPr>
              <w:t>食堂油烟经处理后排放浓度能满足《饮食业油烟排放标准（试行）》（GB18483-2001）中相关标准（2.0mg/m</w:t>
            </w:r>
            <w:r>
              <w:rPr>
                <w:rFonts w:cs="Times New Roman"/>
                <w:szCs w:val="21"/>
                <w:vertAlign w:val="superscript"/>
              </w:rPr>
              <w:t>3</w:t>
            </w:r>
            <w:r>
              <w:rPr>
                <w:rFonts w:cs="Times New Roman"/>
                <w:szCs w:val="21"/>
              </w:rPr>
              <w:t>），可以实现达标排放。</w:t>
            </w:r>
          </w:p>
          <w:p>
            <w:pPr>
              <w:spacing w:line="276" w:lineRule="auto"/>
              <w:ind w:firstLine="422" w:firstLineChars="200"/>
              <w:rPr>
                <w:rFonts w:cs="Times New Roman"/>
                <w:b/>
                <w:bCs/>
                <w:szCs w:val="21"/>
              </w:rPr>
            </w:pPr>
            <w:r>
              <w:rPr>
                <w:rFonts w:hint="eastAsia" w:cs="Times New Roman"/>
                <w:b/>
                <w:bCs/>
                <w:szCs w:val="21"/>
              </w:rPr>
              <w:t>②柴油发电机废气</w:t>
            </w:r>
          </w:p>
          <w:p>
            <w:pPr>
              <w:spacing w:line="276" w:lineRule="auto"/>
              <w:ind w:firstLine="420" w:firstLineChars="200"/>
              <w:rPr>
                <w:rFonts w:hint="eastAsia" w:cs="Times New Roman"/>
                <w:szCs w:val="21"/>
              </w:rPr>
            </w:pPr>
            <w:r>
              <w:rPr>
                <w:rFonts w:cs="Times New Roman"/>
                <w:bCs/>
                <w:szCs w:val="21"/>
              </w:rPr>
              <w:t>由于达州市供电充足，柴油发电机使用频率很低，</w:t>
            </w:r>
            <w:r>
              <w:rPr>
                <w:rFonts w:hint="eastAsia" w:cs="Times New Roman"/>
                <w:bCs/>
                <w:szCs w:val="21"/>
              </w:rPr>
              <w:t>柴油发电机出厂已自带消烟除尘净化装置，经净化处理后</w:t>
            </w:r>
            <w:r>
              <w:rPr>
                <w:rFonts w:cs="Times New Roman"/>
                <w:bCs/>
                <w:szCs w:val="21"/>
              </w:rPr>
              <w:t>尾气经专用排气筒引至屋顶高空排放</w:t>
            </w:r>
            <w:r>
              <w:rPr>
                <w:rFonts w:hint="eastAsia" w:cs="Times New Roman"/>
                <w:bCs/>
                <w:szCs w:val="21"/>
              </w:rPr>
              <w:t>（DA002）</w:t>
            </w:r>
            <w:r>
              <w:rPr>
                <w:rFonts w:cs="Times New Roman"/>
                <w:bCs/>
                <w:szCs w:val="21"/>
              </w:rPr>
              <w:t>，污染物排放浓度和速率均</w:t>
            </w:r>
            <w:r>
              <w:rPr>
                <w:rFonts w:cs="Times New Roman"/>
                <w:szCs w:val="21"/>
              </w:rPr>
              <w:t>低于《大气污染物综合排放标准》(GB16297-1996)</w:t>
            </w:r>
            <w:r>
              <w:rPr>
                <w:rFonts w:hint="eastAsia" w:cs="Times New Roman"/>
                <w:szCs w:val="21"/>
              </w:rPr>
              <w:t>的</w:t>
            </w:r>
            <w:r>
              <w:rPr>
                <w:rFonts w:cs="Times New Roman"/>
                <w:szCs w:val="21"/>
              </w:rPr>
              <w:t>要求，对周围环境影响很小。</w:t>
            </w:r>
          </w:p>
          <w:p>
            <w:pPr>
              <w:pStyle w:val="2"/>
              <w:rPr>
                <w:rFonts w:hint="eastAsia"/>
              </w:rPr>
            </w:pPr>
          </w:p>
          <w:p>
            <w:pPr>
              <w:rPr>
                <w:rFonts w:hint="eastAsia"/>
              </w:rPr>
            </w:pPr>
          </w:p>
          <w:p>
            <w:pPr>
              <w:pStyle w:val="2"/>
              <w:rPr>
                <w:rFonts w:hint="eastAsia"/>
              </w:rPr>
            </w:pPr>
          </w:p>
          <w:p>
            <w:pPr>
              <w:rPr>
                <w:rFonts w:hint="eastAsia"/>
              </w:rPr>
            </w:pPr>
          </w:p>
          <w:p>
            <w:pPr>
              <w:spacing w:line="276" w:lineRule="auto"/>
              <w:jc w:val="center"/>
              <w:rPr>
                <w:rFonts w:cs="Times New Roman"/>
                <w:b/>
                <w:szCs w:val="21"/>
              </w:rPr>
            </w:pPr>
            <w:r>
              <w:rPr>
                <w:rFonts w:cs="Times New Roman"/>
                <w:b/>
                <w:szCs w:val="21"/>
              </w:rPr>
              <w:t>表4-</w:t>
            </w:r>
            <w:r>
              <w:rPr>
                <w:rFonts w:hint="eastAsia" w:cs="Times New Roman"/>
                <w:b/>
                <w:szCs w:val="21"/>
              </w:rPr>
              <w:t>2</w:t>
            </w:r>
            <w:r>
              <w:rPr>
                <w:rFonts w:cs="Times New Roman"/>
                <w:b/>
                <w:szCs w:val="21"/>
              </w:rPr>
              <w:t xml:space="preserve"> </w:t>
            </w:r>
            <w:r>
              <w:rPr>
                <w:rFonts w:hint="eastAsia" w:cs="Times New Roman"/>
                <w:b/>
                <w:szCs w:val="21"/>
              </w:rPr>
              <w:t>项目</w:t>
            </w:r>
            <w:r>
              <w:rPr>
                <w:rFonts w:cs="Times New Roman"/>
                <w:b/>
                <w:szCs w:val="21"/>
              </w:rPr>
              <w:t>废气污染物排放信息表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14"/>
              <w:gridCol w:w="820"/>
              <w:gridCol w:w="886"/>
              <w:gridCol w:w="886"/>
              <w:gridCol w:w="1589"/>
              <w:gridCol w:w="1097"/>
              <w:gridCol w:w="800"/>
              <w:gridCol w:w="753"/>
              <w:gridCol w:w="8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24" w:type="pct"/>
                  <w:vMerge w:val="restart"/>
                  <w:noWrap w:val="0"/>
                  <w:vAlign w:val="center"/>
                </w:tcPr>
                <w:p>
                  <w:pPr>
                    <w:jc w:val="center"/>
                    <w:rPr>
                      <w:rFonts w:cs="Times New Roman"/>
                      <w:b/>
                      <w:bCs/>
                      <w:szCs w:val="21"/>
                    </w:rPr>
                  </w:pPr>
                  <w:r>
                    <w:rPr>
                      <w:rFonts w:cs="Times New Roman"/>
                      <w:b/>
                      <w:bCs/>
                      <w:szCs w:val="21"/>
                    </w:rPr>
                    <w:t>废气类型</w:t>
                  </w:r>
                </w:p>
              </w:tc>
              <w:tc>
                <w:tcPr>
                  <w:tcW w:w="487" w:type="pct"/>
                  <w:vMerge w:val="restart"/>
                  <w:noWrap w:val="0"/>
                  <w:vAlign w:val="center"/>
                </w:tcPr>
                <w:p>
                  <w:pPr>
                    <w:jc w:val="center"/>
                    <w:rPr>
                      <w:rFonts w:cs="Times New Roman"/>
                      <w:b/>
                      <w:bCs/>
                      <w:szCs w:val="21"/>
                    </w:rPr>
                  </w:pPr>
                  <w:r>
                    <w:rPr>
                      <w:rFonts w:cs="Times New Roman"/>
                      <w:b/>
                      <w:bCs/>
                      <w:szCs w:val="21"/>
                    </w:rPr>
                    <w:t>污染物种类</w:t>
                  </w:r>
                </w:p>
              </w:tc>
              <w:tc>
                <w:tcPr>
                  <w:tcW w:w="526" w:type="pct"/>
                  <w:vMerge w:val="restart"/>
                  <w:noWrap w:val="0"/>
                  <w:vAlign w:val="center"/>
                </w:tcPr>
                <w:p>
                  <w:pPr>
                    <w:jc w:val="center"/>
                    <w:rPr>
                      <w:rFonts w:cs="Times New Roman"/>
                      <w:b/>
                      <w:bCs/>
                      <w:szCs w:val="21"/>
                    </w:rPr>
                  </w:pPr>
                  <w:r>
                    <w:rPr>
                      <w:rFonts w:hint="eastAsia" w:cs="Times New Roman"/>
                      <w:b/>
                      <w:bCs/>
                      <w:szCs w:val="21"/>
                    </w:rPr>
                    <w:t>产生量（t/a）</w:t>
                  </w:r>
                </w:p>
              </w:tc>
              <w:tc>
                <w:tcPr>
                  <w:tcW w:w="526" w:type="pct"/>
                  <w:vMerge w:val="restart"/>
                  <w:noWrap w:val="0"/>
                  <w:vAlign w:val="center"/>
                </w:tcPr>
                <w:p>
                  <w:pPr>
                    <w:jc w:val="center"/>
                    <w:rPr>
                      <w:rFonts w:hint="eastAsia" w:cs="Times New Roman"/>
                      <w:b/>
                      <w:bCs/>
                      <w:szCs w:val="21"/>
                    </w:rPr>
                  </w:pPr>
                  <w:r>
                    <w:rPr>
                      <w:rFonts w:cs="Times New Roman"/>
                      <w:b/>
                      <w:bCs/>
                      <w:szCs w:val="21"/>
                    </w:rPr>
                    <w:t>排放</w:t>
                  </w:r>
                </w:p>
                <w:p>
                  <w:pPr>
                    <w:jc w:val="center"/>
                    <w:rPr>
                      <w:rFonts w:cs="Times New Roman"/>
                      <w:b/>
                      <w:bCs/>
                      <w:szCs w:val="21"/>
                    </w:rPr>
                  </w:pPr>
                  <w:r>
                    <w:rPr>
                      <w:rFonts w:cs="Times New Roman"/>
                      <w:b/>
                      <w:bCs/>
                      <w:szCs w:val="21"/>
                    </w:rPr>
                    <w:t>形式</w:t>
                  </w:r>
                </w:p>
              </w:tc>
              <w:tc>
                <w:tcPr>
                  <w:tcW w:w="2516" w:type="pct"/>
                  <w:gridSpan w:val="4"/>
                  <w:noWrap w:val="0"/>
                  <w:vAlign w:val="center"/>
                </w:tcPr>
                <w:p>
                  <w:pPr>
                    <w:jc w:val="center"/>
                    <w:rPr>
                      <w:rFonts w:cs="Times New Roman"/>
                      <w:b/>
                      <w:bCs/>
                      <w:szCs w:val="21"/>
                    </w:rPr>
                  </w:pPr>
                  <w:r>
                    <w:rPr>
                      <w:rFonts w:cs="Times New Roman"/>
                      <w:b/>
                      <w:bCs/>
                      <w:szCs w:val="21"/>
                    </w:rPr>
                    <w:t>污染物治理设施</w:t>
                  </w:r>
                </w:p>
              </w:tc>
              <w:tc>
                <w:tcPr>
                  <w:tcW w:w="521" w:type="pct"/>
                  <w:vMerge w:val="restart"/>
                  <w:noWrap w:val="0"/>
                  <w:vAlign w:val="center"/>
                </w:tcPr>
                <w:p>
                  <w:pPr>
                    <w:jc w:val="center"/>
                    <w:rPr>
                      <w:rFonts w:cs="Times New Roman"/>
                      <w:b/>
                      <w:bCs/>
                      <w:szCs w:val="21"/>
                    </w:rPr>
                  </w:pPr>
                  <w:r>
                    <w:rPr>
                      <w:rFonts w:hint="eastAsia" w:cs="Times New Roman"/>
                      <w:b/>
                      <w:bCs/>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24" w:type="pct"/>
                  <w:vMerge w:val="continue"/>
                  <w:noWrap w:val="0"/>
                  <w:vAlign w:val="center"/>
                </w:tcPr>
                <w:p>
                  <w:pPr>
                    <w:jc w:val="center"/>
                    <w:rPr>
                      <w:rFonts w:cs="Times New Roman"/>
                      <w:b/>
                      <w:bCs/>
                      <w:szCs w:val="21"/>
                    </w:rPr>
                  </w:pPr>
                </w:p>
              </w:tc>
              <w:tc>
                <w:tcPr>
                  <w:tcW w:w="487" w:type="pct"/>
                  <w:vMerge w:val="continue"/>
                  <w:noWrap w:val="0"/>
                  <w:vAlign w:val="center"/>
                </w:tcPr>
                <w:p>
                  <w:pPr>
                    <w:jc w:val="center"/>
                    <w:rPr>
                      <w:rFonts w:cs="Times New Roman"/>
                      <w:b/>
                      <w:bCs/>
                      <w:szCs w:val="21"/>
                    </w:rPr>
                  </w:pPr>
                </w:p>
              </w:tc>
              <w:tc>
                <w:tcPr>
                  <w:tcW w:w="526" w:type="pct"/>
                  <w:vMerge w:val="continue"/>
                  <w:noWrap w:val="0"/>
                  <w:vAlign w:val="center"/>
                </w:tcPr>
                <w:p>
                  <w:pPr>
                    <w:jc w:val="center"/>
                    <w:rPr>
                      <w:rFonts w:cs="Times New Roman"/>
                      <w:b/>
                      <w:bCs/>
                      <w:szCs w:val="21"/>
                    </w:rPr>
                  </w:pPr>
                </w:p>
              </w:tc>
              <w:tc>
                <w:tcPr>
                  <w:tcW w:w="526" w:type="pct"/>
                  <w:vMerge w:val="continue"/>
                  <w:noWrap w:val="0"/>
                  <w:vAlign w:val="center"/>
                </w:tcPr>
                <w:p>
                  <w:pPr>
                    <w:jc w:val="center"/>
                    <w:rPr>
                      <w:rFonts w:cs="Times New Roman"/>
                      <w:b/>
                      <w:bCs/>
                      <w:szCs w:val="21"/>
                    </w:rPr>
                  </w:pPr>
                </w:p>
              </w:tc>
              <w:tc>
                <w:tcPr>
                  <w:tcW w:w="943" w:type="pct"/>
                  <w:noWrap w:val="0"/>
                  <w:vAlign w:val="center"/>
                </w:tcPr>
                <w:p>
                  <w:pPr>
                    <w:jc w:val="center"/>
                    <w:rPr>
                      <w:rFonts w:cs="Times New Roman"/>
                      <w:b/>
                      <w:bCs/>
                      <w:szCs w:val="21"/>
                    </w:rPr>
                  </w:pPr>
                  <w:r>
                    <w:rPr>
                      <w:rFonts w:cs="Times New Roman"/>
                      <w:b/>
                      <w:bCs/>
                      <w:szCs w:val="21"/>
                    </w:rPr>
                    <w:t>治理设施名称及工艺</w:t>
                  </w:r>
                </w:p>
              </w:tc>
              <w:tc>
                <w:tcPr>
                  <w:tcW w:w="651" w:type="pct"/>
                  <w:noWrap w:val="0"/>
                  <w:vAlign w:val="center"/>
                </w:tcPr>
                <w:p>
                  <w:pPr>
                    <w:jc w:val="center"/>
                    <w:rPr>
                      <w:rFonts w:cs="Times New Roman"/>
                      <w:b/>
                      <w:bCs/>
                      <w:szCs w:val="21"/>
                    </w:rPr>
                  </w:pPr>
                  <w:r>
                    <w:rPr>
                      <w:rFonts w:cs="Times New Roman"/>
                      <w:b/>
                      <w:bCs/>
                      <w:szCs w:val="21"/>
                    </w:rPr>
                    <w:t>收集效率</w:t>
                  </w:r>
                  <w:r>
                    <w:rPr>
                      <w:rFonts w:hint="eastAsia" w:cs="Times New Roman"/>
                      <w:b/>
                      <w:bCs/>
                      <w:szCs w:val="21"/>
                    </w:rPr>
                    <w:t>（%）</w:t>
                  </w:r>
                </w:p>
              </w:tc>
              <w:tc>
                <w:tcPr>
                  <w:tcW w:w="475" w:type="pct"/>
                  <w:noWrap w:val="0"/>
                  <w:vAlign w:val="center"/>
                </w:tcPr>
                <w:p>
                  <w:pPr>
                    <w:jc w:val="center"/>
                    <w:rPr>
                      <w:rFonts w:cs="Times New Roman"/>
                      <w:b/>
                      <w:bCs/>
                      <w:szCs w:val="21"/>
                    </w:rPr>
                  </w:pPr>
                  <w:r>
                    <w:rPr>
                      <w:rFonts w:cs="Times New Roman"/>
                      <w:b/>
                      <w:bCs/>
                      <w:szCs w:val="21"/>
                    </w:rPr>
                    <w:t>去除率</w:t>
                  </w:r>
                  <w:r>
                    <w:rPr>
                      <w:rFonts w:hint="eastAsia" w:cs="Times New Roman"/>
                      <w:b/>
                      <w:bCs/>
                      <w:szCs w:val="21"/>
                    </w:rPr>
                    <w:t>（%）</w:t>
                  </w:r>
                </w:p>
              </w:tc>
              <w:tc>
                <w:tcPr>
                  <w:tcW w:w="447" w:type="pct"/>
                  <w:noWrap w:val="0"/>
                  <w:vAlign w:val="center"/>
                </w:tcPr>
                <w:p>
                  <w:pPr>
                    <w:jc w:val="center"/>
                    <w:rPr>
                      <w:rFonts w:cs="Times New Roman"/>
                      <w:b/>
                      <w:bCs/>
                      <w:szCs w:val="21"/>
                    </w:rPr>
                  </w:pPr>
                  <w:r>
                    <w:rPr>
                      <w:rFonts w:cs="Times New Roman"/>
                      <w:b/>
                      <w:bCs/>
                      <w:szCs w:val="21"/>
                    </w:rPr>
                    <w:t>是否为可行性技术</w:t>
                  </w:r>
                </w:p>
              </w:tc>
              <w:tc>
                <w:tcPr>
                  <w:tcW w:w="521" w:type="pct"/>
                  <w:vMerge w:val="continue"/>
                  <w:noWrap w:val="0"/>
                  <w:vAlign w:val="center"/>
                </w:tcPr>
                <w:p>
                  <w:pPr>
                    <w:jc w:val="center"/>
                    <w:rPr>
                      <w:rFonts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24" w:type="pct"/>
                  <w:noWrap w:val="0"/>
                  <w:vAlign w:val="center"/>
                </w:tcPr>
                <w:p>
                  <w:pPr>
                    <w:jc w:val="center"/>
                    <w:rPr>
                      <w:rFonts w:cs="Times New Roman"/>
                      <w:szCs w:val="21"/>
                    </w:rPr>
                  </w:pPr>
                  <w:r>
                    <w:rPr>
                      <w:rFonts w:hint="eastAsia" w:cs="Times New Roman"/>
                      <w:szCs w:val="21"/>
                    </w:rPr>
                    <w:t>食堂油烟</w:t>
                  </w:r>
                </w:p>
              </w:tc>
              <w:tc>
                <w:tcPr>
                  <w:tcW w:w="487" w:type="pct"/>
                  <w:noWrap w:val="0"/>
                  <w:vAlign w:val="center"/>
                </w:tcPr>
                <w:p>
                  <w:pPr>
                    <w:jc w:val="center"/>
                    <w:rPr>
                      <w:rFonts w:cs="Times New Roman"/>
                      <w:szCs w:val="21"/>
                    </w:rPr>
                  </w:pPr>
                  <w:r>
                    <w:rPr>
                      <w:rFonts w:hint="eastAsia" w:cs="Times New Roman"/>
                      <w:szCs w:val="21"/>
                    </w:rPr>
                    <w:t>油烟</w:t>
                  </w:r>
                </w:p>
              </w:tc>
              <w:tc>
                <w:tcPr>
                  <w:tcW w:w="526" w:type="pct"/>
                  <w:noWrap w:val="0"/>
                  <w:vAlign w:val="center"/>
                </w:tcPr>
                <w:p>
                  <w:pPr>
                    <w:jc w:val="center"/>
                    <w:rPr>
                      <w:rFonts w:hint="eastAsia" w:cs="Times New Roman"/>
                      <w:szCs w:val="21"/>
                    </w:rPr>
                  </w:pPr>
                  <w:r>
                    <w:rPr>
                      <w:rFonts w:hint="eastAsia" w:cs="Times New Roman"/>
                      <w:bCs/>
                      <w:szCs w:val="21"/>
                    </w:rPr>
                    <w:t>0.012</w:t>
                  </w:r>
                </w:p>
              </w:tc>
              <w:tc>
                <w:tcPr>
                  <w:tcW w:w="526" w:type="pct"/>
                  <w:noWrap w:val="0"/>
                  <w:vAlign w:val="center"/>
                </w:tcPr>
                <w:p>
                  <w:pPr>
                    <w:jc w:val="center"/>
                    <w:rPr>
                      <w:rFonts w:cs="Times New Roman"/>
                      <w:szCs w:val="21"/>
                    </w:rPr>
                  </w:pPr>
                  <w:r>
                    <w:rPr>
                      <w:rFonts w:hint="eastAsia" w:cs="Times New Roman"/>
                      <w:szCs w:val="21"/>
                    </w:rPr>
                    <w:t>有组织</w:t>
                  </w:r>
                </w:p>
              </w:tc>
              <w:tc>
                <w:tcPr>
                  <w:tcW w:w="943" w:type="pct"/>
                  <w:noWrap w:val="0"/>
                  <w:vAlign w:val="center"/>
                </w:tcPr>
                <w:p>
                  <w:pPr>
                    <w:jc w:val="center"/>
                    <w:rPr>
                      <w:rFonts w:cs="Times New Roman"/>
                      <w:szCs w:val="21"/>
                    </w:rPr>
                  </w:pPr>
                  <w:r>
                    <w:rPr>
                      <w:rFonts w:hint="eastAsia" w:cs="Times New Roman"/>
                      <w:szCs w:val="21"/>
                    </w:rPr>
                    <w:t>油烟净化器</w:t>
                  </w:r>
                </w:p>
              </w:tc>
              <w:tc>
                <w:tcPr>
                  <w:tcW w:w="651" w:type="pct"/>
                  <w:noWrap w:val="0"/>
                  <w:vAlign w:val="center"/>
                </w:tcPr>
                <w:p>
                  <w:pPr>
                    <w:jc w:val="center"/>
                    <w:rPr>
                      <w:rFonts w:cs="Times New Roman"/>
                      <w:szCs w:val="21"/>
                    </w:rPr>
                  </w:pPr>
                  <w:r>
                    <w:rPr>
                      <w:rFonts w:cs="Times New Roman"/>
                      <w:szCs w:val="21"/>
                    </w:rPr>
                    <w:t>/</w:t>
                  </w:r>
                </w:p>
              </w:tc>
              <w:tc>
                <w:tcPr>
                  <w:tcW w:w="475" w:type="pct"/>
                  <w:noWrap w:val="0"/>
                  <w:vAlign w:val="center"/>
                </w:tcPr>
                <w:p>
                  <w:pPr>
                    <w:jc w:val="center"/>
                    <w:rPr>
                      <w:rFonts w:cs="Times New Roman"/>
                      <w:szCs w:val="21"/>
                    </w:rPr>
                  </w:pPr>
                  <w:r>
                    <w:rPr>
                      <w:rFonts w:hint="eastAsia" w:cs="Times New Roman"/>
                      <w:szCs w:val="21"/>
                    </w:rPr>
                    <w:t>85</w:t>
                  </w:r>
                </w:p>
              </w:tc>
              <w:tc>
                <w:tcPr>
                  <w:tcW w:w="447" w:type="pct"/>
                  <w:noWrap w:val="0"/>
                  <w:vAlign w:val="center"/>
                </w:tcPr>
                <w:p>
                  <w:pPr>
                    <w:jc w:val="center"/>
                    <w:rPr>
                      <w:rFonts w:cs="Times New Roman"/>
                      <w:szCs w:val="21"/>
                    </w:rPr>
                  </w:pPr>
                  <w:r>
                    <w:rPr>
                      <w:rFonts w:cs="Times New Roman"/>
                      <w:szCs w:val="21"/>
                    </w:rPr>
                    <w:t>是</w:t>
                  </w:r>
                </w:p>
              </w:tc>
              <w:tc>
                <w:tcPr>
                  <w:tcW w:w="521" w:type="pct"/>
                  <w:noWrap w:val="0"/>
                  <w:vAlign w:val="center"/>
                </w:tcPr>
                <w:p>
                  <w:pPr>
                    <w:jc w:val="center"/>
                    <w:rPr>
                      <w:rFonts w:cs="Times New Roman"/>
                      <w:szCs w:val="21"/>
                    </w:rPr>
                  </w:pPr>
                  <w:r>
                    <w:rPr>
                      <w:rFonts w:hint="eastAsia" w:cs="Times New Roman"/>
                      <w:szCs w:val="21"/>
                    </w:rPr>
                    <w:t>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24" w:type="pct"/>
                  <w:noWrap w:val="0"/>
                  <w:vAlign w:val="center"/>
                </w:tcPr>
                <w:p>
                  <w:pPr>
                    <w:jc w:val="center"/>
                    <w:rPr>
                      <w:rFonts w:hint="eastAsia" w:cs="Times New Roman"/>
                      <w:szCs w:val="21"/>
                    </w:rPr>
                  </w:pPr>
                  <w:r>
                    <w:rPr>
                      <w:rFonts w:hint="eastAsia" w:cs="Times New Roman"/>
                      <w:szCs w:val="21"/>
                    </w:rPr>
                    <w:t>柴油发电机废气</w:t>
                  </w:r>
                </w:p>
              </w:tc>
              <w:tc>
                <w:tcPr>
                  <w:tcW w:w="487" w:type="pct"/>
                  <w:noWrap w:val="0"/>
                  <w:vAlign w:val="center"/>
                </w:tcPr>
                <w:p>
                  <w:pPr>
                    <w:jc w:val="center"/>
                    <w:rPr>
                      <w:rFonts w:hint="eastAsia" w:cs="Times New Roman"/>
                      <w:szCs w:val="21"/>
                    </w:rPr>
                  </w:pPr>
                  <w:r>
                    <w:rPr>
                      <w:rFonts w:hint="eastAsia" w:cs="Times New Roman"/>
                      <w:szCs w:val="21"/>
                    </w:rPr>
                    <w:t>SO</w:t>
                  </w:r>
                  <w:r>
                    <w:rPr>
                      <w:rFonts w:hint="eastAsia" w:cs="Times New Roman"/>
                      <w:szCs w:val="21"/>
                      <w:vertAlign w:val="subscript"/>
                    </w:rPr>
                    <w:t>2</w:t>
                  </w:r>
                  <w:r>
                    <w:rPr>
                      <w:rFonts w:hint="eastAsia" w:cs="Times New Roman"/>
                      <w:szCs w:val="21"/>
                    </w:rPr>
                    <w:t>、NO</w:t>
                  </w:r>
                  <w:r>
                    <w:rPr>
                      <w:rFonts w:hint="eastAsia" w:cs="Times New Roman"/>
                      <w:szCs w:val="21"/>
                      <w:vertAlign w:val="subscript"/>
                    </w:rPr>
                    <w:t>x</w:t>
                  </w:r>
                  <w:r>
                    <w:rPr>
                      <w:rFonts w:hint="eastAsia" w:cs="Times New Roman"/>
                      <w:szCs w:val="21"/>
                    </w:rPr>
                    <w:t>、烟尘</w:t>
                  </w:r>
                </w:p>
              </w:tc>
              <w:tc>
                <w:tcPr>
                  <w:tcW w:w="526" w:type="pct"/>
                  <w:noWrap w:val="0"/>
                  <w:vAlign w:val="center"/>
                </w:tcPr>
                <w:p>
                  <w:pPr>
                    <w:jc w:val="center"/>
                    <w:rPr>
                      <w:rFonts w:hint="eastAsia" w:cs="Times New Roman"/>
                      <w:szCs w:val="21"/>
                    </w:rPr>
                  </w:pPr>
                  <w:r>
                    <w:rPr>
                      <w:rFonts w:hint="eastAsia" w:cs="Times New Roman"/>
                      <w:szCs w:val="21"/>
                    </w:rPr>
                    <w:t>偶发，</w:t>
                  </w:r>
                </w:p>
                <w:p>
                  <w:pPr>
                    <w:jc w:val="center"/>
                    <w:rPr>
                      <w:rFonts w:hint="eastAsia" w:cs="Times New Roman"/>
                      <w:szCs w:val="21"/>
                    </w:rPr>
                  </w:pPr>
                  <w:r>
                    <w:rPr>
                      <w:rFonts w:hint="eastAsia" w:cs="Times New Roman"/>
                      <w:szCs w:val="21"/>
                    </w:rPr>
                    <w:t>少量</w:t>
                  </w:r>
                </w:p>
              </w:tc>
              <w:tc>
                <w:tcPr>
                  <w:tcW w:w="526" w:type="pct"/>
                  <w:noWrap w:val="0"/>
                  <w:vAlign w:val="center"/>
                </w:tcPr>
                <w:p>
                  <w:pPr>
                    <w:jc w:val="center"/>
                    <w:rPr>
                      <w:rFonts w:cs="Times New Roman"/>
                      <w:szCs w:val="21"/>
                    </w:rPr>
                  </w:pPr>
                  <w:r>
                    <w:rPr>
                      <w:rFonts w:hint="eastAsia" w:cs="Times New Roman"/>
                      <w:szCs w:val="21"/>
                    </w:rPr>
                    <w:t>有组织</w:t>
                  </w:r>
                </w:p>
              </w:tc>
              <w:tc>
                <w:tcPr>
                  <w:tcW w:w="943" w:type="pct"/>
                  <w:noWrap w:val="0"/>
                  <w:vAlign w:val="center"/>
                </w:tcPr>
                <w:p>
                  <w:pPr>
                    <w:jc w:val="center"/>
                    <w:rPr>
                      <w:rFonts w:hint="eastAsia" w:cs="Times New Roman"/>
                      <w:szCs w:val="21"/>
                    </w:rPr>
                  </w:pPr>
                  <w:r>
                    <w:rPr>
                      <w:rFonts w:hint="eastAsia" w:cs="Times New Roman"/>
                      <w:szCs w:val="21"/>
                    </w:rPr>
                    <w:t>设备自带消烟</w:t>
                  </w:r>
                </w:p>
                <w:p>
                  <w:pPr>
                    <w:jc w:val="center"/>
                    <w:rPr>
                      <w:rFonts w:hint="eastAsia" w:cs="Times New Roman"/>
                      <w:szCs w:val="21"/>
                    </w:rPr>
                  </w:pPr>
                  <w:r>
                    <w:rPr>
                      <w:rFonts w:hint="eastAsia" w:cs="Times New Roman"/>
                      <w:szCs w:val="21"/>
                    </w:rPr>
                    <w:t>除尘净化装置</w:t>
                  </w:r>
                </w:p>
              </w:tc>
              <w:tc>
                <w:tcPr>
                  <w:tcW w:w="651" w:type="pct"/>
                  <w:noWrap w:val="0"/>
                  <w:vAlign w:val="center"/>
                </w:tcPr>
                <w:p>
                  <w:pPr>
                    <w:jc w:val="center"/>
                    <w:rPr>
                      <w:rFonts w:hint="eastAsia" w:cs="Times New Roman"/>
                      <w:szCs w:val="21"/>
                    </w:rPr>
                  </w:pPr>
                  <w:r>
                    <w:rPr>
                      <w:rFonts w:hint="eastAsia" w:cs="Times New Roman"/>
                      <w:szCs w:val="21"/>
                    </w:rPr>
                    <w:t>/</w:t>
                  </w:r>
                </w:p>
              </w:tc>
              <w:tc>
                <w:tcPr>
                  <w:tcW w:w="475" w:type="pct"/>
                  <w:noWrap w:val="0"/>
                  <w:vAlign w:val="center"/>
                </w:tcPr>
                <w:p>
                  <w:pPr>
                    <w:jc w:val="center"/>
                    <w:rPr>
                      <w:rFonts w:hint="eastAsia" w:cs="Times New Roman"/>
                      <w:szCs w:val="21"/>
                    </w:rPr>
                  </w:pPr>
                  <w:r>
                    <w:rPr>
                      <w:rFonts w:hint="eastAsia" w:cs="Times New Roman"/>
                      <w:szCs w:val="21"/>
                    </w:rPr>
                    <w:t>/</w:t>
                  </w:r>
                </w:p>
              </w:tc>
              <w:tc>
                <w:tcPr>
                  <w:tcW w:w="447" w:type="pct"/>
                  <w:noWrap w:val="0"/>
                  <w:vAlign w:val="center"/>
                </w:tcPr>
                <w:p>
                  <w:pPr>
                    <w:jc w:val="center"/>
                    <w:rPr>
                      <w:rFonts w:hint="eastAsia" w:cs="Times New Roman"/>
                      <w:szCs w:val="21"/>
                    </w:rPr>
                  </w:pPr>
                  <w:r>
                    <w:rPr>
                      <w:rFonts w:hint="eastAsia" w:cs="Times New Roman"/>
                      <w:szCs w:val="21"/>
                    </w:rPr>
                    <w:t>是</w:t>
                  </w:r>
                </w:p>
              </w:tc>
              <w:tc>
                <w:tcPr>
                  <w:tcW w:w="521" w:type="pct"/>
                  <w:noWrap w:val="0"/>
                  <w:vAlign w:val="center"/>
                </w:tcPr>
                <w:p>
                  <w:pPr>
                    <w:jc w:val="center"/>
                    <w:rPr>
                      <w:rFonts w:hint="eastAsia" w:cs="Times New Roman"/>
                      <w:szCs w:val="21"/>
                    </w:rPr>
                  </w:pPr>
                  <w:r>
                    <w:rPr>
                      <w:rFonts w:hint="eastAsia" w:cs="Times New Roman"/>
                      <w:szCs w:val="21"/>
                    </w:rPr>
                    <w:t>偶发，</w:t>
                  </w:r>
                </w:p>
                <w:p>
                  <w:pPr>
                    <w:jc w:val="center"/>
                    <w:rPr>
                      <w:rFonts w:hint="eastAsia" w:cs="Times New Roman"/>
                      <w:szCs w:val="21"/>
                    </w:rPr>
                  </w:pPr>
                  <w:r>
                    <w:rPr>
                      <w:rFonts w:hint="eastAsia" w:cs="Times New Roman"/>
                      <w:szCs w:val="21"/>
                    </w:rPr>
                    <w:t>少量</w:t>
                  </w:r>
                </w:p>
              </w:tc>
            </w:tr>
          </w:tbl>
          <w:p>
            <w:pPr>
              <w:spacing w:line="276" w:lineRule="auto"/>
              <w:jc w:val="center"/>
              <w:rPr>
                <w:rFonts w:hint="eastAsia" w:cs="Times New Roman"/>
                <w:b/>
                <w:szCs w:val="21"/>
              </w:rPr>
            </w:pPr>
            <w:r>
              <w:rPr>
                <w:rFonts w:hint="eastAsia" w:cs="Times New Roman"/>
                <w:b/>
                <w:szCs w:val="21"/>
              </w:rPr>
              <w:t>表4-3  废气排放口基本信息表</w:t>
            </w:r>
          </w:p>
          <w:tbl>
            <w:tblPr>
              <w:tblStyle w:val="27"/>
              <w:tblW w:w="842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64"/>
              <w:gridCol w:w="894"/>
              <w:gridCol w:w="987"/>
              <w:gridCol w:w="1245"/>
              <w:gridCol w:w="1155"/>
              <w:gridCol w:w="1050"/>
              <w:gridCol w:w="735"/>
              <w:gridCol w:w="919"/>
              <w:gridCol w:w="5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0" w:type="auto"/>
                  <w:vMerge w:val="restart"/>
                  <w:noWrap w:val="0"/>
                  <w:vAlign w:val="center"/>
                </w:tcPr>
                <w:p>
                  <w:pPr>
                    <w:jc w:val="center"/>
                    <w:rPr>
                      <w:b/>
                      <w:bCs/>
                      <w:szCs w:val="21"/>
                    </w:rPr>
                  </w:pPr>
                  <w:r>
                    <w:rPr>
                      <w:b/>
                      <w:bCs/>
                      <w:szCs w:val="21"/>
                    </w:rPr>
                    <w:t>排放口编号</w:t>
                  </w:r>
                </w:p>
              </w:tc>
              <w:tc>
                <w:tcPr>
                  <w:tcW w:w="0" w:type="auto"/>
                  <w:vMerge w:val="restart"/>
                  <w:noWrap w:val="0"/>
                  <w:vAlign w:val="center"/>
                </w:tcPr>
                <w:p>
                  <w:pPr>
                    <w:jc w:val="center"/>
                    <w:rPr>
                      <w:b/>
                      <w:bCs/>
                      <w:szCs w:val="21"/>
                    </w:rPr>
                  </w:pPr>
                  <w:r>
                    <w:rPr>
                      <w:b/>
                      <w:bCs/>
                      <w:szCs w:val="21"/>
                    </w:rPr>
                    <w:t>排放口名称</w:t>
                  </w:r>
                </w:p>
              </w:tc>
              <w:tc>
                <w:tcPr>
                  <w:tcW w:w="0" w:type="auto"/>
                  <w:vMerge w:val="restart"/>
                  <w:noWrap w:val="0"/>
                  <w:vAlign w:val="center"/>
                </w:tcPr>
                <w:p>
                  <w:pPr>
                    <w:jc w:val="center"/>
                    <w:rPr>
                      <w:b/>
                      <w:bCs/>
                      <w:szCs w:val="21"/>
                    </w:rPr>
                  </w:pPr>
                  <w:r>
                    <w:rPr>
                      <w:b/>
                      <w:bCs/>
                      <w:szCs w:val="21"/>
                    </w:rPr>
                    <w:t>污染物种类</w:t>
                  </w:r>
                </w:p>
              </w:tc>
              <w:tc>
                <w:tcPr>
                  <w:tcW w:w="2400" w:type="dxa"/>
                  <w:gridSpan w:val="2"/>
                  <w:noWrap w:val="0"/>
                  <w:vAlign w:val="center"/>
                </w:tcPr>
                <w:p>
                  <w:pPr>
                    <w:jc w:val="center"/>
                    <w:rPr>
                      <w:b/>
                      <w:bCs/>
                      <w:szCs w:val="21"/>
                    </w:rPr>
                  </w:pPr>
                  <w:r>
                    <w:rPr>
                      <w:b/>
                      <w:bCs/>
                      <w:szCs w:val="21"/>
                    </w:rPr>
                    <w:t>排放口地理坐标</w:t>
                  </w:r>
                </w:p>
              </w:tc>
              <w:tc>
                <w:tcPr>
                  <w:tcW w:w="1050" w:type="dxa"/>
                  <w:vMerge w:val="restart"/>
                  <w:noWrap w:val="0"/>
                  <w:vAlign w:val="center"/>
                </w:tcPr>
                <w:p>
                  <w:pPr>
                    <w:jc w:val="center"/>
                    <w:rPr>
                      <w:rFonts w:hint="eastAsia"/>
                      <w:b/>
                      <w:bCs/>
                      <w:szCs w:val="21"/>
                    </w:rPr>
                  </w:pPr>
                  <w:r>
                    <w:rPr>
                      <w:b/>
                      <w:bCs/>
                      <w:szCs w:val="21"/>
                    </w:rPr>
                    <w:t>排气筒</w:t>
                  </w:r>
                </w:p>
                <w:p>
                  <w:pPr>
                    <w:jc w:val="center"/>
                    <w:rPr>
                      <w:b/>
                      <w:bCs/>
                      <w:szCs w:val="21"/>
                    </w:rPr>
                  </w:pPr>
                  <w:r>
                    <w:rPr>
                      <w:b/>
                      <w:bCs/>
                      <w:szCs w:val="21"/>
                    </w:rPr>
                    <w:t>高度</w:t>
                  </w:r>
                  <w:r>
                    <w:rPr>
                      <w:rFonts w:hint="eastAsia"/>
                      <w:b/>
                      <w:bCs/>
                      <w:szCs w:val="21"/>
                    </w:rPr>
                    <w:t>(</w:t>
                  </w:r>
                  <w:r>
                    <w:rPr>
                      <w:b/>
                      <w:bCs/>
                      <w:szCs w:val="21"/>
                    </w:rPr>
                    <w:t>m</w:t>
                  </w:r>
                  <w:r>
                    <w:rPr>
                      <w:rFonts w:hint="eastAsia"/>
                      <w:b/>
                      <w:bCs/>
                      <w:szCs w:val="21"/>
                    </w:rPr>
                    <w:t>)</w:t>
                  </w:r>
                </w:p>
              </w:tc>
              <w:tc>
                <w:tcPr>
                  <w:tcW w:w="735" w:type="dxa"/>
                  <w:vMerge w:val="restart"/>
                  <w:noWrap w:val="0"/>
                  <w:vAlign w:val="center"/>
                </w:tcPr>
                <w:p>
                  <w:pPr>
                    <w:jc w:val="center"/>
                    <w:rPr>
                      <w:b/>
                      <w:bCs/>
                      <w:szCs w:val="21"/>
                    </w:rPr>
                  </w:pPr>
                  <w:r>
                    <w:rPr>
                      <w:b/>
                      <w:bCs/>
                      <w:szCs w:val="21"/>
                    </w:rPr>
                    <w:t>排气筒内径</w:t>
                  </w:r>
                  <w:r>
                    <w:rPr>
                      <w:rFonts w:hint="eastAsia"/>
                      <w:b/>
                      <w:bCs/>
                      <w:szCs w:val="21"/>
                    </w:rPr>
                    <w:t>(</w:t>
                  </w:r>
                  <w:r>
                    <w:rPr>
                      <w:b/>
                      <w:bCs/>
                      <w:szCs w:val="21"/>
                    </w:rPr>
                    <w:t>m</w:t>
                  </w:r>
                  <w:r>
                    <w:rPr>
                      <w:rFonts w:hint="eastAsia"/>
                      <w:b/>
                      <w:bCs/>
                      <w:szCs w:val="21"/>
                    </w:rPr>
                    <w:t>)</w:t>
                  </w:r>
                </w:p>
              </w:tc>
              <w:tc>
                <w:tcPr>
                  <w:tcW w:w="919" w:type="dxa"/>
                  <w:vMerge w:val="restart"/>
                  <w:noWrap w:val="0"/>
                  <w:vAlign w:val="center"/>
                </w:tcPr>
                <w:p>
                  <w:pPr>
                    <w:jc w:val="center"/>
                    <w:rPr>
                      <w:b/>
                      <w:bCs/>
                      <w:szCs w:val="21"/>
                    </w:rPr>
                  </w:pPr>
                  <w:r>
                    <w:rPr>
                      <w:b/>
                      <w:bCs/>
                      <w:szCs w:val="21"/>
                    </w:rPr>
                    <w:t>排放温度</w:t>
                  </w:r>
                  <w:r>
                    <w:rPr>
                      <w:rFonts w:hint="eastAsia"/>
                      <w:b/>
                      <w:bCs/>
                      <w:szCs w:val="21"/>
                    </w:rPr>
                    <w:t>(</w:t>
                  </w:r>
                  <w:r>
                    <w:rPr>
                      <w:rFonts w:hint="eastAsia" w:ascii="宋体" w:hAnsi="宋体" w:cs="宋体"/>
                      <w:b/>
                      <w:bCs/>
                      <w:szCs w:val="21"/>
                    </w:rPr>
                    <w:t>℃</w:t>
                  </w:r>
                  <w:r>
                    <w:rPr>
                      <w:rFonts w:hint="eastAsia"/>
                      <w:b/>
                      <w:bCs/>
                      <w:szCs w:val="21"/>
                    </w:rPr>
                    <w:t>)</w:t>
                  </w:r>
                </w:p>
              </w:tc>
              <w:tc>
                <w:tcPr>
                  <w:tcW w:w="0" w:type="auto"/>
                  <w:vMerge w:val="restart"/>
                  <w:noWrap w:val="0"/>
                  <w:vAlign w:val="center"/>
                </w:tcPr>
                <w:p>
                  <w:pPr>
                    <w:jc w:val="center"/>
                    <w:rPr>
                      <w:b/>
                      <w:bCs/>
                      <w:szCs w:val="21"/>
                    </w:rPr>
                  </w:pPr>
                  <w:r>
                    <w:rPr>
                      <w:b/>
                      <w:bCs/>
                      <w:szCs w:val="21"/>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0" w:type="auto"/>
                  <w:vMerge w:val="continue"/>
                  <w:noWrap w:val="0"/>
                  <w:vAlign w:val="center"/>
                </w:tcPr>
                <w:p>
                  <w:pPr>
                    <w:jc w:val="center"/>
                    <w:rPr>
                      <w:szCs w:val="21"/>
                    </w:rPr>
                  </w:pPr>
                </w:p>
              </w:tc>
              <w:tc>
                <w:tcPr>
                  <w:tcW w:w="0" w:type="auto"/>
                  <w:vMerge w:val="continue"/>
                  <w:noWrap w:val="0"/>
                  <w:vAlign w:val="center"/>
                </w:tcPr>
                <w:p>
                  <w:pPr>
                    <w:jc w:val="center"/>
                    <w:rPr>
                      <w:szCs w:val="21"/>
                    </w:rPr>
                  </w:pPr>
                </w:p>
              </w:tc>
              <w:tc>
                <w:tcPr>
                  <w:tcW w:w="0" w:type="auto"/>
                  <w:vMerge w:val="continue"/>
                  <w:noWrap w:val="0"/>
                  <w:vAlign w:val="center"/>
                </w:tcPr>
                <w:p>
                  <w:pPr>
                    <w:jc w:val="center"/>
                    <w:rPr>
                      <w:szCs w:val="21"/>
                    </w:rPr>
                  </w:pPr>
                </w:p>
              </w:tc>
              <w:tc>
                <w:tcPr>
                  <w:tcW w:w="1245" w:type="dxa"/>
                  <w:noWrap w:val="0"/>
                  <w:vAlign w:val="center"/>
                </w:tcPr>
                <w:p>
                  <w:pPr>
                    <w:jc w:val="center"/>
                    <w:rPr>
                      <w:b/>
                      <w:bCs/>
                      <w:szCs w:val="21"/>
                    </w:rPr>
                  </w:pPr>
                  <w:r>
                    <w:rPr>
                      <w:b/>
                      <w:bCs/>
                      <w:szCs w:val="21"/>
                    </w:rPr>
                    <w:t>经度</w:t>
                  </w:r>
                </w:p>
              </w:tc>
              <w:tc>
                <w:tcPr>
                  <w:tcW w:w="1155" w:type="dxa"/>
                  <w:noWrap w:val="0"/>
                  <w:vAlign w:val="center"/>
                </w:tcPr>
                <w:p>
                  <w:pPr>
                    <w:jc w:val="center"/>
                    <w:rPr>
                      <w:b/>
                      <w:bCs/>
                      <w:szCs w:val="21"/>
                    </w:rPr>
                  </w:pPr>
                  <w:r>
                    <w:rPr>
                      <w:b/>
                      <w:bCs/>
                      <w:szCs w:val="21"/>
                    </w:rPr>
                    <w:t>纬度</w:t>
                  </w:r>
                </w:p>
              </w:tc>
              <w:tc>
                <w:tcPr>
                  <w:tcW w:w="1050" w:type="dxa"/>
                  <w:vMerge w:val="continue"/>
                  <w:noWrap w:val="0"/>
                  <w:vAlign w:val="center"/>
                </w:tcPr>
                <w:p>
                  <w:pPr>
                    <w:jc w:val="center"/>
                    <w:rPr>
                      <w:color w:val="FF00FF"/>
                      <w:szCs w:val="21"/>
                    </w:rPr>
                  </w:pPr>
                </w:p>
              </w:tc>
              <w:tc>
                <w:tcPr>
                  <w:tcW w:w="735" w:type="dxa"/>
                  <w:vMerge w:val="continue"/>
                  <w:noWrap w:val="0"/>
                  <w:vAlign w:val="center"/>
                </w:tcPr>
                <w:p>
                  <w:pPr>
                    <w:jc w:val="center"/>
                    <w:rPr>
                      <w:color w:val="FF00FF"/>
                      <w:szCs w:val="21"/>
                    </w:rPr>
                  </w:pPr>
                </w:p>
              </w:tc>
              <w:tc>
                <w:tcPr>
                  <w:tcW w:w="919" w:type="dxa"/>
                  <w:vMerge w:val="continue"/>
                  <w:noWrap w:val="0"/>
                  <w:vAlign w:val="center"/>
                </w:tcPr>
                <w:p>
                  <w:pPr>
                    <w:jc w:val="center"/>
                    <w:rPr>
                      <w:szCs w:val="21"/>
                    </w:rPr>
                  </w:pPr>
                </w:p>
              </w:tc>
              <w:tc>
                <w:tcPr>
                  <w:tcW w:w="0" w:type="auto"/>
                  <w:vMerge w:val="continue"/>
                  <w:noWrap w:val="0"/>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noWrap w:val="0"/>
                  <w:vAlign w:val="center"/>
                </w:tcPr>
                <w:p>
                  <w:pPr>
                    <w:jc w:val="center"/>
                    <w:rPr>
                      <w:szCs w:val="21"/>
                    </w:rPr>
                  </w:pPr>
                  <w:r>
                    <w:rPr>
                      <w:rFonts w:hint="eastAsia"/>
                      <w:szCs w:val="21"/>
                    </w:rPr>
                    <w:t>DA001</w:t>
                  </w:r>
                </w:p>
              </w:tc>
              <w:tc>
                <w:tcPr>
                  <w:tcW w:w="0" w:type="auto"/>
                  <w:noWrap w:val="0"/>
                  <w:vAlign w:val="center"/>
                </w:tcPr>
                <w:p>
                  <w:pPr>
                    <w:jc w:val="center"/>
                    <w:rPr>
                      <w:rFonts w:hint="eastAsia"/>
                      <w:szCs w:val="21"/>
                    </w:rPr>
                  </w:pPr>
                  <w:r>
                    <w:rPr>
                      <w:rFonts w:hint="eastAsia"/>
                      <w:szCs w:val="21"/>
                    </w:rPr>
                    <w:t>油烟排放口</w:t>
                  </w:r>
                </w:p>
              </w:tc>
              <w:tc>
                <w:tcPr>
                  <w:tcW w:w="0" w:type="auto"/>
                  <w:noWrap w:val="0"/>
                  <w:vAlign w:val="center"/>
                </w:tcPr>
                <w:p>
                  <w:pPr>
                    <w:jc w:val="center"/>
                    <w:rPr>
                      <w:rFonts w:hint="eastAsia"/>
                      <w:szCs w:val="21"/>
                    </w:rPr>
                  </w:pPr>
                  <w:r>
                    <w:rPr>
                      <w:rFonts w:hint="eastAsia"/>
                      <w:szCs w:val="21"/>
                    </w:rPr>
                    <w:t>油烟</w:t>
                  </w:r>
                </w:p>
                <w:p>
                  <w:pPr>
                    <w:jc w:val="center"/>
                    <w:rPr>
                      <w:rFonts w:hint="eastAsia"/>
                      <w:szCs w:val="21"/>
                    </w:rPr>
                  </w:pPr>
                  <w:r>
                    <w:rPr>
                      <w:rFonts w:hint="eastAsia"/>
                      <w:szCs w:val="21"/>
                    </w:rPr>
                    <w:t>废气</w:t>
                  </w:r>
                </w:p>
              </w:tc>
              <w:tc>
                <w:tcPr>
                  <w:tcW w:w="1245" w:type="dxa"/>
                  <w:noWrap w:val="0"/>
                  <w:vAlign w:val="center"/>
                </w:tcPr>
                <w:p>
                  <w:pPr>
                    <w:jc w:val="center"/>
                    <w:rPr>
                      <w:rFonts w:hint="eastAsia"/>
                      <w:bCs/>
                      <w:szCs w:val="21"/>
                    </w:rPr>
                  </w:pPr>
                  <w:r>
                    <w:rPr>
                      <w:bCs/>
                      <w:szCs w:val="21"/>
                    </w:rPr>
                    <w:t>107.47286</w:t>
                  </w:r>
                  <w:r>
                    <w:rPr>
                      <w:rFonts w:hint="eastAsia"/>
                      <w:bCs/>
                      <w:szCs w:val="21"/>
                    </w:rPr>
                    <w:t>2</w:t>
                  </w:r>
                </w:p>
              </w:tc>
              <w:tc>
                <w:tcPr>
                  <w:tcW w:w="1155" w:type="dxa"/>
                  <w:noWrap w:val="0"/>
                  <w:vAlign w:val="center"/>
                </w:tcPr>
                <w:p>
                  <w:pPr>
                    <w:jc w:val="center"/>
                    <w:rPr>
                      <w:rFonts w:hint="eastAsia"/>
                      <w:bCs/>
                      <w:szCs w:val="21"/>
                    </w:rPr>
                  </w:pPr>
                  <w:r>
                    <w:rPr>
                      <w:bCs/>
                      <w:szCs w:val="21"/>
                    </w:rPr>
                    <w:t>31.24874</w:t>
                  </w:r>
                  <w:r>
                    <w:rPr>
                      <w:rFonts w:hint="eastAsia"/>
                      <w:bCs/>
                      <w:szCs w:val="21"/>
                    </w:rPr>
                    <w:t>7</w:t>
                  </w:r>
                </w:p>
              </w:tc>
              <w:tc>
                <w:tcPr>
                  <w:tcW w:w="1050" w:type="dxa"/>
                  <w:noWrap w:val="0"/>
                  <w:vAlign w:val="center"/>
                </w:tcPr>
                <w:p>
                  <w:pPr>
                    <w:jc w:val="center"/>
                    <w:rPr>
                      <w:szCs w:val="21"/>
                    </w:rPr>
                  </w:pPr>
                  <w:r>
                    <w:rPr>
                      <w:rFonts w:hint="eastAsia"/>
                      <w:szCs w:val="21"/>
                    </w:rPr>
                    <w:t>20</w:t>
                  </w:r>
                </w:p>
              </w:tc>
              <w:tc>
                <w:tcPr>
                  <w:tcW w:w="735" w:type="dxa"/>
                  <w:noWrap w:val="0"/>
                  <w:vAlign w:val="center"/>
                </w:tcPr>
                <w:p>
                  <w:pPr>
                    <w:jc w:val="center"/>
                    <w:rPr>
                      <w:rFonts w:hint="eastAsia"/>
                      <w:szCs w:val="21"/>
                    </w:rPr>
                  </w:pPr>
                  <w:r>
                    <w:rPr>
                      <w:rFonts w:hint="eastAsia"/>
                      <w:szCs w:val="21"/>
                    </w:rPr>
                    <w:t>0.5</w:t>
                  </w:r>
                </w:p>
              </w:tc>
              <w:tc>
                <w:tcPr>
                  <w:tcW w:w="919" w:type="dxa"/>
                  <w:noWrap w:val="0"/>
                  <w:vAlign w:val="center"/>
                </w:tcPr>
                <w:p>
                  <w:pPr>
                    <w:jc w:val="center"/>
                    <w:rPr>
                      <w:szCs w:val="21"/>
                    </w:rPr>
                  </w:pPr>
                  <w:r>
                    <w:rPr>
                      <w:szCs w:val="21"/>
                    </w:rPr>
                    <w:t>常温</w:t>
                  </w:r>
                </w:p>
              </w:tc>
              <w:tc>
                <w:tcPr>
                  <w:tcW w:w="0" w:type="auto"/>
                  <w:noWrap w:val="0"/>
                  <w:vAlign w:val="center"/>
                </w:tcPr>
                <w:p>
                  <w:pPr>
                    <w:jc w:val="center"/>
                    <w:rPr>
                      <w:rFonts w:hint="eastAsia"/>
                      <w:szCs w:val="21"/>
                    </w:rPr>
                  </w:pPr>
                  <w:r>
                    <w:rPr>
                      <w:rFonts w:hint="eastAsia"/>
                      <w:szCs w:val="21"/>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noWrap w:val="0"/>
                  <w:vAlign w:val="center"/>
                </w:tcPr>
                <w:p>
                  <w:pPr>
                    <w:jc w:val="center"/>
                    <w:rPr>
                      <w:szCs w:val="21"/>
                    </w:rPr>
                  </w:pPr>
                  <w:r>
                    <w:rPr>
                      <w:rFonts w:hint="eastAsia"/>
                      <w:szCs w:val="21"/>
                    </w:rPr>
                    <w:t>DA002</w:t>
                  </w:r>
                </w:p>
              </w:tc>
              <w:tc>
                <w:tcPr>
                  <w:tcW w:w="0" w:type="auto"/>
                  <w:noWrap w:val="0"/>
                  <w:vAlign w:val="center"/>
                </w:tcPr>
                <w:p>
                  <w:pPr>
                    <w:jc w:val="center"/>
                    <w:rPr>
                      <w:rFonts w:hint="eastAsia"/>
                      <w:szCs w:val="21"/>
                    </w:rPr>
                  </w:pPr>
                  <w:r>
                    <w:rPr>
                      <w:rFonts w:hint="eastAsia"/>
                      <w:szCs w:val="21"/>
                    </w:rPr>
                    <w:t>柴油发电机废气排放口</w:t>
                  </w:r>
                </w:p>
              </w:tc>
              <w:tc>
                <w:tcPr>
                  <w:tcW w:w="0" w:type="auto"/>
                  <w:noWrap w:val="0"/>
                  <w:vAlign w:val="center"/>
                </w:tcPr>
                <w:p>
                  <w:pPr>
                    <w:jc w:val="center"/>
                    <w:rPr>
                      <w:rFonts w:hint="eastAsia" w:cs="Times New Roman"/>
                      <w:szCs w:val="21"/>
                    </w:rPr>
                  </w:pPr>
                  <w:r>
                    <w:rPr>
                      <w:rFonts w:hint="eastAsia" w:cs="Times New Roman"/>
                      <w:szCs w:val="21"/>
                    </w:rPr>
                    <w:t>SO</w:t>
                  </w:r>
                  <w:r>
                    <w:rPr>
                      <w:rFonts w:hint="eastAsia" w:cs="Times New Roman"/>
                      <w:szCs w:val="21"/>
                      <w:vertAlign w:val="subscript"/>
                    </w:rPr>
                    <w:t>2</w:t>
                  </w:r>
                  <w:r>
                    <w:rPr>
                      <w:rFonts w:hint="eastAsia" w:cs="Times New Roman"/>
                      <w:szCs w:val="21"/>
                    </w:rPr>
                    <w:t>、NO</w:t>
                  </w:r>
                  <w:r>
                    <w:rPr>
                      <w:rFonts w:hint="eastAsia" w:cs="Times New Roman"/>
                      <w:szCs w:val="21"/>
                      <w:vertAlign w:val="subscript"/>
                    </w:rPr>
                    <w:t>x</w:t>
                  </w:r>
                  <w:r>
                    <w:rPr>
                      <w:rFonts w:hint="eastAsia" w:cs="Times New Roman"/>
                      <w:szCs w:val="21"/>
                    </w:rPr>
                    <w:t>、烟尘</w:t>
                  </w:r>
                </w:p>
              </w:tc>
              <w:tc>
                <w:tcPr>
                  <w:tcW w:w="1245" w:type="dxa"/>
                  <w:noWrap w:val="0"/>
                  <w:vAlign w:val="center"/>
                </w:tcPr>
                <w:p>
                  <w:pPr>
                    <w:jc w:val="center"/>
                    <w:rPr>
                      <w:rFonts w:hint="eastAsia"/>
                      <w:bCs/>
                      <w:szCs w:val="21"/>
                    </w:rPr>
                  </w:pPr>
                  <w:r>
                    <w:rPr>
                      <w:bCs/>
                      <w:szCs w:val="21"/>
                    </w:rPr>
                    <w:t>107.47315</w:t>
                  </w:r>
                  <w:r>
                    <w:rPr>
                      <w:rFonts w:hint="eastAsia"/>
                      <w:bCs/>
                      <w:szCs w:val="21"/>
                    </w:rPr>
                    <w:t>3</w:t>
                  </w:r>
                </w:p>
              </w:tc>
              <w:tc>
                <w:tcPr>
                  <w:tcW w:w="1155" w:type="dxa"/>
                  <w:noWrap w:val="0"/>
                  <w:vAlign w:val="center"/>
                </w:tcPr>
                <w:p>
                  <w:pPr>
                    <w:jc w:val="center"/>
                    <w:rPr>
                      <w:rFonts w:hint="eastAsia"/>
                      <w:bCs/>
                      <w:szCs w:val="21"/>
                    </w:rPr>
                  </w:pPr>
                  <w:r>
                    <w:rPr>
                      <w:bCs/>
                      <w:szCs w:val="21"/>
                    </w:rPr>
                    <w:t>31.24885</w:t>
                  </w:r>
                  <w:r>
                    <w:rPr>
                      <w:rFonts w:hint="eastAsia"/>
                      <w:bCs/>
                      <w:szCs w:val="21"/>
                    </w:rPr>
                    <w:t>6</w:t>
                  </w:r>
                </w:p>
              </w:tc>
              <w:tc>
                <w:tcPr>
                  <w:tcW w:w="1050" w:type="dxa"/>
                  <w:noWrap w:val="0"/>
                  <w:vAlign w:val="center"/>
                </w:tcPr>
                <w:p>
                  <w:pPr>
                    <w:jc w:val="center"/>
                    <w:rPr>
                      <w:szCs w:val="21"/>
                    </w:rPr>
                  </w:pPr>
                  <w:r>
                    <w:rPr>
                      <w:rFonts w:hint="eastAsia"/>
                      <w:szCs w:val="21"/>
                    </w:rPr>
                    <w:t>20</w:t>
                  </w:r>
                </w:p>
              </w:tc>
              <w:tc>
                <w:tcPr>
                  <w:tcW w:w="735" w:type="dxa"/>
                  <w:noWrap w:val="0"/>
                  <w:vAlign w:val="center"/>
                </w:tcPr>
                <w:p>
                  <w:pPr>
                    <w:jc w:val="center"/>
                    <w:rPr>
                      <w:rFonts w:hint="eastAsia"/>
                      <w:szCs w:val="21"/>
                    </w:rPr>
                  </w:pPr>
                  <w:r>
                    <w:rPr>
                      <w:rFonts w:hint="eastAsia"/>
                      <w:szCs w:val="21"/>
                    </w:rPr>
                    <w:t>0.2</w:t>
                  </w:r>
                </w:p>
              </w:tc>
              <w:tc>
                <w:tcPr>
                  <w:tcW w:w="919" w:type="dxa"/>
                  <w:noWrap w:val="0"/>
                  <w:vAlign w:val="center"/>
                </w:tcPr>
                <w:p>
                  <w:pPr>
                    <w:jc w:val="center"/>
                    <w:rPr>
                      <w:szCs w:val="21"/>
                    </w:rPr>
                  </w:pPr>
                  <w:r>
                    <w:rPr>
                      <w:szCs w:val="21"/>
                    </w:rPr>
                    <w:t>常温</w:t>
                  </w:r>
                </w:p>
              </w:tc>
              <w:tc>
                <w:tcPr>
                  <w:tcW w:w="0" w:type="auto"/>
                  <w:noWrap w:val="0"/>
                  <w:vAlign w:val="center"/>
                </w:tcPr>
                <w:p>
                  <w:pPr>
                    <w:jc w:val="center"/>
                    <w:rPr>
                      <w:rFonts w:hint="eastAsia"/>
                      <w:szCs w:val="21"/>
                    </w:rPr>
                  </w:pPr>
                  <w:r>
                    <w:rPr>
                      <w:rFonts w:hint="eastAsia"/>
                      <w:szCs w:val="21"/>
                    </w:rPr>
                    <w:t>一般排放口</w:t>
                  </w:r>
                </w:p>
              </w:tc>
            </w:tr>
          </w:tbl>
          <w:p>
            <w:pPr>
              <w:spacing w:line="276" w:lineRule="auto"/>
              <w:ind w:firstLine="420" w:firstLineChars="200"/>
              <w:rPr>
                <w:szCs w:val="21"/>
              </w:rPr>
            </w:pPr>
            <w:r>
              <w:rPr>
                <w:rFonts w:hint="eastAsia"/>
                <w:szCs w:val="21"/>
              </w:rPr>
              <w:t>本项目废气污染物排放统计表如下：</w:t>
            </w:r>
          </w:p>
          <w:p>
            <w:pPr>
              <w:spacing w:line="276" w:lineRule="auto"/>
              <w:jc w:val="center"/>
              <w:rPr>
                <w:rFonts w:hint="eastAsia" w:cs="Times New Roman"/>
                <w:b/>
                <w:szCs w:val="21"/>
              </w:rPr>
            </w:pPr>
            <w:r>
              <w:rPr>
                <w:rFonts w:hint="eastAsia" w:cs="Times New Roman"/>
                <w:b/>
                <w:szCs w:val="21"/>
              </w:rPr>
              <w:t>表4-4  运营期废气污染物排放统计表</w:t>
            </w:r>
          </w:p>
          <w:tbl>
            <w:tblPr>
              <w:tblStyle w:val="27"/>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2377"/>
              <w:gridCol w:w="2377"/>
              <w:gridCol w:w="1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4" w:type="pct"/>
                  <w:noWrap w:val="0"/>
                  <w:vAlign w:val="center"/>
                </w:tcPr>
                <w:p>
                  <w:pPr>
                    <w:jc w:val="center"/>
                    <w:rPr>
                      <w:b/>
                      <w:bCs/>
                      <w:szCs w:val="21"/>
                    </w:rPr>
                  </w:pPr>
                  <w:r>
                    <w:rPr>
                      <w:rFonts w:hint="eastAsia"/>
                      <w:b/>
                      <w:bCs/>
                      <w:szCs w:val="21"/>
                    </w:rPr>
                    <w:t>项目</w:t>
                  </w:r>
                </w:p>
              </w:tc>
              <w:tc>
                <w:tcPr>
                  <w:tcW w:w="1410" w:type="pct"/>
                  <w:noWrap w:val="0"/>
                  <w:vAlign w:val="center"/>
                </w:tcPr>
                <w:p>
                  <w:pPr>
                    <w:jc w:val="center"/>
                    <w:rPr>
                      <w:rFonts w:hint="eastAsia" w:cs="Times New Roman"/>
                      <w:b/>
                      <w:bCs/>
                      <w:szCs w:val="21"/>
                    </w:rPr>
                  </w:pPr>
                  <w:r>
                    <w:rPr>
                      <w:rFonts w:hint="eastAsia" w:cs="Times New Roman"/>
                      <w:b/>
                      <w:bCs/>
                      <w:szCs w:val="21"/>
                    </w:rPr>
                    <w:t>有组织</w:t>
                  </w:r>
                  <w:r>
                    <w:rPr>
                      <w:rFonts w:cs="Times New Roman"/>
                      <w:b/>
                      <w:bCs/>
                      <w:szCs w:val="21"/>
                    </w:rPr>
                    <w:t>排放量</w:t>
                  </w:r>
                  <w:r>
                    <w:rPr>
                      <w:rFonts w:hint="eastAsia" w:cs="Times New Roman"/>
                      <w:b/>
                      <w:bCs/>
                      <w:szCs w:val="21"/>
                    </w:rPr>
                    <w:t>（</w:t>
                  </w:r>
                  <w:r>
                    <w:rPr>
                      <w:rFonts w:cs="Times New Roman"/>
                      <w:b/>
                      <w:bCs/>
                      <w:szCs w:val="21"/>
                    </w:rPr>
                    <w:t>t/a</w:t>
                  </w:r>
                  <w:r>
                    <w:rPr>
                      <w:rFonts w:hint="eastAsia" w:cs="Times New Roman"/>
                      <w:b/>
                      <w:bCs/>
                      <w:szCs w:val="21"/>
                    </w:rPr>
                    <w:t>）</w:t>
                  </w:r>
                </w:p>
              </w:tc>
              <w:tc>
                <w:tcPr>
                  <w:tcW w:w="1410" w:type="pct"/>
                  <w:noWrap w:val="0"/>
                  <w:vAlign w:val="center"/>
                </w:tcPr>
                <w:p>
                  <w:pPr>
                    <w:jc w:val="center"/>
                    <w:rPr>
                      <w:rFonts w:hint="eastAsia" w:cs="Times New Roman"/>
                      <w:b/>
                      <w:bCs/>
                      <w:szCs w:val="21"/>
                    </w:rPr>
                  </w:pPr>
                  <w:r>
                    <w:rPr>
                      <w:rFonts w:hint="eastAsia" w:cs="Times New Roman"/>
                      <w:b/>
                      <w:bCs/>
                      <w:szCs w:val="21"/>
                    </w:rPr>
                    <w:t>无组织排放量（</w:t>
                  </w:r>
                  <w:r>
                    <w:rPr>
                      <w:rFonts w:cs="Times New Roman"/>
                      <w:b/>
                      <w:bCs/>
                      <w:szCs w:val="21"/>
                    </w:rPr>
                    <w:t>t</w:t>
                  </w:r>
                  <w:r>
                    <w:rPr>
                      <w:rFonts w:hint="eastAsia" w:cs="Times New Roman"/>
                      <w:b/>
                      <w:bCs/>
                      <w:szCs w:val="21"/>
                    </w:rPr>
                    <w:t>/a）</w:t>
                  </w:r>
                </w:p>
              </w:tc>
              <w:tc>
                <w:tcPr>
                  <w:tcW w:w="1115" w:type="pct"/>
                  <w:noWrap w:val="0"/>
                  <w:vAlign w:val="center"/>
                </w:tcPr>
                <w:p>
                  <w:pPr>
                    <w:jc w:val="center"/>
                    <w:rPr>
                      <w:rFonts w:cs="Times New Roman"/>
                      <w:b/>
                      <w:bCs/>
                      <w:szCs w:val="21"/>
                    </w:rPr>
                  </w:pPr>
                  <w:r>
                    <w:rPr>
                      <w:rFonts w:hint="eastAsia" w:cs="Times New Roman"/>
                      <w:b/>
                      <w:bCs/>
                      <w:szCs w:val="21"/>
                    </w:rPr>
                    <w:t>合计（</w:t>
                  </w:r>
                  <w:r>
                    <w:rPr>
                      <w:rFonts w:cs="Times New Roman"/>
                      <w:b/>
                      <w:bCs/>
                      <w:szCs w:val="21"/>
                    </w:rPr>
                    <w:t>t</w:t>
                  </w:r>
                  <w:r>
                    <w:rPr>
                      <w:rFonts w:hint="eastAsia" w:cs="Times New Roman"/>
                      <w:b/>
                      <w:bCs/>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064" w:type="pct"/>
                  <w:noWrap w:val="0"/>
                  <w:vAlign w:val="center"/>
                </w:tcPr>
                <w:p>
                  <w:pPr>
                    <w:jc w:val="center"/>
                    <w:rPr>
                      <w:szCs w:val="21"/>
                    </w:rPr>
                  </w:pPr>
                  <w:r>
                    <w:rPr>
                      <w:rFonts w:hint="eastAsia"/>
                      <w:szCs w:val="21"/>
                    </w:rPr>
                    <w:t>油烟</w:t>
                  </w:r>
                </w:p>
              </w:tc>
              <w:tc>
                <w:tcPr>
                  <w:tcW w:w="1410" w:type="pct"/>
                  <w:noWrap w:val="0"/>
                  <w:vAlign w:val="center"/>
                </w:tcPr>
                <w:p>
                  <w:pPr>
                    <w:jc w:val="center"/>
                    <w:rPr>
                      <w:szCs w:val="21"/>
                    </w:rPr>
                  </w:pPr>
                  <w:r>
                    <w:rPr>
                      <w:rFonts w:hint="eastAsia"/>
                      <w:szCs w:val="21"/>
                    </w:rPr>
                    <w:t>0.0018</w:t>
                  </w:r>
                </w:p>
              </w:tc>
              <w:tc>
                <w:tcPr>
                  <w:tcW w:w="1410" w:type="pct"/>
                  <w:noWrap w:val="0"/>
                  <w:vAlign w:val="center"/>
                </w:tcPr>
                <w:p>
                  <w:pPr>
                    <w:jc w:val="center"/>
                    <w:rPr>
                      <w:szCs w:val="21"/>
                    </w:rPr>
                  </w:pPr>
                  <w:r>
                    <w:rPr>
                      <w:rFonts w:hint="eastAsia" w:cs="Times New Roman"/>
                      <w:bCs/>
                      <w:szCs w:val="21"/>
                    </w:rPr>
                    <w:t>/</w:t>
                  </w:r>
                </w:p>
              </w:tc>
              <w:tc>
                <w:tcPr>
                  <w:tcW w:w="1115" w:type="pct"/>
                  <w:noWrap w:val="0"/>
                  <w:vAlign w:val="center"/>
                </w:tcPr>
                <w:p>
                  <w:pPr>
                    <w:jc w:val="center"/>
                    <w:rPr>
                      <w:szCs w:val="21"/>
                    </w:rPr>
                  </w:pPr>
                  <w:r>
                    <w:rPr>
                      <w:rFonts w:hint="eastAsia" w:cs="Times New Roman"/>
                      <w:bCs/>
                      <w:szCs w:val="21"/>
                    </w:rPr>
                    <w:t>0.0018</w:t>
                  </w:r>
                </w:p>
              </w:tc>
            </w:tr>
          </w:tbl>
          <w:p>
            <w:pPr>
              <w:autoSpaceDE w:val="0"/>
              <w:autoSpaceDN w:val="0"/>
              <w:adjustRightInd w:val="0"/>
              <w:snapToGrid w:val="0"/>
              <w:spacing w:line="400" w:lineRule="exact"/>
              <w:ind w:firstLine="422" w:firstLineChars="200"/>
              <w:jc w:val="left"/>
              <w:rPr>
                <w:b/>
                <w:bCs/>
                <w:kern w:val="0"/>
                <w:szCs w:val="21"/>
              </w:rPr>
            </w:pPr>
            <w:r>
              <w:rPr>
                <w:b/>
                <w:bCs/>
                <w:kern w:val="0"/>
                <w:szCs w:val="21"/>
              </w:rPr>
              <w:t>（</w:t>
            </w:r>
            <w:r>
              <w:rPr>
                <w:rFonts w:hint="eastAsia"/>
                <w:b/>
                <w:bCs/>
                <w:kern w:val="0"/>
                <w:szCs w:val="21"/>
              </w:rPr>
              <w:t>3</w:t>
            </w:r>
            <w:r>
              <w:rPr>
                <w:b/>
                <w:bCs/>
                <w:kern w:val="0"/>
                <w:szCs w:val="21"/>
              </w:rPr>
              <w:t>）监测计划</w:t>
            </w:r>
          </w:p>
          <w:p>
            <w:pPr>
              <w:autoSpaceDE w:val="0"/>
              <w:autoSpaceDN w:val="0"/>
              <w:adjustRightInd w:val="0"/>
              <w:snapToGrid w:val="0"/>
              <w:spacing w:line="400" w:lineRule="exact"/>
              <w:ind w:firstLine="420" w:firstLineChars="200"/>
              <w:jc w:val="left"/>
              <w:rPr>
                <w:kern w:val="0"/>
                <w:szCs w:val="21"/>
              </w:rPr>
            </w:pPr>
            <w:r>
              <w:rPr>
                <w:kern w:val="0"/>
                <w:szCs w:val="21"/>
              </w:rPr>
              <w:t>根据《排污单位自行监测技术指南 总则》（HJ819-2017）文件，并结合本项目污染物的特点，制定营运期监测计划见下表。</w:t>
            </w:r>
          </w:p>
          <w:p>
            <w:pPr>
              <w:autoSpaceDE w:val="0"/>
              <w:autoSpaceDN w:val="0"/>
              <w:adjustRightInd w:val="0"/>
              <w:snapToGrid w:val="0"/>
              <w:spacing w:line="320" w:lineRule="exact"/>
              <w:jc w:val="center"/>
              <w:rPr>
                <w:rFonts w:eastAsia="黑体"/>
                <w:kern w:val="0"/>
                <w:sz w:val="20"/>
                <w:szCs w:val="20"/>
                <w:lang w:val="zh-CN"/>
              </w:rPr>
            </w:pPr>
            <w:r>
              <w:rPr>
                <w:rFonts w:eastAsia="黑体"/>
                <w:kern w:val="0"/>
                <w:sz w:val="20"/>
                <w:szCs w:val="20"/>
                <w:lang w:val="zh-CN"/>
              </w:rPr>
              <w:t>表</w:t>
            </w:r>
            <w:r>
              <w:rPr>
                <w:rFonts w:eastAsia="黑体"/>
                <w:kern w:val="0"/>
                <w:sz w:val="20"/>
                <w:szCs w:val="20"/>
              </w:rPr>
              <w:t>4-</w:t>
            </w:r>
            <w:r>
              <w:rPr>
                <w:rFonts w:hint="eastAsia" w:eastAsia="黑体"/>
                <w:kern w:val="0"/>
                <w:sz w:val="20"/>
                <w:szCs w:val="20"/>
              </w:rPr>
              <w:t>5</w:t>
            </w:r>
            <w:r>
              <w:rPr>
                <w:rFonts w:eastAsia="黑体"/>
                <w:kern w:val="0"/>
                <w:sz w:val="20"/>
                <w:szCs w:val="20"/>
                <w:lang w:val="zh-CN"/>
              </w:rPr>
              <w:t xml:space="preserve">   营运期废气监测计划</w:t>
            </w:r>
          </w:p>
          <w:tbl>
            <w:tblPr>
              <w:tblStyle w:val="26"/>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872"/>
              <w:gridCol w:w="2271"/>
              <w:gridCol w:w="1554"/>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b/>
                      <w:bCs/>
                      <w:sz w:val="18"/>
                      <w:szCs w:val="18"/>
                    </w:rPr>
                  </w:pPr>
                  <w:r>
                    <w:rPr>
                      <w:b/>
                      <w:bCs/>
                      <w:sz w:val="18"/>
                      <w:szCs w:val="18"/>
                    </w:rPr>
                    <w:t>监测项目</w:t>
                  </w:r>
                </w:p>
              </w:tc>
              <w:tc>
                <w:tcPr>
                  <w:tcW w:w="1872"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jc w:val="center"/>
                    <w:rPr>
                      <w:b/>
                      <w:bCs/>
                      <w:sz w:val="18"/>
                      <w:szCs w:val="18"/>
                    </w:rPr>
                  </w:pPr>
                  <w:r>
                    <w:rPr>
                      <w:b/>
                      <w:bCs/>
                      <w:sz w:val="18"/>
                      <w:szCs w:val="18"/>
                    </w:rPr>
                    <w:t>监测点位</w:t>
                  </w:r>
                </w:p>
              </w:tc>
              <w:tc>
                <w:tcPr>
                  <w:tcW w:w="2271"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jc w:val="center"/>
                    <w:rPr>
                      <w:b/>
                      <w:bCs/>
                      <w:sz w:val="18"/>
                      <w:szCs w:val="18"/>
                    </w:rPr>
                  </w:pPr>
                  <w:r>
                    <w:rPr>
                      <w:b/>
                      <w:bCs/>
                      <w:sz w:val="18"/>
                      <w:szCs w:val="18"/>
                    </w:rPr>
                    <w:t>监测因子</w:t>
                  </w:r>
                </w:p>
              </w:tc>
              <w:tc>
                <w:tcPr>
                  <w:tcW w:w="1554"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jc w:val="center"/>
                    <w:rPr>
                      <w:b/>
                      <w:bCs/>
                      <w:sz w:val="18"/>
                      <w:szCs w:val="18"/>
                    </w:rPr>
                  </w:pPr>
                  <w:r>
                    <w:rPr>
                      <w:b/>
                      <w:bCs/>
                      <w:sz w:val="18"/>
                      <w:szCs w:val="18"/>
                    </w:rPr>
                    <w:t>监测频次</w:t>
                  </w:r>
                </w:p>
              </w:tc>
              <w:tc>
                <w:tcPr>
                  <w:tcW w:w="1181"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jc w:val="center"/>
                    <w:rPr>
                      <w:b/>
                      <w:bCs/>
                      <w:sz w:val="18"/>
                      <w:szCs w:val="18"/>
                    </w:rPr>
                  </w:pPr>
                  <w:r>
                    <w:rPr>
                      <w:b/>
                      <w:bCs/>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60" w:type="dxa"/>
                  <w:tcBorders>
                    <w:top w:val="single" w:color="auto" w:sz="4" w:space="0"/>
                    <w:left w:val="single" w:color="auto" w:sz="4" w:space="0"/>
                    <w:right w:val="single" w:color="auto" w:sz="4" w:space="0"/>
                  </w:tcBorders>
                  <w:noWrap w:val="0"/>
                  <w:vAlign w:val="center"/>
                </w:tcPr>
                <w:p>
                  <w:pPr>
                    <w:adjustRightInd w:val="0"/>
                    <w:snapToGrid w:val="0"/>
                    <w:spacing w:line="280" w:lineRule="exact"/>
                    <w:jc w:val="center"/>
                    <w:rPr>
                      <w:rFonts w:hint="eastAsia"/>
                      <w:sz w:val="18"/>
                      <w:szCs w:val="18"/>
                    </w:rPr>
                  </w:pPr>
                  <w:r>
                    <w:rPr>
                      <w:rFonts w:hint="eastAsia"/>
                      <w:sz w:val="18"/>
                      <w:szCs w:val="18"/>
                    </w:rPr>
                    <w:t>油烟废气</w:t>
                  </w:r>
                </w:p>
              </w:tc>
              <w:tc>
                <w:tcPr>
                  <w:tcW w:w="1872"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jc w:val="center"/>
                    <w:rPr>
                      <w:rFonts w:hint="eastAsia"/>
                      <w:sz w:val="18"/>
                      <w:szCs w:val="18"/>
                    </w:rPr>
                  </w:pPr>
                  <w:r>
                    <w:rPr>
                      <w:rFonts w:hint="eastAsia"/>
                      <w:sz w:val="18"/>
                      <w:szCs w:val="18"/>
                    </w:rPr>
                    <w:t>食堂油烟排放口</w:t>
                  </w:r>
                </w:p>
              </w:tc>
              <w:tc>
                <w:tcPr>
                  <w:tcW w:w="2271"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jc w:val="center"/>
                    <w:rPr>
                      <w:rFonts w:hint="eastAsia"/>
                      <w:sz w:val="18"/>
                      <w:szCs w:val="18"/>
                    </w:rPr>
                  </w:pPr>
                  <w:r>
                    <w:rPr>
                      <w:rFonts w:hint="eastAsia"/>
                      <w:sz w:val="18"/>
                      <w:szCs w:val="18"/>
                    </w:rPr>
                    <w:t>油烟</w:t>
                  </w:r>
                </w:p>
              </w:tc>
              <w:tc>
                <w:tcPr>
                  <w:tcW w:w="1554"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jc w:val="center"/>
                    <w:rPr>
                      <w:sz w:val="18"/>
                      <w:szCs w:val="18"/>
                    </w:rPr>
                  </w:pPr>
                  <w:r>
                    <w:rPr>
                      <w:sz w:val="18"/>
                      <w:szCs w:val="18"/>
                    </w:rPr>
                    <w:t>1天（每天3次）</w:t>
                  </w:r>
                </w:p>
              </w:tc>
              <w:tc>
                <w:tcPr>
                  <w:tcW w:w="1181" w:type="dxa"/>
                  <w:tcBorders>
                    <w:top w:val="single" w:color="auto" w:sz="4" w:space="0"/>
                    <w:left w:val="nil"/>
                    <w:bottom w:val="single" w:color="auto" w:sz="4" w:space="0"/>
                    <w:right w:val="single" w:color="auto" w:sz="4" w:space="0"/>
                  </w:tcBorders>
                  <w:noWrap w:val="0"/>
                  <w:vAlign w:val="center"/>
                </w:tcPr>
                <w:p>
                  <w:pPr>
                    <w:adjustRightInd w:val="0"/>
                    <w:snapToGrid w:val="0"/>
                    <w:spacing w:line="280" w:lineRule="exact"/>
                    <w:jc w:val="center"/>
                    <w:rPr>
                      <w:sz w:val="18"/>
                      <w:szCs w:val="18"/>
                    </w:rPr>
                  </w:pPr>
                  <w:r>
                    <w:rPr>
                      <w:sz w:val="18"/>
                      <w:szCs w:val="18"/>
                    </w:rPr>
                    <w:t>1次/年</w:t>
                  </w:r>
                </w:p>
              </w:tc>
            </w:tr>
          </w:tbl>
          <w:p>
            <w:pPr>
              <w:autoSpaceDE w:val="0"/>
              <w:autoSpaceDN w:val="0"/>
              <w:adjustRightInd w:val="0"/>
              <w:snapToGrid w:val="0"/>
              <w:spacing w:line="400" w:lineRule="exact"/>
              <w:ind w:firstLine="422" w:firstLineChars="200"/>
              <w:jc w:val="left"/>
              <w:rPr>
                <w:rFonts w:hint="eastAsia"/>
                <w:b/>
                <w:bCs/>
                <w:kern w:val="0"/>
                <w:szCs w:val="21"/>
              </w:rPr>
            </w:pPr>
            <w:r>
              <w:rPr>
                <w:b/>
                <w:bCs/>
                <w:kern w:val="0"/>
                <w:szCs w:val="21"/>
              </w:rPr>
              <w:t>（</w:t>
            </w:r>
            <w:r>
              <w:rPr>
                <w:rFonts w:hint="eastAsia"/>
                <w:b/>
                <w:bCs/>
                <w:kern w:val="0"/>
                <w:szCs w:val="21"/>
              </w:rPr>
              <w:t>4</w:t>
            </w:r>
            <w:r>
              <w:rPr>
                <w:b/>
                <w:bCs/>
                <w:kern w:val="0"/>
                <w:szCs w:val="21"/>
              </w:rPr>
              <w:t>）</w:t>
            </w:r>
            <w:r>
              <w:rPr>
                <w:rFonts w:hint="eastAsia"/>
                <w:b/>
                <w:bCs/>
                <w:kern w:val="0"/>
                <w:szCs w:val="21"/>
              </w:rPr>
              <w:t>环境影响分析</w:t>
            </w:r>
          </w:p>
          <w:p>
            <w:pPr>
              <w:spacing w:line="276" w:lineRule="auto"/>
              <w:ind w:firstLine="420" w:firstLineChars="200"/>
              <w:rPr>
                <w:rFonts w:hint="eastAsia" w:cs="Times New Roman"/>
                <w:szCs w:val="21"/>
              </w:rPr>
            </w:pPr>
            <w:r>
              <w:rPr>
                <w:rFonts w:hint="eastAsia" w:cs="Times New Roman"/>
                <w:szCs w:val="21"/>
              </w:rPr>
              <w:t>本项目废气污染物主要为食堂油烟，仅在停电时使用柴油发电机会产生少量柴油发电机尾气。经分析，本项目废气均可以实现达标排放，采取的措施均属于可行的污染物治理技术，能够有效降低废气污染物的排放量，对所在区域大气环境影响程度为可以接受的影响程度，项目建设对周围环境空气质量的影响很小。</w:t>
            </w:r>
          </w:p>
          <w:p>
            <w:pPr>
              <w:spacing w:line="276" w:lineRule="auto"/>
              <w:ind w:firstLine="422" w:firstLineChars="200"/>
              <w:rPr>
                <w:rFonts w:hint="eastAsia" w:cs="Times New Roman"/>
                <w:b/>
                <w:bCs/>
                <w:szCs w:val="21"/>
              </w:rPr>
            </w:pPr>
            <w:r>
              <w:rPr>
                <w:rFonts w:hint="eastAsia" w:cs="Times New Roman"/>
                <w:b/>
                <w:bCs/>
                <w:szCs w:val="21"/>
              </w:rPr>
              <w:t>2、废水</w:t>
            </w:r>
          </w:p>
          <w:p>
            <w:pPr>
              <w:spacing w:line="276" w:lineRule="auto"/>
              <w:ind w:firstLine="420" w:firstLineChars="200"/>
              <w:rPr>
                <w:rFonts w:hint="eastAsia" w:cs="Times New Roman"/>
                <w:szCs w:val="21"/>
              </w:rPr>
            </w:pPr>
            <w:r>
              <w:rPr>
                <w:rFonts w:hint="eastAsia" w:cs="Times New Roman"/>
                <w:szCs w:val="21"/>
              </w:rPr>
              <w:t>主要为生活污水（含食堂废水）、生产废水（包括排泥废水、V型滤池初滤水及反冲洗废水）、污泥脱水滤液。</w:t>
            </w:r>
          </w:p>
          <w:p>
            <w:pPr>
              <w:spacing w:line="276" w:lineRule="auto"/>
              <w:ind w:firstLine="422" w:firstLineChars="200"/>
              <w:rPr>
                <w:rFonts w:hint="eastAsia" w:cs="Times New Roman"/>
                <w:b/>
                <w:bCs/>
                <w:szCs w:val="21"/>
              </w:rPr>
            </w:pPr>
          </w:p>
          <w:p>
            <w:pPr>
              <w:spacing w:line="276" w:lineRule="auto"/>
              <w:ind w:firstLine="422" w:firstLineChars="200"/>
              <w:rPr>
                <w:rFonts w:hint="eastAsia" w:cs="Times New Roman"/>
                <w:b/>
                <w:bCs/>
                <w:szCs w:val="21"/>
              </w:rPr>
            </w:pPr>
            <w:r>
              <w:rPr>
                <w:rFonts w:hint="eastAsia" w:cs="Times New Roman"/>
                <w:b/>
                <w:bCs/>
                <w:szCs w:val="21"/>
              </w:rPr>
              <w:t>（1）产排污环节、类别、污染物种类、产生量核算</w:t>
            </w:r>
          </w:p>
          <w:p>
            <w:pPr>
              <w:spacing w:line="276" w:lineRule="auto"/>
              <w:ind w:firstLine="422" w:firstLineChars="200"/>
              <w:rPr>
                <w:rFonts w:hint="eastAsia" w:cs="Times New Roman"/>
                <w:b/>
                <w:bCs/>
                <w:szCs w:val="21"/>
              </w:rPr>
            </w:pPr>
            <w:r>
              <w:rPr>
                <w:rFonts w:hint="eastAsia" w:cs="Times New Roman"/>
                <w:b/>
                <w:bCs/>
                <w:szCs w:val="21"/>
              </w:rPr>
              <w:t>①生活污水（含食堂废水）</w:t>
            </w:r>
          </w:p>
          <w:p>
            <w:pPr>
              <w:spacing w:line="276" w:lineRule="auto"/>
              <w:ind w:firstLine="420" w:firstLineChars="200"/>
              <w:rPr>
                <w:rFonts w:cs="Times New Roman"/>
                <w:szCs w:val="21"/>
              </w:rPr>
            </w:pPr>
            <w:r>
              <w:rPr>
                <w:rFonts w:hint="eastAsia" w:cs="Times New Roman"/>
                <w:szCs w:val="21"/>
              </w:rPr>
              <w:t>本项目新增</w:t>
            </w:r>
            <w:r>
              <w:rPr>
                <w:rFonts w:cs="Times New Roman"/>
                <w:szCs w:val="21"/>
              </w:rPr>
              <w:t>员工人数为</w:t>
            </w:r>
            <w:r>
              <w:rPr>
                <w:rFonts w:hint="eastAsia" w:cs="Times New Roman"/>
                <w:szCs w:val="21"/>
              </w:rPr>
              <w:t>20</w:t>
            </w:r>
            <w:r>
              <w:rPr>
                <w:rFonts w:cs="Times New Roman"/>
                <w:szCs w:val="21"/>
              </w:rPr>
              <w:t>人</w:t>
            </w:r>
            <w:r>
              <w:rPr>
                <w:rFonts w:hint="eastAsia" w:cs="Times New Roman"/>
                <w:szCs w:val="21"/>
              </w:rPr>
              <w:t>，项目建成后全厂约40人。</w:t>
            </w:r>
            <w:r>
              <w:rPr>
                <w:rFonts w:cs="Times New Roman"/>
                <w:szCs w:val="21"/>
              </w:rPr>
              <w:t>根据《四川省用水定额》（川府函〔2021〕8号）中表</w:t>
            </w:r>
            <w:r>
              <w:rPr>
                <w:rFonts w:hint="eastAsia" w:cs="Times New Roman"/>
                <w:szCs w:val="21"/>
              </w:rPr>
              <w:t>36城镇居民</w:t>
            </w:r>
            <w:r>
              <w:rPr>
                <w:rFonts w:cs="Times New Roman"/>
                <w:szCs w:val="21"/>
              </w:rPr>
              <w:t>生活用水定额表，用水量按</w:t>
            </w:r>
            <w:r>
              <w:rPr>
                <w:rFonts w:hint="eastAsia" w:cs="Times New Roman"/>
                <w:szCs w:val="21"/>
              </w:rPr>
              <w:t>20</w:t>
            </w:r>
            <w:r>
              <w:rPr>
                <w:rFonts w:cs="Times New Roman"/>
                <w:szCs w:val="21"/>
              </w:rPr>
              <w:t>0L/人·d计</w:t>
            </w:r>
            <w:r>
              <w:rPr>
                <w:rFonts w:hint="eastAsia" w:cs="Times New Roman"/>
                <w:szCs w:val="21"/>
              </w:rPr>
              <w:t>（含食堂用水）</w:t>
            </w:r>
            <w:r>
              <w:rPr>
                <w:rFonts w:cs="Times New Roman"/>
                <w:szCs w:val="21"/>
              </w:rPr>
              <w:t>，则生活用水量为</w:t>
            </w:r>
            <w:r>
              <w:rPr>
                <w:rFonts w:hint="eastAsia"/>
                <w:bCs/>
                <w:kern w:val="24"/>
                <w:szCs w:val="21"/>
              </w:rPr>
              <w:t>8m</w:t>
            </w:r>
            <w:r>
              <w:rPr>
                <w:rFonts w:hint="eastAsia"/>
                <w:bCs/>
                <w:kern w:val="24"/>
                <w:szCs w:val="21"/>
                <w:vertAlign w:val="superscript"/>
              </w:rPr>
              <w:t>3</w:t>
            </w:r>
            <w:r>
              <w:rPr>
                <w:rFonts w:hint="eastAsia"/>
                <w:bCs/>
                <w:kern w:val="24"/>
                <w:szCs w:val="21"/>
              </w:rPr>
              <w:t>/d（2920m</w:t>
            </w:r>
            <w:r>
              <w:rPr>
                <w:rFonts w:hint="eastAsia"/>
                <w:bCs/>
                <w:kern w:val="24"/>
                <w:szCs w:val="21"/>
                <w:vertAlign w:val="superscript"/>
              </w:rPr>
              <w:t>3</w:t>
            </w:r>
            <w:r>
              <w:rPr>
                <w:rFonts w:hint="eastAsia"/>
                <w:bCs/>
                <w:kern w:val="24"/>
                <w:szCs w:val="21"/>
              </w:rPr>
              <w:t>/a）</w:t>
            </w:r>
            <w:r>
              <w:rPr>
                <w:rFonts w:hint="eastAsia" w:cs="Times New Roman"/>
                <w:szCs w:val="21"/>
              </w:rPr>
              <w:t>，</w:t>
            </w:r>
            <w:r>
              <w:rPr>
                <w:rFonts w:cs="Times New Roman"/>
                <w:szCs w:val="21"/>
              </w:rPr>
              <w:t>项目排放系数按0.8</w:t>
            </w:r>
            <w:r>
              <w:rPr>
                <w:rFonts w:hint="eastAsia" w:cs="Times New Roman"/>
                <w:szCs w:val="21"/>
              </w:rPr>
              <w:t>5</w:t>
            </w:r>
            <w:r>
              <w:rPr>
                <w:rFonts w:cs="Times New Roman"/>
                <w:szCs w:val="21"/>
              </w:rPr>
              <w:t>计，</w:t>
            </w:r>
            <w:r>
              <w:rPr>
                <w:rFonts w:hint="eastAsia" w:cs="Times New Roman"/>
                <w:szCs w:val="21"/>
              </w:rPr>
              <w:t>生活污水产生量为</w:t>
            </w:r>
            <w:r>
              <w:rPr>
                <w:rFonts w:hint="eastAsia"/>
                <w:kern w:val="24"/>
                <w:szCs w:val="21"/>
              </w:rPr>
              <w:t>6.8m</w:t>
            </w:r>
            <w:r>
              <w:rPr>
                <w:rFonts w:hint="eastAsia"/>
                <w:kern w:val="24"/>
                <w:szCs w:val="21"/>
                <w:vertAlign w:val="superscript"/>
              </w:rPr>
              <w:t>3</w:t>
            </w:r>
            <w:r>
              <w:rPr>
                <w:rFonts w:hint="eastAsia"/>
                <w:kern w:val="24"/>
                <w:szCs w:val="21"/>
              </w:rPr>
              <w:t>/d（2482m</w:t>
            </w:r>
            <w:r>
              <w:rPr>
                <w:rFonts w:hint="eastAsia"/>
                <w:kern w:val="24"/>
                <w:szCs w:val="21"/>
                <w:vertAlign w:val="superscript"/>
              </w:rPr>
              <w:t>3</w:t>
            </w:r>
            <w:r>
              <w:rPr>
                <w:rFonts w:hint="eastAsia"/>
                <w:kern w:val="24"/>
                <w:szCs w:val="21"/>
              </w:rPr>
              <w:t>/a）</w:t>
            </w:r>
            <w:r>
              <w:rPr>
                <w:rFonts w:cs="Times New Roman"/>
                <w:szCs w:val="21"/>
              </w:rPr>
              <w:t>。</w:t>
            </w:r>
            <w:r>
              <w:rPr>
                <w:rFonts w:hint="eastAsia" w:cs="Times New Roman"/>
                <w:szCs w:val="21"/>
              </w:rPr>
              <w:t>根据《排放源统计调查产排污核算方法和系数手册》（公告2021年第24号）中“生活源产排污核算方法和系数手册”，主要污染物浓度COD：325mg/L、BOD</w:t>
            </w:r>
            <w:r>
              <w:rPr>
                <w:rFonts w:hint="eastAsia" w:cs="Times New Roman"/>
                <w:szCs w:val="21"/>
                <w:vertAlign w:val="subscript"/>
              </w:rPr>
              <w:t>5</w:t>
            </w:r>
            <w:r>
              <w:rPr>
                <w:rFonts w:hint="eastAsia" w:cs="Times New Roman"/>
                <w:szCs w:val="21"/>
              </w:rPr>
              <w:t>：140mg/L、SS：200mg/L、NH</w:t>
            </w:r>
            <w:r>
              <w:rPr>
                <w:rFonts w:hint="eastAsia" w:cs="Times New Roman"/>
                <w:szCs w:val="21"/>
                <w:vertAlign w:val="subscript"/>
              </w:rPr>
              <w:t>3</w:t>
            </w:r>
            <w:r>
              <w:rPr>
                <w:rFonts w:hint="eastAsia" w:cs="Times New Roman"/>
                <w:szCs w:val="21"/>
              </w:rPr>
              <w:t>-N：37.7mg/L、TP：4.28mg/L，则产生源强见下表</w:t>
            </w:r>
            <w:r>
              <w:rPr>
                <w:rFonts w:cs="Times New Roman"/>
                <w:szCs w:val="21"/>
              </w:rPr>
              <w:t>。</w:t>
            </w:r>
          </w:p>
          <w:p>
            <w:pPr>
              <w:spacing w:line="276" w:lineRule="auto"/>
              <w:jc w:val="center"/>
              <w:rPr>
                <w:rFonts w:hint="eastAsia" w:cs="Times New Roman"/>
                <w:b/>
                <w:bCs/>
                <w:szCs w:val="21"/>
              </w:rPr>
            </w:pPr>
            <w:r>
              <w:rPr>
                <w:rFonts w:hint="eastAsia" w:cs="Times New Roman"/>
                <w:b/>
                <w:bCs/>
                <w:szCs w:val="21"/>
              </w:rPr>
              <w:t>表4-6  生活污水产排污环节、类别、污染物种类、产生量</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1103"/>
              <w:gridCol w:w="1239"/>
              <w:gridCol w:w="1381"/>
              <w:gridCol w:w="1598"/>
              <w:gridCol w:w="15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896" w:type="pct"/>
                  <w:vMerge w:val="restart"/>
                  <w:noWrap w:val="0"/>
                  <w:vAlign w:val="center"/>
                </w:tcPr>
                <w:p>
                  <w:pPr>
                    <w:jc w:val="center"/>
                    <w:rPr>
                      <w:b/>
                      <w:bCs/>
                      <w:szCs w:val="21"/>
                    </w:rPr>
                  </w:pPr>
                  <w:r>
                    <w:rPr>
                      <w:rFonts w:hint="eastAsia"/>
                      <w:b/>
                      <w:bCs/>
                      <w:szCs w:val="21"/>
                    </w:rPr>
                    <w:t>废水产污环节</w:t>
                  </w:r>
                </w:p>
              </w:tc>
              <w:tc>
                <w:tcPr>
                  <w:tcW w:w="654" w:type="pct"/>
                  <w:vMerge w:val="restart"/>
                  <w:noWrap w:val="0"/>
                  <w:vAlign w:val="center"/>
                </w:tcPr>
                <w:p>
                  <w:pPr>
                    <w:jc w:val="center"/>
                    <w:rPr>
                      <w:b/>
                      <w:bCs/>
                      <w:szCs w:val="21"/>
                    </w:rPr>
                  </w:pPr>
                  <w:r>
                    <w:rPr>
                      <w:b/>
                      <w:bCs/>
                      <w:szCs w:val="21"/>
                    </w:rPr>
                    <w:t>废水类别</w:t>
                  </w:r>
                </w:p>
              </w:tc>
              <w:tc>
                <w:tcPr>
                  <w:tcW w:w="735" w:type="pct"/>
                  <w:vMerge w:val="restart"/>
                  <w:noWrap w:val="0"/>
                  <w:vAlign w:val="center"/>
                </w:tcPr>
                <w:p>
                  <w:pPr>
                    <w:jc w:val="center"/>
                    <w:rPr>
                      <w:b/>
                      <w:bCs/>
                      <w:szCs w:val="21"/>
                    </w:rPr>
                  </w:pPr>
                  <w:r>
                    <w:rPr>
                      <w:b/>
                      <w:bCs/>
                      <w:szCs w:val="21"/>
                    </w:rPr>
                    <w:t>废水量</w:t>
                  </w:r>
                  <w:r>
                    <w:rPr>
                      <w:rFonts w:hint="eastAsia"/>
                      <w:b/>
                      <w:bCs/>
                      <w:szCs w:val="21"/>
                    </w:rPr>
                    <w:t>（</w:t>
                  </w:r>
                  <w:r>
                    <w:rPr>
                      <w:b/>
                      <w:bCs/>
                      <w:szCs w:val="21"/>
                    </w:rPr>
                    <w:t>m</w:t>
                  </w:r>
                  <w:r>
                    <w:rPr>
                      <w:b/>
                      <w:bCs/>
                      <w:szCs w:val="21"/>
                      <w:vertAlign w:val="superscript"/>
                    </w:rPr>
                    <w:t>3</w:t>
                  </w:r>
                  <w:r>
                    <w:rPr>
                      <w:b/>
                      <w:bCs/>
                      <w:szCs w:val="21"/>
                    </w:rPr>
                    <w:t>/</w:t>
                  </w:r>
                  <w:r>
                    <w:rPr>
                      <w:rFonts w:hint="eastAsia"/>
                      <w:b/>
                      <w:bCs/>
                      <w:szCs w:val="21"/>
                    </w:rPr>
                    <w:t>a）</w:t>
                  </w:r>
                </w:p>
              </w:tc>
              <w:tc>
                <w:tcPr>
                  <w:tcW w:w="819" w:type="pct"/>
                  <w:vMerge w:val="restart"/>
                  <w:noWrap w:val="0"/>
                  <w:vAlign w:val="center"/>
                </w:tcPr>
                <w:p>
                  <w:pPr>
                    <w:jc w:val="center"/>
                    <w:rPr>
                      <w:b/>
                      <w:bCs/>
                      <w:szCs w:val="21"/>
                    </w:rPr>
                  </w:pPr>
                  <w:r>
                    <w:rPr>
                      <w:b/>
                      <w:bCs/>
                      <w:szCs w:val="21"/>
                    </w:rPr>
                    <w:t>污染物</w:t>
                  </w:r>
                  <w:r>
                    <w:rPr>
                      <w:rFonts w:hint="eastAsia"/>
                      <w:b/>
                      <w:bCs/>
                      <w:szCs w:val="21"/>
                    </w:rPr>
                    <w:t>种类</w:t>
                  </w:r>
                </w:p>
              </w:tc>
              <w:tc>
                <w:tcPr>
                  <w:tcW w:w="1896" w:type="pct"/>
                  <w:gridSpan w:val="2"/>
                  <w:noWrap w:val="0"/>
                  <w:vAlign w:val="center"/>
                </w:tcPr>
                <w:p>
                  <w:pPr>
                    <w:jc w:val="center"/>
                    <w:rPr>
                      <w:b/>
                      <w:bCs/>
                      <w:szCs w:val="21"/>
                    </w:rPr>
                  </w:pPr>
                  <w:r>
                    <w:rPr>
                      <w:b/>
                      <w:bCs/>
                      <w:szCs w:val="21"/>
                    </w:rPr>
                    <w:t>污染物产生量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6" w:type="pct"/>
                  <w:vMerge w:val="continue"/>
                  <w:noWrap w:val="0"/>
                  <w:vAlign w:val="center"/>
                </w:tcPr>
                <w:p>
                  <w:pPr>
                    <w:jc w:val="center"/>
                    <w:rPr>
                      <w:b/>
                      <w:bCs/>
                      <w:color w:val="FF00FF"/>
                      <w:szCs w:val="21"/>
                    </w:rPr>
                  </w:pPr>
                </w:p>
              </w:tc>
              <w:tc>
                <w:tcPr>
                  <w:tcW w:w="654" w:type="pct"/>
                  <w:vMerge w:val="continue"/>
                  <w:noWrap w:val="0"/>
                  <w:vAlign w:val="center"/>
                </w:tcPr>
                <w:p>
                  <w:pPr>
                    <w:jc w:val="center"/>
                    <w:rPr>
                      <w:b/>
                      <w:bCs/>
                      <w:color w:val="FF00FF"/>
                      <w:szCs w:val="21"/>
                    </w:rPr>
                  </w:pPr>
                </w:p>
              </w:tc>
              <w:tc>
                <w:tcPr>
                  <w:tcW w:w="735" w:type="pct"/>
                  <w:vMerge w:val="continue"/>
                  <w:noWrap w:val="0"/>
                  <w:vAlign w:val="center"/>
                </w:tcPr>
                <w:p>
                  <w:pPr>
                    <w:jc w:val="center"/>
                    <w:rPr>
                      <w:b/>
                      <w:bCs/>
                      <w:color w:val="FF00FF"/>
                      <w:szCs w:val="21"/>
                    </w:rPr>
                  </w:pPr>
                </w:p>
              </w:tc>
              <w:tc>
                <w:tcPr>
                  <w:tcW w:w="819" w:type="pct"/>
                  <w:vMerge w:val="continue"/>
                  <w:noWrap w:val="0"/>
                  <w:vAlign w:val="center"/>
                </w:tcPr>
                <w:p>
                  <w:pPr>
                    <w:jc w:val="center"/>
                    <w:rPr>
                      <w:b/>
                      <w:bCs/>
                      <w:szCs w:val="21"/>
                    </w:rPr>
                  </w:pPr>
                </w:p>
              </w:tc>
              <w:tc>
                <w:tcPr>
                  <w:tcW w:w="948" w:type="pct"/>
                  <w:noWrap w:val="0"/>
                  <w:vAlign w:val="center"/>
                </w:tcPr>
                <w:p>
                  <w:pPr>
                    <w:jc w:val="center"/>
                    <w:rPr>
                      <w:b/>
                      <w:bCs/>
                      <w:szCs w:val="21"/>
                    </w:rPr>
                  </w:pPr>
                  <w:r>
                    <w:rPr>
                      <w:rFonts w:hint="eastAsia"/>
                      <w:b/>
                      <w:bCs/>
                      <w:szCs w:val="21"/>
                    </w:rPr>
                    <w:t>浓度（</w:t>
                  </w:r>
                  <w:r>
                    <w:rPr>
                      <w:b/>
                      <w:bCs/>
                      <w:szCs w:val="21"/>
                    </w:rPr>
                    <w:t>mg</w:t>
                  </w:r>
                  <w:r>
                    <w:rPr>
                      <w:rFonts w:hint="eastAsia"/>
                      <w:b/>
                      <w:bCs/>
                      <w:szCs w:val="21"/>
                    </w:rPr>
                    <w:t>/L）</w:t>
                  </w:r>
                </w:p>
              </w:tc>
              <w:tc>
                <w:tcPr>
                  <w:tcW w:w="948" w:type="pct"/>
                  <w:noWrap w:val="0"/>
                  <w:vAlign w:val="center"/>
                </w:tcPr>
                <w:p>
                  <w:pPr>
                    <w:jc w:val="center"/>
                    <w:rPr>
                      <w:b/>
                      <w:bCs/>
                      <w:szCs w:val="21"/>
                    </w:rPr>
                  </w:pPr>
                  <w:r>
                    <w:rPr>
                      <w:rFonts w:hint="eastAsia"/>
                      <w:b/>
                      <w:bCs/>
                      <w:szCs w:val="21"/>
                    </w:rPr>
                    <w:t>产生量（t</w:t>
                  </w:r>
                  <w:r>
                    <w:rPr>
                      <w:b/>
                      <w:bCs/>
                      <w:szCs w:val="21"/>
                    </w:rPr>
                    <w:t>/a</w:t>
                  </w:r>
                  <w:r>
                    <w:rPr>
                      <w:rFonts w:hint="eastAsia"/>
                      <w:b/>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6" w:type="pct"/>
                  <w:vMerge w:val="restart"/>
                  <w:noWrap w:val="0"/>
                  <w:vAlign w:val="center"/>
                </w:tcPr>
                <w:p>
                  <w:pPr>
                    <w:jc w:val="center"/>
                    <w:rPr>
                      <w:szCs w:val="21"/>
                    </w:rPr>
                  </w:pPr>
                  <w:r>
                    <w:rPr>
                      <w:rFonts w:hint="eastAsia"/>
                      <w:szCs w:val="21"/>
                    </w:rPr>
                    <w:t>值班人员</w:t>
                  </w:r>
                </w:p>
              </w:tc>
              <w:tc>
                <w:tcPr>
                  <w:tcW w:w="654" w:type="pct"/>
                  <w:vMerge w:val="restart"/>
                  <w:noWrap w:val="0"/>
                  <w:vAlign w:val="center"/>
                </w:tcPr>
                <w:p>
                  <w:pPr>
                    <w:jc w:val="center"/>
                    <w:rPr>
                      <w:szCs w:val="21"/>
                    </w:rPr>
                  </w:pPr>
                  <w:r>
                    <w:rPr>
                      <w:rFonts w:hint="eastAsia"/>
                      <w:szCs w:val="21"/>
                    </w:rPr>
                    <w:t>生活污水食堂废水</w:t>
                  </w:r>
                </w:p>
              </w:tc>
              <w:tc>
                <w:tcPr>
                  <w:tcW w:w="735" w:type="pct"/>
                  <w:vMerge w:val="restart"/>
                  <w:noWrap w:val="0"/>
                  <w:vAlign w:val="center"/>
                </w:tcPr>
                <w:p>
                  <w:pPr>
                    <w:jc w:val="center"/>
                    <w:rPr>
                      <w:szCs w:val="21"/>
                    </w:rPr>
                  </w:pPr>
                  <w:r>
                    <w:rPr>
                      <w:rFonts w:hint="eastAsia"/>
                      <w:szCs w:val="21"/>
                    </w:rPr>
                    <w:t>2482</w:t>
                  </w:r>
                </w:p>
              </w:tc>
              <w:tc>
                <w:tcPr>
                  <w:tcW w:w="819" w:type="pct"/>
                  <w:noWrap w:val="0"/>
                  <w:vAlign w:val="center"/>
                </w:tcPr>
                <w:p>
                  <w:pPr>
                    <w:jc w:val="center"/>
                    <w:rPr>
                      <w:szCs w:val="21"/>
                    </w:rPr>
                  </w:pPr>
                  <w:r>
                    <w:rPr>
                      <w:szCs w:val="21"/>
                    </w:rPr>
                    <w:t>COD</w:t>
                  </w:r>
                </w:p>
              </w:tc>
              <w:tc>
                <w:tcPr>
                  <w:tcW w:w="948" w:type="pct"/>
                  <w:noWrap w:val="0"/>
                  <w:vAlign w:val="center"/>
                </w:tcPr>
                <w:p>
                  <w:pPr>
                    <w:widowControl/>
                    <w:jc w:val="center"/>
                    <w:rPr>
                      <w:rFonts w:cs="Times New Roman"/>
                      <w:kern w:val="0"/>
                      <w:szCs w:val="21"/>
                    </w:rPr>
                  </w:pPr>
                  <w:r>
                    <w:rPr>
                      <w:rFonts w:hint="eastAsia" w:cs="Times New Roman"/>
                      <w:kern w:val="0"/>
                      <w:szCs w:val="21"/>
                    </w:rPr>
                    <w:t>3</w:t>
                  </w:r>
                  <w:r>
                    <w:rPr>
                      <w:rFonts w:cs="Times New Roman"/>
                      <w:kern w:val="0"/>
                      <w:szCs w:val="21"/>
                    </w:rPr>
                    <w:t>25</w:t>
                  </w:r>
                </w:p>
              </w:tc>
              <w:tc>
                <w:tcPr>
                  <w:tcW w:w="948" w:type="pct"/>
                  <w:noWrap w:val="0"/>
                  <w:vAlign w:val="center"/>
                </w:tcPr>
                <w:p>
                  <w:pPr>
                    <w:widowControl/>
                    <w:jc w:val="center"/>
                    <w:rPr>
                      <w:rFonts w:cs="Times New Roman"/>
                      <w:kern w:val="0"/>
                      <w:szCs w:val="21"/>
                    </w:rPr>
                  </w:pPr>
                  <w:r>
                    <w:rPr>
                      <w:rFonts w:hint="eastAsia" w:cs="Times New Roman"/>
                      <w:kern w:val="0"/>
                      <w:szCs w:val="21"/>
                    </w:rPr>
                    <w:t>0.8067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6" w:type="pct"/>
                  <w:vMerge w:val="continue"/>
                  <w:noWrap w:val="0"/>
                  <w:vAlign w:val="center"/>
                </w:tcPr>
                <w:p>
                  <w:pPr>
                    <w:jc w:val="center"/>
                    <w:rPr>
                      <w:color w:val="FF00FF"/>
                      <w:szCs w:val="21"/>
                    </w:rPr>
                  </w:pPr>
                </w:p>
              </w:tc>
              <w:tc>
                <w:tcPr>
                  <w:tcW w:w="654" w:type="pct"/>
                  <w:vMerge w:val="continue"/>
                  <w:noWrap w:val="0"/>
                  <w:vAlign w:val="center"/>
                </w:tcPr>
                <w:p>
                  <w:pPr>
                    <w:jc w:val="center"/>
                    <w:rPr>
                      <w:color w:val="FF00FF"/>
                      <w:szCs w:val="21"/>
                    </w:rPr>
                  </w:pPr>
                </w:p>
              </w:tc>
              <w:tc>
                <w:tcPr>
                  <w:tcW w:w="735" w:type="pct"/>
                  <w:vMerge w:val="continue"/>
                  <w:noWrap w:val="0"/>
                  <w:vAlign w:val="center"/>
                </w:tcPr>
                <w:p>
                  <w:pPr>
                    <w:jc w:val="center"/>
                    <w:rPr>
                      <w:color w:val="FF00FF"/>
                      <w:szCs w:val="21"/>
                    </w:rPr>
                  </w:pPr>
                </w:p>
              </w:tc>
              <w:tc>
                <w:tcPr>
                  <w:tcW w:w="819" w:type="pct"/>
                  <w:noWrap w:val="0"/>
                  <w:vAlign w:val="center"/>
                </w:tcPr>
                <w:p>
                  <w:pPr>
                    <w:jc w:val="center"/>
                    <w:rPr>
                      <w:szCs w:val="21"/>
                    </w:rPr>
                  </w:pPr>
                  <w:r>
                    <w:rPr>
                      <w:szCs w:val="21"/>
                    </w:rPr>
                    <w:t>BOD</w:t>
                  </w:r>
                  <w:r>
                    <w:rPr>
                      <w:szCs w:val="21"/>
                      <w:vertAlign w:val="subscript"/>
                    </w:rPr>
                    <w:t>5</w:t>
                  </w:r>
                </w:p>
              </w:tc>
              <w:tc>
                <w:tcPr>
                  <w:tcW w:w="948" w:type="pct"/>
                  <w:noWrap w:val="0"/>
                  <w:vAlign w:val="center"/>
                </w:tcPr>
                <w:p>
                  <w:pPr>
                    <w:jc w:val="center"/>
                    <w:rPr>
                      <w:rFonts w:cs="Times New Roman"/>
                      <w:szCs w:val="21"/>
                    </w:rPr>
                  </w:pPr>
                  <w:r>
                    <w:rPr>
                      <w:rFonts w:hint="eastAsia" w:cs="Times New Roman"/>
                      <w:szCs w:val="21"/>
                    </w:rPr>
                    <w:t>1</w:t>
                  </w:r>
                  <w:r>
                    <w:rPr>
                      <w:rFonts w:cs="Times New Roman"/>
                      <w:szCs w:val="21"/>
                    </w:rPr>
                    <w:t>40</w:t>
                  </w:r>
                </w:p>
              </w:tc>
              <w:tc>
                <w:tcPr>
                  <w:tcW w:w="948" w:type="pct"/>
                  <w:noWrap w:val="0"/>
                  <w:vAlign w:val="center"/>
                </w:tcPr>
                <w:p>
                  <w:pPr>
                    <w:widowControl/>
                    <w:jc w:val="center"/>
                    <w:rPr>
                      <w:rFonts w:cs="Times New Roman"/>
                      <w:kern w:val="0"/>
                      <w:szCs w:val="21"/>
                    </w:rPr>
                  </w:pPr>
                  <w:r>
                    <w:rPr>
                      <w:rFonts w:hint="eastAsia" w:cs="Times New Roman"/>
                      <w:kern w:val="0"/>
                      <w:szCs w:val="21"/>
                    </w:rPr>
                    <w:t>0.3475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6" w:type="pct"/>
                  <w:vMerge w:val="continue"/>
                  <w:noWrap w:val="0"/>
                  <w:vAlign w:val="center"/>
                </w:tcPr>
                <w:p>
                  <w:pPr>
                    <w:jc w:val="center"/>
                    <w:rPr>
                      <w:color w:val="FF00FF"/>
                      <w:szCs w:val="21"/>
                    </w:rPr>
                  </w:pPr>
                </w:p>
              </w:tc>
              <w:tc>
                <w:tcPr>
                  <w:tcW w:w="654" w:type="pct"/>
                  <w:vMerge w:val="continue"/>
                  <w:noWrap w:val="0"/>
                  <w:vAlign w:val="center"/>
                </w:tcPr>
                <w:p>
                  <w:pPr>
                    <w:jc w:val="center"/>
                    <w:rPr>
                      <w:color w:val="FF00FF"/>
                      <w:szCs w:val="21"/>
                    </w:rPr>
                  </w:pPr>
                </w:p>
              </w:tc>
              <w:tc>
                <w:tcPr>
                  <w:tcW w:w="735" w:type="pct"/>
                  <w:vMerge w:val="continue"/>
                  <w:noWrap w:val="0"/>
                  <w:vAlign w:val="center"/>
                </w:tcPr>
                <w:p>
                  <w:pPr>
                    <w:jc w:val="center"/>
                    <w:rPr>
                      <w:color w:val="FF00FF"/>
                      <w:szCs w:val="21"/>
                    </w:rPr>
                  </w:pPr>
                </w:p>
              </w:tc>
              <w:tc>
                <w:tcPr>
                  <w:tcW w:w="819" w:type="pct"/>
                  <w:noWrap w:val="0"/>
                  <w:vAlign w:val="center"/>
                </w:tcPr>
                <w:p>
                  <w:pPr>
                    <w:jc w:val="center"/>
                    <w:rPr>
                      <w:szCs w:val="21"/>
                    </w:rPr>
                  </w:pPr>
                  <w:r>
                    <w:rPr>
                      <w:szCs w:val="21"/>
                    </w:rPr>
                    <w:t>SS</w:t>
                  </w:r>
                </w:p>
              </w:tc>
              <w:tc>
                <w:tcPr>
                  <w:tcW w:w="948" w:type="pct"/>
                  <w:noWrap w:val="0"/>
                  <w:vAlign w:val="center"/>
                </w:tcPr>
                <w:p>
                  <w:pPr>
                    <w:jc w:val="center"/>
                    <w:rPr>
                      <w:rFonts w:cs="Times New Roman"/>
                      <w:szCs w:val="21"/>
                    </w:rPr>
                  </w:pPr>
                  <w:r>
                    <w:rPr>
                      <w:rFonts w:hint="eastAsia" w:cs="Times New Roman"/>
                      <w:szCs w:val="21"/>
                    </w:rPr>
                    <w:t>2</w:t>
                  </w:r>
                  <w:r>
                    <w:rPr>
                      <w:rFonts w:cs="Times New Roman"/>
                      <w:szCs w:val="21"/>
                    </w:rPr>
                    <w:t>00</w:t>
                  </w:r>
                </w:p>
              </w:tc>
              <w:tc>
                <w:tcPr>
                  <w:tcW w:w="948" w:type="pct"/>
                  <w:noWrap w:val="0"/>
                  <w:vAlign w:val="center"/>
                </w:tcPr>
                <w:p>
                  <w:pPr>
                    <w:widowControl/>
                    <w:jc w:val="center"/>
                    <w:rPr>
                      <w:rFonts w:cs="Times New Roman"/>
                      <w:kern w:val="0"/>
                      <w:szCs w:val="21"/>
                    </w:rPr>
                  </w:pPr>
                  <w:r>
                    <w:rPr>
                      <w:rFonts w:hint="eastAsia" w:cs="Times New Roman"/>
                      <w:kern w:val="0"/>
                      <w:szCs w:val="21"/>
                    </w:rPr>
                    <w:t>0.4964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6" w:type="pct"/>
                  <w:vMerge w:val="continue"/>
                  <w:noWrap w:val="0"/>
                  <w:vAlign w:val="center"/>
                </w:tcPr>
                <w:p>
                  <w:pPr>
                    <w:jc w:val="center"/>
                    <w:rPr>
                      <w:color w:val="FF00FF"/>
                      <w:szCs w:val="21"/>
                    </w:rPr>
                  </w:pPr>
                </w:p>
              </w:tc>
              <w:tc>
                <w:tcPr>
                  <w:tcW w:w="654" w:type="pct"/>
                  <w:vMerge w:val="continue"/>
                  <w:noWrap w:val="0"/>
                  <w:vAlign w:val="center"/>
                </w:tcPr>
                <w:p>
                  <w:pPr>
                    <w:jc w:val="center"/>
                    <w:rPr>
                      <w:color w:val="FF00FF"/>
                      <w:szCs w:val="21"/>
                    </w:rPr>
                  </w:pPr>
                </w:p>
              </w:tc>
              <w:tc>
                <w:tcPr>
                  <w:tcW w:w="735" w:type="pct"/>
                  <w:vMerge w:val="continue"/>
                  <w:noWrap w:val="0"/>
                  <w:vAlign w:val="center"/>
                </w:tcPr>
                <w:p>
                  <w:pPr>
                    <w:jc w:val="center"/>
                    <w:rPr>
                      <w:color w:val="FF00FF"/>
                      <w:szCs w:val="21"/>
                    </w:rPr>
                  </w:pPr>
                </w:p>
              </w:tc>
              <w:tc>
                <w:tcPr>
                  <w:tcW w:w="819" w:type="pct"/>
                  <w:noWrap w:val="0"/>
                  <w:vAlign w:val="center"/>
                </w:tcPr>
                <w:p>
                  <w:pPr>
                    <w:jc w:val="center"/>
                    <w:rPr>
                      <w:szCs w:val="21"/>
                    </w:rPr>
                  </w:pPr>
                  <w:r>
                    <w:rPr>
                      <w:szCs w:val="21"/>
                    </w:rPr>
                    <w:t>NH</w:t>
                  </w:r>
                  <w:r>
                    <w:rPr>
                      <w:szCs w:val="21"/>
                      <w:vertAlign w:val="subscript"/>
                    </w:rPr>
                    <w:t>3</w:t>
                  </w:r>
                  <w:r>
                    <w:rPr>
                      <w:rFonts w:hint="eastAsia"/>
                      <w:szCs w:val="21"/>
                    </w:rPr>
                    <w:t>-</w:t>
                  </w:r>
                  <w:r>
                    <w:rPr>
                      <w:szCs w:val="21"/>
                    </w:rPr>
                    <w:t>N</w:t>
                  </w:r>
                </w:p>
              </w:tc>
              <w:tc>
                <w:tcPr>
                  <w:tcW w:w="948" w:type="pct"/>
                  <w:noWrap w:val="0"/>
                  <w:vAlign w:val="center"/>
                </w:tcPr>
                <w:p>
                  <w:pPr>
                    <w:jc w:val="center"/>
                    <w:rPr>
                      <w:rFonts w:cs="Times New Roman"/>
                      <w:szCs w:val="21"/>
                    </w:rPr>
                  </w:pPr>
                  <w:r>
                    <w:rPr>
                      <w:rFonts w:hint="eastAsia" w:cs="Times New Roman"/>
                      <w:szCs w:val="21"/>
                    </w:rPr>
                    <w:t>3</w:t>
                  </w:r>
                  <w:r>
                    <w:rPr>
                      <w:rFonts w:cs="Times New Roman"/>
                      <w:szCs w:val="21"/>
                    </w:rPr>
                    <w:t>7.7</w:t>
                  </w:r>
                </w:p>
              </w:tc>
              <w:tc>
                <w:tcPr>
                  <w:tcW w:w="948" w:type="pct"/>
                  <w:noWrap w:val="0"/>
                  <w:vAlign w:val="center"/>
                </w:tcPr>
                <w:p>
                  <w:pPr>
                    <w:widowControl/>
                    <w:jc w:val="center"/>
                    <w:rPr>
                      <w:rFonts w:cs="Times New Roman"/>
                      <w:kern w:val="0"/>
                      <w:szCs w:val="21"/>
                    </w:rPr>
                  </w:pPr>
                  <w:r>
                    <w:rPr>
                      <w:rFonts w:hint="eastAsia" w:cs="Times New Roman"/>
                      <w:kern w:val="0"/>
                      <w:szCs w:val="21"/>
                    </w:rPr>
                    <w:t>0.0936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6" w:type="pct"/>
                  <w:vMerge w:val="continue"/>
                  <w:noWrap w:val="0"/>
                  <w:vAlign w:val="center"/>
                </w:tcPr>
                <w:p>
                  <w:pPr>
                    <w:jc w:val="center"/>
                    <w:rPr>
                      <w:color w:val="FF00FF"/>
                      <w:szCs w:val="21"/>
                    </w:rPr>
                  </w:pPr>
                </w:p>
              </w:tc>
              <w:tc>
                <w:tcPr>
                  <w:tcW w:w="654" w:type="pct"/>
                  <w:vMerge w:val="continue"/>
                  <w:noWrap w:val="0"/>
                  <w:vAlign w:val="center"/>
                </w:tcPr>
                <w:p>
                  <w:pPr>
                    <w:jc w:val="center"/>
                    <w:rPr>
                      <w:color w:val="FF00FF"/>
                      <w:szCs w:val="21"/>
                    </w:rPr>
                  </w:pPr>
                </w:p>
              </w:tc>
              <w:tc>
                <w:tcPr>
                  <w:tcW w:w="735" w:type="pct"/>
                  <w:vMerge w:val="continue"/>
                  <w:noWrap w:val="0"/>
                  <w:vAlign w:val="center"/>
                </w:tcPr>
                <w:p>
                  <w:pPr>
                    <w:jc w:val="center"/>
                    <w:rPr>
                      <w:color w:val="FF00FF"/>
                      <w:szCs w:val="21"/>
                    </w:rPr>
                  </w:pPr>
                </w:p>
              </w:tc>
              <w:tc>
                <w:tcPr>
                  <w:tcW w:w="819" w:type="pct"/>
                  <w:noWrap w:val="0"/>
                  <w:vAlign w:val="center"/>
                </w:tcPr>
                <w:p>
                  <w:pPr>
                    <w:jc w:val="center"/>
                    <w:rPr>
                      <w:szCs w:val="21"/>
                    </w:rPr>
                  </w:pPr>
                  <w:r>
                    <w:rPr>
                      <w:szCs w:val="21"/>
                    </w:rPr>
                    <w:t>TP</w:t>
                  </w:r>
                </w:p>
              </w:tc>
              <w:tc>
                <w:tcPr>
                  <w:tcW w:w="948" w:type="pct"/>
                  <w:noWrap w:val="0"/>
                  <w:vAlign w:val="center"/>
                </w:tcPr>
                <w:p>
                  <w:pPr>
                    <w:jc w:val="center"/>
                    <w:rPr>
                      <w:rFonts w:cs="Times New Roman"/>
                      <w:szCs w:val="21"/>
                    </w:rPr>
                  </w:pPr>
                  <w:r>
                    <w:rPr>
                      <w:rFonts w:hint="eastAsia" w:cs="Times New Roman"/>
                      <w:szCs w:val="21"/>
                    </w:rPr>
                    <w:t>4</w:t>
                  </w:r>
                  <w:r>
                    <w:rPr>
                      <w:rFonts w:cs="Times New Roman"/>
                      <w:szCs w:val="21"/>
                    </w:rPr>
                    <w:t>.28</w:t>
                  </w:r>
                </w:p>
              </w:tc>
              <w:tc>
                <w:tcPr>
                  <w:tcW w:w="948" w:type="pct"/>
                  <w:noWrap w:val="0"/>
                  <w:vAlign w:val="center"/>
                </w:tcPr>
                <w:p>
                  <w:pPr>
                    <w:widowControl/>
                    <w:jc w:val="center"/>
                    <w:rPr>
                      <w:rFonts w:cs="Times New Roman"/>
                      <w:kern w:val="0"/>
                      <w:szCs w:val="21"/>
                    </w:rPr>
                  </w:pPr>
                  <w:r>
                    <w:rPr>
                      <w:rFonts w:hint="eastAsia" w:cs="Times New Roman"/>
                      <w:kern w:val="0"/>
                      <w:szCs w:val="21"/>
                    </w:rPr>
                    <w:t>0.0106</w:t>
                  </w:r>
                </w:p>
              </w:tc>
            </w:tr>
          </w:tbl>
          <w:p>
            <w:pPr>
              <w:spacing w:line="276" w:lineRule="auto"/>
              <w:ind w:firstLine="422" w:firstLineChars="200"/>
              <w:rPr>
                <w:rFonts w:hint="eastAsia" w:cs="Times New Roman"/>
                <w:b/>
                <w:bCs/>
                <w:szCs w:val="21"/>
              </w:rPr>
            </w:pPr>
            <w:r>
              <w:rPr>
                <w:rFonts w:hint="eastAsia" w:cs="Times New Roman"/>
                <w:b/>
                <w:bCs/>
                <w:szCs w:val="21"/>
              </w:rPr>
              <w:t>②生产废水</w:t>
            </w:r>
          </w:p>
          <w:p>
            <w:pPr>
              <w:spacing w:line="276" w:lineRule="auto"/>
              <w:ind w:firstLine="420" w:firstLineChars="200"/>
              <w:rPr>
                <w:rFonts w:hint="eastAsia" w:cs="Times New Roman"/>
                <w:color w:val="FF00FF"/>
                <w:szCs w:val="21"/>
              </w:rPr>
            </w:pPr>
            <w:r>
              <w:rPr>
                <w:rFonts w:hint="eastAsia" w:cs="Times New Roman"/>
                <w:szCs w:val="21"/>
              </w:rPr>
              <w:t>本项目生产废水主要为混凝沉淀气浮池排泥废水、V 型滤池初滤水及反冲洗废水，</w:t>
            </w:r>
            <w:r>
              <w:rPr>
                <w:kern w:val="24"/>
                <w:szCs w:val="21"/>
              </w:rPr>
              <w:t>按</w:t>
            </w:r>
            <w:r>
              <w:rPr>
                <w:rFonts w:hint="eastAsia"/>
                <w:szCs w:val="21"/>
              </w:rPr>
              <w:t>《排放源统计调查产排污核算方法和系数手册》（公告2021年第24号）中“</w:t>
            </w:r>
            <w:r>
              <w:rPr>
                <w:rFonts w:hint="eastAsia"/>
                <w:i/>
                <w:szCs w:val="21"/>
              </w:rPr>
              <w:t>4610 自来水生产和供应行业系数手册</w:t>
            </w:r>
            <w:r>
              <w:rPr>
                <w:rFonts w:hint="eastAsia"/>
                <w:szCs w:val="21"/>
              </w:rPr>
              <w:t>”中混凝沉淀（或澄清）过滤消毒工艺（5—30万吨/日）废水量产污系数4.36</w:t>
            </w:r>
            <w:r>
              <w:rPr>
                <w:szCs w:val="21"/>
              </w:rPr>
              <w:t>×10</w:t>
            </w:r>
            <w:r>
              <w:rPr>
                <w:szCs w:val="21"/>
                <w:vertAlign w:val="superscript"/>
              </w:rPr>
              <w:t>-2</w:t>
            </w:r>
            <w:r>
              <w:rPr>
                <w:szCs w:val="21"/>
              </w:rPr>
              <w:t>t/t-产品计，</w:t>
            </w:r>
            <w:r>
              <w:rPr>
                <w:rFonts w:hint="eastAsia" w:cs="Times New Roman"/>
                <w:szCs w:val="21"/>
              </w:rPr>
              <w:t>本项目供水规模为7.5万m</w:t>
            </w:r>
            <w:r>
              <w:rPr>
                <w:rFonts w:hint="eastAsia" w:cs="Times New Roman"/>
                <w:szCs w:val="21"/>
                <w:vertAlign w:val="superscript"/>
              </w:rPr>
              <w:t>3</w:t>
            </w:r>
            <w:r>
              <w:rPr>
                <w:rFonts w:hint="eastAsia" w:cs="Times New Roman"/>
                <w:szCs w:val="21"/>
              </w:rPr>
              <w:t>/d，</w:t>
            </w:r>
            <w:r>
              <w:rPr>
                <w:rFonts w:hint="eastAsia"/>
                <w:szCs w:val="21"/>
              </w:rPr>
              <w:t>生产废水量为3270</w:t>
            </w:r>
            <w:r>
              <w:rPr>
                <w:kern w:val="24"/>
                <w:szCs w:val="21"/>
              </w:rPr>
              <w:t>m</w:t>
            </w:r>
            <w:r>
              <w:rPr>
                <w:kern w:val="24"/>
                <w:szCs w:val="21"/>
                <w:vertAlign w:val="superscript"/>
              </w:rPr>
              <w:t>3</w:t>
            </w:r>
            <w:r>
              <w:rPr>
                <w:kern w:val="24"/>
                <w:szCs w:val="21"/>
              </w:rPr>
              <w:t>/d</w:t>
            </w:r>
            <w:r>
              <w:rPr>
                <w:rFonts w:hint="eastAsia"/>
                <w:kern w:val="24"/>
                <w:szCs w:val="21"/>
              </w:rPr>
              <w:t>（</w:t>
            </w:r>
            <w:r>
              <w:rPr>
                <w:rFonts w:hint="eastAsia"/>
                <w:szCs w:val="21"/>
              </w:rPr>
              <w:t>1193550</w:t>
            </w:r>
            <w:r>
              <w:rPr>
                <w:kern w:val="24"/>
                <w:szCs w:val="21"/>
              </w:rPr>
              <w:t>m</w:t>
            </w:r>
            <w:r>
              <w:rPr>
                <w:kern w:val="24"/>
                <w:szCs w:val="21"/>
                <w:vertAlign w:val="superscript"/>
              </w:rPr>
              <w:t>3</w:t>
            </w:r>
            <w:r>
              <w:rPr>
                <w:kern w:val="24"/>
                <w:szCs w:val="21"/>
              </w:rPr>
              <w:t>/</w:t>
            </w:r>
            <w:r>
              <w:rPr>
                <w:rFonts w:hint="eastAsia"/>
                <w:kern w:val="24"/>
                <w:szCs w:val="21"/>
              </w:rPr>
              <w:t>a）</w:t>
            </w:r>
            <w:r>
              <w:rPr>
                <w:rFonts w:hint="eastAsia" w:cs="Times New Roman"/>
                <w:szCs w:val="21"/>
              </w:rPr>
              <w:t>。</w:t>
            </w:r>
          </w:p>
          <w:p>
            <w:pPr>
              <w:spacing w:line="276" w:lineRule="auto"/>
              <w:jc w:val="center"/>
              <w:rPr>
                <w:rFonts w:hint="eastAsia" w:cs="Times New Roman"/>
                <w:b/>
                <w:bCs/>
                <w:szCs w:val="21"/>
              </w:rPr>
            </w:pPr>
            <w:r>
              <w:rPr>
                <w:rFonts w:hint="eastAsia" w:cs="Times New Roman"/>
                <w:b/>
                <w:bCs/>
                <w:szCs w:val="21"/>
              </w:rPr>
              <w:t>表4-7  生产废水产排污环节、类别、污染物种类、产生量</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718"/>
              <w:gridCol w:w="1045"/>
              <w:gridCol w:w="1655"/>
              <w:gridCol w:w="1161"/>
              <w:gridCol w:w="1350"/>
              <w:gridCol w:w="1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74" w:type="pct"/>
                  <w:vMerge w:val="restart"/>
                  <w:noWrap w:val="0"/>
                  <w:vAlign w:val="center"/>
                </w:tcPr>
                <w:p>
                  <w:pPr>
                    <w:jc w:val="center"/>
                    <w:rPr>
                      <w:b/>
                      <w:bCs/>
                      <w:szCs w:val="21"/>
                    </w:rPr>
                  </w:pPr>
                  <w:r>
                    <w:rPr>
                      <w:rFonts w:hint="eastAsia"/>
                      <w:b/>
                      <w:bCs/>
                      <w:szCs w:val="21"/>
                    </w:rPr>
                    <w:t>废水产污环节</w:t>
                  </w:r>
                </w:p>
              </w:tc>
              <w:tc>
                <w:tcPr>
                  <w:tcW w:w="426" w:type="pct"/>
                  <w:vMerge w:val="restart"/>
                  <w:noWrap w:val="0"/>
                  <w:vAlign w:val="center"/>
                </w:tcPr>
                <w:p>
                  <w:pPr>
                    <w:jc w:val="center"/>
                    <w:rPr>
                      <w:b/>
                      <w:bCs/>
                      <w:szCs w:val="21"/>
                    </w:rPr>
                  </w:pPr>
                  <w:r>
                    <w:rPr>
                      <w:b/>
                      <w:bCs/>
                      <w:szCs w:val="21"/>
                    </w:rPr>
                    <w:t>废水类别</w:t>
                  </w:r>
                </w:p>
              </w:tc>
              <w:tc>
                <w:tcPr>
                  <w:tcW w:w="620" w:type="pct"/>
                  <w:vMerge w:val="restart"/>
                  <w:noWrap w:val="0"/>
                  <w:vAlign w:val="center"/>
                </w:tcPr>
                <w:p>
                  <w:pPr>
                    <w:jc w:val="center"/>
                    <w:rPr>
                      <w:b/>
                      <w:bCs/>
                      <w:szCs w:val="21"/>
                    </w:rPr>
                  </w:pPr>
                  <w:r>
                    <w:rPr>
                      <w:b/>
                      <w:bCs/>
                      <w:szCs w:val="21"/>
                    </w:rPr>
                    <w:t>废水量</w:t>
                  </w:r>
                  <w:r>
                    <w:rPr>
                      <w:rFonts w:hint="eastAsia"/>
                      <w:b/>
                      <w:bCs/>
                      <w:szCs w:val="21"/>
                    </w:rPr>
                    <w:t>（</w:t>
                  </w:r>
                  <w:r>
                    <w:rPr>
                      <w:b/>
                      <w:bCs/>
                      <w:szCs w:val="21"/>
                    </w:rPr>
                    <w:t>m</w:t>
                  </w:r>
                  <w:r>
                    <w:rPr>
                      <w:b/>
                      <w:bCs/>
                      <w:szCs w:val="21"/>
                      <w:vertAlign w:val="superscript"/>
                    </w:rPr>
                    <w:t>3</w:t>
                  </w:r>
                  <w:r>
                    <w:rPr>
                      <w:b/>
                      <w:bCs/>
                      <w:szCs w:val="21"/>
                    </w:rPr>
                    <w:t>/</w:t>
                  </w:r>
                  <w:r>
                    <w:rPr>
                      <w:rFonts w:hint="eastAsia"/>
                      <w:b/>
                      <w:bCs/>
                      <w:szCs w:val="21"/>
                    </w:rPr>
                    <w:t>a）</w:t>
                  </w:r>
                </w:p>
              </w:tc>
              <w:tc>
                <w:tcPr>
                  <w:tcW w:w="982" w:type="pct"/>
                  <w:vMerge w:val="restart"/>
                  <w:noWrap w:val="0"/>
                  <w:vAlign w:val="center"/>
                </w:tcPr>
                <w:p>
                  <w:pPr>
                    <w:jc w:val="center"/>
                    <w:rPr>
                      <w:rFonts w:hint="eastAsia"/>
                      <w:b/>
                      <w:bCs/>
                      <w:szCs w:val="21"/>
                    </w:rPr>
                  </w:pPr>
                  <w:r>
                    <w:rPr>
                      <w:rFonts w:hint="eastAsia"/>
                      <w:b/>
                      <w:bCs/>
                      <w:szCs w:val="21"/>
                    </w:rPr>
                    <w:t>产污系数</w:t>
                  </w:r>
                </w:p>
              </w:tc>
              <w:tc>
                <w:tcPr>
                  <w:tcW w:w="689" w:type="pct"/>
                  <w:vMerge w:val="restart"/>
                  <w:noWrap w:val="0"/>
                  <w:vAlign w:val="center"/>
                </w:tcPr>
                <w:p>
                  <w:pPr>
                    <w:jc w:val="center"/>
                    <w:rPr>
                      <w:b/>
                      <w:bCs/>
                      <w:szCs w:val="21"/>
                    </w:rPr>
                  </w:pPr>
                  <w:r>
                    <w:rPr>
                      <w:b/>
                      <w:bCs/>
                      <w:szCs w:val="21"/>
                    </w:rPr>
                    <w:t>污染物</w:t>
                  </w:r>
                  <w:r>
                    <w:rPr>
                      <w:rFonts w:hint="eastAsia"/>
                      <w:b/>
                      <w:bCs/>
                      <w:szCs w:val="21"/>
                    </w:rPr>
                    <w:t>种类</w:t>
                  </w:r>
                </w:p>
              </w:tc>
              <w:tc>
                <w:tcPr>
                  <w:tcW w:w="1608" w:type="pct"/>
                  <w:gridSpan w:val="2"/>
                  <w:noWrap w:val="0"/>
                  <w:vAlign w:val="center"/>
                </w:tcPr>
                <w:p>
                  <w:pPr>
                    <w:jc w:val="center"/>
                    <w:rPr>
                      <w:b/>
                      <w:bCs/>
                      <w:szCs w:val="21"/>
                    </w:rPr>
                  </w:pPr>
                  <w:r>
                    <w:rPr>
                      <w:b/>
                      <w:bCs/>
                      <w:szCs w:val="21"/>
                    </w:rPr>
                    <w:t>污染物产生量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pct"/>
                  <w:vMerge w:val="continue"/>
                  <w:noWrap w:val="0"/>
                  <w:vAlign w:val="center"/>
                </w:tcPr>
                <w:p>
                  <w:pPr>
                    <w:jc w:val="center"/>
                    <w:rPr>
                      <w:b/>
                      <w:bCs/>
                      <w:szCs w:val="21"/>
                    </w:rPr>
                  </w:pPr>
                </w:p>
              </w:tc>
              <w:tc>
                <w:tcPr>
                  <w:tcW w:w="426" w:type="pct"/>
                  <w:vMerge w:val="continue"/>
                  <w:noWrap w:val="0"/>
                  <w:vAlign w:val="center"/>
                </w:tcPr>
                <w:p>
                  <w:pPr>
                    <w:jc w:val="center"/>
                    <w:rPr>
                      <w:b/>
                      <w:bCs/>
                      <w:szCs w:val="21"/>
                    </w:rPr>
                  </w:pPr>
                </w:p>
              </w:tc>
              <w:tc>
                <w:tcPr>
                  <w:tcW w:w="620" w:type="pct"/>
                  <w:vMerge w:val="continue"/>
                  <w:noWrap w:val="0"/>
                  <w:vAlign w:val="center"/>
                </w:tcPr>
                <w:p>
                  <w:pPr>
                    <w:jc w:val="center"/>
                    <w:rPr>
                      <w:b/>
                      <w:bCs/>
                      <w:szCs w:val="21"/>
                    </w:rPr>
                  </w:pPr>
                </w:p>
              </w:tc>
              <w:tc>
                <w:tcPr>
                  <w:tcW w:w="982" w:type="pct"/>
                  <w:vMerge w:val="continue"/>
                  <w:noWrap w:val="0"/>
                  <w:vAlign w:val="center"/>
                </w:tcPr>
                <w:p>
                  <w:pPr>
                    <w:jc w:val="center"/>
                    <w:rPr>
                      <w:b/>
                      <w:bCs/>
                      <w:szCs w:val="21"/>
                    </w:rPr>
                  </w:pPr>
                </w:p>
              </w:tc>
              <w:tc>
                <w:tcPr>
                  <w:tcW w:w="689" w:type="pct"/>
                  <w:vMerge w:val="continue"/>
                  <w:noWrap w:val="0"/>
                  <w:vAlign w:val="center"/>
                </w:tcPr>
                <w:p>
                  <w:pPr>
                    <w:jc w:val="center"/>
                    <w:rPr>
                      <w:b/>
                      <w:bCs/>
                      <w:szCs w:val="21"/>
                    </w:rPr>
                  </w:pPr>
                </w:p>
              </w:tc>
              <w:tc>
                <w:tcPr>
                  <w:tcW w:w="801" w:type="pct"/>
                  <w:noWrap w:val="0"/>
                  <w:vAlign w:val="center"/>
                </w:tcPr>
                <w:p>
                  <w:pPr>
                    <w:jc w:val="center"/>
                    <w:rPr>
                      <w:b/>
                      <w:bCs/>
                      <w:szCs w:val="21"/>
                    </w:rPr>
                  </w:pPr>
                  <w:r>
                    <w:rPr>
                      <w:rFonts w:hint="eastAsia"/>
                      <w:b/>
                      <w:bCs/>
                      <w:szCs w:val="21"/>
                    </w:rPr>
                    <w:t>浓度（</w:t>
                  </w:r>
                  <w:r>
                    <w:rPr>
                      <w:b/>
                      <w:bCs/>
                      <w:szCs w:val="21"/>
                    </w:rPr>
                    <w:t>mg</w:t>
                  </w:r>
                  <w:r>
                    <w:rPr>
                      <w:rFonts w:hint="eastAsia"/>
                      <w:b/>
                      <w:bCs/>
                      <w:szCs w:val="21"/>
                    </w:rPr>
                    <w:t>/L）</w:t>
                  </w:r>
                </w:p>
              </w:tc>
              <w:tc>
                <w:tcPr>
                  <w:tcW w:w="807" w:type="pct"/>
                  <w:noWrap w:val="0"/>
                  <w:vAlign w:val="center"/>
                </w:tcPr>
                <w:p>
                  <w:pPr>
                    <w:jc w:val="center"/>
                    <w:rPr>
                      <w:b/>
                      <w:bCs/>
                      <w:szCs w:val="21"/>
                    </w:rPr>
                  </w:pPr>
                  <w:r>
                    <w:rPr>
                      <w:rFonts w:hint="eastAsia"/>
                      <w:b/>
                      <w:bCs/>
                      <w:szCs w:val="21"/>
                    </w:rPr>
                    <w:t>产生量（t</w:t>
                  </w:r>
                  <w:r>
                    <w:rPr>
                      <w:b/>
                      <w:bCs/>
                      <w:szCs w:val="21"/>
                    </w:rPr>
                    <w:t>/a</w:t>
                  </w:r>
                  <w:r>
                    <w:rPr>
                      <w:rFonts w:hint="eastAsia"/>
                      <w:b/>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pct"/>
                  <w:vMerge w:val="restart"/>
                  <w:noWrap w:val="0"/>
                  <w:vAlign w:val="center"/>
                </w:tcPr>
                <w:p>
                  <w:pPr>
                    <w:jc w:val="center"/>
                    <w:rPr>
                      <w:rFonts w:hint="eastAsia"/>
                      <w:szCs w:val="21"/>
                    </w:rPr>
                  </w:pPr>
                  <w:r>
                    <w:rPr>
                      <w:rFonts w:hint="eastAsia"/>
                      <w:szCs w:val="21"/>
                    </w:rPr>
                    <w:t>絮凝、沉淀、过滤</w:t>
                  </w:r>
                </w:p>
              </w:tc>
              <w:tc>
                <w:tcPr>
                  <w:tcW w:w="426" w:type="pct"/>
                  <w:vMerge w:val="restart"/>
                  <w:noWrap w:val="0"/>
                  <w:vAlign w:val="center"/>
                </w:tcPr>
                <w:p>
                  <w:pPr>
                    <w:jc w:val="center"/>
                    <w:rPr>
                      <w:szCs w:val="21"/>
                    </w:rPr>
                  </w:pPr>
                  <w:r>
                    <w:rPr>
                      <w:rFonts w:hint="eastAsia"/>
                      <w:szCs w:val="21"/>
                    </w:rPr>
                    <w:t>生产废水</w:t>
                  </w:r>
                </w:p>
              </w:tc>
              <w:tc>
                <w:tcPr>
                  <w:tcW w:w="620" w:type="pct"/>
                  <w:vMerge w:val="restart"/>
                  <w:noWrap w:val="0"/>
                  <w:vAlign w:val="center"/>
                </w:tcPr>
                <w:p>
                  <w:pPr>
                    <w:jc w:val="center"/>
                    <w:rPr>
                      <w:szCs w:val="21"/>
                    </w:rPr>
                  </w:pPr>
                  <w:r>
                    <w:rPr>
                      <w:rFonts w:hint="eastAsia"/>
                      <w:szCs w:val="21"/>
                    </w:rPr>
                    <w:t>1193550</w:t>
                  </w:r>
                </w:p>
              </w:tc>
              <w:tc>
                <w:tcPr>
                  <w:tcW w:w="982" w:type="pct"/>
                  <w:noWrap w:val="0"/>
                  <w:vAlign w:val="center"/>
                </w:tcPr>
                <w:p>
                  <w:pPr>
                    <w:jc w:val="center"/>
                    <w:rPr>
                      <w:rFonts w:hint="eastAsia"/>
                      <w:szCs w:val="21"/>
                    </w:rPr>
                  </w:pPr>
                  <w:r>
                    <w:rPr>
                      <w:rFonts w:hint="eastAsia"/>
                      <w:szCs w:val="21"/>
                    </w:rPr>
                    <w:t>1.12g/t-产品</w:t>
                  </w:r>
                </w:p>
              </w:tc>
              <w:tc>
                <w:tcPr>
                  <w:tcW w:w="689" w:type="pct"/>
                  <w:noWrap w:val="0"/>
                  <w:vAlign w:val="center"/>
                </w:tcPr>
                <w:p>
                  <w:pPr>
                    <w:jc w:val="center"/>
                    <w:rPr>
                      <w:szCs w:val="21"/>
                    </w:rPr>
                  </w:pPr>
                  <w:r>
                    <w:rPr>
                      <w:szCs w:val="21"/>
                    </w:rPr>
                    <w:t>COD</w:t>
                  </w:r>
                </w:p>
              </w:tc>
              <w:tc>
                <w:tcPr>
                  <w:tcW w:w="801" w:type="pct"/>
                  <w:noWrap w:val="0"/>
                  <w:vAlign w:val="center"/>
                </w:tcPr>
                <w:p>
                  <w:pPr>
                    <w:jc w:val="center"/>
                    <w:rPr>
                      <w:szCs w:val="21"/>
                    </w:rPr>
                  </w:pPr>
                  <w:r>
                    <w:rPr>
                      <w:rFonts w:hint="eastAsia"/>
                      <w:szCs w:val="21"/>
                    </w:rPr>
                    <w:t>0.0704</w:t>
                  </w:r>
                </w:p>
              </w:tc>
              <w:tc>
                <w:tcPr>
                  <w:tcW w:w="807" w:type="pct"/>
                  <w:noWrap w:val="0"/>
                  <w:vAlign w:val="center"/>
                </w:tcPr>
                <w:p>
                  <w:pPr>
                    <w:jc w:val="center"/>
                    <w:rPr>
                      <w:szCs w:val="21"/>
                    </w:rPr>
                  </w:pPr>
                  <w:r>
                    <w:rPr>
                      <w:rFonts w:hint="eastAsia"/>
                      <w:szCs w:val="21"/>
                    </w:rPr>
                    <w:t>0.0840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pct"/>
                  <w:vMerge w:val="continue"/>
                  <w:noWrap w:val="0"/>
                  <w:vAlign w:val="center"/>
                </w:tcPr>
                <w:p>
                  <w:pPr>
                    <w:jc w:val="center"/>
                    <w:rPr>
                      <w:color w:val="FF00FF"/>
                      <w:szCs w:val="21"/>
                    </w:rPr>
                  </w:pPr>
                </w:p>
              </w:tc>
              <w:tc>
                <w:tcPr>
                  <w:tcW w:w="426" w:type="pct"/>
                  <w:vMerge w:val="continue"/>
                  <w:noWrap w:val="0"/>
                  <w:vAlign w:val="center"/>
                </w:tcPr>
                <w:p>
                  <w:pPr>
                    <w:jc w:val="center"/>
                    <w:rPr>
                      <w:color w:val="FF00FF"/>
                      <w:szCs w:val="21"/>
                    </w:rPr>
                  </w:pPr>
                </w:p>
              </w:tc>
              <w:tc>
                <w:tcPr>
                  <w:tcW w:w="620" w:type="pct"/>
                  <w:vMerge w:val="continue"/>
                  <w:noWrap w:val="0"/>
                  <w:vAlign w:val="center"/>
                </w:tcPr>
                <w:p>
                  <w:pPr>
                    <w:jc w:val="center"/>
                    <w:rPr>
                      <w:color w:val="FF00FF"/>
                      <w:szCs w:val="21"/>
                    </w:rPr>
                  </w:pPr>
                </w:p>
              </w:tc>
              <w:tc>
                <w:tcPr>
                  <w:tcW w:w="982" w:type="pct"/>
                  <w:noWrap w:val="0"/>
                  <w:vAlign w:val="center"/>
                </w:tcPr>
                <w:p>
                  <w:pPr>
                    <w:jc w:val="center"/>
                    <w:rPr>
                      <w:rFonts w:hint="eastAsia"/>
                      <w:szCs w:val="21"/>
                    </w:rPr>
                  </w:pPr>
                  <w:r>
                    <w:rPr>
                      <w:rFonts w:hint="eastAsia"/>
                      <w:szCs w:val="21"/>
                    </w:rPr>
                    <w:t>0.0288g/t-产品</w:t>
                  </w:r>
                </w:p>
              </w:tc>
              <w:tc>
                <w:tcPr>
                  <w:tcW w:w="689" w:type="pct"/>
                  <w:noWrap w:val="0"/>
                  <w:vAlign w:val="center"/>
                </w:tcPr>
                <w:p>
                  <w:pPr>
                    <w:jc w:val="center"/>
                    <w:rPr>
                      <w:szCs w:val="21"/>
                    </w:rPr>
                  </w:pPr>
                  <w:r>
                    <w:rPr>
                      <w:szCs w:val="21"/>
                    </w:rPr>
                    <w:t>NH</w:t>
                  </w:r>
                  <w:r>
                    <w:rPr>
                      <w:szCs w:val="21"/>
                      <w:vertAlign w:val="subscript"/>
                    </w:rPr>
                    <w:t>3</w:t>
                  </w:r>
                  <w:r>
                    <w:rPr>
                      <w:rFonts w:hint="eastAsia"/>
                      <w:szCs w:val="21"/>
                    </w:rPr>
                    <w:t>-</w:t>
                  </w:r>
                  <w:r>
                    <w:rPr>
                      <w:szCs w:val="21"/>
                    </w:rPr>
                    <w:t>N</w:t>
                  </w:r>
                </w:p>
              </w:tc>
              <w:tc>
                <w:tcPr>
                  <w:tcW w:w="801" w:type="pct"/>
                  <w:noWrap w:val="0"/>
                  <w:vAlign w:val="center"/>
                </w:tcPr>
                <w:p>
                  <w:pPr>
                    <w:jc w:val="center"/>
                    <w:rPr>
                      <w:szCs w:val="21"/>
                    </w:rPr>
                  </w:pPr>
                  <w:r>
                    <w:rPr>
                      <w:rFonts w:hint="eastAsia"/>
                      <w:szCs w:val="21"/>
                    </w:rPr>
                    <w:t>0.0018</w:t>
                  </w:r>
                </w:p>
              </w:tc>
              <w:tc>
                <w:tcPr>
                  <w:tcW w:w="807" w:type="pct"/>
                  <w:noWrap w:val="0"/>
                  <w:vAlign w:val="center"/>
                </w:tcPr>
                <w:p>
                  <w:pPr>
                    <w:jc w:val="center"/>
                    <w:rPr>
                      <w:szCs w:val="21"/>
                    </w:rPr>
                  </w:pPr>
                  <w:r>
                    <w:rPr>
                      <w:rFonts w:hint="eastAsia"/>
                      <w:szCs w:val="21"/>
                    </w:rPr>
                    <w:t>0.0022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pct"/>
                  <w:vMerge w:val="continue"/>
                  <w:noWrap w:val="0"/>
                  <w:vAlign w:val="center"/>
                </w:tcPr>
                <w:p>
                  <w:pPr>
                    <w:jc w:val="center"/>
                    <w:rPr>
                      <w:color w:val="FF00FF"/>
                      <w:szCs w:val="21"/>
                    </w:rPr>
                  </w:pPr>
                </w:p>
              </w:tc>
              <w:tc>
                <w:tcPr>
                  <w:tcW w:w="426" w:type="pct"/>
                  <w:vMerge w:val="continue"/>
                  <w:noWrap w:val="0"/>
                  <w:vAlign w:val="center"/>
                </w:tcPr>
                <w:p>
                  <w:pPr>
                    <w:jc w:val="center"/>
                    <w:rPr>
                      <w:color w:val="FF00FF"/>
                      <w:szCs w:val="21"/>
                    </w:rPr>
                  </w:pPr>
                </w:p>
              </w:tc>
              <w:tc>
                <w:tcPr>
                  <w:tcW w:w="620" w:type="pct"/>
                  <w:vMerge w:val="continue"/>
                  <w:noWrap w:val="0"/>
                  <w:vAlign w:val="center"/>
                </w:tcPr>
                <w:p>
                  <w:pPr>
                    <w:jc w:val="center"/>
                    <w:rPr>
                      <w:color w:val="FF00FF"/>
                      <w:szCs w:val="21"/>
                    </w:rPr>
                  </w:pPr>
                </w:p>
              </w:tc>
              <w:tc>
                <w:tcPr>
                  <w:tcW w:w="982" w:type="pct"/>
                  <w:noWrap w:val="0"/>
                  <w:vAlign w:val="center"/>
                </w:tcPr>
                <w:p>
                  <w:pPr>
                    <w:jc w:val="center"/>
                    <w:rPr>
                      <w:rFonts w:hint="eastAsia"/>
                      <w:szCs w:val="21"/>
                    </w:rPr>
                  </w:pPr>
                  <w:r>
                    <w:rPr>
                      <w:rFonts w:hint="eastAsia"/>
                      <w:szCs w:val="21"/>
                    </w:rPr>
                    <w:t>0.381g/t-产品</w:t>
                  </w:r>
                </w:p>
              </w:tc>
              <w:tc>
                <w:tcPr>
                  <w:tcW w:w="689" w:type="pct"/>
                  <w:noWrap w:val="0"/>
                  <w:vAlign w:val="center"/>
                </w:tcPr>
                <w:p>
                  <w:pPr>
                    <w:jc w:val="center"/>
                    <w:rPr>
                      <w:szCs w:val="21"/>
                    </w:rPr>
                  </w:pPr>
                  <w:r>
                    <w:rPr>
                      <w:rFonts w:hint="eastAsia"/>
                      <w:szCs w:val="21"/>
                    </w:rPr>
                    <w:t>TN</w:t>
                  </w:r>
                </w:p>
              </w:tc>
              <w:tc>
                <w:tcPr>
                  <w:tcW w:w="801" w:type="pct"/>
                  <w:noWrap w:val="0"/>
                  <w:vAlign w:val="center"/>
                </w:tcPr>
                <w:p>
                  <w:pPr>
                    <w:jc w:val="center"/>
                    <w:rPr>
                      <w:szCs w:val="21"/>
                    </w:rPr>
                  </w:pPr>
                  <w:r>
                    <w:rPr>
                      <w:rFonts w:hint="eastAsia"/>
                      <w:szCs w:val="21"/>
                    </w:rPr>
                    <w:t>0.0239</w:t>
                  </w:r>
                </w:p>
              </w:tc>
              <w:tc>
                <w:tcPr>
                  <w:tcW w:w="807" w:type="pct"/>
                  <w:noWrap w:val="0"/>
                  <w:vAlign w:val="center"/>
                </w:tcPr>
                <w:p>
                  <w:pPr>
                    <w:jc w:val="center"/>
                    <w:rPr>
                      <w:szCs w:val="21"/>
                    </w:rPr>
                  </w:pPr>
                  <w:r>
                    <w:rPr>
                      <w:rFonts w:hint="eastAsia"/>
                      <w:szCs w:val="21"/>
                    </w:rPr>
                    <w:t>0.0286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pct"/>
                  <w:vMerge w:val="continue"/>
                  <w:noWrap w:val="0"/>
                  <w:vAlign w:val="center"/>
                </w:tcPr>
                <w:p>
                  <w:pPr>
                    <w:jc w:val="center"/>
                    <w:rPr>
                      <w:color w:val="FF00FF"/>
                      <w:szCs w:val="21"/>
                    </w:rPr>
                  </w:pPr>
                </w:p>
              </w:tc>
              <w:tc>
                <w:tcPr>
                  <w:tcW w:w="426" w:type="pct"/>
                  <w:vMerge w:val="continue"/>
                  <w:noWrap w:val="0"/>
                  <w:vAlign w:val="center"/>
                </w:tcPr>
                <w:p>
                  <w:pPr>
                    <w:jc w:val="center"/>
                    <w:rPr>
                      <w:color w:val="FF00FF"/>
                      <w:szCs w:val="21"/>
                    </w:rPr>
                  </w:pPr>
                </w:p>
              </w:tc>
              <w:tc>
                <w:tcPr>
                  <w:tcW w:w="620" w:type="pct"/>
                  <w:vMerge w:val="continue"/>
                  <w:noWrap w:val="0"/>
                  <w:vAlign w:val="center"/>
                </w:tcPr>
                <w:p>
                  <w:pPr>
                    <w:jc w:val="center"/>
                    <w:rPr>
                      <w:color w:val="FF00FF"/>
                      <w:szCs w:val="21"/>
                    </w:rPr>
                  </w:pPr>
                </w:p>
              </w:tc>
              <w:tc>
                <w:tcPr>
                  <w:tcW w:w="982" w:type="pct"/>
                  <w:noWrap w:val="0"/>
                  <w:vAlign w:val="center"/>
                </w:tcPr>
                <w:p>
                  <w:pPr>
                    <w:jc w:val="center"/>
                    <w:rPr>
                      <w:rFonts w:hint="eastAsia"/>
                      <w:szCs w:val="21"/>
                    </w:rPr>
                  </w:pPr>
                  <w:r>
                    <w:rPr>
                      <w:rFonts w:hint="eastAsia"/>
                      <w:szCs w:val="21"/>
                    </w:rPr>
                    <w:t>0.0234g/t-产品</w:t>
                  </w:r>
                </w:p>
              </w:tc>
              <w:tc>
                <w:tcPr>
                  <w:tcW w:w="689" w:type="pct"/>
                  <w:noWrap w:val="0"/>
                  <w:vAlign w:val="center"/>
                </w:tcPr>
                <w:p>
                  <w:pPr>
                    <w:jc w:val="center"/>
                    <w:rPr>
                      <w:szCs w:val="21"/>
                    </w:rPr>
                  </w:pPr>
                  <w:r>
                    <w:rPr>
                      <w:szCs w:val="21"/>
                    </w:rPr>
                    <w:t>TP</w:t>
                  </w:r>
                </w:p>
              </w:tc>
              <w:tc>
                <w:tcPr>
                  <w:tcW w:w="801" w:type="pct"/>
                  <w:noWrap w:val="0"/>
                  <w:vAlign w:val="center"/>
                </w:tcPr>
                <w:p>
                  <w:pPr>
                    <w:jc w:val="center"/>
                    <w:rPr>
                      <w:szCs w:val="21"/>
                    </w:rPr>
                  </w:pPr>
                  <w:r>
                    <w:rPr>
                      <w:rFonts w:hint="eastAsia"/>
                      <w:szCs w:val="21"/>
                    </w:rPr>
                    <w:t>0.0015</w:t>
                  </w:r>
                </w:p>
              </w:tc>
              <w:tc>
                <w:tcPr>
                  <w:tcW w:w="807" w:type="pct"/>
                  <w:noWrap w:val="0"/>
                  <w:vAlign w:val="center"/>
                </w:tcPr>
                <w:p>
                  <w:pPr>
                    <w:jc w:val="center"/>
                    <w:rPr>
                      <w:szCs w:val="21"/>
                    </w:rPr>
                  </w:pPr>
                  <w:r>
                    <w:rPr>
                      <w:rFonts w:hint="eastAsia"/>
                      <w:szCs w:val="21"/>
                    </w:rPr>
                    <w:t>0.0018</w:t>
                  </w:r>
                </w:p>
              </w:tc>
            </w:tr>
          </w:tbl>
          <w:p>
            <w:pPr>
              <w:spacing w:line="276" w:lineRule="auto"/>
              <w:ind w:firstLine="422" w:firstLineChars="200"/>
              <w:rPr>
                <w:rFonts w:hint="eastAsia" w:cs="Times New Roman"/>
                <w:b/>
                <w:bCs/>
                <w:szCs w:val="21"/>
              </w:rPr>
            </w:pPr>
            <w:r>
              <w:rPr>
                <w:rFonts w:hint="eastAsia" w:cs="Times New Roman"/>
                <w:b/>
                <w:bCs/>
                <w:szCs w:val="21"/>
              </w:rPr>
              <w:t>③污泥脱水滤液</w:t>
            </w:r>
          </w:p>
          <w:p>
            <w:pPr>
              <w:spacing w:line="276" w:lineRule="auto"/>
              <w:ind w:firstLine="420" w:firstLineChars="200"/>
              <w:rPr>
                <w:rFonts w:hint="eastAsia" w:cs="Times New Roman"/>
                <w:szCs w:val="21"/>
              </w:rPr>
            </w:pPr>
            <w:r>
              <w:rPr>
                <w:rFonts w:hint="eastAsia" w:cs="Times New Roman"/>
                <w:szCs w:val="21"/>
              </w:rPr>
              <w:t>污泥脱水滤液主要来源于污泥浓缩脱水过程，采用</w:t>
            </w:r>
            <w:r>
              <w:rPr>
                <w:rFonts w:hint="eastAsia" w:cs="Times New Roman"/>
                <w:snapToGrid w:val="0"/>
                <w:kern w:val="0"/>
                <w:szCs w:val="21"/>
              </w:rPr>
              <w:t>板框压滤机</w:t>
            </w:r>
            <w:r>
              <w:rPr>
                <w:rFonts w:hint="eastAsia" w:cs="Times New Roman"/>
                <w:szCs w:val="21"/>
              </w:rPr>
              <w:t>进行脱水。根据水平衡章节，</w:t>
            </w:r>
            <w:r>
              <w:rPr>
                <w:kern w:val="24"/>
                <w:szCs w:val="21"/>
              </w:rPr>
              <w:t>预计将产生脱水滤液约</w:t>
            </w:r>
            <w:r>
              <w:rPr>
                <w:rFonts w:hint="eastAsia"/>
                <w:kern w:val="24"/>
                <w:szCs w:val="21"/>
              </w:rPr>
              <w:t>408.75</w:t>
            </w:r>
            <w:r>
              <w:rPr>
                <w:kern w:val="24"/>
                <w:szCs w:val="21"/>
              </w:rPr>
              <w:t>m</w:t>
            </w:r>
            <w:r>
              <w:rPr>
                <w:kern w:val="24"/>
                <w:szCs w:val="21"/>
                <w:vertAlign w:val="superscript"/>
              </w:rPr>
              <w:t>3/</w:t>
            </w:r>
            <w:r>
              <w:rPr>
                <w:kern w:val="24"/>
                <w:szCs w:val="21"/>
              </w:rPr>
              <w:t>d</w:t>
            </w:r>
            <w:r>
              <w:rPr>
                <w:rFonts w:hint="eastAsia" w:cs="Times New Roman"/>
                <w:szCs w:val="21"/>
              </w:rPr>
              <w:t>。主要污染物为COD</w:t>
            </w:r>
            <w:r>
              <w:rPr>
                <w:rFonts w:hint="eastAsia" w:cs="Times New Roman"/>
                <w:szCs w:val="21"/>
                <w:vertAlign w:val="subscript"/>
              </w:rPr>
              <w:t>Cr</w:t>
            </w:r>
            <w:r>
              <w:rPr>
                <w:rFonts w:hint="eastAsia" w:cs="Times New Roman"/>
                <w:szCs w:val="21"/>
              </w:rPr>
              <w:t>、BOD</w:t>
            </w:r>
            <w:r>
              <w:rPr>
                <w:rFonts w:hint="eastAsia" w:cs="Times New Roman"/>
                <w:szCs w:val="21"/>
                <w:vertAlign w:val="subscript"/>
              </w:rPr>
              <w:t>5</w:t>
            </w:r>
            <w:r>
              <w:rPr>
                <w:rFonts w:hint="eastAsia" w:cs="Times New Roman"/>
                <w:szCs w:val="21"/>
              </w:rPr>
              <w:t>、NH</w:t>
            </w:r>
            <w:r>
              <w:rPr>
                <w:rFonts w:hint="eastAsia" w:cs="Times New Roman"/>
                <w:szCs w:val="21"/>
                <w:vertAlign w:val="subscript"/>
              </w:rPr>
              <w:t>3</w:t>
            </w:r>
            <w:r>
              <w:rPr>
                <w:rFonts w:hint="eastAsia" w:cs="Times New Roman"/>
                <w:szCs w:val="21"/>
              </w:rPr>
              <w:t>-N、SS。</w:t>
            </w:r>
          </w:p>
          <w:p>
            <w:pPr>
              <w:spacing w:line="276" w:lineRule="auto"/>
              <w:ind w:firstLine="422" w:firstLineChars="200"/>
              <w:rPr>
                <w:rFonts w:hint="eastAsia"/>
                <w:b/>
                <w:szCs w:val="21"/>
              </w:rPr>
            </w:pPr>
            <w:r>
              <w:rPr>
                <w:rFonts w:hint="eastAsia"/>
                <w:b/>
                <w:szCs w:val="21"/>
              </w:rPr>
              <w:t>（2）治理设施、排放方式、排放口基本信息</w:t>
            </w:r>
          </w:p>
          <w:p>
            <w:pPr>
              <w:spacing w:line="276" w:lineRule="auto"/>
              <w:ind w:firstLine="422" w:firstLineChars="200"/>
              <w:rPr>
                <w:rFonts w:hint="eastAsia"/>
                <w:szCs w:val="21"/>
              </w:rPr>
            </w:pPr>
            <w:r>
              <w:rPr>
                <w:rFonts w:hint="eastAsia"/>
                <w:b/>
                <w:szCs w:val="21"/>
              </w:rPr>
              <w:t>①治理措施</w:t>
            </w:r>
          </w:p>
          <w:p>
            <w:pPr>
              <w:spacing w:line="276" w:lineRule="auto"/>
              <w:ind w:firstLine="422" w:firstLineChars="200"/>
              <w:rPr>
                <w:rFonts w:hint="eastAsia"/>
                <w:kern w:val="24"/>
                <w:szCs w:val="21"/>
              </w:rPr>
            </w:pPr>
            <w:r>
              <w:rPr>
                <w:rFonts w:hint="eastAsia"/>
                <w:b/>
                <w:szCs w:val="21"/>
              </w:rPr>
              <w:t>生活污水：</w:t>
            </w:r>
            <w:r>
              <w:rPr>
                <w:rFonts w:hint="eastAsia"/>
                <w:bCs/>
                <w:szCs w:val="21"/>
              </w:rPr>
              <w:t>全厂生活污水量为</w:t>
            </w:r>
            <w:r>
              <w:rPr>
                <w:rFonts w:hint="eastAsia"/>
                <w:kern w:val="24"/>
                <w:szCs w:val="21"/>
              </w:rPr>
              <w:t>6.8m</w:t>
            </w:r>
            <w:r>
              <w:rPr>
                <w:rFonts w:hint="eastAsia"/>
                <w:kern w:val="24"/>
                <w:szCs w:val="21"/>
                <w:vertAlign w:val="superscript"/>
              </w:rPr>
              <w:t>3</w:t>
            </w:r>
            <w:r>
              <w:rPr>
                <w:rFonts w:hint="eastAsia"/>
                <w:kern w:val="24"/>
                <w:szCs w:val="21"/>
              </w:rPr>
              <w:t>/d。主要污染物为COD、BOD</w:t>
            </w:r>
            <w:r>
              <w:rPr>
                <w:rFonts w:hint="eastAsia"/>
                <w:kern w:val="24"/>
                <w:szCs w:val="21"/>
                <w:vertAlign w:val="subscript"/>
              </w:rPr>
              <w:t>5</w:t>
            </w:r>
            <w:r>
              <w:rPr>
                <w:rFonts w:hint="eastAsia"/>
                <w:kern w:val="24"/>
                <w:szCs w:val="21"/>
              </w:rPr>
              <w:t>、SS、NH</w:t>
            </w:r>
            <w:r>
              <w:rPr>
                <w:rFonts w:hint="eastAsia"/>
                <w:kern w:val="24"/>
                <w:szCs w:val="21"/>
                <w:vertAlign w:val="subscript"/>
              </w:rPr>
              <w:t>3</w:t>
            </w:r>
            <w:r>
              <w:rPr>
                <w:rFonts w:hint="eastAsia"/>
                <w:kern w:val="24"/>
                <w:szCs w:val="21"/>
              </w:rPr>
              <w:t>-N、动植物油，项目食堂废水先经隔油处理同生活污水一起排入化粪池（20m</w:t>
            </w:r>
            <w:r>
              <w:rPr>
                <w:rFonts w:hint="eastAsia"/>
                <w:kern w:val="24"/>
                <w:szCs w:val="21"/>
                <w:vertAlign w:val="superscript"/>
              </w:rPr>
              <w:t>3</w:t>
            </w:r>
            <w:r>
              <w:rPr>
                <w:rFonts w:hint="eastAsia"/>
                <w:kern w:val="24"/>
                <w:szCs w:val="21"/>
              </w:rPr>
              <w:t>）处理后，排入达州市城市生活污水处理厂处理后达标排放。</w:t>
            </w:r>
          </w:p>
          <w:p>
            <w:pPr>
              <w:spacing w:line="276" w:lineRule="auto"/>
              <w:ind w:firstLine="422" w:firstLineChars="200"/>
              <w:rPr>
                <w:rFonts w:hint="eastAsia" w:cs="Times New Roman"/>
                <w:color w:val="FF00FF"/>
                <w:szCs w:val="21"/>
              </w:rPr>
            </w:pPr>
            <w:r>
              <w:rPr>
                <w:rFonts w:hint="eastAsia" w:cs="Times New Roman"/>
                <w:b/>
                <w:bCs/>
                <w:szCs w:val="21"/>
              </w:rPr>
              <w:t>生产废水：</w:t>
            </w:r>
            <w:r>
              <w:rPr>
                <w:rFonts w:hint="eastAsia"/>
                <w:kern w:val="24"/>
                <w:szCs w:val="21"/>
              </w:rPr>
              <w:t>絮凝沉淀池排泥废水</w:t>
            </w:r>
            <w:r>
              <w:rPr>
                <w:rFonts w:hint="eastAsia" w:cs="Times New Roman"/>
                <w:szCs w:val="21"/>
              </w:rPr>
              <w:t>经</w:t>
            </w:r>
            <w:r>
              <w:rPr>
                <w:rFonts w:hint="eastAsia"/>
                <w:kern w:val="24"/>
                <w:szCs w:val="21"/>
              </w:rPr>
              <w:t>排泥池、浓缩池、贮泥池处理后，上层清液进入回收水池（其中V型滤池初滤水及反冲洗废水直接进入回收水池），再进入配水井循环生产；</w:t>
            </w:r>
            <w:r>
              <w:rPr>
                <w:rFonts w:hint="eastAsia" w:cs="Times New Roman"/>
                <w:szCs w:val="21"/>
              </w:rPr>
              <w:t>污泥浓缩池压滤液均排入市政污水管网引至达州市污水处理厂处理后排放。</w:t>
            </w:r>
          </w:p>
          <w:p>
            <w:pPr>
              <w:spacing w:line="276" w:lineRule="auto"/>
              <w:ind w:firstLine="422" w:firstLineChars="200"/>
              <w:rPr>
                <w:szCs w:val="21"/>
              </w:rPr>
            </w:pPr>
            <w:r>
              <w:rPr>
                <w:rFonts w:hint="eastAsia"/>
                <w:b/>
                <w:szCs w:val="21"/>
              </w:rPr>
              <w:t>②废水治理设施、排放口基本信息表</w:t>
            </w:r>
          </w:p>
          <w:p>
            <w:pPr>
              <w:spacing w:line="276" w:lineRule="auto"/>
              <w:ind w:firstLine="420" w:firstLineChars="200"/>
              <w:rPr>
                <w:szCs w:val="21"/>
              </w:rPr>
            </w:pPr>
            <w:r>
              <w:rPr>
                <w:szCs w:val="21"/>
              </w:rPr>
              <w:t>本项目</w:t>
            </w:r>
            <w:r>
              <w:rPr>
                <w:rFonts w:hint="eastAsia"/>
                <w:szCs w:val="21"/>
              </w:rPr>
              <w:t>废水治理设施、排放口基本信息见下表：</w:t>
            </w:r>
          </w:p>
          <w:p>
            <w:pPr>
              <w:spacing w:line="276" w:lineRule="auto"/>
              <w:jc w:val="center"/>
              <w:rPr>
                <w:rFonts w:cs="Times New Roman"/>
                <w:b/>
                <w:szCs w:val="21"/>
              </w:rPr>
            </w:pPr>
            <w:r>
              <w:rPr>
                <w:rFonts w:hint="eastAsia" w:cs="Times New Roman"/>
                <w:b/>
                <w:szCs w:val="21"/>
              </w:rPr>
              <w:t>表4-8   废水治理设施信息表</w:t>
            </w:r>
          </w:p>
          <w:tbl>
            <w:tblPr>
              <w:tblStyle w:val="26"/>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103"/>
              <w:gridCol w:w="1332"/>
              <w:gridCol w:w="997"/>
              <w:gridCol w:w="842"/>
              <w:gridCol w:w="987"/>
              <w:gridCol w:w="1126"/>
              <w:gridCol w:w="1015"/>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5" w:type="pct"/>
                  <w:vMerge w:val="restart"/>
                  <w:shd w:val="clear" w:color="000000" w:fill="auto"/>
                  <w:noWrap w:val="0"/>
                  <w:vAlign w:val="center"/>
                </w:tcPr>
                <w:p>
                  <w:pPr>
                    <w:jc w:val="center"/>
                    <w:rPr>
                      <w:b/>
                      <w:bCs/>
                      <w:szCs w:val="21"/>
                    </w:rPr>
                  </w:pPr>
                  <w:r>
                    <w:rPr>
                      <w:b/>
                      <w:bCs/>
                      <w:szCs w:val="21"/>
                    </w:rPr>
                    <w:t>废水类别</w:t>
                  </w:r>
                </w:p>
              </w:tc>
              <w:tc>
                <w:tcPr>
                  <w:tcW w:w="791" w:type="pct"/>
                  <w:vMerge w:val="restart"/>
                  <w:shd w:val="clear" w:color="000000" w:fill="auto"/>
                  <w:noWrap w:val="0"/>
                  <w:vAlign w:val="center"/>
                </w:tcPr>
                <w:p>
                  <w:pPr>
                    <w:jc w:val="center"/>
                    <w:rPr>
                      <w:b/>
                      <w:bCs/>
                      <w:szCs w:val="21"/>
                    </w:rPr>
                  </w:pPr>
                  <w:r>
                    <w:rPr>
                      <w:b/>
                      <w:bCs/>
                      <w:szCs w:val="21"/>
                    </w:rPr>
                    <w:t>污染物种类</w:t>
                  </w:r>
                </w:p>
              </w:tc>
              <w:tc>
                <w:tcPr>
                  <w:tcW w:w="2347" w:type="pct"/>
                  <w:gridSpan w:val="4"/>
                  <w:shd w:val="clear" w:color="000000" w:fill="auto"/>
                  <w:noWrap w:val="0"/>
                  <w:vAlign w:val="center"/>
                </w:tcPr>
                <w:p>
                  <w:pPr>
                    <w:jc w:val="center"/>
                    <w:rPr>
                      <w:b/>
                      <w:bCs/>
                      <w:szCs w:val="21"/>
                    </w:rPr>
                  </w:pPr>
                  <w:r>
                    <w:rPr>
                      <w:b/>
                      <w:bCs/>
                      <w:szCs w:val="21"/>
                    </w:rPr>
                    <w:t>污染治理设施</w:t>
                  </w:r>
                </w:p>
              </w:tc>
              <w:tc>
                <w:tcPr>
                  <w:tcW w:w="603" w:type="pct"/>
                  <w:vMerge w:val="restart"/>
                  <w:shd w:val="clear" w:color="000000" w:fill="auto"/>
                  <w:noWrap w:val="0"/>
                  <w:vAlign w:val="center"/>
                </w:tcPr>
                <w:p>
                  <w:pPr>
                    <w:jc w:val="center"/>
                    <w:rPr>
                      <w:b/>
                      <w:bCs/>
                      <w:szCs w:val="21"/>
                    </w:rPr>
                  </w:pPr>
                  <w:r>
                    <w:rPr>
                      <w:b/>
                      <w:bCs/>
                      <w:szCs w:val="21"/>
                    </w:rPr>
                    <w:t>排放</w:t>
                  </w:r>
                </w:p>
                <w:p>
                  <w:pPr>
                    <w:jc w:val="center"/>
                    <w:rPr>
                      <w:b/>
                      <w:bCs/>
                      <w:szCs w:val="21"/>
                    </w:rPr>
                  </w:pPr>
                  <w:r>
                    <w:rPr>
                      <w:b/>
                      <w:bCs/>
                      <w:szCs w:val="21"/>
                    </w:rPr>
                    <w:t>方式</w:t>
                  </w:r>
                </w:p>
              </w:tc>
              <w:tc>
                <w:tcPr>
                  <w:tcW w:w="603" w:type="pct"/>
                  <w:vMerge w:val="restart"/>
                  <w:shd w:val="clear" w:color="000000" w:fill="auto"/>
                  <w:noWrap w:val="0"/>
                  <w:vAlign w:val="center"/>
                </w:tcPr>
                <w:p>
                  <w:pPr>
                    <w:jc w:val="center"/>
                    <w:rPr>
                      <w:b/>
                      <w:bCs/>
                      <w:szCs w:val="21"/>
                    </w:rPr>
                  </w:pPr>
                  <w:r>
                    <w:rPr>
                      <w:b/>
                      <w:bCs/>
                      <w:szCs w:val="21"/>
                    </w:rPr>
                    <w:t>排放</w:t>
                  </w:r>
                </w:p>
                <w:p>
                  <w:pPr>
                    <w:jc w:val="center"/>
                    <w:rPr>
                      <w:b/>
                      <w:bCs/>
                      <w:szCs w:val="21"/>
                    </w:rPr>
                  </w:pPr>
                  <w:r>
                    <w:rPr>
                      <w:b/>
                      <w:bCs/>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5" w:type="pct"/>
                  <w:vMerge w:val="continue"/>
                  <w:shd w:val="clear" w:color="auto" w:fill="auto"/>
                  <w:noWrap w:val="0"/>
                  <w:vAlign w:val="center"/>
                </w:tcPr>
                <w:p>
                  <w:pPr>
                    <w:jc w:val="center"/>
                    <w:rPr>
                      <w:szCs w:val="21"/>
                    </w:rPr>
                  </w:pPr>
                </w:p>
              </w:tc>
              <w:tc>
                <w:tcPr>
                  <w:tcW w:w="791" w:type="pct"/>
                  <w:vMerge w:val="continue"/>
                  <w:shd w:val="clear" w:color="auto" w:fill="auto"/>
                  <w:noWrap w:val="0"/>
                  <w:vAlign w:val="center"/>
                </w:tcPr>
                <w:p>
                  <w:pPr>
                    <w:jc w:val="center"/>
                    <w:rPr>
                      <w:szCs w:val="21"/>
                    </w:rPr>
                  </w:pPr>
                </w:p>
              </w:tc>
              <w:tc>
                <w:tcPr>
                  <w:tcW w:w="592" w:type="pct"/>
                  <w:shd w:val="clear" w:color="000000" w:fill="auto"/>
                  <w:noWrap w:val="0"/>
                  <w:vAlign w:val="center"/>
                </w:tcPr>
                <w:p>
                  <w:pPr>
                    <w:jc w:val="center"/>
                    <w:rPr>
                      <w:b/>
                      <w:bCs/>
                      <w:szCs w:val="21"/>
                    </w:rPr>
                  </w:pPr>
                  <w:r>
                    <w:rPr>
                      <w:b/>
                      <w:bCs/>
                      <w:szCs w:val="21"/>
                    </w:rPr>
                    <w:t>名称</w:t>
                  </w:r>
                </w:p>
              </w:tc>
              <w:tc>
                <w:tcPr>
                  <w:tcW w:w="500" w:type="pct"/>
                  <w:shd w:val="clear" w:color="000000" w:fill="auto"/>
                  <w:noWrap w:val="0"/>
                  <w:vAlign w:val="center"/>
                </w:tcPr>
                <w:p>
                  <w:pPr>
                    <w:jc w:val="center"/>
                    <w:rPr>
                      <w:b/>
                      <w:bCs/>
                      <w:szCs w:val="21"/>
                    </w:rPr>
                  </w:pPr>
                  <w:r>
                    <w:rPr>
                      <w:b/>
                      <w:bCs/>
                      <w:szCs w:val="21"/>
                    </w:rPr>
                    <w:t>处理能力</w:t>
                  </w:r>
                  <w:r>
                    <w:rPr>
                      <w:rFonts w:hint="eastAsia"/>
                      <w:b/>
                      <w:bCs/>
                      <w:szCs w:val="21"/>
                    </w:rPr>
                    <w:t>(</w:t>
                  </w:r>
                  <w:r>
                    <w:rPr>
                      <w:b/>
                      <w:bCs/>
                      <w:szCs w:val="21"/>
                    </w:rPr>
                    <w:t>t/d</w:t>
                  </w:r>
                  <w:r>
                    <w:rPr>
                      <w:rFonts w:hint="eastAsia"/>
                      <w:b/>
                      <w:bCs/>
                      <w:szCs w:val="21"/>
                    </w:rPr>
                    <w:t>)</w:t>
                  </w:r>
                </w:p>
              </w:tc>
              <w:tc>
                <w:tcPr>
                  <w:tcW w:w="586" w:type="pct"/>
                  <w:shd w:val="clear" w:color="000000" w:fill="auto"/>
                  <w:noWrap w:val="0"/>
                  <w:vAlign w:val="center"/>
                </w:tcPr>
                <w:p>
                  <w:pPr>
                    <w:jc w:val="center"/>
                    <w:rPr>
                      <w:b/>
                      <w:bCs/>
                      <w:szCs w:val="21"/>
                    </w:rPr>
                  </w:pPr>
                  <w:r>
                    <w:rPr>
                      <w:b/>
                      <w:bCs/>
                      <w:szCs w:val="21"/>
                    </w:rPr>
                    <w:t>治理</w:t>
                  </w:r>
                </w:p>
                <w:p>
                  <w:pPr>
                    <w:jc w:val="center"/>
                    <w:rPr>
                      <w:b/>
                      <w:bCs/>
                      <w:szCs w:val="21"/>
                    </w:rPr>
                  </w:pPr>
                  <w:r>
                    <w:rPr>
                      <w:b/>
                      <w:bCs/>
                      <w:szCs w:val="21"/>
                    </w:rPr>
                    <w:t>工艺</w:t>
                  </w:r>
                </w:p>
              </w:tc>
              <w:tc>
                <w:tcPr>
                  <w:tcW w:w="669" w:type="pct"/>
                  <w:shd w:val="clear" w:color="000000" w:fill="auto"/>
                  <w:noWrap w:val="0"/>
                  <w:vAlign w:val="center"/>
                </w:tcPr>
                <w:p>
                  <w:pPr>
                    <w:jc w:val="center"/>
                    <w:rPr>
                      <w:b/>
                      <w:bCs/>
                      <w:szCs w:val="21"/>
                    </w:rPr>
                  </w:pPr>
                  <w:r>
                    <w:rPr>
                      <w:b/>
                      <w:bCs/>
                      <w:szCs w:val="21"/>
                    </w:rPr>
                    <w:t>是否为可行性技术</w:t>
                  </w:r>
                </w:p>
              </w:tc>
              <w:tc>
                <w:tcPr>
                  <w:tcW w:w="603" w:type="pct"/>
                  <w:vMerge w:val="continue"/>
                  <w:noWrap w:val="0"/>
                  <w:vAlign w:val="center"/>
                </w:tcPr>
                <w:p>
                  <w:pPr>
                    <w:jc w:val="center"/>
                    <w:rPr>
                      <w:szCs w:val="21"/>
                    </w:rPr>
                  </w:pPr>
                </w:p>
              </w:tc>
              <w:tc>
                <w:tcPr>
                  <w:tcW w:w="603" w:type="pct"/>
                  <w:vMerge w:val="continue"/>
                  <w:noWrap w:val="0"/>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5" w:type="pct"/>
                  <w:noWrap w:val="0"/>
                  <w:vAlign w:val="center"/>
                </w:tcPr>
                <w:p>
                  <w:pPr>
                    <w:jc w:val="center"/>
                    <w:rPr>
                      <w:szCs w:val="21"/>
                    </w:rPr>
                  </w:pPr>
                  <w:r>
                    <w:rPr>
                      <w:szCs w:val="21"/>
                    </w:rPr>
                    <w:t>生活污水</w:t>
                  </w:r>
                </w:p>
              </w:tc>
              <w:tc>
                <w:tcPr>
                  <w:tcW w:w="791" w:type="pct"/>
                  <w:vMerge w:val="restart"/>
                  <w:noWrap w:val="0"/>
                  <w:vAlign w:val="center"/>
                </w:tcPr>
                <w:p>
                  <w:pPr>
                    <w:jc w:val="center"/>
                    <w:rPr>
                      <w:szCs w:val="21"/>
                    </w:rPr>
                  </w:pPr>
                  <w:r>
                    <w:rPr>
                      <w:rFonts w:hint="eastAsia"/>
                      <w:szCs w:val="21"/>
                    </w:rPr>
                    <w:t>pH、COD、BOD</w:t>
                  </w:r>
                  <w:r>
                    <w:rPr>
                      <w:rFonts w:hint="eastAsia"/>
                      <w:szCs w:val="21"/>
                      <w:vertAlign w:val="subscript"/>
                    </w:rPr>
                    <w:t>5</w:t>
                  </w:r>
                  <w:r>
                    <w:rPr>
                      <w:rFonts w:hint="eastAsia"/>
                      <w:szCs w:val="21"/>
                    </w:rPr>
                    <w:t>、SS、NH</w:t>
                  </w:r>
                  <w:r>
                    <w:rPr>
                      <w:rFonts w:hint="eastAsia"/>
                      <w:szCs w:val="21"/>
                      <w:vertAlign w:val="subscript"/>
                    </w:rPr>
                    <w:t>3</w:t>
                  </w:r>
                  <w:r>
                    <w:rPr>
                      <w:rFonts w:hint="eastAsia"/>
                      <w:szCs w:val="21"/>
                    </w:rPr>
                    <w:t>-N、TP、动植物油</w:t>
                  </w:r>
                </w:p>
              </w:tc>
              <w:tc>
                <w:tcPr>
                  <w:tcW w:w="592" w:type="pct"/>
                  <w:noWrap w:val="0"/>
                  <w:vAlign w:val="center"/>
                </w:tcPr>
                <w:p>
                  <w:pPr>
                    <w:jc w:val="center"/>
                    <w:rPr>
                      <w:rFonts w:hint="eastAsia"/>
                      <w:szCs w:val="21"/>
                    </w:rPr>
                  </w:pPr>
                  <w:r>
                    <w:rPr>
                      <w:rFonts w:hint="eastAsia"/>
                      <w:szCs w:val="21"/>
                    </w:rPr>
                    <w:t>化粪池</w:t>
                  </w:r>
                </w:p>
              </w:tc>
              <w:tc>
                <w:tcPr>
                  <w:tcW w:w="500" w:type="pct"/>
                  <w:noWrap w:val="0"/>
                  <w:vAlign w:val="center"/>
                </w:tcPr>
                <w:p>
                  <w:pPr>
                    <w:jc w:val="center"/>
                    <w:rPr>
                      <w:szCs w:val="21"/>
                    </w:rPr>
                  </w:pPr>
                  <w:r>
                    <w:rPr>
                      <w:rFonts w:hint="eastAsia"/>
                      <w:szCs w:val="21"/>
                    </w:rPr>
                    <w:t>20</w:t>
                  </w:r>
                </w:p>
              </w:tc>
              <w:tc>
                <w:tcPr>
                  <w:tcW w:w="586" w:type="pct"/>
                  <w:noWrap w:val="0"/>
                  <w:vAlign w:val="center"/>
                </w:tcPr>
                <w:p>
                  <w:pPr>
                    <w:jc w:val="center"/>
                    <w:rPr>
                      <w:szCs w:val="21"/>
                    </w:rPr>
                  </w:pPr>
                  <w:r>
                    <w:rPr>
                      <w:rFonts w:hint="eastAsia"/>
                      <w:szCs w:val="21"/>
                    </w:rPr>
                    <w:t>厌氧处理</w:t>
                  </w:r>
                </w:p>
              </w:tc>
              <w:tc>
                <w:tcPr>
                  <w:tcW w:w="669" w:type="pct"/>
                  <w:noWrap w:val="0"/>
                  <w:vAlign w:val="center"/>
                </w:tcPr>
                <w:p>
                  <w:pPr>
                    <w:jc w:val="center"/>
                    <w:rPr>
                      <w:szCs w:val="21"/>
                    </w:rPr>
                  </w:pPr>
                  <w:r>
                    <w:rPr>
                      <w:szCs w:val="21"/>
                    </w:rPr>
                    <w:t>是</w:t>
                  </w:r>
                </w:p>
              </w:tc>
              <w:tc>
                <w:tcPr>
                  <w:tcW w:w="603" w:type="pct"/>
                  <w:noWrap w:val="0"/>
                  <w:vAlign w:val="center"/>
                </w:tcPr>
                <w:p>
                  <w:pPr>
                    <w:jc w:val="center"/>
                    <w:rPr>
                      <w:rFonts w:hint="eastAsia"/>
                      <w:szCs w:val="21"/>
                    </w:rPr>
                  </w:pPr>
                  <w:r>
                    <w:rPr>
                      <w:rFonts w:hint="eastAsia"/>
                      <w:szCs w:val="21"/>
                    </w:rPr>
                    <w:t>间接排放</w:t>
                  </w:r>
                </w:p>
              </w:tc>
              <w:tc>
                <w:tcPr>
                  <w:tcW w:w="603" w:type="pct"/>
                  <w:vMerge w:val="restart"/>
                  <w:noWrap w:val="0"/>
                  <w:vAlign w:val="center"/>
                </w:tcPr>
                <w:p>
                  <w:pPr>
                    <w:jc w:val="center"/>
                    <w:rPr>
                      <w:rFonts w:hint="eastAsia"/>
                      <w:szCs w:val="21"/>
                    </w:rPr>
                  </w:pPr>
                  <w:r>
                    <w:rPr>
                      <w:rFonts w:hint="eastAsia"/>
                      <w:szCs w:val="21"/>
                    </w:rPr>
                    <w:t>城市污水厂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5" w:type="pct"/>
                  <w:noWrap w:val="0"/>
                  <w:vAlign w:val="center"/>
                </w:tcPr>
                <w:p>
                  <w:pPr>
                    <w:jc w:val="center"/>
                    <w:rPr>
                      <w:szCs w:val="21"/>
                    </w:rPr>
                  </w:pPr>
                  <w:r>
                    <w:rPr>
                      <w:rFonts w:hint="eastAsia"/>
                      <w:szCs w:val="21"/>
                    </w:rPr>
                    <w:t>食堂废水</w:t>
                  </w:r>
                </w:p>
              </w:tc>
              <w:tc>
                <w:tcPr>
                  <w:tcW w:w="791" w:type="pct"/>
                  <w:vMerge w:val="continue"/>
                  <w:noWrap w:val="0"/>
                  <w:vAlign w:val="center"/>
                </w:tcPr>
                <w:p>
                  <w:pPr>
                    <w:jc w:val="center"/>
                    <w:rPr>
                      <w:color w:val="FF00FF"/>
                      <w:szCs w:val="21"/>
                    </w:rPr>
                  </w:pPr>
                </w:p>
              </w:tc>
              <w:tc>
                <w:tcPr>
                  <w:tcW w:w="592" w:type="pct"/>
                  <w:noWrap w:val="0"/>
                  <w:vAlign w:val="center"/>
                </w:tcPr>
                <w:p>
                  <w:pPr>
                    <w:jc w:val="center"/>
                    <w:rPr>
                      <w:szCs w:val="21"/>
                    </w:rPr>
                  </w:pPr>
                  <w:r>
                    <w:rPr>
                      <w:rFonts w:hint="eastAsia"/>
                      <w:szCs w:val="21"/>
                    </w:rPr>
                    <w:t>隔油池</w:t>
                  </w:r>
                </w:p>
              </w:tc>
              <w:tc>
                <w:tcPr>
                  <w:tcW w:w="500" w:type="pct"/>
                  <w:noWrap w:val="0"/>
                  <w:vAlign w:val="center"/>
                </w:tcPr>
                <w:p>
                  <w:pPr>
                    <w:jc w:val="center"/>
                    <w:rPr>
                      <w:szCs w:val="21"/>
                    </w:rPr>
                  </w:pPr>
                  <w:r>
                    <w:rPr>
                      <w:rFonts w:hint="eastAsia"/>
                      <w:szCs w:val="21"/>
                    </w:rPr>
                    <w:t>10</w:t>
                  </w:r>
                </w:p>
              </w:tc>
              <w:tc>
                <w:tcPr>
                  <w:tcW w:w="586" w:type="pct"/>
                  <w:noWrap w:val="0"/>
                  <w:vAlign w:val="center"/>
                </w:tcPr>
                <w:p>
                  <w:pPr>
                    <w:jc w:val="center"/>
                    <w:rPr>
                      <w:szCs w:val="21"/>
                    </w:rPr>
                  </w:pPr>
                  <w:r>
                    <w:rPr>
                      <w:rFonts w:hint="eastAsia"/>
                      <w:szCs w:val="21"/>
                    </w:rPr>
                    <w:t>隔油池</w:t>
                  </w:r>
                </w:p>
              </w:tc>
              <w:tc>
                <w:tcPr>
                  <w:tcW w:w="669" w:type="pct"/>
                  <w:noWrap w:val="0"/>
                  <w:vAlign w:val="center"/>
                </w:tcPr>
                <w:p>
                  <w:pPr>
                    <w:jc w:val="center"/>
                    <w:rPr>
                      <w:szCs w:val="21"/>
                    </w:rPr>
                  </w:pPr>
                  <w:r>
                    <w:rPr>
                      <w:szCs w:val="21"/>
                    </w:rPr>
                    <w:t>是</w:t>
                  </w:r>
                </w:p>
              </w:tc>
              <w:tc>
                <w:tcPr>
                  <w:tcW w:w="603" w:type="pct"/>
                  <w:noWrap w:val="0"/>
                  <w:vAlign w:val="center"/>
                </w:tcPr>
                <w:p>
                  <w:pPr>
                    <w:jc w:val="center"/>
                    <w:rPr>
                      <w:rFonts w:hint="eastAsia"/>
                      <w:szCs w:val="21"/>
                    </w:rPr>
                  </w:pPr>
                  <w:r>
                    <w:rPr>
                      <w:rFonts w:hint="eastAsia"/>
                      <w:szCs w:val="21"/>
                    </w:rPr>
                    <w:t>间接排放</w:t>
                  </w:r>
                </w:p>
              </w:tc>
              <w:tc>
                <w:tcPr>
                  <w:tcW w:w="603" w:type="pct"/>
                  <w:vMerge w:val="continue"/>
                  <w:noWrap w:val="0"/>
                  <w:vAlign w:val="center"/>
                </w:tcPr>
                <w:p>
                  <w:pPr>
                    <w:jc w:val="center"/>
                    <w:rPr>
                      <w:color w:val="FF00FF"/>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5" w:type="pct"/>
                  <w:vMerge w:val="restart"/>
                  <w:noWrap w:val="0"/>
                  <w:vAlign w:val="center"/>
                </w:tcPr>
                <w:p>
                  <w:pPr>
                    <w:jc w:val="center"/>
                    <w:rPr>
                      <w:szCs w:val="21"/>
                    </w:rPr>
                  </w:pPr>
                  <w:r>
                    <w:rPr>
                      <w:rFonts w:hint="eastAsia"/>
                      <w:szCs w:val="21"/>
                    </w:rPr>
                    <w:t>生产废水</w:t>
                  </w:r>
                </w:p>
              </w:tc>
              <w:tc>
                <w:tcPr>
                  <w:tcW w:w="791" w:type="pct"/>
                  <w:vMerge w:val="restart"/>
                  <w:noWrap w:val="0"/>
                  <w:vAlign w:val="center"/>
                </w:tcPr>
                <w:p>
                  <w:pPr>
                    <w:jc w:val="center"/>
                    <w:rPr>
                      <w:szCs w:val="21"/>
                    </w:rPr>
                  </w:pPr>
                  <w:r>
                    <w:rPr>
                      <w:rFonts w:hint="eastAsia"/>
                      <w:szCs w:val="21"/>
                    </w:rPr>
                    <w:t>pH、COD、BOD</w:t>
                  </w:r>
                  <w:r>
                    <w:rPr>
                      <w:rFonts w:hint="eastAsia"/>
                      <w:szCs w:val="21"/>
                      <w:vertAlign w:val="subscript"/>
                    </w:rPr>
                    <w:t>5</w:t>
                  </w:r>
                  <w:r>
                    <w:rPr>
                      <w:rFonts w:hint="eastAsia"/>
                      <w:szCs w:val="21"/>
                    </w:rPr>
                    <w:t>、SS、NH</w:t>
                  </w:r>
                  <w:r>
                    <w:rPr>
                      <w:rFonts w:hint="eastAsia"/>
                      <w:szCs w:val="21"/>
                      <w:vertAlign w:val="subscript"/>
                    </w:rPr>
                    <w:t>3</w:t>
                  </w:r>
                  <w:r>
                    <w:rPr>
                      <w:rFonts w:hint="eastAsia"/>
                      <w:szCs w:val="21"/>
                    </w:rPr>
                    <w:t>-N、TP</w:t>
                  </w:r>
                </w:p>
              </w:tc>
              <w:tc>
                <w:tcPr>
                  <w:tcW w:w="592" w:type="pct"/>
                  <w:noWrap w:val="0"/>
                  <w:vAlign w:val="center"/>
                </w:tcPr>
                <w:p>
                  <w:pPr>
                    <w:jc w:val="center"/>
                    <w:rPr>
                      <w:rFonts w:hint="eastAsia"/>
                      <w:szCs w:val="21"/>
                    </w:rPr>
                  </w:pPr>
                  <w:r>
                    <w:rPr>
                      <w:rFonts w:hint="eastAsia"/>
                      <w:szCs w:val="21"/>
                    </w:rPr>
                    <w:t>V滤池反冲洗水回净水系统</w:t>
                  </w:r>
                </w:p>
              </w:tc>
              <w:tc>
                <w:tcPr>
                  <w:tcW w:w="500" w:type="pct"/>
                  <w:noWrap w:val="0"/>
                  <w:vAlign w:val="center"/>
                </w:tcPr>
                <w:p>
                  <w:pPr>
                    <w:jc w:val="center"/>
                    <w:rPr>
                      <w:szCs w:val="21"/>
                    </w:rPr>
                  </w:pPr>
                  <w:r>
                    <w:rPr>
                      <w:rFonts w:hint="eastAsia"/>
                      <w:szCs w:val="21"/>
                    </w:rPr>
                    <w:t>75000</w:t>
                  </w:r>
                </w:p>
              </w:tc>
              <w:tc>
                <w:tcPr>
                  <w:tcW w:w="586" w:type="pct"/>
                  <w:noWrap w:val="0"/>
                  <w:vAlign w:val="center"/>
                </w:tcPr>
                <w:p>
                  <w:pPr>
                    <w:jc w:val="center"/>
                    <w:rPr>
                      <w:rFonts w:hint="eastAsia"/>
                      <w:szCs w:val="21"/>
                    </w:rPr>
                  </w:pPr>
                  <w:r>
                    <w:rPr>
                      <w:rFonts w:hint="eastAsia"/>
                      <w:szCs w:val="21"/>
                    </w:rPr>
                    <w:t>絮凝沉淀池+V型滤池+二氧化氯消毒+清水池</w:t>
                  </w:r>
                </w:p>
              </w:tc>
              <w:tc>
                <w:tcPr>
                  <w:tcW w:w="669" w:type="pct"/>
                  <w:noWrap w:val="0"/>
                  <w:vAlign w:val="center"/>
                </w:tcPr>
                <w:p>
                  <w:pPr>
                    <w:jc w:val="center"/>
                    <w:rPr>
                      <w:rFonts w:hint="eastAsia"/>
                      <w:szCs w:val="21"/>
                    </w:rPr>
                  </w:pPr>
                  <w:r>
                    <w:rPr>
                      <w:rFonts w:hint="eastAsia"/>
                      <w:szCs w:val="21"/>
                    </w:rPr>
                    <w:t>是</w:t>
                  </w:r>
                </w:p>
              </w:tc>
              <w:tc>
                <w:tcPr>
                  <w:tcW w:w="603" w:type="pct"/>
                  <w:noWrap w:val="0"/>
                  <w:vAlign w:val="center"/>
                </w:tcPr>
                <w:p>
                  <w:pPr>
                    <w:jc w:val="center"/>
                    <w:rPr>
                      <w:rFonts w:hint="eastAsia"/>
                      <w:szCs w:val="21"/>
                    </w:rPr>
                  </w:pPr>
                  <w:r>
                    <w:rPr>
                      <w:rFonts w:hint="eastAsia"/>
                      <w:szCs w:val="21"/>
                    </w:rPr>
                    <w:t>不排放</w:t>
                  </w:r>
                </w:p>
              </w:tc>
              <w:tc>
                <w:tcPr>
                  <w:tcW w:w="603" w:type="pct"/>
                  <w:noWrap w:val="0"/>
                  <w:vAlign w:val="center"/>
                </w:tcPr>
                <w:p>
                  <w:pPr>
                    <w:jc w:val="center"/>
                    <w:rPr>
                      <w:rFonts w:hint="eastAsia"/>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5" w:type="pct"/>
                  <w:vMerge w:val="continue"/>
                  <w:noWrap w:val="0"/>
                  <w:vAlign w:val="center"/>
                </w:tcPr>
                <w:p>
                  <w:pPr>
                    <w:jc w:val="center"/>
                    <w:rPr>
                      <w:rFonts w:hint="eastAsia"/>
                      <w:szCs w:val="21"/>
                    </w:rPr>
                  </w:pPr>
                </w:p>
              </w:tc>
              <w:tc>
                <w:tcPr>
                  <w:tcW w:w="791" w:type="pct"/>
                  <w:vMerge w:val="continue"/>
                  <w:noWrap w:val="0"/>
                  <w:vAlign w:val="center"/>
                </w:tcPr>
                <w:p>
                  <w:pPr>
                    <w:jc w:val="center"/>
                    <w:rPr>
                      <w:rFonts w:hint="eastAsia"/>
                      <w:szCs w:val="21"/>
                    </w:rPr>
                  </w:pPr>
                </w:p>
              </w:tc>
              <w:tc>
                <w:tcPr>
                  <w:tcW w:w="592" w:type="pct"/>
                  <w:noWrap w:val="0"/>
                  <w:vAlign w:val="center"/>
                </w:tcPr>
                <w:p>
                  <w:pPr>
                    <w:jc w:val="center"/>
                    <w:rPr>
                      <w:rFonts w:hint="eastAsia"/>
                      <w:szCs w:val="21"/>
                    </w:rPr>
                  </w:pPr>
                  <w:r>
                    <w:rPr>
                      <w:rFonts w:hint="eastAsia"/>
                      <w:szCs w:val="21"/>
                    </w:rPr>
                    <w:t>污泥浓缩池废水</w:t>
                  </w:r>
                </w:p>
              </w:tc>
              <w:tc>
                <w:tcPr>
                  <w:tcW w:w="500" w:type="pct"/>
                  <w:noWrap w:val="0"/>
                  <w:vAlign w:val="center"/>
                </w:tcPr>
                <w:p>
                  <w:pPr>
                    <w:jc w:val="center"/>
                    <w:rPr>
                      <w:rFonts w:hint="eastAsia"/>
                      <w:szCs w:val="21"/>
                    </w:rPr>
                  </w:pPr>
                  <w:r>
                    <w:rPr>
                      <w:rFonts w:hint="eastAsia"/>
                      <w:kern w:val="24"/>
                      <w:szCs w:val="21"/>
                    </w:rPr>
                    <w:t>408.75</w:t>
                  </w:r>
                </w:p>
              </w:tc>
              <w:tc>
                <w:tcPr>
                  <w:tcW w:w="586" w:type="pct"/>
                  <w:noWrap w:val="0"/>
                  <w:vAlign w:val="center"/>
                </w:tcPr>
                <w:p>
                  <w:pPr>
                    <w:jc w:val="center"/>
                    <w:rPr>
                      <w:rFonts w:hint="eastAsia"/>
                      <w:szCs w:val="21"/>
                    </w:rPr>
                  </w:pPr>
                  <w:r>
                    <w:rPr>
                      <w:rFonts w:hint="eastAsia"/>
                      <w:szCs w:val="21"/>
                    </w:rPr>
                    <w:t>板框压滤机</w:t>
                  </w:r>
                </w:p>
              </w:tc>
              <w:tc>
                <w:tcPr>
                  <w:tcW w:w="669" w:type="pct"/>
                  <w:noWrap w:val="0"/>
                  <w:vAlign w:val="center"/>
                </w:tcPr>
                <w:p>
                  <w:pPr>
                    <w:jc w:val="center"/>
                    <w:rPr>
                      <w:rFonts w:hint="eastAsia"/>
                      <w:szCs w:val="21"/>
                    </w:rPr>
                  </w:pPr>
                  <w:r>
                    <w:rPr>
                      <w:rFonts w:hint="eastAsia"/>
                      <w:szCs w:val="21"/>
                    </w:rPr>
                    <w:t>是</w:t>
                  </w:r>
                </w:p>
              </w:tc>
              <w:tc>
                <w:tcPr>
                  <w:tcW w:w="603" w:type="pct"/>
                  <w:noWrap w:val="0"/>
                  <w:vAlign w:val="center"/>
                </w:tcPr>
                <w:p>
                  <w:pPr>
                    <w:jc w:val="center"/>
                    <w:rPr>
                      <w:rFonts w:hint="eastAsia"/>
                      <w:szCs w:val="21"/>
                    </w:rPr>
                  </w:pPr>
                  <w:r>
                    <w:rPr>
                      <w:rFonts w:hint="eastAsia"/>
                      <w:szCs w:val="21"/>
                    </w:rPr>
                    <w:t>间接排放</w:t>
                  </w:r>
                </w:p>
              </w:tc>
              <w:tc>
                <w:tcPr>
                  <w:tcW w:w="603" w:type="pct"/>
                  <w:noWrap w:val="0"/>
                  <w:vAlign w:val="center"/>
                </w:tcPr>
                <w:p>
                  <w:pPr>
                    <w:jc w:val="center"/>
                    <w:rPr>
                      <w:rFonts w:hint="eastAsia"/>
                      <w:szCs w:val="21"/>
                    </w:rPr>
                  </w:pPr>
                  <w:r>
                    <w:rPr>
                      <w:rFonts w:hint="eastAsia"/>
                      <w:szCs w:val="21"/>
                    </w:rPr>
                    <w:t>城市污水厂</w:t>
                  </w:r>
                </w:p>
              </w:tc>
            </w:tr>
          </w:tbl>
          <w:p>
            <w:pPr>
              <w:spacing w:line="276" w:lineRule="auto"/>
              <w:ind w:firstLine="422" w:firstLineChars="200"/>
              <w:rPr>
                <w:rFonts w:hint="eastAsia"/>
                <w:b/>
                <w:szCs w:val="21"/>
              </w:rPr>
            </w:pPr>
            <w:r>
              <w:rPr>
                <w:rFonts w:hint="eastAsia"/>
                <w:b/>
                <w:szCs w:val="21"/>
              </w:rPr>
              <w:t>（3）废水治理措施可行性分析</w:t>
            </w:r>
          </w:p>
          <w:p>
            <w:pPr>
              <w:spacing w:line="276" w:lineRule="auto"/>
              <w:ind w:firstLine="422" w:firstLineChars="200"/>
              <w:rPr>
                <w:b/>
                <w:szCs w:val="21"/>
              </w:rPr>
            </w:pPr>
            <w:r>
              <w:rPr>
                <w:rFonts w:hint="eastAsia"/>
                <w:b/>
                <w:szCs w:val="21"/>
              </w:rPr>
              <w:t>①隔油池的环境可行性</w:t>
            </w:r>
          </w:p>
          <w:p>
            <w:pPr>
              <w:spacing w:line="276" w:lineRule="auto"/>
              <w:ind w:firstLine="420" w:firstLineChars="200"/>
              <w:rPr>
                <w:bCs/>
                <w:szCs w:val="21"/>
              </w:rPr>
            </w:pPr>
            <w:r>
              <w:rPr>
                <w:rFonts w:hint="eastAsia"/>
                <w:bCs/>
                <w:szCs w:val="21"/>
              </w:rPr>
              <w:t>项目拟建设1个容积为10m</w:t>
            </w:r>
            <w:r>
              <w:rPr>
                <w:rFonts w:hint="eastAsia"/>
                <w:bCs/>
                <w:szCs w:val="21"/>
                <w:vertAlign w:val="superscript"/>
              </w:rPr>
              <w:t>3</w:t>
            </w:r>
            <w:r>
              <w:rPr>
                <w:rFonts w:hint="eastAsia"/>
                <w:bCs/>
                <w:szCs w:val="21"/>
              </w:rPr>
              <w:t>的隔油池，用于处理食堂含油废水，废水在隔油池中停留时间按8h计，则隔油池最大接纳污水量为30m</w:t>
            </w:r>
            <w:r>
              <w:rPr>
                <w:rFonts w:hint="eastAsia"/>
                <w:bCs/>
                <w:szCs w:val="21"/>
                <w:vertAlign w:val="superscript"/>
              </w:rPr>
              <w:t>3</w:t>
            </w:r>
            <w:r>
              <w:rPr>
                <w:rFonts w:hint="eastAsia"/>
                <w:bCs/>
                <w:szCs w:val="21"/>
              </w:rPr>
              <w:t>/d，远大于项目生活污水与食堂废水产生量。同时，废水经隔油处理后，可有效去除废水中的油污，满足环境可行性要求。</w:t>
            </w:r>
          </w:p>
          <w:p>
            <w:pPr>
              <w:spacing w:line="276" w:lineRule="auto"/>
              <w:ind w:firstLine="422" w:firstLineChars="200"/>
              <w:rPr>
                <w:rFonts w:hint="eastAsia"/>
                <w:b/>
                <w:szCs w:val="21"/>
              </w:rPr>
            </w:pPr>
            <w:r>
              <w:rPr>
                <w:rFonts w:hint="eastAsia"/>
                <w:b/>
                <w:szCs w:val="21"/>
              </w:rPr>
              <w:t>②化粪池的环境可行性</w:t>
            </w:r>
          </w:p>
          <w:p>
            <w:pPr>
              <w:spacing w:line="276" w:lineRule="auto"/>
              <w:ind w:firstLine="420" w:firstLineChars="200"/>
              <w:rPr>
                <w:rFonts w:hint="eastAsia"/>
                <w:bCs/>
                <w:szCs w:val="21"/>
              </w:rPr>
            </w:pPr>
            <w:r>
              <w:rPr>
                <w:rFonts w:hint="eastAsia"/>
                <w:bCs/>
                <w:szCs w:val="21"/>
              </w:rPr>
              <w:t>项目拟建设1个容积为20m</w:t>
            </w:r>
            <w:r>
              <w:rPr>
                <w:rFonts w:hint="eastAsia"/>
                <w:bCs/>
                <w:szCs w:val="21"/>
                <w:vertAlign w:val="superscript"/>
              </w:rPr>
              <w:t>3</w:t>
            </w:r>
            <w:r>
              <w:rPr>
                <w:rFonts w:hint="eastAsia"/>
                <w:bCs/>
                <w:szCs w:val="21"/>
              </w:rPr>
              <w:t>的化粪池，用于处理厂区生活污水及隔油后的食堂废水。废水在化粪池中停留时间按12h计，则化粪池最大接纳污水量为40m</w:t>
            </w:r>
            <w:r>
              <w:rPr>
                <w:rFonts w:hint="eastAsia"/>
                <w:bCs/>
                <w:szCs w:val="21"/>
                <w:vertAlign w:val="superscript"/>
              </w:rPr>
              <w:t>3</w:t>
            </w:r>
            <w:r>
              <w:rPr>
                <w:rFonts w:hint="eastAsia"/>
                <w:bCs/>
                <w:szCs w:val="21"/>
              </w:rPr>
              <w:t>/d。根据工程分析，厂区废水产生量为6.8m</w:t>
            </w:r>
            <w:r>
              <w:rPr>
                <w:rFonts w:hint="eastAsia"/>
                <w:bCs/>
                <w:szCs w:val="21"/>
                <w:vertAlign w:val="superscript"/>
              </w:rPr>
              <w:t>3</w:t>
            </w:r>
            <w:r>
              <w:rPr>
                <w:rFonts w:hint="eastAsia"/>
                <w:bCs/>
                <w:szCs w:val="21"/>
              </w:rPr>
              <w:t>/d，低于该化粪池最大处理能力。废水经化粪池处理后，排入达州市城市生活污水处理厂处理后达标排放。</w:t>
            </w:r>
          </w:p>
          <w:p>
            <w:pPr>
              <w:spacing w:line="276" w:lineRule="auto"/>
              <w:ind w:firstLine="422" w:firstLineChars="200"/>
              <w:rPr>
                <w:rFonts w:hint="eastAsia" w:cs="Times New Roman"/>
                <w:b/>
                <w:bCs/>
                <w:szCs w:val="21"/>
              </w:rPr>
            </w:pPr>
            <w:r>
              <w:rPr>
                <w:rFonts w:hint="eastAsia" w:cs="Times New Roman"/>
                <w:b/>
                <w:bCs/>
                <w:szCs w:val="21"/>
              </w:rPr>
              <w:t>综上，本项目不设置排污口，生活污水、生产废水均不直接外排。因此，项目运营期不会对周边地表水环境产生明显影响。</w:t>
            </w:r>
          </w:p>
          <w:p>
            <w:pPr>
              <w:spacing w:line="276" w:lineRule="auto"/>
              <w:ind w:firstLine="422" w:firstLineChars="200"/>
              <w:rPr>
                <w:b/>
                <w:bCs/>
                <w:szCs w:val="21"/>
              </w:rPr>
            </w:pPr>
            <w:r>
              <w:rPr>
                <w:b/>
                <w:bCs/>
                <w:szCs w:val="21"/>
              </w:rPr>
              <w:t>（</w:t>
            </w:r>
            <w:r>
              <w:rPr>
                <w:rFonts w:hint="eastAsia"/>
                <w:b/>
                <w:bCs/>
                <w:szCs w:val="21"/>
              </w:rPr>
              <w:t>4</w:t>
            </w:r>
            <w:r>
              <w:rPr>
                <w:b/>
                <w:bCs/>
                <w:szCs w:val="21"/>
              </w:rPr>
              <w:t>）监测计划</w:t>
            </w:r>
          </w:p>
          <w:p>
            <w:pPr>
              <w:spacing w:line="276" w:lineRule="auto"/>
              <w:ind w:firstLine="420" w:firstLineChars="200"/>
              <w:rPr>
                <w:bCs/>
                <w:szCs w:val="21"/>
              </w:rPr>
            </w:pPr>
            <w:r>
              <w:rPr>
                <w:bCs/>
                <w:szCs w:val="21"/>
              </w:rPr>
              <w:t>项目</w:t>
            </w:r>
            <w:r>
              <w:rPr>
                <w:rFonts w:hint="eastAsia"/>
                <w:bCs/>
                <w:szCs w:val="21"/>
              </w:rPr>
              <w:t>无废水直接排放，</w:t>
            </w:r>
            <w:r>
              <w:rPr>
                <w:bCs/>
                <w:szCs w:val="21"/>
              </w:rPr>
              <w:t>因此不制定废水监测计划。</w:t>
            </w:r>
          </w:p>
          <w:p>
            <w:pPr>
              <w:spacing w:line="276" w:lineRule="auto"/>
              <w:ind w:firstLine="422" w:firstLineChars="200"/>
              <w:rPr>
                <w:b/>
                <w:szCs w:val="21"/>
              </w:rPr>
            </w:pPr>
            <w:r>
              <w:rPr>
                <w:b/>
                <w:szCs w:val="21"/>
              </w:rPr>
              <w:t>3</w:t>
            </w:r>
            <w:r>
              <w:rPr>
                <w:rFonts w:hint="eastAsia"/>
                <w:b/>
                <w:szCs w:val="21"/>
              </w:rPr>
              <w:t>、噪声</w:t>
            </w:r>
          </w:p>
          <w:p>
            <w:pPr>
              <w:spacing w:line="276" w:lineRule="auto"/>
              <w:ind w:firstLine="422" w:firstLineChars="200"/>
              <w:rPr>
                <w:b/>
                <w:szCs w:val="21"/>
              </w:rPr>
            </w:pPr>
            <w:r>
              <w:rPr>
                <w:rFonts w:hint="eastAsia"/>
                <w:b/>
                <w:szCs w:val="21"/>
              </w:rPr>
              <w:t>（1）噪声源强及治理措施</w:t>
            </w:r>
          </w:p>
          <w:p>
            <w:pPr>
              <w:spacing w:line="276" w:lineRule="auto"/>
              <w:ind w:firstLine="420" w:firstLineChars="200"/>
              <w:rPr>
                <w:rFonts w:hint="eastAsia"/>
                <w:szCs w:val="21"/>
              </w:rPr>
            </w:pPr>
            <w:r>
              <w:rPr>
                <w:rFonts w:hint="eastAsia"/>
                <w:szCs w:val="21"/>
              </w:rPr>
              <w:t>本项目主要噪声源来自各类提升泵、风机、供水设备、脱水机、刮泥机等生产设施设备运行时产生的噪声，各设备噪声源强值在70~85dB（A）间。根据声源类型及源强，项目拟采取的噪声治理措施如下：</w:t>
            </w:r>
          </w:p>
          <w:p>
            <w:pPr>
              <w:spacing w:line="276" w:lineRule="auto"/>
              <w:ind w:firstLine="420" w:firstLineChars="200"/>
              <w:rPr>
                <w:rFonts w:hint="eastAsia"/>
                <w:szCs w:val="21"/>
              </w:rPr>
            </w:pPr>
            <w:r>
              <w:rPr>
                <w:rFonts w:hint="eastAsia"/>
                <w:szCs w:val="21"/>
              </w:rPr>
              <w:t>①选用符合国家标准的低噪声设备，定期进行设备检修，保证设备正常运行。</w:t>
            </w:r>
          </w:p>
          <w:p>
            <w:pPr>
              <w:spacing w:line="276" w:lineRule="auto"/>
              <w:ind w:firstLine="420" w:firstLineChars="200"/>
              <w:rPr>
                <w:rFonts w:hint="eastAsia"/>
                <w:szCs w:val="21"/>
              </w:rPr>
            </w:pPr>
            <w:r>
              <w:rPr>
                <w:rFonts w:hint="eastAsia"/>
                <w:szCs w:val="21"/>
              </w:rPr>
              <w:t>②合理布局，提升泵等高噪声设备设置在场地中部，充分利用距离衰减，减轻噪声对周围环境的影响。</w:t>
            </w:r>
          </w:p>
          <w:p>
            <w:pPr>
              <w:spacing w:line="276" w:lineRule="auto"/>
              <w:ind w:firstLine="420" w:firstLineChars="200"/>
              <w:rPr>
                <w:rFonts w:hint="eastAsia"/>
                <w:szCs w:val="21"/>
              </w:rPr>
            </w:pPr>
            <w:r>
              <w:rPr>
                <w:rFonts w:hint="eastAsia"/>
                <w:szCs w:val="21"/>
              </w:rPr>
              <w:t>③</w:t>
            </w:r>
            <w:r>
              <w:rPr>
                <w:rFonts w:cs="Times New Roman"/>
                <w:szCs w:val="21"/>
              </w:rPr>
              <w:t>各类污水泵采用潜水泵，噪声源位于液面以下</w:t>
            </w:r>
            <w:r>
              <w:rPr>
                <w:rFonts w:hint="eastAsia"/>
                <w:szCs w:val="21"/>
              </w:rPr>
              <w:t>；脱水机设于脱水机房内部，利用墙体进行隔声。</w:t>
            </w:r>
          </w:p>
          <w:p>
            <w:pPr>
              <w:spacing w:line="276" w:lineRule="auto"/>
              <w:ind w:firstLine="420" w:firstLineChars="200"/>
              <w:rPr>
                <w:rFonts w:hint="eastAsia" w:cs="Times New Roman"/>
                <w:szCs w:val="21"/>
              </w:rPr>
            </w:pPr>
            <w:r>
              <w:rPr>
                <w:rFonts w:hint="eastAsia"/>
                <w:szCs w:val="21"/>
              </w:rPr>
              <w:t>本项目噪声污染源源强核算结果及相关参数见下表：</w:t>
            </w:r>
          </w:p>
        </w:tc>
      </w:tr>
    </w:tbl>
    <w:p>
      <w:pPr>
        <w:spacing w:line="276" w:lineRule="auto"/>
        <w:ind w:firstLine="420" w:firstLineChars="200"/>
        <w:rPr>
          <w:color w:val="FF00FF"/>
          <w:szCs w:val="21"/>
        </w:rPr>
        <w:sectPr>
          <w:pgSz w:w="11906" w:h="16838"/>
          <w:pgMar w:top="1134" w:right="1418" w:bottom="1134" w:left="1134" w:header="851" w:footer="992" w:gutter="0"/>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6" w:type="dxa"/>
            <w:noWrap w:val="0"/>
            <w:vAlign w:val="top"/>
          </w:tcPr>
          <w:p>
            <w:pPr>
              <w:spacing w:line="276" w:lineRule="auto"/>
              <w:jc w:val="center"/>
              <w:rPr>
                <w:rFonts w:hint="eastAsia"/>
                <w:b/>
                <w:bCs/>
                <w:szCs w:val="21"/>
              </w:rPr>
            </w:pPr>
            <w:r>
              <w:rPr>
                <w:rFonts w:hint="eastAsia"/>
                <w:b/>
                <w:bCs/>
                <w:szCs w:val="21"/>
              </w:rPr>
              <w:t>表4-9：项目噪声源强调查清单（净水厂室外声源）</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92"/>
              <w:gridCol w:w="1816"/>
              <w:gridCol w:w="1379"/>
              <w:gridCol w:w="932"/>
              <w:gridCol w:w="932"/>
              <w:gridCol w:w="932"/>
              <w:gridCol w:w="1977"/>
              <w:gridCol w:w="1424"/>
              <w:gridCol w:w="2009"/>
              <w:gridCol w:w="24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restart"/>
                  <w:noWrap w:val="0"/>
                  <w:vAlign w:val="center"/>
                </w:tcPr>
                <w:p>
                  <w:pPr>
                    <w:jc w:val="center"/>
                    <w:rPr>
                      <w:rFonts w:hint="eastAsia" w:cs="Times New Roman"/>
                      <w:b/>
                      <w:bCs/>
                      <w:szCs w:val="21"/>
                    </w:rPr>
                  </w:pPr>
                  <w:r>
                    <w:rPr>
                      <w:rFonts w:hint="eastAsia" w:cs="Times New Roman"/>
                      <w:b/>
                      <w:bCs/>
                      <w:szCs w:val="21"/>
                    </w:rPr>
                    <w:t>序号</w:t>
                  </w:r>
                </w:p>
              </w:tc>
              <w:tc>
                <w:tcPr>
                  <w:tcW w:w="624" w:type="pct"/>
                  <w:vMerge w:val="restart"/>
                  <w:noWrap w:val="0"/>
                  <w:vAlign w:val="center"/>
                </w:tcPr>
                <w:p>
                  <w:pPr>
                    <w:jc w:val="center"/>
                    <w:rPr>
                      <w:rFonts w:hint="eastAsia" w:cs="Times New Roman"/>
                      <w:b/>
                      <w:bCs/>
                      <w:szCs w:val="21"/>
                    </w:rPr>
                  </w:pPr>
                  <w:r>
                    <w:rPr>
                      <w:rFonts w:cs="Times New Roman"/>
                      <w:b/>
                      <w:bCs/>
                      <w:szCs w:val="21"/>
                    </w:rPr>
                    <w:t>声源</w:t>
                  </w:r>
                  <w:r>
                    <w:rPr>
                      <w:rFonts w:hint="eastAsia" w:cs="Times New Roman"/>
                      <w:b/>
                      <w:bCs/>
                      <w:szCs w:val="21"/>
                    </w:rPr>
                    <w:t>名称</w:t>
                  </w:r>
                </w:p>
              </w:tc>
              <w:tc>
                <w:tcPr>
                  <w:tcW w:w="474" w:type="pct"/>
                  <w:vMerge w:val="restart"/>
                  <w:noWrap w:val="0"/>
                  <w:vAlign w:val="center"/>
                </w:tcPr>
                <w:p>
                  <w:pPr>
                    <w:jc w:val="center"/>
                    <w:rPr>
                      <w:rFonts w:cs="Times New Roman"/>
                      <w:b/>
                      <w:bCs/>
                      <w:szCs w:val="21"/>
                    </w:rPr>
                  </w:pPr>
                  <w:r>
                    <w:rPr>
                      <w:rFonts w:hint="eastAsia" w:cs="Times New Roman"/>
                      <w:b/>
                      <w:bCs/>
                      <w:szCs w:val="21"/>
                    </w:rPr>
                    <w:t>型号</w:t>
                  </w:r>
                </w:p>
              </w:tc>
              <w:tc>
                <w:tcPr>
                  <w:tcW w:w="960" w:type="pct"/>
                  <w:gridSpan w:val="3"/>
                  <w:noWrap w:val="0"/>
                  <w:vAlign w:val="center"/>
                </w:tcPr>
                <w:p>
                  <w:pPr>
                    <w:jc w:val="center"/>
                    <w:rPr>
                      <w:rFonts w:cs="Times New Roman"/>
                      <w:b/>
                      <w:bCs/>
                      <w:szCs w:val="21"/>
                    </w:rPr>
                  </w:pPr>
                  <w:r>
                    <w:rPr>
                      <w:rFonts w:hint="eastAsia" w:cs="Times New Roman"/>
                      <w:b/>
                      <w:bCs/>
                      <w:szCs w:val="21"/>
                    </w:rPr>
                    <w:t>空间相对位置</w:t>
                  </w:r>
                </w:p>
              </w:tc>
              <w:tc>
                <w:tcPr>
                  <w:tcW w:w="1168" w:type="pct"/>
                  <w:gridSpan w:val="2"/>
                  <w:noWrap w:val="0"/>
                  <w:vAlign w:val="center"/>
                </w:tcPr>
                <w:p>
                  <w:pPr>
                    <w:jc w:val="center"/>
                    <w:rPr>
                      <w:rFonts w:hint="eastAsia" w:cs="Times New Roman"/>
                      <w:b/>
                      <w:bCs/>
                      <w:szCs w:val="21"/>
                    </w:rPr>
                  </w:pPr>
                  <w:r>
                    <w:rPr>
                      <w:rFonts w:cs="Times New Roman"/>
                      <w:b/>
                      <w:bCs/>
                      <w:szCs w:val="21"/>
                    </w:rPr>
                    <w:t>噪声源强</w:t>
                  </w:r>
                  <w:r>
                    <w:rPr>
                      <w:rFonts w:hint="eastAsia" w:cs="Times New Roman"/>
                      <w:b/>
                      <w:bCs/>
                      <w:szCs w:val="21"/>
                    </w:rPr>
                    <w:t>（任选一种）</w:t>
                  </w:r>
                </w:p>
              </w:tc>
              <w:tc>
                <w:tcPr>
                  <w:tcW w:w="690" w:type="pct"/>
                  <w:vMerge w:val="restart"/>
                  <w:noWrap w:val="0"/>
                  <w:vAlign w:val="center"/>
                </w:tcPr>
                <w:p>
                  <w:pPr>
                    <w:jc w:val="center"/>
                    <w:rPr>
                      <w:rFonts w:cs="Times New Roman"/>
                      <w:b/>
                      <w:bCs/>
                      <w:szCs w:val="21"/>
                    </w:rPr>
                  </w:pPr>
                  <w:r>
                    <w:rPr>
                      <w:rFonts w:hint="eastAsia" w:cs="Times New Roman"/>
                      <w:b/>
                      <w:bCs/>
                      <w:szCs w:val="21"/>
                    </w:rPr>
                    <w:t>声源控制措施</w:t>
                  </w:r>
                </w:p>
              </w:tc>
              <w:tc>
                <w:tcPr>
                  <w:tcW w:w="845" w:type="pct"/>
                  <w:vMerge w:val="restart"/>
                  <w:noWrap w:val="0"/>
                  <w:vAlign w:val="center"/>
                </w:tcPr>
                <w:p>
                  <w:pPr>
                    <w:jc w:val="center"/>
                    <w:rPr>
                      <w:rFonts w:hint="eastAsia" w:cs="Times New Roman"/>
                      <w:b/>
                      <w:bCs/>
                      <w:szCs w:val="21"/>
                    </w:rPr>
                  </w:pPr>
                  <w:r>
                    <w:rPr>
                      <w:rFonts w:hint="eastAsia" w:cs="Times New Roman"/>
                      <w:b/>
                      <w:bCs/>
                      <w:szCs w:val="21"/>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continue"/>
                  <w:noWrap w:val="0"/>
                  <w:vAlign w:val="center"/>
                </w:tcPr>
                <w:p>
                  <w:pPr>
                    <w:jc w:val="center"/>
                    <w:rPr>
                      <w:rFonts w:cs="Times New Roman"/>
                      <w:szCs w:val="21"/>
                    </w:rPr>
                  </w:pPr>
                </w:p>
              </w:tc>
              <w:tc>
                <w:tcPr>
                  <w:tcW w:w="624" w:type="pct"/>
                  <w:vMerge w:val="continue"/>
                  <w:noWrap w:val="0"/>
                  <w:vAlign w:val="center"/>
                </w:tcPr>
                <w:p>
                  <w:pPr>
                    <w:jc w:val="center"/>
                    <w:rPr>
                      <w:rFonts w:cs="Times New Roman"/>
                      <w:szCs w:val="21"/>
                    </w:rPr>
                  </w:pPr>
                </w:p>
              </w:tc>
              <w:tc>
                <w:tcPr>
                  <w:tcW w:w="474" w:type="pct"/>
                  <w:vMerge w:val="continue"/>
                  <w:noWrap w:val="0"/>
                  <w:vAlign w:val="center"/>
                </w:tcPr>
                <w:p>
                  <w:pPr>
                    <w:jc w:val="center"/>
                    <w:rPr>
                      <w:rFonts w:cs="Times New Roman"/>
                      <w:szCs w:val="21"/>
                    </w:rPr>
                  </w:pPr>
                </w:p>
              </w:tc>
              <w:tc>
                <w:tcPr>
                  <w:tcW w:w="320" w:type="pct"/>
                  <w:noWrap w:val="0"/>
                  <w:vAlign w:val="center"/>
                </w:tcPr>
                <w:p>
                  <w:pPr>
                    <w:jc w:val="center"/>
                    <w:rPr>
                      <w:rFonts w:cs="Times New Roman"/>
                      <w:b/>
                      <w:bCs/>
                      <w:szCs w:val="21"/>
                    </w:rPr>
                  </w:pPr>
                  <w:r>
                    <w:rPr>
                      <w:rFonts w:hint="eastAsia" w:cs="Times New Roman"/>
                      <w:b/>
                      <w:bCs/>
                      <w:szCs w:val="21"/>
                    </w:rPr>
                    <w:t>X</w:t>
                  </w:r>
                </w:p>
              </w:tc>
              <w:tc>
                <w:tcPr>
                  <w:tcW w:w="320" w:type="pct"/>
                  <w:noWrap w:val="0"/>
                  <w:vAlign w:val="center"/>
                </w:tcPr>
                <w:p>
                  <w:pPr>
                    <w:jc w:val="center"/>
                    <w:rPr>
                      <w:rFonts w:cs="Times New Roman"/>
                      <w:b/>
                      <w:bCs/>
                      <w:szCs w:val="21"/>
                    </w:rPr>
                  </w:pPr>
                  <w:r>
                    <w:rPr>
                      <w:rFonts w:hint="eastAsia" w:cs="Times New Roman"/>
                      <w:b/>
                      <w:bCs/>
                      <w:szCs w:val="21"/>
                    </w:rPr>
                    <w:t>Y</w:t>
                  </w:r>
                </w:p>
              </w:tc>
              <w:tc>
                <w:tcPr>
                  <w:tcW w:w="320" w:type="pct"/>
                  <w:noWrap w:val="0"/>
                  <w:vAlign w:val="center"/>
                </w:tcPr>
                <w:p>
                  <w:pPr>
                    <w:jc w:val="center"/>
                    <w:rPr>
                      <w:rFonts w:cs="Times New Roman"/>
                      <w:b/>
                      <w:bCs/>
                      <w:szCs w:val="21"/>
                    </w:rPr>
                  </w:pPr>
                  <w:r>
                    <w:rPr>
                      <w:rFonts w:hint="eastAsia" w:cs="Times New Roman"/>
                      <w:b/>
                      <w:bCs/>
                      <w:szCs w:val="21"/>
                    </w:rPr>
                    <w:t>Z</w:t>
                  </w:r>
                </w:p>
              </w:tc>
              <w:tc>
                <w:tcPr>
                  <w:tcW w:w="679" w:type="pct"/>
                  <w:noWrap w:val="0"/>
                  <w:vAlign w:val="center"/>
                </w:tcPr>
                <w:p>
                  <w:pPr>
                    <w:jc w:val="center"/>
                    <w:rPr>
                      <w:rFonts w:cs="Times New Roman"/>
                      <w:b/>
                      <w:bCs/>
                      <w:szCs w:val="21"/>
                    </w:rPr>
                  </w:pPr>
                  <w:r>
                    <w:rPr>
                      <w:rFonts w:cs="Times New Roman"/>
                      <w:b/>
                      <w:bCs/>
                      <w:szCs w:val="21"/>
                    </w:rPr>
                    <w:t>（声压级/距声源距离）/（dB（A）/m）</w:t>
                  </w:r>
                </w:p>
              </w:tc>
              <w:tc>
                <w:tcPr>
                  <w:tcW w:w="489" w:type="pct"/>
                  <w:noWrap w:val="0"/>
                  <w:vAlign w:val="center"/>
                </w:tcPr>
                <w:p>
                  <w:pPr>
                    <w:jc w:val="center"/>
                    <w:rPr>
                      <w:rFonts w:cs="Times New Roman"/>
                      <w:b/>
                      <w:bCs/>
                      <w:szCs w:val="21"/>
                    </w:rPr>
                  </w:pPr>
                  <w:r>
                    <w:rPr>
                      <w:rFonts w:hint="eastAsia" w:cs="Times New Roman"/>
                      <w:b/>
                      <w:bCs/>
                      <w:szCs w:val="21"/>
                    </w:rPr>
                    <w:t>声功率级/</w:t>
                  </w:r>
                  <w:r>
                    <w:rPr>
                      <w:rFonts w:cs="Times New Roman"/>
                      <w:b/>
                      <w:bCs/>
                      <w:szCs w:val="21"/>
                    </w:rPr>
                    <w:t>dB（A）</w:t>
                  </w:r>
                </w:p>
              </w:tc>
              <w:tc>
                <w:tcPr>
                  <w:tcW w:w="690" w:type="pct"/>
                  <w:vMerge w:val="continue"/>
                  <w:noWrap w:val="0"/>
                  <w:vAlign w:val="center"/>
                </w:tcPr>
                <w:p>
                  <w:pPr>
                    <w:jc w:val="center"/>
                    <w:rPr>
                      <w:rFonts w:hint="eastAsia" w:cs="Times New Roman"/>
                      <w:b/>
                      <w:bCs/>
                      <w:szCs w:val="21"/>
                    </w:rPr>
                  </w:pPr>
                </w:p>
              </w:tc>
              <w:tc>
                <w:tcPr>
                  <w:tcW w:w="845" w:type="pct"/>
                  <w:vMerge w:val="continue"/>
                  <w:noWrap w:val="0"/>
                  <w:vAlign w:val="center"/>
                </w:tcPr>
                <w:p>
                  <w:pPr>
                    <w:jc w:val="center"/>
                    <w:rPr>
                      <w:rFonts w:hint="eastAsia"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noWrap w:val="0"/>
                  <w:vAlign w:val="center"/>
                </w:tcPr>
                <w:p>
                  <w:pPr>
                    <w:jc w:val="center"/>
                    <w:textAlignment w:val="baseline"/>
                    <w:rPr>
                      <w:rFonts w:hint="eastAsia" w:cs="Times New Roman"/>
                      <w:szCs w:val="21"/>
                      <w:lang w:bidi="ar"/>
                    </w:rPr>
                  </w:pPr>
                  <w:r>
                    <w:rPr>
                      <w:rFonts w:hint="eastAsia" w:cs="Times New Roman"/>
                      <w:szCs w:val="21"/>
                      <w:lang w:bidi="ar"/>
                    </w:rPr>
                    <w:t>1</w:t>
                  </w:r>
                </w:p>
              </w:tc>
              <w:tc>
                <w:tcPr>
                  <w:tcW w:w="624" w:type="pct"/>
                  <w:noWrap w:val="0"/>
                  <w:vAlign w:val="center"/>
                </w:tcPr>
                <w:p>
                  <w:pPr>
                    <w:jc w:val="center"/>
                    <w:textAlignment w:val="baseline"/>
                    <w:rPr>
                      <w:rFonts w:cs="Times New Roman"/>
                      <w:szCs w:val="21"/>
                    </w:rPr>
                  </w:pPr>
                  <w:r>
                    <w:rPr>
                      <w:rFonts w:cs="Times New Roman"/>
                      <w:szCs w:val="21"/>
                    </w:rPr>
                    <w:t>刮泥机</w:t>
                  </w:r>
                </w:p>
              </w:tc>
              <w:tc>
                <w:tcPr>
                  <w:tcW w:w="474" w:type="pct"/>
                  <w:noWrap w:val="0"/>
                  <w:vAlign w:val="center"/>
                </w:tcPr>
                <w:p>
                  <w:pPr>
                    <w:jc w:val="center"/>
                    <w:rPr>
                      <w:rFonts w:cs="Times New Roman"/>
                      <w:szCs w:val="21"/>
                    </w:rPr>
                  </w:pPr>
                  <w:r>
                    <w:rPr>
                      <w:rFonts w:hint="eastAsia" w:cs="Times New Roman"/>
                      <w:szCs w:val="21"/>
                    </w:rPr>
                    <w:t>/</w:t>
                  </w:r>
                </w:p>
              </w:tc>
              <w:tc>
                <w:tcPr>
                  <w:tcW w:w="320" w:type="pct"/>
                  <w:noWrap w:val="0"/>
                  <w:vAlign w:val="center"/>
                </w:tcPr>
                <w:p>
                  <w:pPr>
                    <w:jc w:val="center"/>
                    <w:rPr>
                      <w:rFonts w:cs="Times New Roman"/>
                      <w:szCs w:val="21"/>
                    </w:rPr>
                  </w:pPr>
                  <w:r>
                    <w:rPr>
                      <w:rFonts w:hint="eastAsia"/>
                    </w:rPr>
                    <w:t>79.08</w:t>
                  </w:r>
                </w:p>
              </w:tc>
              <w:tc>
                <w:tcPr>
                  <w:tcW w:w="320" w:type="pct"/>
                  <w:noWrap w:val="0"/>
                  <w:vAlign w:val="center"/>
                </w:tcPr>
                <w:p>
                  <w:pPr>
                    <w:jc w:val="center"/>
                    <w:rPr>
                      <w:rFonts w:cs="Times New Roman"/>
                      <w:szCs w:val="21"/>
                    </w:rPr>
                  </w:pPr>
                  <w:r>
                    <w:rPr>
                      <w:rFonts w:hint="eastAsia"/>
                    </w:rPr>
                    <w:t>251.7</w:t>
                  </w:r>
                </w:p>
              </w:tc>
              <w:tc>
                <w:tcPr>
                  <w:tcW w:w="320" w:type="pct"/>
                  <w:noWrap w:val="0"/>
                  <w:vAlign w:val="center"/>
                </w:tcPr>
                <w:p>
                  <w:pPr>
                    <w:jc w:val="center"/>
                    <w:rPr>
                      <w:rFonts w:cs="Times New Roman"/>
                      <w:szCs w:val="21"/>
                    </w:rPr>
                  </w:pPr>
                  <w:r>
                    <w:rPr>
                      <w:rFonts w:hint="eastAsia"/>
                    </w:rPr>
                    <w:t>-3</w:t>
                  </w:r>
                </w:p>
              </w:tc>
              <w:tc>
                <w:tcPr>
                  <w:tcW w:w="679" w:type="pct"/>
                  <w:noWrap w:val="0"/>
                  <w:vAlign w:val="center"/>
                </w:tcPr>
                <w:p>
                  <w:pPr>
                    <w:jc w:val="center"/>
                    <w:rPr>
                      <w:rFonts w:cs="Times New Roman"/>
                      <w:szCs w:val="21"/>
                    </w:rPr>
                  </w:pPr>
                  <w:r>
                    <w:rPr>
                      <w:rFonts w:hint="eastAsia" w:cs="Times New Roman"/>
                      <w:szCs w:val="21"/>
                    </w:rPr>
                    <w:t>/</w:t>
                  </w:r>
                </w:p>
              </w:tc>
              <w:tc>
                <w:tcPr>
                  <w:tcW w:w="489" w:type="pct"/>
                  <w:noWrap w:val="0"/>
                  <w:vAlign w:val="center"/>
                </w:tcPr>
                <w:p>
                  <w:pPr>
                    <w:jc w:val="center"/>
                    <w:rPr>
                      <w:rFonts w:cs="Times New Roman"/>
                      <w:szCs w:val="21"/>
                    </w:rPr>
                  </w:pPr>
                  <w:r>
                    <w:rPr>
                      <w:rFonts w:hint="eastAsia"/>
                    </w:rPr>
                    <w:t>73</w:t>
                  </w:r>
                </w:p>
              </w:tc>
              <w:tc>
                <w:tcPr>
                  <w:tcW w:w="690" w:type="pct"/>
                  <w:vMerge w:val="restart"/>
                  <w:noWrap w:val="0"/>
                  <w:vAlign w:val="center"/>
                </w:tcPr>
                <w:p>
                  <w:pPr>
                    <w:jc w:val="center"/>
                    <w:rPr>
                      <w:rFonts w:hint="eastAsia" w:cs="Times New Roman"/>
                      <w:szCs w:val="21"/>
                    </w:rPr>
                  </w:pPr>
                  <w:r>
                    <w:rPr>
                      <w:rFonts w:cs="Times New Roman"/>
                      <w:szCs w:val="21"/>
                    </w:rPr>
                    <w:t>选用低噪声设备；各类污水泵采用潜水泵，噪声源位于液面以下</w:t>
                  </w:r>
                  <w:r>
                    <w:rPr>
                      <w:rFonts w:hint="eastAsia" w:cs="Times New Roman"/>
                      <w:szCs w:val="21"/>
                    </w:rPr>
                    <w:t>等</w:t>
                  </w:r>
                </w:p>
              </w:tc>
              <w:tc>
                <w:tcPr>
                  <w:tcW w:w="845" w:type="pct"/>
                  <w:noWrap w:val="0"/>
                  <w:vAlign w:val="center"/>
                </w:tcPr>
                <w:p>
                  <w:pPr>
                    <w:jc w:val="center"/>
                    <w:rPr>
                      <w:rFonts w:cs="Times New Roman"/>
                      <w:szCs w:val="21"/>
                    </w:rPr>
                  </w:pPr>
                  <w:r>
                    <w:rPr>
                      <w:rFonts w:hint="eastAsia"/>
                    </w:rPr>
                    <w:t>全天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noWrap w:val="0"/>
                  <w:vAlign w:val="center"/>
                </w:tcPr>
                <w:p>
                  <w:pPr>
                    <w:jc w:val="center"/>
                    <w:textAlignment w:val="baseline"/>
                    <w:rPr>
                      <w:rFonts w:cs="Times New Roman"/>
                      <w:szCs w:val="21"/>
                      <w:lang w:bidi="ar"/>
                    </w:rPr>
                  </w:pPr>
                  <w:r>
                    <w:rPr>
                      <w:rFonts w:hint="eastAsia" w:cs="Times New Roman"/>
                      <w:szCs w:val="21"/>
                      <w:lang w:bidi="ar"/>
                    </w:rPr>
                    <w:t>2</w:t>
                  </w:r>
                </w:p>
              </w:tc>
              <w:tc>
                <w:tcPr>
                  <w:tcW w:w="624" w:type="pct"/>
                  <w:noWrap w:val="0"/>
                  <w:vAlign w:val="center"/>
                </w:tcPr>
                <w:p>
                  <w:pPr>
                    <w:jc w:val="center"/>
                    <w:textAlignment w:val="baseline"/>
                    <w:rPr>
                      <w:rFonts w:cs="Times New Roman"/>
                      <w:szCs w:val="21"/>
                    </w:rPr>
                  </w:pPr>
                  <w:r>
                    <w:rPr>
                      <w:rFonts w:cs="Times New Roman"/>
                      <w:szCs w:val="21"/>
                    </w:rPr>
                    <w:t>刮泥机</w:t>
                  </w:r>
                </w:p>
              </w:tc>
              <w:tc>
                <w:tcPr>
                  <w:tcW w:w="474" w:type="pct"/>
                  <w:noWrap w:val="0"/>
                  <w:vAlign w:val="center"/>
                </w:tcPr>
                <w:p>
                  <w:pPr>
                    <w:jc w:val="center"/>
                    <w:rPr>
                      <w:rFonts w:cs="Times New Roman"/>
                      <w:szCs w:val="21"/>
                    </w:rPr>
                  </w:pPr>
                  <w:r>
                    <w:rPr>
                      <w:rFonts w:hint="eastAsia" w:cs="Times New Roman"/>
                      <w:szCs w:val="21"/>
                    </w:rPr>
                    <w:t>/</w:t>
                  </w:r>
                </w:p>
              </w:tc>
              <w:tc>
                <w:tcPr>
                  <w:tcW w:w="320" w:type="pct"/>
                  <w:noWrap w:val="0"/>
                  <w:vAlign w:val="center"/>
                </w:tcPr>
                <w:p>
                  <w:pPr>
                    <w:jc w:val="center"/>
                    <w:rPr>
                      <w:rFonts w:cs="Times New Roman"/>
                      <w:szCs w:val="21"/>
                    </w:rPr>
                  </w:pPr>
                  <w:r>
                    <w:rPr>
                      <w:rFonts w:hint="eastAsia"/>
                    </w:rPr>
                    <w:t>80.2</w:t>
                  </w:r>
                </w:p>
              </w:tc>
              <w:tc>
                <w:tcPr>
                  <w:tcW w:w="320" w:type="pct"/>
                  <w:noWrap w:val="0"/>
                  <w:vAlign w:val="center"/>
                </w:tcPr>
                <w:p>
                  <w:pPr>
                    <w:jc w:val="center"/>
                    <w:rPr>
                      <w:rFonts w:cs="Times New Roman"/>
                      <w:szCs w:val="21"/>
                    </w:rPr>
                  </w:pPr>
                  <w:r>
                    <w:rPr>
                      <w:rFonts w:hint="eastAsia"/>
                    </w:rPr>
                    <w:t>259.75</w:t>
                  </w:r>
                </w:p>
              </w:tc>
              <w:tc>
                <w:tcPr>
                  <w:tcW w:w="320" w:type="pct"/>
                  <w:noWrap w:val="0"/>
                  <w:vAlign w:val="center"/>
                </w:tcPr>
                <w:p>
                  <w:pPr>
                    <w:jc w:val="center"/>
                    <w:rPr>
                      <w:rFonts w:cs="Times New Roman"/>
                      <w:szCs w:val="21"/>
                    </w:rPr>
                  </w:pPr>
                  <w:r>
                    <w:rPr>
                      <w:rFonts w:hint="eastAsia"/>
                    </w:rPr>
                    <w:t>-3</w:t>
                  </w:r>
                </w:p>
              </w:tc>
              <w:tc>
                <w:tcPr>
                  <w:tcW w:w="679" w:type="pct"/>
                  <w:noWrap w:val="0"/>
                  <w:vAlign w:val="center"/>
                </w:tcPr>
                <w:p>
                  <w:pPr>
                    <w:jc w:val="center"/>
                    <w:rPr>
                      <w:rFonts w:cs="Times New Roman"/>
                      <w:szCs w:val="21"/>
                    </w:rPr>
                  </w:pPr>
                  <w:r>
                    <w:rPr>
                      <w:rFonts w:hint="eastAsia" w:cs="Times New Roman"/>
                      <w:szCs w:val="21"/>
                    </w:rPr>
                    <w:t>/</w:t>
                  </w:r>
                </w:p>
              </w:tc>
              <w:tc>
                <w:tcPr>
                  <w:tcW w:w="489" w:type="pct"/>
                  <w:noWrap w:val="0"/>
                  <w:vAlign w:val="center"/>
                </w:tcPr>
                <w:p>
                  <w:pPr>
                    <w:jc w:val="center"/>
                    <w:rPr>
                      <w:rFonts w:cs="Times New Roman"/>
                      <w:szCs w:val="21"/>
                    </w:rPr>
                  </w:pPr>
                  <w:r>
                    <w:rPr>
                      <w:rFonts w:hint="eastAsia"/>
                    </w:rPr>
                    <w:t>73</w:t>
                  </w:r>
                </w:p>
              </w:tc>
              <w:tc>
                <w:tcPr>
                  <w:tcW w:w="690" w:type="pct"/>
                  <w:vMerge w:val="continue"/>
                  <w:noWrap w:val="0"/>
                  <w:vAlign w:val="center"/>
                </w:tcPr>
                <w:p>
                  <w:pPr>
                    <w:jc w:val="center"/>
                    <w:rPr>
                      <w:rFonts w:hint="eastAsia" w:cs="Times New Roman"/>
                      <w:szCs w:val="21"/>
                    </w:rPr>
                  </w:pPr>
                </w:p>
              </w:tc>
              <w:tc>
                <w:tcPr>
                  <w:tcW w:w="845" w:type="pct"/>
                  <w:noWrap w:val="0"/>
                  <w:vAlign w:val="center"/>
                </w:tcPr>
                <w:p>
                  <w:pPr>
                    <w:jc w:val="center"/>
                    <w:rPr>
                      <w:rFonts w:cs="Times New Roman"/>
                      <w:szCs w:val="21"/>
                    </w:rPr>
                  </w:pPr>
                  <w:r>
                    <w:rPr>
                      <w:rFonts w:hint="eastAsia"/>
                    </w:rPr>
                    <w:t>全天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noWrap w:val="0"/>
                  <w:vAlign w:val="center"/>
                </w:tcPr>
                <w:p>
                  <w:pPr>
                    <w:jc w:val="center"/>
                    <w:textAlignment w:val="baseline"/>
                    <w:rPr>
                      <w:rFonts w:cs="Times New Roman"/>
                      <w:szCs w:val="21"/>
                    </w:rPr>
                  </w:pPr>
                  <w:r>
                    <w:rPr>
                      <w:rFonts w:hint="eastAsia" w:cs="Times New Roman"/>
                      <w:szCs w:val="21"/>
                    </w:rPr>
                    <w:t>3</w:t>
                  </w:r>
                </w:p>
              </w:tc>
              <w:tc>
                <w:tcPr>
                  <w:tcW w:w="624" w:type="pct"/>
                  <w:noWrap w:val="0"/>
                  <w:vAlign w:val="center"/>
                </w:tcPr>
                <w:p>
                  <w:pPr>
                    <w:jc w:val="center"/>
                    <w:textAlignment w:val="baseline"/>
                    <w:rPr>
                      <w:rFonts w:hint="eastAsia" w:cs="Times New Roman"/>
                      <w:szCs w:val="21"/>
                    </w:rPr>
                  </w:pPr>
                  <w:r>
                    <w:rPr>
                      <w:rFonts w:hint="eastAsia" w:cs="Times New Roman"/>
                      <w:szCs w:val="21"/>
                    </w:rPr>
                    <w:t>刮泥机</w:t>
                  </w:r>
                </w:p>
              </w:tc>
              <w:tc>
                <w:tcPr>
                  <w:tcW w:w="474" w:type="pct"/>
                  <w:noWrap w:val="0"/>
                  <w:vAlign w:val="center"/>
                </w:tcPr>
                <w:p>
                  <w:pPr>
                    <w:jc w:val="center"/>
                    <w:rPr>
                      <w:rFonts w:cs="Times New Roman"/>
                      <w:szCs w:val="21"/>
                    </w:rPr>
                  </w:pPr>
                  <w:r>
                    <w:rPr>
                      <w:rFonts w:hint="eastAsia" w:cs="Times New Roman"/>
                      <w:szCs w:val="21"/>
                    </w:rPr>
                    <w:t>/</w:t>
                  </w:r>
                </w:p>
              </w:tc>
              <w:tc>
                <w:tcPr>
                  <w:tcW w:w="320" w:type="pct"/>
                  <w:noWrap w:val="0"/>
                  <w:vAlign w:val="center"/>
                </w:tcPr>
                <w:p>
                  <w:pPr>
                    <w:jc w:val="center"/>
                    <w:rPr>
                      <w:rFonts w:cs="Times New Roman"/>
                      <w:szCs w:val="21"/>
                    </w:rPr>
                  </w:pPr>
                  <w:r>
                    <w:rPr>
                      <w:rFonts w:hint="eastAsia"/>
                    </w:rPr>
                    <w:t>79.31</w:t>
                  </w:r>
                </w:p>
              </w:tc>
              <w:tc>
                <w:tcPr>
                  <w:tcW w:w="320" w:type="pct"/>
                  <w:noWrap w:val="0"/>
                  <w:vAlign w:val="center"/>
                </w:tcPr>
                <w:p>
                  <w:pPr>
                    <w:jc w:val="center"/>
                    <w:rPr>
                      <w:rFonts w:cs="Times New Roman"/>
                      <w:szCs w:val="21"/>
                    </w:rPr>
                  </w:pPr>
                  <w:r>
                    <w:rPr>
                      <w:rFonts w:hint="eastAsia"/>
                    </w:rPr>
                    <w:t>267.8</w:t>
                  </w:r>
                </w:p>
              </w:tc>
              <w:tc>
                <w:tcPr>
                  <w:tcW w:w="320" w:type="pct"/>
                  <w:noWrap w:val="0"/>
                  <w:vAlign w:val="center"/>
                </w:tcPr>
                <w:p>
                  <w:pPr>
                    <w:jc w:val="center"/>
                    <w:rPr>
                      <w:rFonts w:cs="Times New Roman"/>
                      <w:szCs w:val="21"/>
                    </w:rPr>
                  </w:pPr>
                  <w:r>
                    <w:rPr>
                      <w:rFonts w:hint="eastAsia"/>
                    </w:rPr>
                    <w:t>-3</w:t>
                  </w:r>
                </w:p>
              </w:tc>
              <w:tc>
                <w:tcPr>
                  <w:tcW w:w="679" w:type="pct"/>
                  <w:noWrap w:val="0"/>
                  <w:vAlign w:val="center"/>
                </w:tcPr>
                <w:p>
                  <w:pPr>
                    <w:jc w:val="center"/>
                    <w:rPr>
                      <w:rFonts w:cs="Times New Roman"/>
                      <w:szCs w:val="21"/>
                    </w:rPr>
                  </w:pPr>
                  <w:r>
                    <w:rPr>
                      <w:rFonts w:hint="eastAsia" w:cs="Times New Roman"/>
                      <w:szCs w:val="21"/>
                    </w:rPr>
                    <w:t>/</w:t>
                  </w:r>
                </w:p>
              </w:tc>
              <w:tc>
                <w:tcPr>
                  <w:tcW w:w="489" w:type="pct"/>
                  <w:noWrap w:val="0"/>
                  <w:vAlign w:val="center"/>
                </w:tcPr>
                <w:p>
                  <w:pPr>
                    <w:jc w:val="center"/>
                    <w:rPr>
                      <w:rFonts w:cs="Times New Roman"/>
                      <w:szCs w:val="21"/>
                    </w:rPr>
                  </w:pPr>
                  <w:r>
                    <w:rPr>
                      <w:rFonts w:hint="eastAsia"/>
                    </w:rPr>
                    <w:t>73</w:t>
                  </w:r>
                </w:p>
              </w:tc>
              <w:tc>
                <w:tcPr>
                  <w:tcW w:w="690" w:type="pct"/>
                  <w:vMerge w:val="continue"/>
                  <w:noWrap w:val="0"/>
                  <w:vAlign w:val="center"/>
                </w:tcPr>
                <w:p>
                  <w:pPr>
                    <w:jc w:val="center"/>
                    <w:rPr>
                      <w:rFonts w:hint="eastAsia" w:cs="Times New Roman"/>
                      <w:szCs w:val="21"/>
                    </w:rPr>
                  </w:pPr>
                </w:p>
              </w:tc>
              <w:tc>
                <w:tcPr>
                  <w:tcW w:w="845" w:type="pct"/>
                  <w:noWrap w:val="0"/>
                  <w:vAlign w:val="center"/>
                </w:tcPr>
                <w:p>
                  <w:pPr>
                    <w:jc w:val="center"/>
                    <w:rPr>
                      <w:rFonts w:cs="Times New Roman"/>
                      <w:szCs w:val="21"/>
                    </w:rPr>
                  </w:pPr>
                  <w:r>
                    <w:rPr>
                      <w:rFonts w:hint="eastAsia"/>
                    </w:rPr>
                    <w:t>全天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noWrap w:val="0"/>
                  <w:vAlign w:val="center"/>
                </w:tcPr>
                <w:p>
                  <w:pPr>
                    <w:jc w:val="center"/>
                    <w:textAlignment w:val="baseline"/>
                    <w:rPr>
                      <w:rFonts w:cs="Times New Roman"/>
                      <w:szCs w:val="21"/>
                    </w:rPr>
                  </w:pPr>
                  <w:r>
                    <w:rPr>
                      <w:rFonts w:hint="eastAsia" w:cs="Times New Roman"/>
                      <w:szCs w:val="21"/>
                    </w:rPr>
                    <w:t>4</w:t>
                  </w:r>
                </w:p>
              </w:tc>
              <w:tc>
                <w:tcPr>
                  <w:tcW w:w="624" w:type="pct"/>
                  <w:noWrap w:val="0"/>
                  <w:vAlign w:val="center"/>
                </w:tcPr>
                <w:p>
                  <w:pPr>
                    <w:jc w:val="center"/>
                    <w:textAlignment w:val="baseline"/>
                    <w:rPr>
                      <w:rFonts w:hint="eastAsia" w:cs="Times New Roman"/>
                      <w:szCs w:val="21"/>
                    </w:rPr>
                  </w:pPr>
                  <w:r>
                    <w:rPr>
                      <w:rFonts w:hint="eastAsia" w:cs="Times New Roman"/>
                      <w:szCs w:val="21"/>
                    </w:rPr>
                    <w:t>刮泥机</w:t>
                  </w:r>
                </w:p>
              </w:tc>
              <w:tc>
                <w:tcPr>
                  <w:tcW w:w="474" w:type="pct"/>
                  <w:noWrap w:val="0"/>
                  <w:vAlign w:val="center"/>
                </w:tcPr>
                <w:p>
                  <w:pPr>
                    <w:jc w:val="center"/>
                    <w:rPr>
                      <w:rFonts w:cs="Times New Roman"/>
                      <w:szCs w:val="21"/>
                    </w:rPr>
                  </w:pPr>
                  <w:r>
                    <w:rPr>
                      <w:rFonts w:hint="eastAsia" w:cs="Times New Roman"/>
                      <w:szCs w:val="21"/>
                    </w:rPr>
                    <w:t>/</w:t>
                  </w:r>
                </w:p>
              </w:tc>
              <w:tc>
                <w:tcPr>
                  <w:tcW w:w="320" w:type="pct"/>
                  <w:noWrap w:val="0"/>
                  <w:vAlign w:val="center"/>
                </w:tcPr>
                <w:p>
                  <w:pPr>
                    <w:jc w:val="center"/>
                    <w:rPr>
                      <w:rFonts w:cs="Times New Roman"/>
                      <w:szCs w:val="21"/>
                    </w:rPr>
                  </w:pPr>
                  <w:r>
                    <w:rPr>
                      <w:rFonts w:hint="eastAsia"/>
                    </w:rPr>
                    <w:t>79.55</w:t>
                  </w:r>
                </w:p>
              </w:tc>
              <w:tc>
                <w:tcPr>
                  <w:tcW w:w="320" w:type="pct"/>
                  <w:noWrap w:val="0"/>
                  <w:vAlign w:val="center"/>
                </w:tcPr>
                <w:p>
                  <w:pPr>
                    <w:jc w:val="center"/>
                    <w:rPr>
                      <w:rFonts w:cs="Times New Roman"/>
                      <w:szCs w:val="21"/>
                    </w:rPr>
                  </w:pPr>
                  <w:r>
                    <w:rPr>
                      <w:rFonts w:hint="eastAsia"/>
                    </w:rPr>
                    <w:t>241.64</w:t>
                  </w:r>
                </w:p>
              </w:tc>
              <w:tc>
                <w:tcPr>
                  <w:tcW w:w="320" w:type="pct"/>
                  <w:noWrap w:val="0"/>
                  <w:vAlign w:val="center"/>
                </w:tcPr>
                <w:p>
                  <w:pPr>
                    <w:jc w:val="center"/>
                    <w:rPr>
                      <w:rFonts w:cs="Times New Roman"/>
                      <w:szCs w:val="21"/>
                    </w:rPr>
                  </w:pPr>
                  <w:r>
                    <w:rPr>
                      <w:rFonts w:hint="eastAsia"/>
                    </w:rPr>
                    <w:t>-3</w:t>
                  </w:r>
                </w:p>
              </w:tc>
              <w:tc>
                <w:tcPr>
                  <w:tcW w:w="679" w:type="pct"/>
                  <w:noWrap w:val="0"/>
                  <w:vAlign w:val="center"/>
                </w:tcPr>
                <w:p>
                  <w:pPr>
                    <w:jc w:val="center"/>
                    <w:rPr>
                      <w:rFonts w:cs="Times New Roman"/>
                      <w:szCs w:val="21"/>
                    </w:rPr>
                  </w:pPr>
                  <w:r>
                    <w:rPr>
                      <w:rFonts w:hint="eastAsia" w:cs="Times New Roman"/>
                      <w:szCs w:val="21"/>
                    </w:rPr>
                    <w:t>/</w:t>
                  </w:r>
                </w:p>
              </w:tc>
              <w:tc>
                <w:tcPr>
                  <w:tcW w:w="489" w:type="pct"/>
                  <w:noWrap w:val="0"/>
                  <w:vAlign w:val="center"/>
                </w:tcPr>
                <w:p>
                  <w:pPr>
                    <w:jc w:val="center"/>
                    <w:rPr>
                      <w:rFonts w:cs="Times New Roman"/>
                      <w:szCs w:val="21"/>
                    </w:rPr>
                  </w:pPr>
                  <w:r>
                    <w:rPr>
                      <w:rFonts w:hint="eastAsia"/>
                    </w:rPr>
                    <w:t>73</w:t>
                  </w:r>
                </w:p>
              </w:tc>
              <w:tc>
                <w:tcPr>
                  <w:tcW w:w="690" w:type="pct"/>
                  <w:vMerge w:val="continue"/>
                  <w:noWrap w:val="0"/>
                  <w:vAlign w:val="center"/>
                </w:tcPr>
                <w:p>
                  <w:pPr>
                    <w:jc w:val="center"/>
                    <w:rPr>
                      <w:rFonts w:hint="eastAsia" w:cs="Times New Roman"/>
                      <w:szCs w:val="21"/>
                    </w:rPr>
                  </w:pPr>
                </w:p>
              </w:tc>
              <w:tc>
                <w:tcPr>
                  <w:tcW w:w="845" w:type="pct"/>
                  <w:noWrap w:val="0"/>
                  <w:vAlign w:val="center"/>
                </w:tcPr>
                <w:p>
                  <w:pPr>
                    <w:jc w:val="center"/>
                    <w:rPr>
                      <w:rFonts w:cs="Times New Roman"/>
                      <w:szCs w:val="21"/>
                    </w:rPr>
                  </w:pPr>
                  <w:r>
                    <w:rPr>
                      <w:rFonts w:hint="eastAsia"/>
                    </w:rPr>
                    <w:t>全天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noWrap w:val="0"/>
                  <w:vAlign w:val="center"/>
                </w:tcPr>
                <w:p>
                  <w:pPr>
                    <w:jc w:val="center"/>
                    <w:textAlignment w:val="baseline"/>
                    <w:rPr>
                      <w:rFonts w:cs="Times New Roman"/>
                      <w:szCs w:val="21"/>
                    </w:rPr>
                  </w:pPr>
                  <w:r>
                    <w:rPr>
                      <w:rFonts w:hint="eastAsia" w:cs="Times New Roman"/>
                      <w:szCs w:val="21"/>
                    </w:rPr>
                    <w:t>5</w:t>
                  </w:r>
                </w:p>
              </w:tc>
              <w:tc>
                <w:tcPr>
                  <w:tcW w:w="624" w:type="pct"/>
                  <w:noWrap w:val="0"/>
                  <w:vAlign w:val="center"/>
                </w:tcPr>
                <w:p>
                  <w:pPr>
                    <w:jc w:val="center"/>
                    <w:textAlignment w:val="baseline"/>
                    <w:rPr>
                      <w:rFonts w:cs="Times New Roman"/>
                      <w:szCs w:val="21"/>
                    </w:rPr>
                  </w:pPr>
                  <w:r>
                    <w:rPr>
                      <w:rFonts w:cs="Times New Roman"/>
                      <w:szCs w:val="21"/>
                    </w:rPr>
                    <w:t>潜水泵</w:t>
                  </w:r>
                </w:p>
              </w:tc>
              <w:tc>
                <w:tcPr>
                  <w:tcW w:w="474" w:type="pct"/>
                  <w:noWrap w:val="0"/>
                  <w:vAlign w:val="center"/>
                </w:tcPr>
                <w:p>
                  <w:pPr>
                    <w:jc w:val="center"/>
                    <w:rPr>
                      <w:rFonts w:cs="Times New Roman"/>
                      <w:szCs w:val="21"/>
                    </w:rPr>
                  </w:pPr>
                  <w:r>
                    <w:rPr>
                      <w:rFonts w:hint="eastAsia" w:cs="Times New Roman"/>
                      <w:szCs w:val="21"/>
                    </w:rPr>
                    <w:t>/</w:t>
                  </w:r>
                </w:p>
              </w:tc>
              <w:tc>
                <w:tcPr>
                  <w:tcW w:w="320" w:type="pct"/>
                  <w:noWrap w:val="0"/>
                  <w:vAlign w:val="center"/>
                </w:tcPr>
                <w:p>
                  <w:pPr>
                    <w:jc w:val="center"/>
                    <w:rPr>
                      <w:rFonts w:cs="Times New Roman"/>
                      <w:szCs w:val="21"/>
                    </w:rPr>
                  </w:pPr>
                  <w:r>
                    <w:rPr>
                      <w:rFonts w:hint="eastAsia"/>
                    </w:rPr>
                    <w:t>59.86</w:t>
                  </w:r>
                </w:p>
              </w:tc>
              <w:tc>
                <w:tcPr>
                  <w:tcW w:w="320" w:type="pct"/>
                  <w:noWrap w:val="0"/>
                  <w:vAlign w:val="center"/>
                </w:tcPr>
                <w:p>
                  <w:pPr>
                    <w:jc w:val="center"/>
                    <w:rPr>
                      <w:rFonts w:cs="Times New Roman"/>
                      <w:szCs w:val="21"/>
                    </w:rPr>
                  </w:pPr>
                  <w:r>
                    <w:rPr>
                      <w:rFonts w:hint="eastAsia"/>
                    </w:rPr>
                    <w:t>268.47</w:t>
                  </w:r>
                </w:p>
              </w:tc>
              <w:tc>
                <w:tcPr>
                  <w:tcW w:w="320" w:type="pct"/>
                  <w:noWrap w:val="0"/>
                  <w:vAlign w:val="center"/>
                </w:tcPr>
                <w:p>
                  <w:pPr>
                    <w:jc w:val="center"/>
                    <w:rPr>
                      <w:rFonts w:cs="Times New Roman"/>
                      <w:szCs w:val="21"/>
                    </w:rPr>
                  </w:pPr>
                  <w:r>
                    <w:rPr>
                      <w:rFonts w:hint="eastAsia"/>
                    </w:rPr>
                    <w:t>-3</w:t>
                  </w:r>
                </w:p>
              </w:tc>
              <w:tc>
                <w:tcPr>
                  <w:tcW w:w="679" w:type="pct"/>
                  <w:noWrap w:val="0"/>
                  <w:vAlign w:val="center"/>
                </w:tcPr>
                <w:p>
                  <w:pPr>
                    <w:jc w:val="center"/>
                    <w:rPr>
                      <w:rFonts w:cs="Times New Roman"/>
                      <w:szCs w:val="21"/>
                    </w:rPr>
                  </w:pPr>
                  <w:r>
                    <w:rPr>
                      <w:rFonts w:hint="eastAsia" w:cs="Times New Roman"/>
                      <w:szCs w:val="21"/>
                    </w:rPr>
                    <w:t>/</w:t>
                  </w:r>
                </w:p>
              </w:tc>
              <w:tc>
                <w:tcPr>
                  <w:tcW w:w="489" w:type="pct"/>
                  <w:noWrap w:val="0"/>
                  <w:vAlign w:val="center"/>
                </w:tcPr>
                <w:p>
                  <w:pPr>
                    <w:jc w:val="center"/>
                    <w:rPr>
                      <w:rFonts w:cs="Times New Roman"/>
                      <w:szCs w:val="21"/>
                    </w:rPr>
                  </w:pPr>
                  <w:r>
                    <w:rPr>
                      <w:rFonts w:hint="eastAsia"/>
                    </w:rPr>
                    <w:t>80</w:t>
                  </w:r>
                </w:p>
              </w:tc>
              <w:tc>
                <w:tcPr>
                  <w:tcW w:w="690" w:type="pct"/>
                  <w:vMerge w:val="continue"/>
                  <w:noWrap w:val="0"/>
                  <w:vAlign w:val="center"/>
                </w:tcPr>
                <w:p>
                  <w:pPr>
                    <w:jc w:val="center"/>
                    <w:rPr>
                      <w:rFonts w:hint="eastAsia" w:cs="Times New Roman"/>
                      <w:szCs w:val="21"/>
                    </w:rPr>
                  </w:pPr>
                </w:p>
              </w:tc>
              <w:tc>
                <w:tcPr>
                  <w:tcW w:w="845" w:type="pct"/>
                  <w:noWrap w:val="0"/>
                  <w:vAlign w:val="center"/>
                </w:tcPr>
                <w:p>
                  <w:pPr>
                    <w:jc w:val="center"/>
                    <w:rPr>
                      <w:rFonts w:cs="Times New Roman"/>
                      <w:szCs w:val="21"/>
                    </w:rPr>
                  </w:pPr>
                  <w:r>
                    <w:rPr>
                      <w:rFonts w:hint="eastAsia"/>
                    </w:rPr>
                    <w:t>全天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noWrap w:val="0"/>
                  <w:vAlign w:val="center"/>
                </w:tcPr>
                <w:p>
                  <w:pPr>
                    <w:jc w:val="center"/>
                    <w:textAlignment w:val="baseline"/>
                    <w:rPr>
                      <w:rFonts w:cs="Times New Roman"/>
                      <w:szCs w:val="21"/>
                    </w:rPr>
                  </w:pPr>
                  <w:r>
                    <w:rPr>
                      <w:rFonts w:hint="eastAsia" w:cs="Times New Roman"/>
                      <w:szCs w:val="21"/>
                    </w:rPr>
                    <w:t>6</w:t>
                  </w:r>
                </w:p>
              </w:tc>
              <w:tc>
                <w:tcPr>
                  <w:tcW w:w="624" w:type="pct"/>
                  <w:noWrap w:val="0"/>
                  <w:vAlign w:val="center"/>
                </w:tcPr>
                <w:p>
                  <w:pPr>
                    <w:jc w:val="center"/>
                    <w:textAlignment w:val="baseline"/>
                    <w:rPr>
                      <w:rFonts w:cs="Times New Roman"/>
                      <w:szCs w:val="21"/>
                    </w:rPr>
                  </w:pPr>
                  <w:r>
                    <w:rPr>
                      <w:rFonts w:cs="Times New Roman"/>
                      <w:szCs w:val="21"/>
                    </w:rPr>
                    <w:t>潜水泵</w:t>
                  </w:r>
                </w:p>
              </w:tc>
              <w:tc>
                <w:tcPr>
                  <w:tcW w:w="474" w:type="pct"/>
                  <w:noWrap w:val="0"/>
                  <w:vAlign w:val="center"/>
                </w:tcPr>
                <w:p>
                  <w:pPr>
                    <w:jc w:val="center"/>
                    <w:rPr>
                      <w:rFonts w:cs="Times New Roman"/>
                      <w:szCs w:val="21"/>
                    </w:rPr>
                  </w:pPr>
                  <w:r>
                    <w:rPr>
                      <w:rFonts w:hint="eastAsia" w:cs="Times New Roman"/>
                      <w:szCs w:val="21"/>
                    </w:rPr>
                    <w:t>/</w:t>
                  </w:r>
                </w:p>
              </w:tc>
              <w:tc>
                <w:tcPr>
                  <w:tcW w:w="320" w:type="pct"/>
                  <w:noWrap w:val="0"/>
                  <w:vAlign w:val="center"/>
                </w:tcPr>
                <w:p>
                  <w:pPr>
                    <w:jc w:val="center"/>
                    <w:rPr>
                      <w:rFonts w:cs="Times New Roman"/>
                      <w:szCs w:val="21"/>
                    </w:rPr>
                  </w:pPr>
                  <w:r>
                    <w:rPr>
                      <w:rFonts w:hint="eastAsia"/>
                    </w:rPr>
                    <w:t>59.63</w:t>
                  </w:r>
                </w:p>
              </w:tc>
              <w:tc>
                <w:tcPr>
                  <w:tcW w:w="320" w:type="pct"/>
                  <w:noWrap w:val="0"/>
                  <w:vAlign w:val="center"/>
                </w:tcPr>
                <w:p>
                  <w:pPr>
                    <w:jc w:val="center"/>
                    <w:rPr>
                      <w:rFonts w:cs="Times New Roman"/>
                      <w:szCs w:val="21"/>
                    </w:rPr>
                  </w:pPr>
                  <w:r>
                    <w:rPr>
                      <w:rFonts w:hint="eastAsia"/>
                    </w:rPr>
                    <w:t>261.32</w:t>
                  </w:r>
                </w:p>
              </w:tc>
              <w:tc>
                <w:tcPr>
                  <w:tcW w:w="320" w:type="pct"/>
                  <w:noWrap w:val="0"/>
                  <w:vAlign w:val="center"/>
                </w:tcPr>
                <w:p>
                  <w:pPr>
                    <w:jc w:val="center"/>
                    <w:rPr>
                      <w:rFonts w:cs="Times New Roman"/>
                      <w:szCs w:val="21"/>
                    </w:rPr>
                  </w:pPr>
                  <w:r>
                    <w:rPr>
                      <w:rFonts w:hint="eastAsia"/>
                    </w:rPr>
                    <w:t>-3</w:t>
                  </w:r>
                </w:p>
              </w:tc>
              <w:tc>
                <w:tcPr>
                  <w:tcW w:w="679" w:type="pct"/>
                  <w:noWrap w:val="0"/>
                  <w:vAlign w:val="center"/>
                </w:tcPr>
                <w:p>
                  <w:pPr>
                    <w:jc w:val="center"/>
                    <w:rPr>
                      <w:rFonts w:cs="Times New Roman"/>
                      <w:szCs w:val="21"/>
                    </w:rPr>
                  </w:pPr>
                  <w:r>
                    <w:rPr>
                      <w:rFonts w:hint="eastAsia" w:cs="Times New Roman"/>
                      <w:szCs w:val="21"/>
                    </w:rPr>
                    <w:t>/</w:t>
                  </w:r>
                </w:p>
              </w:tc>
              <w:tc>
                <w:tcPr>
                  <w:tcW w:w="489" w:type="pct"/>
                  <w:noWrap w:val="0"/>
                  <w:vAlign w:val="center"/>
                </w:tcPr>
                <w:p>
                  <w:pPr>
                    <w:jc w:val="center"/>
                    <w:rPr>
                      <w:rFonts w:cs="Times New Roman"/>
                      <w:szCs w:val="21"/>
                    </w:rPr>
                  </w:pPr>
                  <w:r>
                    <w:rPr>
                      <w:rFonts w:hint="eastAsia"/>
                    </w:rPr>
                    <w:t>80</w:t>
                  </w:r>
                </w:p>
              </w:tc>
              <w:tc>
                <w:tcPr>
                  <w:tcW w:w="690" w:type="pct"/>
                  <w:vMerge w:val="continue"/>
                  <w:noWrap w:val="0"/>
                  <w:vAlign w:val="center"/>
                </w:tcPr>
                <w:p>
                  <w:pPr>
                    <w:jc w:val="center"/>
                    <w:rPr>
                      <w:rFonts w:hint="eastAsia" w:cs="Times New Roman"/>
                      <w:szCs w:val="21"/>
                    </w:rPr>
                  </w:pPr>
                </w:p>
              </w:tc>
              <w:tc>
                <w:tcPr>
                  <w:tcW w:w="845" w:type="pct"/>
                  <w:noWrap w:val="0"/>
                  <w:vAlign w:val="center"/>
                </w:tcPr>
                <w:p>
                  <w:pPr>
                    <w:jc w:val="center"/>
                    <w:rPr>
                      <w:rFonts w:cs="Times New Roman"/>
                      <w:szCs w:val="21"/>
                    </w:rPr>
                  </w:pPr>
                  <w:r>
                    <w:rPr>
                      <w:rFonts w:hint="eastAsia"/>
                    </w:rPr>
                    <w:t>全天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noWrap w:val="0"/>
                  <w:vAlign w:val="center"/>
                </w:tcPr>
                <w:p>
                  <w:pPr>
                    <w:jc w:val="center"/>
                    <w:textAlignment w:val="baseline"/>
                    <w:rPr>
                      <w:rFonts w:cs="Times New Roman"/>
                      <w:szCs w:val="21"/>
                    </w:rPr>
                  </w:pPr>
                  <w:r>
                    <w:rPr>
                      <w:rFonts w:hint="eastAsia" w:cs="Times New Roman"/>
                      <w:szCs w:val="21"/>
                    </w:rPr>
                    <w:t>7</w:t>
                  </w:r>
                </w:p>
              </w:tc>
              <w:tc>
                <w:tcPr>
                  <w:tcW w:w="624" w:type="pct"/>
                  <w:noWrap w:val="0"/>
                  <w:vAlign w:val="center"/>
                </w:tcPr>
                <w:p>
                  <w:pPr>
                    <w:jc w:val="center"/>
                    <w:textAlignment w:val="baseline"/>
                    <w:rPr>
                      <w:rFonts w:cs="Times New Roman"/>
                      <w:szCs w:val="21"/>
                    </w:rPr>
                  </w:pPr>
                  <w:r>
                    <w:rPr>
                      <w:rFonts w:cs="Times New Roman"/>
                      <w:szCs w:val="21"/>
                    </w:rPr>
                    <w:t>潜水泵</w:t>
                  </w:r>
                </w:p>
              </w:tc>
              <w:tc>
                <w:tcPr>
                  <w:tcW w:w="474" w:type="pct"/>
                  <w:noWrap w:val="0"/>
                  <w:vAlign w:val="center"/>
                </w:tcPr>
                <w:p>
                  <w:pPr>
                    <w:jc w:val="center"/>
                    <w:rPr>
                      <w:rFonts w:cs="Times New Roman"/>
                      <w:szCs w:val="21"/>
                    </w:rPr>
                  </w:pPr>
                  <w:r>
                    <w:rPr>
                      <w:rFonts w:hint="eastAsia" w:cs="Times New Roman"/>
                      <w:szCs w:val="21"/>
                    </w:rPr>
                    <w:t>/</w:t>
                  </w:r>
                </w:p>
              </w:tc>
              <w:tc>
                <w:tcPr>
                  <w:tcW w:w="320" w:type="pct"/>
                  <w:noWrap w:val="0"/>
                  <w:vAlign w:val="center"/>
                </w:tcPr>
                <w:p>
                  <w:pPr>
                    <w:jc w:val="center"/>
                    <w:rPr>
                      <w:rFonts w:hint="eastAsia"/>
                    </w:rPr>
                  </w:pPr>
                  <w:r>
                    <w:rPr>
                      <w:rFonts w:hint="eastAsia"/>
                    </w:rPr>
                    <w:t>59.86</w:t>
                  </w:r>
                </w:p>
              </w:tc>
              <w:tc>
                <w:tcPr>
                  <w:tcW w:w="320" w:type="pct"/>
                  <w:noWrap w:val="0"/>
                  <w:vAlign w:val="center"/>
                </w:tcPr>
                <w:p>
                  <w:pPr>
                    <w:jc w:val="center"/>
                    <w:rPr>
                      <w:rFonts w:hint="eastAsia"/>
                    </w:rPr>
                  </w:pPr>
                  <w:r>
                    <w:rPr>
                      <w:rFonts w:hint="eastAsia"/>
                    </w:rPr>
                    <w:t>255.28</w:t>
                  </w:r>
                </w:p>
              </w:tc>
              <w:tc>
                <w:tcPr>
                  <w:tcW w:w="320" w:type="pct"/>
                  <w:noWrap w:val="0"/>
                  <w:vAlign w:val="center"/>
                </w:tcPr>
                <w:p>
                  <w:pPr>
                    <w:jc w:val="center"/>
                    <w:rPr>
                      <w:rFonts w:hint="eastAsia"/>
                    </w:rPr>
                  </w:pPr>
                  <w:r>
                    <w:rPr>
                      <w:rFonts w:hint="eastAsia"/>
                    </w:rPr>
                    <w:t>-3</w:t>
                  </w:r>
                </w:p>
              </w:tc>
              <w:tc>
                <w:tcPr>
                  <w:tcW w:w="679" w:type="pct"/>
                  <w:noWrap w:val="0"/>
                  <w:vAlign w:val="center"/>
                </w:tcPr>
                <w:p>
                  <w:pPr>
                    <w:jc w:val="center"/>
                    <w:rPr>
                      <w:rFonts w:cs="Times New Roman"/>
                      <w:szCs w:val="21"/>
                    </w:rPr>
                  </w:pPr>
                  <w:r>
                    <w:rPr>
                      <w:rFonts w:hint="eastAsia" w:cs="Times New Roman"/>
                      <w:szCs w:val="21"/>
                    </w:rPr>
                    <w:t>/</w:t>
                  </w:r>
                </w:p>
              </w:tc>
              <w:tc>
                <w:tcPr>
                  <w:tcW w:w="489" w:type="pct"/>
                  <w:noWrap w:val="0"/>
                  <w:vAlign w:val="center"/>
                </w:tcPr>
                <w:p>
                  <w:pPr>
                    <w:jc w:val="center"/>
                    <w:rPr>
                      <w:rFonts w:hint="eastAsia"/>
                    </w:rPr>
                  </w:pPr>
                  <w:r>
                    <w:rPr>
                      <w:rFonts w:hint="eastAsia"/>
                    </w:rPr>
                    <w:t>80</w:t>
                  </w:r>
                </w:p>
              </w:tc>
              <w:tc>
                <w:tcPr>
                  <w:tcW w:w="690" w:type="pct"/>
                  <w:vMerge w:val="continue"/>
                  <w:noWrap w:val="0"/>
                  <w:vAlign w:val="center"/>
                </w:tcPr>
                <w:p>
                  <w:pPr>
                    <w:jc w:val="center"/>
                    <w:rPr>
                      <w:rFonts w:hint="eastAsia" w:cs="Times New Roman"/>
                      <w:szCs w:val="21"/>
                    </w:rPr>
                  </w:pPr>
                </w:p>
              </w:tc>
              <w:tc>
                <w:tcPr>
                  <w:tcW w:w="845" w:type="pct"/>
                  <w:noWrap w:val="0"/>
                  <w:vAlign w:val="center"/>
                </w:tcPr>
                <w:p>
                  <w:pPr>
                    <w:jc w:val="center"/>
                    <w:rPr>
                      <w:rFonts w:cs="Times New Roman"/>
                      <w:szCs w:val="21"/>
                    </w:rPr>
                  </w:pPr>
                  <w:r>
                    <w:rPr>
                      <w:rFonts w:hint="eastAsia"/>
                    </w:rPr>
                    <w:t>全天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noWrap w:val="0"/>
                  <w:vAlign w:val="center"/>
                </w:tcPr>
                <w:p>
                  <w:pPr>
                    <w:jc w:val="center"/>
                    <w:textAlignment w:val="baseline"/>
                    <w:rPr>
                      <w:rFonts w:cs="Times New Roman"/>
                      <w:szCs w:val="21"/>
                    </w:rPr>
                  </w:pPr>
                  <w:r>
                    <w:rPr>
                      <w:rFonts w:hint="eastAsia" w:cs="Times New Roman"/>
                      <w:szCs w:val="21"/>
                    </w:rPr>
                    <w:t>8</w:t>
                  </w:r>
                </w:p>
              </w:tc>
              <w:tc>
                <w:tcPr>
                  <w:tcW w:w="624" w:type="pct"/>
                  <w:noWrap w:val="0"/>
                  <w:vAlign w:val="center"/>
                </w:tcPr>
                <w:p>
                  <w:pPr>
                    <w:jc w:val="center"/>
                    <w:textAlignment w:val="baseline"/>
                    <w:rPr>
                      <w:rFonts w:cs="Times New Roman"/>
                      <w:szCs w:val="21"/>
                    </w:rPr>
                  </w:pPr>
                  <w:r>
                    <w:rPr>
                      <w:rFonts w:cs="Times New Roman"/>
                      <w:szCs w:val="21"/>
                    </w:rPr>
                    <w:t>潜水泵</w:t>
                  </w:r>
                </w:p>
              </w:tc>
              <w:tc>
                <w:tcPr>
                  <w:tcW w:w="474" w:type="pct"/>
                  <w:noWrap w:val="0"/>
                  <w:vAlign w:val="center"/>
                </w:tcPr>
                <w:p>
                  <w:pPr>
                    <w:jc w:val="center"/>
                    <w:rPr>
                      <w:rFonts w:cs="Times New Roman"/>
                      <w:szCs w:val="21"/>
                    </w:rPr>
                  </w:pPr>
                  <w:r>
                    <w:rPr>
                      <w:rFonts w:hint="eastAsia" w:cs="Times New Roman"/>
                      <w:szCs w:val="21"/>
                    </w:rPr>
                    <w:t>/</w:t>
                  </w:r>
                </w:p>
              </w:tc>
              <w:tc>
                <w:tcPr>
                  <w:tcW w:w="320" w:type="pct"/>
                  <w:noWrap w:val="0"/>
                  <w:vAlign w:val="center"/>
                </w:tcPr>
                <w:p>
                  <w:pPr>
                    <w:jc w:val="center"/>
                    <w:rPr>
                      <w:rFonts w:hint="eastAsia"/>
                    </w:rPr>
                  </w:pPr>
                  <w:r>
                    <w:rPr>
                      <w:rFonts w:hint="eastAsia"/>
                    </w:rPr>
                    <w:t>60.53</w:t>
                  </w:r>
                </w:p>
              </w:tc>
              <w:tc>
                <w:tcPr>
                  <w:tcW w:w="320" w:type="pct"/>
                  <w:noWrap w:val="0"/>
                  <w:vAlign w:val="center"/>
                </w:tcPr>
                <w:p>
                  <w:pPr>
                    <w:jc w:val="center"/>
                    <w:rPr>
                      <w:rFonts w:hint="eastAsia"/>
                    </w:rPr>
                  </w:pPr>
                  <w:r>
                    <w:rPr>
                      <w:rFonts w:hint="eastAsia"/>
                    </w:rPr>
                    <w:t>242.99</w:t>
                  </w:r>
                </w:p>
              </w:tc>
              <w:tc>
                <w:tcPr>
                  <w:tcW w:w="320" w:type="pct"/>
                  <w:noWrap w:val="0"/>
                  <w:vAlign w:val="center"/>
                </w:tcPr>
                <w:p>
                  <w:pPr>
                    <w:jc w:val="center"/>
                    <w:rPr>
                      <w:rFonts w:hint="eastAsia"/>
                    </w:rPr>
                  </w:pPr>
                  <w:r>
                    <w:rPr>
                      <w:rFonts w:hint="eastAsia"/>
                    </w:rPr>
                    <w:t>-3</w:t>
                  </w:r>
                </w:p>
              </w:tc>
              <w:tc>
                <w:tcPr>
                  <w:tcW w:w="679" w:type="pct"/>
                  <w:noWrap w:val="0"/>
                  <w:vAlign w:val="center"/>
                </w:tcPr>
                <w:p>
                  <w:pPr>
                    <w:jc w:val="center"/>
                    <w:rPr>
                      <w:rFonts w:cs="Times New Roman"/>
                      <w:szCs w:val="21"/>
                    </w:rPr>
                  </w:pPr>
                  <w:r>
                    <w:rPr>
                      <w:rFonts w:hint="eastAsia" w:cs="Times New Roman"/>
                      <w:szCs w:val="21"/>
                    </w:rPr>
                    <w:t>/</w:t>
                  </w:r>
                </w:p>
              </w:tc>
              <w:tc>
                <w:tcPr>
                  <w:tcW w:w="489" w:type="pct"/>
                  <w:noWrap w:val="0"/>
                  <w:vAlign w:val="center"/>
                </w:tcPr>
                <w:p>
                  <w:pPr>
                    <w:jc w:val="center"/>
                    <w:rPr>
                      <w:rFonts w:hint="eastAsia"/>
                    </w:rPr>
                  </w:pPr>
                  <w:r>
                    <w:rPr>
                      <w:rFonts w:hint="eastAsia"/>
                    </w:rPr>
                    <w:t>80</w:t>
                  </w:r>
                </w:p>
              </w:tc>
              <w:tc>
                <w:tcPr>
                  <w:tcW w:w="690" w:type="pct"/>
                  <w:vMerge w:val="continue"/>
                  <w:noWrap w:val="0"/>
                  <w:vAlign w:val="center"/>
                </w:tcPr>
                <w:p>
                  <w:pPr>
                    <w:jc w:val="center"/>
                    <w:rPr>
                      <w:rFonts w:hint="eastAsia" w:cs="Times New Roman"/>
                      <w:szCs w:val="21"/>
                    </w:rPr>
                  </w:pPr>
                </w:p>
              </w:tc>
              <w:tc>
                <w:tcPr>
                  <w:tcW w:w="845" w:type="pct"/>
                  <w:noWrap w:val="0"/>
                  <w:vAlign w:val="center"/>
                </w:tcPr>
                <w:p>
                  <w:pPr>
                    <w:jc w:val="center"/>
                    <w:rPr>
                      <w:rFonts w:cs="Times New Roman"/>
                      <w:szCs w:val="21"/>
                    </w:rPr>
                  </w:pPr>
                  <w:r>
                    <w:rPr>
                      <w:rFonts w:hint="eastAsia"/>
                    </w:rPr>
                    <w:t>全天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noWrap w:val="0"/>
                  <w:vAlign w:val="center"/>
                </w:tcPr>
                <w:p>
                  <w:pPr>
                    <w:jc w:val="center"/>
                    <w:textAlignment w:val="baseline"/>
                    <w:rPr>
                      <w:rFonts w:cs="Times New Roman"/>
                      <w:szCs w:val="21"/>
                    </w:rPr>
                  </w:pPr>
                  <w:r>
                    <w:rPr>
                      <w:rFonts w:hint="eastAsia" w:cs="Times New Roman"/>
                      <w:szCs w:val="21"/>
                    </w:rPr>
                    <w:t>9</w:t>
                  </w:r>
                </w:p>
              </w:tc>
              <w:tc>
                <w:tcPr>
                  <w:tcW w:w="624" w:type="pct"/>
                  <w:noWrap w:val="0"/>
                  <w:vAlign w:val="center"/>
                </w:tcPr>
                <w:p>
                  <w:pPr>
                    <w:jc w:val="center"/>
                    <w:textAlignment w:val="baseline"/>
                    <w:rPr>
                      <w:rFonts w:cs="Times New Roman"/>
                      <w:szCs w:val="21"/>
                    </w:rPr>
                  </w:pPr>
                  <w:r>
                    <w:rPr>
                      <w:rFonts w:cs="Times New Roman"/>
                      <w:szCs w:val="21"/>
                    </w:rPr>
                    <w:t>潜水泵</w:t>
                  </w:r>
                </w:p>
              </w:tc>
              <w:tc>
                <w:tcPr>
                  <w:tcW w:w="474" w:type="pct"/>
                  <w:noWrap w:val="0"/>
                  <w:vAlign w:val="center"/>
                </w:tcPr>
                <w:p>
                  <w:pPr>
                    <w:jc w:val="center"/>
                    <w:rPr>
                      <w:rFonts w:cs="Times New Roman"/>
                      <w:szCs w:val="21"/>
                    </w:rPr>
                  </w:pPr>
                  <w:r>
                    <w:rPr>
                      <w:rFonts w:hint="eastAsia" w:cs="Times New Roman"/>
                      <w:szCs w:val="21"/>
                    </w:rPr>
                    <w:t>/</w:t>
                  </w:r>
                </w:p>
              </w:tc>
              <w:tc>
                <w:tcPr>
                  <w:tcW w:w="320" w:type="pct"/>
                  <w:noWrap w:val="0"/>
                  <w:vAlign w:val="center"/>
                </w:tcPr>
                <w:p>
                  <w:pPr>
                    <w:jc w:val="center"/>
                    <w:rPr>
                      <w:rFonts w:hint="eastAsia"/>
                    </w:rPr>
                  </w:pPr>
                  <w:r>
                    <w:rPr>
                      <w:rFonts w:hint="eastAsia"/>
                    </w:rPr>
                    <w:t>55.03</w:t>
                  </w:r>
                </w:p>
              </w:tc>
              <w:tc>
                <w:tcPr>
                  <w:tcW w:w="320" w:type="pct"/>
                  <w:noWrap w:val="0"/>
                  <w:vAlign w:val="center"/>
                </w:tcPr>
                <w:p>
                  <w:pPr>
                    <w:jc w:val="center"/>
                    <w:rPr>
                      <w:rFonts w:hint="eastAsia"/>
                    </w:rPr>
                  </w:pPr>
                  <w:r>
                    <w:rPr>
                      <w:rFonts w:hint="eastAsia"/>
                    </w:rPr>
                    <w:t>199.85</w:t>
                  </w:r>
                </w:p>
              </w:tc>
              <w:tc>
                <w:tcPr>
                  <w:tcW w:w="320" w:type="pct"/>
                  <w:noWrap w:val="0"/>
                  <w:vAlign w:val="center"/>
                </w:tcPr>
                <w:p>
                  <w:pPr>
                    <w:jc w:val="center"/>
                    <w:rPr>
                      <w:rFonts w:hint="eastAsia"/>
                    </w:rPr>
                  </w:pPr>
                  <w:r>
                    <w:rPr>
                      <w:rFonts w:hint="eastAsia"/>
                    </w:rPr>
                    <w:t>-3</w:t>
                  </w:r>
                </w:p>
              </w:tc>
              <w:tc>
                <w:tcPr>
                  <w:tcW w:w="679" w:type="pct"/>
                  <w:noWrap w:val="0"/>
                  <w:vAlign w:val="center"/>
                </w:tcPr>
                <w:p>
                  <w:pPr>
                    <w:jc w:val="center"/>
                    <w:rPr>
                      <w:rFonts w:cs="Times New Roman"/>
                      <w:szCs w:val="21"/>
                    </w:rPr>
                  </w:pPr>
                  <w:r>
                    <w:rPr>
                      <w:rFonts w:hint="eastAsia" w:cs="Times New Roman"/>
                      <w:szCs w:val="21"/>
                    </w:rPr>
                    <w:t>/</w:t>
                  </w:r>
                </w:p>
              </w:tc>
              <w:tc>
                <w:tcPr>
                  <w:tcW w:w="489" w:type="pct"/>
                  <w:noWrap w:val="0"/>
                  <w:vAlign w:val="center"/>
                </w:tcPr>
                <w:p>
                  <w:pPr>
                    <w:jc w:val="center"/>
                    <w:rPr>
                      <w:rFonts w:hint="eastAsia"/>
                    </w:rPr>
                  </w:pPr>
                  <w:r>
                    <w:rPr>
                      <w:rFonts w:hint="eastAsia"/>
                    </w:rPr>
                    <w:t>80</w:t>
                  </w:r>
                </w:p>
              </w:tc>
              <w:tc>
                <w:tcPr>
                  <w:tcW w:w="690" w:type="pct"/>
                  <w:vMerge w:val="continue"/>
                  <w:noWrap w:val="0"/>
                  <w:vAlign w:val="center"/>
                </w:tcPr>
                <w:p>
                  <w:pPr>
                    <w:jc w:val="center"/>
                    <w:rPr>
                      <w:rFonts w:hint="eastAsia" w:cs="Times New Roman"/>
                      <w:szCs w:val="21"/>
                    </w:rPr>
                  </w:pPr>
                </w:p>
              </w:tc>
              <w:tc>
                <w:tcPr>
                  <w:tcW w:w="845" w:type="pct"/>
                  <w:noWrap w:val="0"/>
                  <w:vAlign w:val="center"/>
                </w:tcPr>
                <w:p>
                  <w:pPr>
                    <w:jc w:val="center"/>
                    <w:rPr>
                      <w:rFonts w:cs="Times New Roman"/>
                      <w:szCs w:val="21"/>
                    </w:rPr>
                  </w:pPr>
                  <w:r>
                    <w:rPr>
                      <w:rFonts w:hint="eastAsia"/>
                    </w:rPr>
                    <w:t>全天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noWrap w:val="0"/>
                  <w:vAlign w:val="center"/>
                </w:tcPr>
                <w:p>
                  <w:pPr>
                    <w:jc w:val="center"/>
                    <w:textAlignment w:val="baseline"/>
                    <w:rPr>
                      <w:rFonts w:cs="Times New Roman"/>
                      <w:szCs w:val="21"/>
                    </w:rPr>
                  </w:pPr>
                  <w:r>
                    <w:rPr>
                      <w:rFonts w:hint="eastAsia" w:cs="Times New Roman"/>
                      <w:szCs w:val="21"/>
                    </w:rPr>
                    <w:t>10</w:t>
                  </w:r>
                </w:p>
              </w:tc>
              <w:tc>
                <w:tcPr>
                  <w:tcW w:w="624" w:type="pct"/>
                  <w:noWrap w:val="0"/>
                  <w:vAlign w:val="center"/>
                </w:tcPr>
                <w:p>
                  <w:pPr>
                    <w:jc w:val="center"/>
                    <w:textAlignment w:val="baseline"/>
                    <w:rPr>
                      <w:rFonts w:cs="Times New Roman"/>
                      <w:szCs w:val="21"/>
                    </w:rPr>
                  </w:pPr>
                  <w:r>
                    <w:rPr>
                      <w:rFonts w:cs="Times New Roman"/>
                      <w:szCs w:val="21"/>
                    </w:rPr>
                    <w:t>潜水泵</w:t>
                  </w:r>
                </w:p>
              </w:tc>
              <w:tc>
                <w:tcPr>
                  <w:tcW w:w="474" w:type="pct"/>
                  <w:noWrap w:val="0"/>
                  <w:vAlign w:val="center"/>
                </w:tcPr>
                <w:p>
                  <w:pPr>
                    <w:jc w:val="center"/>
                    <w:rPr>
                      <w:rFonts w:cs="Times New Roman"/>
                      <w:szCs w:val="21"/>
                    </w:rPr>
                  </w:pPr>
                  <w:r>
                    <w:rPr>
                      <w:rFonts w:hint="eastAsia" w:cs="Times New Roman"/>
                      <w:szCs w:val="21"/>
                    </w:rPr>
                    <w:t>/</w:t>
                  </w:r>
                </w:p>
              </w:tc>
              <w:tc>
                <w:tcPr>
                  <w:tcW w:w="320" w:type="pct"/>
                  <w:noWrap w:val="0"/>
                  <w:vAlign w:val="center"/>
                </w:tcPr>
                <w:p>
                  <w:pPr>
                    <w:jc w:val="center"/>
                    <w:rPr>
                      <w:rFonts w:hint="eastAsia"/>
                    </w:rPr>
                  </w:pPr>
                  <w:r>
                    <w:rPr>
                      <w:rFonts w:hint="eastAsia"/>
                    </w:rPr>
                    <w:t>87.1</w:t>
                  </w:r>
                </w:p>
              </w:tc>
              <w:tc>
                <w:tcPr>
                  <w:tcW w:w="320" w:type="pct"/>
                  <w:noWrap w:val="0"/>
                  <w:vAlign w:val="center"/>
                </w:tcPr>
                <w:p>
                  <w:pPr>
                    <w:jc w:val="center"/>
                    <w:rPr>
                      <w:rFonts w:hint="eastAsia"/>
                    </w:rPr>
                  </w:pPr>
                  <w:r>
                    <w:rPr>
                      <w:rFonts w:hint="eastAsia"/>
                    </w:rPr>
                    <w:t>200.6</w:t>
                  </w:r>
                </w:p>
              </w:tc>
              <w:tc>
                <w:tcPr>
                  <w:tcW w:w="320" w:type="pct"/>
                  <w:noWrap w:val="0"/>
                  <w:vAlign w:val="center"/>
                </w:tcPr>
                <w:p>
                  <w:pPr>
                    <w:jc w:val="center"/>
                    <w:rPr>
                      <w:rFonts w:hint="eastAsia"/>
                    </w:rPr>
                  </w:pPr>
                  <w:r>
                    <w:rPr>
                      <w:rFonts w:hint="eastAsia"/>
                    </w:rPr>
                    <w:t>-3</w:t>
                  </w:r>
                </w:p>
              </w:tc>
              <w:tc>
                <w:tcPr>
                  <w:tcW w:w="679" w:type="pct"/>
                  <w:noWrap w:val="0"/>
                  <w:vAlign w:val="center"/>
                </w:tcPr>
                <w:p>
                  <w:pPr>
                    <w:jc w:val="center"/>
                    <w:rPr>
                      <w:rFonts w:cs="Times New Roman"/>
                      <w:szCs w:val="21"/>
                    </w:rPr>
                  </w:pPr>
                  <w:r>
                    <w:rPr>
                      <w:rFonts w:hint="eastAsia" w:cs="Times New Roman"/>
                      <w:szCs w:val="21"/>
                    </w:rPr>
                    <w:t>/</w:t>
                  </w:r>
                </w:p>
              </w:tc>
              <w:tc>
                <w:tcPr>
                  <w:tcW w:w="489" w:type="pct"/>
                  <w:noWrap w:val="0"/>
                  <w:vAlign w:val="center"/>
                </w:tcPr>
                <w:p>
                  <w:pPr>
                    <w:jc w:val="center"/>
                    <w:rPr>
                      <w:rFonts w:hint="eastAsia"/>
                    </w:rPr>
                  </w:pPr>
                  <w:r>
                    <w:rPr>
                      <w:rFonts w:hint="eastAsia"/>
                    </w:rPr>
                    <w:t>80</w:t>
                  </w:r>
                </w:p>
              </w:tc>
              <w:tc>
                <w:tcPr>
                  <w:tcW w:w="690" w:type="pct"/>
                  <w:vMerge w:val="continue"/>
                  <w:noWrap w:val="0"/>
                  <w:vAlign w:val="center"/>
                </w:tcPr>
                <w:p>
                  <w:pPr>
                    <w:jc w:val="center"/>
                    <w:rPr>
                      <w:rFonts w:hint="eastAsia" w:cs="Times New Roman"/>
                      <w:szCs w:val="21"/>
                    </w:rPr>
                  </w:pPr>
                </w:p>
              </w:tc>
              <w:tc>
                <w:tcPr>
                  <w:tcW w:w="845" w:type="pct"/>
                  <w:noWrap w:val="0"/>
                  <w:vAlign w:val="center"/>
                </w:tcPr>
                <w:p>
                  <w:pPr>
                    <w:jc w:val="center"/>
                    <w:rPr>
                      <w:rFonts w:cs="Times New Roman"/>
                      <w:szCs w:val="21"/>
                    </w:rPr>
                  </w:pPr>
                  <w:r>
                    <w:rPr>
                      <w:rFonts w:hint="eastAsia"/>
                    </w:rPr>
                    <w:t>全天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noWrap w:val="0"/>
                  <w:vAlign w:val="center"/>
                </w:tcPr>
                <w:p>
                  <w:pPr>
                    <w:jc w:val="center"/>
                    <w:textAlignment w:val="baseline"/>
                    <w:rPr>
                      <w:rFonts w:cs="Times New Roman"/>
                      <w:szCs w:val="21"/>
                    </w:rPr>
                  </w:pPr>
                  <w:r>
                    <w:rPr>
                      <w:rFonts w:hint="eastAsia" w:cs="Times New Roman"/>
                      <w:szCs w:val="21"/>
                    </w:rPr>
                    <w:t>11</w:t>
                  </w:r>
                </w:p>
              </w:tc>
              <w:tc>
                <w:tcPr>
                  <w:tcW w:w="624" w:type="pct"/>
                  <w:noWrap w:val="0"/>
                  <w:vAlign w:val="center"/>
                </w:tcPr>
                <w:p>
                  <w:pPr>
                    <w:jc w:val="center"/>
                    <w:textAlignment w:val="baseline"/>
                    <w:rPr>
                      <w:szCs w:val="21"/>
                    </w:rPr>
                  </w:pPr>
                  <w:r>
                    <w:rPr>
                      <w:rFonts w:hint="eastAsia"/>
                    </w:rPr>
                    <w:t>快速混合搅拌机</w:t>
                  </w:r>
                </w:p>
              </w:tc>
              <w:tc>
                <w:tcPr>
                  <w:tcW w:w="474" w:type="pct"/>
                  <w:noWrap w:val="0"/>
                  <w:vAlign w:val="center"/>
                </w:tcPr>
                <w:p>
                  <w:pPr>
                    <w:jc w:val="center"/>
                    <w:rPr>
                      <w:rFonts w:cs="Times New Roman"/>
                      <w:szCs w:val="21"/>
                    </w:rPr>
                  </w:pPr>
                  <w:r>
                    <w:rPr>
                      <w:rFonts w:hint="eastAsia" w:cs="Times New Roman"/>
                      <w:szCs w:val="21"/>
                    </w:rPr>
                    <w:t>/</w:t>
                  </w:r>
                </w:p>
              </w:tc>
              <w:tc>
                <w:tcPr>
                  <w:tcW w:w="320" w:type="pct"/>
                  <w:noWrap w:val="0"/>
                  <w:vAlign w:val="center"/>
                </w:tcPr>
                <w:p>
                  <w:pPr>
                    <w:jc w:val="center"/>
                    <w:rPr>
                      <w:rFonts w:hint="eastAsia"/>
                    </w:rPr>
                  </w:pPr>
                  <w:r>
                    <w:rPr>
                      <w:rFonts w:hint="eastAsia"/>
                    </w:rPr>
                    <w:t>67.46</w:t>
                  </w:r>
                </w:p>
              </w:tc>
              <w:tc>
                <w:tcPr>
                  <w:tcW w:w="320" w:type="pct"/>
                  <w:noWrap w:val="0"/>
                  <w:vAlign w:val="center"/>
                </w:tcPr>
                <w:p>
                  <w:pPr>
                    <w:jc w:val="center"/>
                    <w:rPr>
                      <w:rFonts w:hint="eastAsia"/>
                    </w:rPr>
                  </w:pPr>
                  <w:r>
                    <w:rPr>
                      <w:rFonts w:hint="eastAsia"/>
                    </w:rPr>
                    <w:t>268.96</w:t>
                  </w:r>
                </w:p>
              </w:tc>
              <w:tc>
                <w:tcPr>
                  <w:tcW w:w="320" w:type="pct"/>
                  <w:noWrap w:val="0"/>
                  <w:vAlign w:val="center"/>
                </w:tcPr>
                <w:p>
                  <w:pPr>
                    <w:jc w:val="center"/>
                    <w:rPr>
                      <w:rFonts w:hint="eastAsia"/>
                    </w:rPr>
                  </w:pPr>
                  <w:r>
                    <w:rPr>
                      <w:rFonts w:hint="eastAsia"/>
                    </w:rPr>
                    <w:t>-3</w:t>
                  </w:r>
                </w:p>
              </w:tc>
              <w:tc>
                <w:tcPr>
                  <w:tcW w:w="679" w:type="pct"/>
                  <w:noWrap w:val="0"/>
                  <w:vAlign w:val="center"/>
                </w:tcPr>
                <w:p>
                  <w:pPr>
                    <w:jc w:val="center"/>
                    <w:rPr>
                      <w:rFonts w:cs="Times New Roman"/>
                      <w:szCs w:val="21"/>
                    </w:rPr>
                  </w:pPr>
                  <w:r>
                    <w:rPr>
                      <w:rFonts w:hint="eastAsia" w:cs="Times New Roman"/>
                      <w:szCs w:val="21"/>
                    </w:rPr>
                    <w:t>/</w:t>
                  </w:r>
                </w:p>
              </w:tc>
              <w:tc>
                <w:tcPr>
                  <w:tcW w:w="489" w:type="pct"/>
                  <w:noWrap w:val="0"/>
                  <w:vAlign w:val="center"/>
                </w:tcPr>
                <w:p>
                  <w:pPr>
                    <w:jc w:val="center"/>
                    <w:rPr>
                      <w:rFonts w:hint="eastAsia"/>
                    </w:rPr>
                  </w:pPr>
                  <w:r>
                    <w:rPr>
                      <w:rFonts w:hint="eastAsia"/>
                    </w:rPr>
                    <w:t>86</w:t>
                  </w:r>
                </w:p>
              </w:tc>
              <w:tc>
                <w:tcPr>
                  <w:tcW w:w="690" w:type="pct"/>
                  <w:vMerge w:val="continue"/>
                  <w:noWrap w:val="0"/>
                  <w:vAlign w:val="center"/>
                </w:tcPr>
                <w:p>
                  <w:pPr>
                    <w:jc w:val="center"/>
                    <w:rPr>
                      <w:rFonts w:hint="eastAsia" w:cs="Times New Roman"/>
                      <w:szCs w:val="21"/>
                    </w:rPr>
                  </w:pPr>
                </w:p>
              </w:tc>
              <w:tc>
                <w:tcPr>
                  <w:tcW w:w="845" w:type="pct"/>
                  <w:noWrap w:val="0"/>
                  <w:vAlign w:val="center"/>
                </w:tcPr>
                <w:p>
                  <w:pPr>
                    <w:jc w:val="center"/>
                    <w:rPr>
                      <w:rFonts w:cs="Times New Roman"/>
                      <w:szCs w:val="21"/>
                    </w:rPr>
                  </w:pPr>
                  <w:r>
                    <w:rPr>
                      <w:rFonts w:hint="eastAsia"/>
                    </w:rPr>
                    <w:t>全天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noWrap w:val="0"/>
                  <w:vAlign w:val="center"/>
                </w:tcPr>
                <w:p>
                  <w:pPr>
                    <w:jc w:val="center"/>
                    <w:textAlignment w:val="baseline"/>
                    <w:rPr>
                      <w:rFonts w:cs="Times New Roman"/>
                      <w:szCs w:val="21"/>
                    </w:rPr>
                  </w:pPr>
                  <w:r>
                    <w:rPr>
                      <w:rFonts w:hint="eastAsia" w:cs="Times New Roman"/>
                      <w:szCs w:val="21"/>
                    </w:rPr>
                    <w:t>12</w:t>
                  </w:r>
                </w:p>
              </w:tc>
              <w:tc>
                <w:tcPr>
                  <w:tcW w:w="624" w:type="pct"/>
                  <w:noWrap w:val="0"/>
                  <w:vAlign w:val="center"/>
                </w:tcPr>
                <w:p>
                  <w:pPr>
                    <w:jc w:val="center"/>
                    <w:textAlignment w:val="baseline"/>
                    <w:rPr>
                      <w:szCs w:val="21"/>
                    </w:rPr>
                  </w:pPr>
                  <w:r>
                    <w:rPr>
                      <w:rFonts w:hint="eastAsia"/>
                    </w:rPr>
                    <w:t>快速混合搅拌机</w:t>
                  </w:r>
                </w:p>
              </w:tc>
              <w:tc>
                <w:tcPr>
                  <w:tcW w:w="474" w:type="pct"/>
                  <w:noWrap w:val="0"/>
                  <w:vAlign w:val="center"/>
                </w:tcPr>
                <w:p>
                  <w:pPr>
                    <w:jc w:val="center"/>
                    <w:rPr>
                      <w:rFonts w:cs="Times New Roman"/>
                      <w:szCs w:val="21"/>
                    </w:rPr>
                  </w:pPr>
                  <w:r>
                    <w:rPr>
                      <w:rFonts w:hint="eastAsia" w:cs="Times New Roman"/>
                      <w:szCs w:val="21"/>
                    </w:rPr>
                    <w:t>/</w:t>
                  </w:r>
                </w:p>
              </w:tc>
              <w:tc>
                <w:tcPr>
                  <w:tcW w:w="320" w:type="pct"/>
                  <w:noWrap w:val="0"/>
                  <w:vAlign w:val="center"/>
                </w:tcPr>
                <w:p>
                  <w:pPr>
                    <w:jc w:val="center"/>
                    <w:rPr>
                      <w:rFonts w:hint="eastAsia"/>
                    </w:rPr>
                  </w:pPr>
                  <w:r>
                    <w:rPr>
                      <w:rFonts w:hint="eastAsia"/>
                    </w:rPr>
                    <w:t>67.21</w:t>
                  </w:r>
                </w:p>
              </w:tc>
              <w:tc>
                <w:tcPr>
                  <w:tcW w:w="320" w:type="pct"/>
                  <w:noWrap w:val="0"/>
                  <w:vAlign w:val="center"/>
                </w:tcPr>
                <w:p>
                  <w:pPr>
                    <w:jc w:val="center"/>
                    <w:rPr>
                      <w:rFonts w:hint="eastAsia"/>
                    </w:rPr>
                  </w:pPr>
                  <w:r>
                    <w:rPr>
                      <w:rFonts w:hint="eastAsia"/>
                    </w:rPr>
                    <w:t>257.02</w:t>
                  </w:r>
                </w:p>
              </w:tc>
              <w:tc>
                <w:tcPr>
                  <w:tcW w:w="320" w:type="pct"/>
                  <w:noWrap w:val="0"/>
                  <w:vAlign w:val="center"/>
                </w:tcPr>
                <w:p>
                  <w:pPr>
                    <w:jc w:val="center"/>
                    <w:rPr>
                      <w:rFonts w:hint="eastAsia"/>
                    </w:rPr>
                  </w:pPr>
                  <w:r>
                    <w:rPr>
                      <w:rFonts w:hint="eastAsia"/>
                    </w:rPr>
                    <w:t>-3</w:t>
                  </w:r>
                </w:p>
              </w:tc>
              <w:tc>
                <w:tcPr>
                  <w:tcW w:w="679" w:type="pct"/>
                  <w:noWrap w:val="0"/>
                  <w:vAlign w:val="center"/>
                </w:tcPr>
                <w:p>
                  <w:pPr>
                    <w:jc w:val="center"/>
                    <w:rPr>
                      <w:rFonts w:cs="Times New Roman"/>
                      <w:szCs w:val="21"/>
                    </w:rPr>
                  </w:pPr>
                  <w:r>
                    <w:rPr>
                      <w:rFonts w:hint="eastAsia" w:cs="Times New Roman"/>
                      <w:szCs w:val="21"/>
                    </w:rPr>
                    <w:t>/</w:t>
                  </w:r>
                </w:p>
              </w:tc>
              <w:tc>
                <w:tcPr>
                  <w:tcW w:w="489" w:type="pct"/>
                  <w:noWrap w:val="0"/>
                  <w:vAlign w:val="center"/>
                </w:tcPr>
                <w:p>
                  <w:pPr>
                    <w:jc w:val="center"/>
                    <w:rPr>
                      <w:rFonts w:hint="eastAsia"/>
                    </w:rPr>
                  </w:pPr>
                  <w:r>
                    <w:rPr>
                      <w:rFonts w:hint="eastAsia"/>
                    </w:rPr>
                    <w:t>86</w:t>
                  </w:r>
                </w:p>
              </w:tc>
              <w:tc>
                <w:tcPr>
                  <w:tcW w:w="690" w:type="pct"/>
                  <w:vMerge w:val="continue"/>
                  <w:noWrap w:val="0"/>
                  <w:vAlign w:val="center"/>
                </w:tcPr>
                <w:p>
                  <w:pPr>
                    <w:jc w:val="center"/>
                    <w:rPr>
                      <w:rFonts w:hint="eastAsia" w:cs="Times New Roman"/>
                      <w:szCs w:val="21"/>
                    </w:rPr>
                  </w:pPr>
                </w:p>
              </w:tc>
              <w:tc>
                <w:tcPr>
                  <w:tcW w:w="845" w:type="pct"/>
                  <w:noWrap w:val="0"/>
                  <w:vAlign w:val="center"/>
                </w:tcPr>
                <w:p>
                  <w:pPr>
                    <w:jc w:val="center"/>
                    <w:rPr>
                      <w:rFonts w:cs="Times New Roman"/>
                      <w:szCs w:val="21"/>
                    </w:rPr>
                  </w:pPr>
                  <w:r>
                    <w:rPr>
                      <w:rFonts w:hint="eastAsia"/>
                    </w:rPr>
                    <w:t>全天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noWrap w:val="0"/>
                  <w:vAlign w:val="center"/>
                </w:tcPr>
                <w:p>
                  <w:pPr>
                    <w:jc w:val="center"/>
                    <w:textAlignment w:val="baseline"/>
                    <w:rPr>
                      <w:rFonts w:cs="Times New Roman"/>
                      <w:szCs w:val="21"/>
                    </w:rPr>
                  </w:pPr>
                  <w:r>
                    <w:rPr>
                      <w:rFonts w:hint="eastAsia" w:cs="Times New Roman"/>
                      <w:szCs w:val="21"/>
                    </w:rPr>
                    <w:t>13</w:t>
                  </w:r>
                </w:p>
              </w:tc>
              <w:tc>
                <w:tcPr>
                  <w:tcW w:w="624" w:type="pct"/>
                  <w:noWrap w:val="0"/>
                  <w:vAlign w:val="center"/>
                </w:tcPr>
                <w:p>
                  <w:pPr>
                    <w:jc w:val="center"/>
                    <w:textAlignment w:val="baseline"/>
                    <w:rPr>
                      <w:szCs w:val="21"/>
                    </w:rPr>
                  </w:pPr>
                  <w:r>
                    <w:rPr>
                      <w:rFonts w:hint="eastAsia"/>
                    </w:rPr>
                    <w:t>快速混合搅拌机</w:t>
                  </w:r>
                </w:p>
              </w:tc>
              <w:tc>
                <w:tcPr>
                  <w:tcW w:w="474" w:type="pct"/>
                  <w:noWrap w:val="0"/>
                  <w:vAlign w:val="center"/>
                </w:tcPr>
                <w:p>
                  <w:pPr>
                    <w:jc w:val="center"/>
                    <w:rPr>
                      <w:rFonts w:cs="Times New Roman"/>
                      <w:szCs w:val="21"/>
                    </w:rPr>
                  </w:pPr>
                  <w:r>
                    <w:rPr>
                      <w:rFonts w:hint="eastAsia" w:cs="Times New Roman"/>
                      <w:szCs w:val="21"/>
                    </w:rPr>
                    <w:t>/</w:t>
                  </w:r>
                </w:p>
              </w:tc>
              <w:tc>
                <w:tcPr>
                  <w:tcW w:w="320" w:type="pct"/>
                  <w:noWrap w:val="0"/>
                  <w:vAlign w:val="center"/>
                </w:tcPr>
                <w:p>
                  <w:pPr>
                    <w:jc w:val="center"/>
                    <w:rPr>
                      <w:rFonts w:hint="eastAsia"/>
                    </w:rPr>
                  </w:pPr>
                  <w:r>
                    <w:rPr>
                      <w:rFonts w:hint="eastAsia"/>
                    </w:rPr>
                    <w:t>67.46</w:t>
                  </w:r>
                </w:p>
              </w:tc>
              <w:tc>
                <w:tcPr>
                  <w:tcW w:w="320" w:type="pct"/>
                  <w:noWrap w:val="0"/>
                  <w:vAlign w:val="center"/>
                </w:tcPr>
                <w:p>
                  <w:pPr>
                    <w:jc w:val="center"/>
                    <w:rPr>
                      <w:rFonts w:hint="eastAsia"/>
                    </w:rPr>
                  </w:pPr>
                  <w:r>
                    <w:rPr>
                      <w:rFonts w:hint="eastAsia"/>
                    </w:rPr>
                    <w:t>246.83</w:t>
                  </w:r>
                </w:p>
              </w:tc>
              <w:tc>
                <w:tcPr>
                  <w:tcW w:w="320" w:type="pct"/>
                  <w:noWrap w:val="0"/>
                  <w:vAlign w:val="center"/>
                </w:tcPr>
                <w:p>
                  <w:pPr>
                    <w:jc w:val="center"/>
                    <w:rPr>
                      <w:rFonts w:hint="eastAsia"/>
                    </w:rPr>
                  </w:pPr>
                  <w:r>
                    <w:rPr>
                      <w:rFonts w:hint="eastAsia"/>
                    </w:rPr>
                    <w:t>-3</w:t>
                  </w:r>
                </w:p>
              </w:tc>
              <w:tc>
                <w:tcPr>
                  <w:tcW w:w="679" w:type="pct"/>
                  <w:noWrap w:val="0"/>
                  <w:vAlign w:val="center"/>
                </w:tcPr>
                <w:p>
                  <w:pPr>
                    <w:jc w:val="center"/>
                    <w:rPr>
                      <w:rFonts w:cs="Times New Roman"/>
                      <w:szCs w:val="21"/>
                    </w:rPr>
                  </w:pPr>
                  <w:r>
                    <w:rPr>
                      <w:rFonts w:hint="eastAsia" w:cs="Times New Roman"/>
                      <w:szCs w:val="21"/>
                    </w:rPr>
                    <w:t>/</w:t>
                  </w:r>
                </w:p>
              </w:tc>
              <w:tc>
                <w:tcPr>
                  <w:tcW w:w="489" w:type="pct"/>
                  <w:noWrap w:val="0"/>
                  <w:vAlign w:val="center"/>
                </w:tcPr>
                <w:p>
                  <w:pPr>
                    <w:jc w:val="center"/>
                    <w:rPr>
                      <w:rFonts w:hint="eastAsia"/>
                    </w:rPr>
                  </w:pPr>
                  <w:r>
                    <w:rPr>
                      <w:rFonts w:hint="eastAsia"/>
                    </w:rPr>
                    <w:t>86</w:t>
                  </w:r>
                </w:p>
              </w:tc>
              <w:tc>
                <w:tcPr>
                  <w:tcW w:w="690" w:type="pct"/>
                  <w:vMerge w:val="continue"/>
                  <w:noWrap w:val="0"/>
                  <w:vAlign w:val="center"/>
                </w:tcPr>
                <w:p>
                  <w:pPr>
                    <w:jc w:val="center"/>
                    <w:rPr>
                      <w:rFonts w:hint="eastAsia" w:cs="Times New Roman"/>
                      <w:szCs w:val="21"/>
                    </w:rPr>
                  </w:pPr>
                </w:p>
              </w:tc>
              <w:tc>
                <w:tcPr>
                  <w:tcW w:w="845" w:type="pct"/>
                  <w:noWrap w:val="0"/>
                  <w:vAlign w:val="center"/>
                </w:tcPr>
                <w:p>
                  <w:pPr>
                    <w:jc w:val="center"/>
                    <w:rPr>
                      <w:rFonts w:cs="Times New Roman"/>
                      <w:szCs w:val="21"/>
                    </w:rPr>
                  </w:pPr>
                  <w:r>
                    <w:rPr>
                      <w:rFonts w:hint="eastAsia"/>
                    </w:rPr>
                    <w:t>全天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noWrap w:val="0"/>
                  <w:vAlign w:val="center"/>
                </w:tcPr>
                <w:p>
                  <w:pPr>
                    <w:jc w:val="center"/>
                    <w:textAlignment w:val="baseline"/>
                    <w:rPr>
                      <w:rFonts w:cs="Times New Roman"/>
                      <w:szCs w:val="21"/>
                    </w:rPr>
                  </w:pPr>
                  <w:r>
                    <w:rPr>
                      <w:rFonts w:hint="eastAsia" w:cs="Times New Roman"/>
                      <w:szCs w:val="21"/>
                    </w:rPr>
                    <w:t>14</w:t>
                  </w:r>
                </w:p>
              </w:tc>
              <w:tc>
                <w:tcPr>
                  <w:tcW w:w="624" w:type="pct"/>
                  <w:noWrap w:val="0"/>
                  <w:vAlign w:val="center"/>
                </w:tcPr>
                <w:p>
                  <w:pPr>
                    <w:jc w:val="center"/>
                    <w:textAlignment w:val="baseline"/>
                    <w:rPr>
                      <w:szCs w:val="21"/>
                    </w:rPr>
                  </w:pPr>
                  <w:r>
                    <w:rPr>
                      <w:rFonts w:hint="eastAsia"/>
                    </w:rPr>
                    <w:t>快速混合搅拌机</w:t>
                  </w:r>
                </w:p>
              </w:tc>
              <w:tc>
                <w:tcPr>
                  <w:tcW w:w="474" w:type="pct"/>
                  <w:noWrap w:val="0"/>
                  <w:vAlign w:val="center"/>
                </w:tcPr>
                <w:p>
                  <w:pPr>
                    <w:jc w:val="center"/>
                    <w:rPr>
                      <w:rFonts w:cs="Times New Roman"/>
                      <w:szCs w:val="21"/>
                    </w:rPr>
                  </w:pPr>
                  <w:r>
                    <w:rPr>
                      <w:rFonts w:hint="eastAsia" w:cs="Times New Roman"/>
                      <w:szCs w:val="21"/>
                    </w:rPr>
                    <w:t>/</w:t>
                  </w:r>
                </w:p>
              </w:tc>
              <w:tc>
                <w:tcPr>
                  <w:tcW w:w="320" w:type="pct"/>
                  <w:noWrap w:val="0"/>
                  <w:vAlign w:val="center"/>
                </w:tcPr>
                <w:p>
                  <w:pPr>
                    <w:jc w:val="center"/>
                    <w:rPr>
                      <w:rFonts w:hint="eastAsia"/>
                    </w:rPr>
                  </w:pPr>
                  <w:r>
                    <w:rPr>
                      <w:rFonts w:hint="eastAsia"/>
                    </w:rPr>
                    <w:t>67.21</w:t>
                  </w:r>
                </w:p>
              </w:tc>
              <w:tc>
                <w:tcPr>
                  <w:tcW w:w="320" w:type="pct"/>
                  <w:noWrap w:val="0"/>
                  <w:vAlign w:val="center"/>
                </w:tcPr>
                <w:p>
                  <w:pPr>
                    <w:jc w:val="center"/>
                    <w:rPr>
                      <w:rFonts w:hint="eastAsia"/>
                    </w:rPr>
                  </w:pPr>
                  <w:r>
                    <w:rPr>
                      <w:rFonts w:hint="eastAsia"/>
                    </w:rPr>
                    <w:t>237.39</w:t>
                  </w:r>
                </w:p>
              </w:tc>
              <w:tc>
                <w:tcPr>
                  <w:tcW w:w="320" w:type="pct"/>
                  <w:noWrap w:val="0"/>
                  <w:vAlign w:val="center"/>
                </w:tcPr>
                <w:p>
                  <w:pPr>
                    <w:jc w:val="center"/>
                    <w:rPr>
                      <w:rFonts w:hint="eastAsia"/>
                    </w:rPr>
                  </w:pPr>
                  <w:r>
                    <w:rPr>
                      <w:rFonts w:hint="eastAsia"/>
                    </w:rPr>
                    <w:t>-3</w:t>
                  </w:r>
                </w:p>
              </w:tc>
              <w:tc>
                <w:tcPr>
                  <w:tcW w:w="679" w:type="pct"/>
                  <w:noWrap w:val="0"/>
                  <w:vAlign w:val="center"/>
                </w:tcPr>
                <w:p>
                  <w:pPr>
                    <w:jc w:val="center"/>
                    <w:rPr>
                      <w:rFonts w:cs="Times New Roman"/>
                      <w:szCs w:val="21"/>
                    </w:rPr>
                  </w:pPr>
                  <w:r>
                    <w:rPr>
                      <w:rFonts w:hint="eastAsia" w:cs="Times New Roman"/>
                      <w:szCs w:val="21"/>
                    </w:rPr>
                    <w:t>/</w:t>
                  </w:r>
                </w:p>
              </w:tc>
              <w:tc>
                <w:tcPr>
                  <w:tcW w:w="489" w:type="pct"/>
                  <w:noWrap w:val="0"/>
                  <w:vAlign w:val="center"/>
                </w:tcPr>
                <w:p>
                  <w:pPr>
                    <w:jc w:val="center"/>
                    <w:rPr>
                      <w:rFonts w:hint="eastAsia"/>
                    </w:rPr>
                  </w:pPr>
                  <w:r>
                    <w:rPr>
                      <w:rFonts w:hint="eastAsia"/>
                    </w:rPr>
                    <w:t>86</w:t>
                  </w:r>
                </w:p>
              </w:tc>
              <w:tc>
                <w:tcPr>
                  <w:tcW w:w="690" w:type="pct"/>
                  <w:vMerge w:val="continue"/>
                  <w:noWrap w:val="0"/>
                  <w:vAlign w:val="center"/>
                </w:tcPr>
                <w:p>
                  <w:pPr>
                    <w:jc w:val="center"/>
                    <w:rPr>
                      <w:rFonts w:hint="eastAsia" w:cs="Times New Roman"/>
                      <w:szCs w:val="21"/>
                    </w:rPr>
                  </w:pPr>
                </w:p>
              </w:tc>
              <w:tc>
                <w:tcPr>
                  <w:tcW w:w="845" w:type="pct"/>
                  <w:noWrap w:val="0"/>
                  <w:vAlign w:val="center"/>
                </w:tcPr>
                <w:p>
                  <w:pPr>
                    <w:jc w:val="center"/>
                    <w:rPr>
                      <w:rFonts w:cs="Times New Roman"/>
                      <w:szCs w:val="21"/>
                    </w:rPr>
                  </w:pPr>
                  <w:r>
                    <w:rPr>
                      <w:rFonts w:hint="eastAsia"/>
                    </w:rPr>
                    <w:t>全天</w:t>
                  </w:r>
                </w:p>
              </w:tc>
            </w:tr>
          </w:tbl>
          <w:p>
            <w:pPr>
              <w:spacing w:line="276" w:lineRule="auto"/>
              <w:jc w:val="center"/>
              <w:rPr>
                <w:rFonts w:hint="eastAsia"/>
                <w:b/>
                <w:bCs/>
                <w:color w:val="FF00FF"/>
                <w:szCs w:val="21"/>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spacing w:line="276" w:lineRule="auto"/>
              <w:jc w:val="center"/>
              <w:rPr>
                <w:rFonts w:hint="eastAsia"/>
                <w:b/>
                <w:bCs/>
                <w:szCs w:val="21"/>
              </w:rPr>
            </w:pPr>
            <w:r>
              <w:rPr>
                <w:rFonts w:hint="eastAsia"/>
                <w:b/>
                <w:bCs/>
                <w:szCs w:val="21"/>
              </w:rPr>
              <w:t>表4-10   项目噪声源强调查清单（净水厂室内声源）</w:t>
            </w:r>
          </w:p>
          <w:tbl>
            <w:tblPr>
              <w:tblStyle w:val="26"/>
              <w:tblW w:w="475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34"/>
              <w:gridCol w:w="1291"/>
              <w:gridCol w:w="715"/>
              <w:gridCol w:w="1291"/>
              <w:gridCol w:w="845"/>
              <w:gridCol w:w="1158"/>
              <w:gridCol w:w="997"/>
              <w:gridCol w:w="997"/>
              <w:gridCol w:w="1028"/>
              <w:gridCol w:w="803"/>
              <w:gridCol w:w="815"/>
              <w:gridCol w:w="698"/>
              <w:gridCol w:w="928"/>
              <w:gridCol w:w="721"/>
              <w:gridCol w:w="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301" w:type="pct"/>
                  <w:vMerge w:val="restart"/>
                  <w:noWrap w:val="0"/>
                  <w:vAlign w:val="center"/>
                </w:tcPr>
                <w:p>
                  <w:pPr>
                    <w:jc w:val="center"/>
                    <w:rPr>
                      <w:rFonts w:hint="eastAsia" w:cs="Times New Roman"/>
                      <w:b/>
                      <w:bCs/>
                      <w:szCs w:val="21"/>
                    </w:rPr>
                  </w:pPr>
                  <w:r>
                    <w:rPr>
                      <w:rFonts w:hint="eastAsia" w:cs="Times New Roman"/>
                      <w:b/>
                      <w:bCs/>
                      <w:szCs w:val="21"/>
                    </w:rPr>
                    <w:t>序号</w:t>
                  </w:r>
                </w:p>
              </w:tc>
              <w:tc>
                <w:tcPr>
                  <w:tcW w:w="466" w:type="pct"/>
                  <w:vMerge w:val="restart"/>
                  <w:noWrap w:val="0"/>
                  <w:vAlign w:val="center"/>
                </w:tcPr>
                <w:p>
                  <w:pPr>
                    <w:jc w:val="center"/>
                    <w:rPr>
                      <w:rFonts w:hint="eastAsia" w:cs="Times New Roman"/>
                      <w:b/>
                      <w:bCs/>
                      <w:szCs w:val="21"/>
                    </w:rPr>
                  </w:pPr>
                  <w:r>
                    <w:rPr>
                      <w:rFonts w:cs="Times New Roman"/>
                      <w:b/>
                      <w:bCs/>
                      <w:szCs w:val="21"/>
                    </w:rPr>
                    <w:t>声源</w:t>
                  </w:r>
                  <w:r>
                    <w:rPr>
                      <w:rFonts w:hint="eastAsia" w:cs="Times New Roman"/>
                      <w:b/>
                      <w:bCs/>
                      <w:szCs w:val="21"/>
                    </w:rPr>
                    <w:t>名称</w:t>
                  </w:r>
                </w:p>
              </w:tc>
              <w:tc>
                <w:tcPr>
                  <w:tcW w:w="258" w:type="pct"/>
                  <w:vMerge w:val="restart"/>
                  <w:noWrap w:val="0"/>
                  <w:vAlign w:val="center"/>
                </w:tcPr>
                <w:p>
                  <w:pPr>
                    <w:jc w:val="center"/>
                    <w:rPr>
                      <w:rFonts w:cs="Times New Roman"/>
                      <w:b/>
                      <w:bCs/>
                      <w:szCs w:val="21"/>
                    </w:rPr>
                  </w:pPr>
                  <w:r>
                    <w:rPr>
                      <w:rFonts w:hint="eastAsia" w:cs="Times New Roman"/>
                      <w:b/>
                      <w:bCs/>
                      <w:szCs w:val="21"/>
                    </w:rPr>
                    <w:t>型号</w:t>
                  </w:r>
                </w:p>
              </w:tc>
              <w:tc>
                <w:tcPr>
                  <w:tcW w:w="771" w:type="pct"/>
                  <w:gridSpan w:val="2"/>
                  <w:noWrap w:val="0"/>
                  <w:vAlign w:val="center"/>
                </w:tcPr>
                <w:p>
                  <w:pPr>
                    <w:jc w:val="center"/>
                    <w:rPr>
                      <w:rFonts w:hint="eastAsia" w:cs="Times New Roman"/>
                      <w:b/>
                      <w:bCs/>
                      <w:szCs w:val="21"/>
                    </w:rPr>
                  </w:pPr>
                  <w:r>
                    <w:rPr>
                      <w:rFonts w:cs="Times New Roman"/>
                      <w:b/>
                      <w:bCs/>
                      <w:szCs w:val="21"/>
                    </w:rPr>
                    <w:t>噪声源强</w:t>
                  </w:r>
                  <w:r>
                    <w:rPr>
                      <w:rFonts w:hint="eastAsia" w:cs="Times New Roman"/>
                      <w:b/>
                      <w:bCs/>
                      <w:szCs w:val="21"/>
                    </w:rPr>
                    <w:t>（任选一种）</w:t>
                  </w:r>
                </w:p>
              </w:tc>
              <w:tc>
                <w:tcPr>
                  <w:tcW w:w="418" w:type="pct"/>
                  <w:vMerge w:val="restart"/>
                  <w:noWrap w:val="0"/>
                  <w:vAlign w:val="center"/>
                </w:tcPr>
                <w:p>
                  <w:pPr>
                    <w:jc w:val="center"/>
                    <w:rPr>
                      <w:rFonts w:cs="Times New Roman"/>
                      <w:b/>
                      <w:bCs/>
                      <w:szCs w:val="21"/>
                    </w:rPr>
                  </w:pPr>
                  <w:r>
                    <w:rPr>
                      <w:rFonts w:hint="eastAsia" w:cs="Times New Roman"/>
                      <w:b/>
                      <w:bCs/>
                      <w:szCs w:val="21"/>
                    </w:rPr>
                    <w:t>声源控制措施</w:t>
                  </w:r>
                </w:p>
              </w:tc>
              <w:tc>
                <w:tcPr>
                  <w:tcW w:w="1091" w:type="pct"/>
                  <w:gridSpan w:val="3"/>
                  <w:noWrap w:val="0"/>
                  <w:vAlign w:val="center"/>
                </w:tcPr>
                <w:p>
                  <w:pPr>
                    <w:jc w:val="center"/>
                    <w:rPr>
                      <w:rFonts w:cs="Times New Roman"/>
                      <w:b/>
                      <w:bCs/>
                      <w:szCs w:val="21"/>
                    </w:rPr>
                  </w:pPr>
                  <w:r>
                    <w:rPr>
                      <w:rFonts w:hint="eastAsia" w:cs="Times New Roman"/>
                      <w:b/>
                      <w:bCs/>
                      <w:szCs w:val="21"/>
                    </w:rPr>
                    <w:t>空间相对位置</w:t>
                  </w:r>
                </w:p>
              </w:tc>
              <w:tc>
                <w:tcPr>
                  <w:tcW w:w="290" w:type="pct"/>
                  <w:vMerge w:val="restart"/>
                  <w:noWrap w:val="0"/>
                  <w:vAlign w:val="center"/>
                </w:tcPr>
                <w:p>
                  <w:pPr>
                    <w:jc w:val="center"/>
                    <w:rPr>
                      <w:rFonts w:cs="Times New Roman"/>
                      <w:b/>
                      <w:bCs/>
                      <w:szCs w:val="21"/>
                    </w:rPr>
                  </w:pPr>
                  <w:r>
                    <w:rPr>
                      <w:rFonts w:cs="Times New Roman"/>
                      <w:b/>
                      <w:bCs/>
                      <w:szCs w:val="21"/>
                    </w:rPr>
                    <w:t>距室内边界距离</w:t>
                  </w:r>
                </w:p>
              </w:tc>
              <w:tc>
                <w:tcPr>
                  <w:tcW w:w="294" w:type="pct"/>
                  <w:vMerge w:val="restart"/>
                  <w:noWrap w:val="0"/>
                  <w:vAlign w:val="center"/>
                </w:tcPr>
                <w:p>
                  <w:pPr>
                    <w:jc w:val="center"/>
                    <w:rPr>
                      <w:rFonts w:cs="Times New Roman"/>
                      <w:b/>
                      <w:bCs/>
                      <w:szCs w:val="21"/>
                    </w:rPr>
                  </w:pPr>
                  <w:r>
                    <w:rPr>
                      <w:rFonts w:cs="Times New Roman"/>
                      <w:b/>
                      <w:bCs/>
                      <w:szCs w:val="21"/>
                    </w:rPr>
                    <w:t>室内边界声级/dB(A)</w:t>
                  </w:r>
                </w:p>
              </w:tc>
              <w:tc>
                <w:tcPr>
                  <w:tcW w:w="252" w:type="pct"/>
                  <w:vMerge w:val="restart"/>
                  <w:noWrap w:val="0"/>
                  <w:vAlign w:val="center"/>
                </w:tcPr>
                <w:p>
                  <w:pPr>
                    <w:jc w:val="center"/>
                    <w:rPr>
                      <w:rFonts w:cs="Times New Roman"/>
                      <w:b/>
                      <w:bCs/>
                      <w:szCs w:val="21"/>
                    </w:rPr>
                  </w:pPr>
                  <w:r>
                    <w:rPr>
                      <w:rFonts w:cs="Times New Roman"/>
                      <w:b/>
                      <w:bCs/>
                      <w:szCs w:val="21"/>
                    </w:rPr>
                    <w:t>运行时段</w:t>
                  </w:r>
                </w:p>
              </w:tc>
              <w:tc>
                <w:tcPr>
                  <w:tcW w:w="335" w:type="pct"/>
                  <w:vMerge w:val="restart"/>
                  <w:noWrap w:val="0"/>
                  <w:vAlign w:val="center"/>
                </w:tcPr>
                <w:p>
                  <w:pPr>
                    <w:jc w:val="center"/>
                    <w:rPr>
                      <w:rFonts w:cs="Times New Roman"/>
                      <w:b/>
                      <w:bCs/>
                      <w:szCs w:val="21"/>
                    </w:rPr>
                  </w:pPr>
                  <w:r>
                    <w:rPr>
                      <w:rFonts w:cs="Times New Roman"/>
                      <w:b/>
                      <w:bCs/>
                      <w:szCs w:val="21"/>
                    </w:rPr>
                    <w:t>插入损失/dB（A）</w:t>
                  </w:r>
                </w:p>
              </w:tc>
              <w:tc>
                <w:tcPr>
                  <w:tcW w:w="524" w:type="pct"/>
                  <w:gridSpan w:val="2"/>
                  <w:noWrap w:val="0"/>
                  <w:vAlign w:val="center"/>
                </w:tcPr>
                <w:p>
                  <w:pPr>
                    <w:jc w:val="center"/>
                    <w:rPr>
                      <w:rFonts w:cs="Times New Roman"/>
                      <w:b/>
                      <w:bCs/>
                      <w:szCs w:val="21"/>
                    </w:rPr>
                  </w:pPr>
                  <w:r>
                    <w:rPr>
                      <w:rFonts w:hint="eastAsia" w:cs="Times New Roman"/>
                      <w:b/>
                      <w:bCs/>
                      <w:szCs w:val="21"/>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301" w:type="pct"/>
                  <w:vMerge w:val="continue"/>
                  <w:noWrap w:val="0"/>
                  <w:vAlign w:val="center"/>
                </w:tcPr>
                <w:p>
                  <w:pPr>
                    <w:jc w:val="center"/>
                    <w:rPr>
                      <w:rFonts w:cs="Times New Roman"/>
                      <w:szCs w:val="21"/>
                    </w:rPr>
                  </w:pPr>
                </w:p>
              </w:tc>
              <w:tc>
                <w:tcPr>
                  <w:tcW w:w="466" w:type="pct"/>
                  <w:vMerge w:val="continue"/>
                  <w:noWrap w:val="0"/>
                  <w:vAlign w:val="center"/>
                </w:tcPr>
                <w:p>
                  <w:pPr>
                    <w:jc w:val="center"/>
                    <w:rPr>
                      <w:rFonts w:cs="Times New Roman"/>
                      <w:szCs w:val="21"/>
                    </w:rPr>
                  </w:pPr>
                </w:p>
              </w:tc>
              <w:tc>
                <w:tcPr>
                  <w:tcW w:w="258" w:type="pct"/>
                  <w:vMerge w:val="continue"/>
                  <w:noWrap w:val="0"/>
                  <w:vAlign w:val="center"/>
                </w:tcPr>
                <w:p>
                  <w:pPr>
                    <w:jc w:val="center"/>
                    <w:rPr>
                      <w:rFonts w:cs="Times New Roman"/>
                      <w:szCs w:val="21"/>
                    </w:rPr>
                  </w:pPr>
                </w:p>
              </w:tc>
              <w:tc>
                <w:tcPr>
                  <w:tcW w:w="466" w:type="pct"/>
                  <w:noWrap w:val="0"/>
                  <w:vAlign w:val="center"/>
                </w:tcPr>
                <w:p>
                  <w:pPr>
                    <w:jc w:val="center"/>
                    <w:rPr>
                      <w:rFonts w:cs="Times New Roman"/>
                      <w:b/>
                      <w:bCs/>
                      <w:szCs w:val="21"/>
                    </w:rPr>
                  </w:pPr>
                  <w:r>
                    <w:rPr>
                      <w:rFonts w:cs="Times New Roman"/>
                      <w:b/>
                      <w:bCs/>
                      <w:szCs w:val="21"/>
                    </w:rPr>
                    <w:t>（声压级/距声源距离）/（dB（A）/m）</w:t>
                  </w:r>
                </w:p>
              </w:tc>
              <w:tc>
                <w:tcPr>
                  <w:tcW w:w="305" w:type="pct"/>
                  <w:noWrap w:val="0"/>
                  <w:vAlign w:val="center"/>
                </w:tcPr>
                <w:p>
                  <w:pPr>
                    <w:jc w:val="center"/>
                    <w:rPr>
                      <w:rFonts w:cs="Times New Roman"/>
                      <w:b/>
                      <w:bCs/>
                      <w:szCs w:val="21"/>
                    </w:rPr>
                  </w:pPr>
                  <w:r>
                    <w:rPr>
                      <w:rFonts w:hint="eastAsia" w:cs="Times New Roman"/>
                      <w:b/>
                      <w:bCs/>
                      <w:szCs w:val="21"/>
                    </w:rPr>
                    <w:t>声功率级/</w:t>
                  </w:r>
                  <w:r>
                    <w:rPr>
                      <w:rFonts w:cs="Times New Roman"/>
                      <w:b/>
                      <w:bCs/>
                      <w:szCs w:val="21"/>
                    </w:rPr>
                    <w:t>dB（A）</w:t>
                  </w:r>
                </w:p>
              </w:tc>
              <w:tc>
                <w:tcPr>
                  <w:tcW w:w="418" w:type="pct"/>
                  <w:vMerge w:val="continue"/>
                  <w:noWrap w:val="0"/>
                  <w:vAlign w:val="center"/>
                </w:tcPr>
                <w:p>
                  <w:pPr>
                    <w:jc w:val="center"/>
                    <w:rPr>
                      <w:rFonts w:cs="Times New Roman"/>
                      <w:b/>
                      <w:bCs/>
                      <w:szCs w:val="21"/>
                    </w:rPr>
                  </w:pPr>
                </w:p>
              </w:tc>
              <w:tc>
                <w:tcPr>
                  <w:tcW w:w="360" w:type="pct"/>
                  <w:noWrap w:val="0"/>
                  <w:vAlign w:val="center"/>
                </w:tcPr>
                <w:p>
                  <w:pPr>
                    <w:jc w:val="center"/>
                    <w:rPr>
                      <w:rFonts w:hint="eastAsia" w:cs="Times New Roman"/>
                      <w:b/>
                      <w:bCs/>
                      <w:szCs w:val="21"/>
                    </w:rPr>
                  </w:pPr>
                  <w:r>
                    <w:rPr>
                      <w:rFonts w:hint="eastAsia" w:cs="Times New Roman"/>
                      <w:b/>
                      <w:bCs/>
                      <w:szCs w:val="21"/>
                    </w:rPr>
                    <w:t>X</w:t>
                  </w:r>
                </w:p>
              </w:tc>
              <w:tc>
                <w:tcPr>
                  <w:tcW w:w="360" w:type="pct"/>
                  <w:noWrap w:val="0"/>
                  <w:vAlign w:val="center"/>
                </w:tcPr>
                <w:p>
                  <w:pPr>
                    <w:jc w:val="center"/>
                    <w:rPr>
                      <w:rFonts w:hint="eastAsia" w:cs="Times New Roman"/>
                      <w:b/>
                      <w:bCs/>
                      <w:szCs w:val="21"/>
                    </w:rPr>
                  </w:pPr>
                  <w:r>
                    <w:rPr>
                      <w:rFonts w:hint="eastAsia" w:cs="Times New Roman"/>
                      <w:b/>
                      <w:bCs/>
                      <w:szCs w:val="21"/>
                    </w:rPr>
                    <w:t>Y</w:t>
                  </w:r>
                </w:p>
              </w:tc>
              <w:tc>
                <w:tcPr>
                  <w:tcW w:w="371" w:type="pct"/>
                  <w:noWrap w:val="0"/>
                  <w:vAlign w:val="center"/>
                </w:tcPr>
                <w:p>
                  <w:pPr>
                    <w:jc w:val="center"/>
                    <w:rPr>
                      <w:rFonts w:hint="eastAsia" w:cs="Times New Roman"/>
                      <w:b/>
                      <w:bCs/>
                      <w:szCs w:val="21"/>
                    </w:rPr>
                  </w:pPr>
                  <w:r>
                    <w:rPr>
                      <w:rFonts w:hint="eastAsia" w:cs="Times New Roman"/>
                      <w:b/>
                      <w:bCs/>
                      <w:szCs w:val="21"/>
                    </w:rPr>
                    <w:t>Z</w:t>
                  </w:r>
                </w:p>
              </w:tc>
              <w:tc>
                <w:tcPr>
                  <w:tcW w:w="290" w:type="pct"/>
                  <w:vMerge w:val="continue"/>
                  <w:noWrap w:val="0"/>
                  <w:vAlign w:val="center"/>
                </w:tcPr>
                <w:p>
                  <w:pPr>
                    <w:jc w:val="center"/>
                    <w:rPr>
                      <w:rFonts w:cs="Times New Roman"/>
                      <w:b/>
                      <w:bCs/>
                      <w:szCs w:val="21"/>
                    </w:rPr>
                  </w:pPr>
                </w:p>
              </w:tc>
              <w:tc>
                <w:tcPr>
                  <w:tcW w:w="294" w:type="pct"/>
                  <w:vMerge w:val="continue"/>
                  <w:noWrap w:val="0"/>
                  <w:vAlign w:val="center"/>
                </w:tcPr>
                <w:p>
                  <w:pPr>
                    <w:jc w:val="center"/>
                    <w:rPr>
                      <w:rFonts w:cs="Times New Roman"/>
                      <w:b/>
                      <w:bCs/>
                      <w:szCs w:val="21"/>
                    </w:rPr>
                  </w:pPr>
                </w:p>
              </w:tc>
              <w:tc>
                <w:tcPr>
                  <w:tcW w:w="252" w:type="pct"/>
                  <w:vMerge w:val="continue"/>
                  <w:noWrap w:val="0"/>
                  <w:vAlign w:val="center"/>
                </w:tcPr>
                <w:p>
                  <w:pPr>
                    <w:jc w:val="center"/>
                    <w:rPr>
                      <w:rFonts w:cs="Times New Roman"/>
                      <w:b/>
                      <w:bCs/>
                      <w:szCs w:val="21"/>
                    </w:rPr>
                  </w:pPr>
                </w:p>
              </w:tc>
              <w:tc>
                <w:tcPr>
                  <w:tcW w:w="335" w:type="pct"/>
                  <w:vMerge w:val="continue"/>
                  <w:noWrap w:val="0"/>
                  <w:vAlign w:val="center"/>
                </w:tcPr>
                <w:p>
                  <w:pPr>
                    <w:jc w:val="center"/>
                    <w:rPr>
                      <w:rFonts w:cs="Times New Roman"/>
                      <w:b/>
                      <w:bCs/>
                      <w:szCs w:val="21"/>
                    </w:rPr>
                  </w:pPr>
                </w:p>
              </w:tc>
              <w:tc>
                <w:tcPr>
                  <w:tcW w:w="260" w:type="pct"/>
                  <w:noWrap w:val="0"/>
                  <w:vAlign w:val="center"/>
                </w:tcPr>
                <w:p>
                  <w:pPr>
                    <w:jc w:val="center"/>
                    <w:rPr>
                      <w:rFonts w:cs="Times New Roman"/>
                      <w:b/>
                      <w:bCs/>
                      <w:szCs w:val="21"/>
                    </w:rPr>
                  </w:pPr>
                  <w:r>
                    <w:rPr>
                      <w:rFonts w:cs="Times New Roman"/>
                      <w:b/>
                      <w:bCs/>
                      <w:szCs w:val="21"/>
                    </w:rPr>
                    <w:t>声压级/dB(A)</w:t>
                  </w:r>
                </w:p>
              </w:tc>
              <w:tc>
                <w:tcPr>
                  <w:tcW w:w="264" w:type="pct"/>
                  <w:noWrap w:val="0"/>
                  <w:vAlign w:val="center"/>
                </w:tcPr>
                <w:p>
                  <w:pPr>
                    <w:jc w:val="center"/>
                    <w:rPr>
                      <w:rFonts w:cs="Times New Roman"/>
                      <w:b/>
                      <w:bCs/>
                      <w:szCs w:val="21"/>
                    </w:rPr>
                  </w:pPr>
                  <w:r>
                    <w:rPr>
                      <w:rFonts w:cs="Times New Roman"/>
                      <w:b/>
                      <w:bCs/>
                      <w:szCs w:val="21"/>
                    </w:rPr>
                    <w:t>建筑</w:t>
                  </w:r>
                </w:p>
                <w:p>
                  <w:pPr>
                    <w:jc w:val="center"/>
                    <w:rPr>
                      <w:rFonts w:cs="Times New Roman"/>
                      <w:b/>
                      <w:bCs/>
                      <w:szCs w:val="21"/>
                    </w:rPr>
                  </w:pPr>
                  <w:r>
                    <w:rPr>
                      <w:rFonts w:cs="Times New Roman"/>
                      <w:b/>
                      <w:bCs/>
                      <w:szCs w:val="21"/>
                    </w:rPr>
                    <w:t>物外</w:t>
                  </w:r>
                </w:p>
                <w:p>
                  <w:pPr>
                    <w:jc w:val="center"/>
                    <w:rPr>
                      <w:rFonts w:cs="Times New Roman"/>
                      <w:b/>
                      <w:bCs/>
                      <w:szCs w:val="21"/>
                    </w:rPr>
                  </w:pPr>
                  <w:r>
                    <w:rPr>
                      <w:rFonts w:cs="Times New Roman"/>
                      <w:b/>
                      <w:bCs/>
                      <w:szCs w:val="21"/>
                    </w:rPr>
                    <w:t>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14" w:hRule="atLeast"/>
                <w:jc w:val="center"/>
              </w:trPr>
              <w:tc>
                <w:tcPr>
                  <w:tcW w:w="301" w:type="pct"/>
                  <w:noWrap w:val="0"/>
                  <w:vAlign w:val="center"/>
                </w:tcPr>
                <w:p>
                  <w:pPr>
                    <w:jc w:val="center"/>
                    <w:rPr>
                      <w:rFonts w:hint="eastAsia" w:cs="Times New Roman"/>
                      <w:szCs w:val="21"/>
                    </w:rPr>
                  </w:pPr>
                  <w:r>
                    <w:rPr>
                      <w:rFonts w:hint="eastAsia" w:cs="Times New Roman"/>
                      <w:szCs w:val="21"/>
                    </w:rPr>
                    <w:t>1</w:t>
                  </w:r>
                </w:p>
              </w:tc>
              <w:tc>
                <w:tcPr>
                  <w:tcW w:w="466" w:type="pct"/>
                  <w:noWrap w:val="0"/>
                  <w:vAlign w:val="center"/>
                </w:tcPr>
                <w:p>
                  <w:pPr>
                    <w:jc w:val="center"/>
                    <w:rPr>
                      <w:rFonts w:hint="eastAsia" w:cs="Times New Roman"/>
                      <w:szCs w:val="21"/>
                    </w:rPr>
                  </w:pPr>
                  <w:r>
                    <w:rPr>
                      <w:rFonts w:hint="eastAsia" w:cs="Times New Roman"/>
                      <w:szCs w:val="21"/>
                    </w:rPr>
                    <w:t>食堂风机</w:t>
                  </w:r>
                </w:p>
              </w:tc>
              <w:tc>
                <w:tcPr>
                  <w:tcW w:w="258" w:type="pct"/>
                  <w:noWrap w:val="0"/>
                  <w:vAlign w:val="center"/>
                </w:tcPr>
                <w:p>
                  <w:pPr>
                    <w:jc w:val="center"/>
                    <w:rPr>
                      <w:rFonts w:hint="eastAsia" w:cs="Times New Roman"/>
                      <w:szCs w:val="21"/>
                    </w:rPr>
                  </w:pPr>
                  <w:r>
                    <w:rPr>
                      <w:rFonts w:hint="eastAsia" w:cs="Times New Roman"/>
                      <w:szCs w:val="21"/>
                    </w:rPr>
                    <w:t>/</w:t>
                  </w:r>
                </w:p>
              </w:tc>
              <w:tc>
                <w:tcPr>
                  <w:tcW w:w="466" w:type="pct"/>
                  <w:noWrap w:val="0"/>
                  <w:vAlign w:val="center"/>
                </w:tcPr>
                <w:p>
                  <w:pPr>
                    <w:jc w:val="center"/>
                    <w:rPr>
                      <w:rFonts w:hint="eastAsia" w:cs="Times New Roman"/>
                      <w:bCs/>
                      <w:szCs w:val="21"/>
                    </w:rPr>
                  </w:pPr>
                  <w:r>
                    <w:rPr>
                      <w:rFonts w:hint="eastAsia" w:cs="Times New Roman"/>
                      <w:bCs/>
                      <w:szCs w:val="21"/>
                    </w:rPr>
                    <w:t>/</w:t>
                  </w:r>
                </w:p>
              </w:tc>
              <w:tc>
                <w:tcPr>
                  <w:tcW w:w="305" w:type="pct"/>
                  <w:noWrap w:val="0"/>
                  <w:vAlign w:val="center"/>
                </w:tcPr>
                <w:p>
                  <w:pPr>
                    <w:jc w:val="center"/>
                    <w:rPr>
                      <w:rFonts w:hint="eastAsia" w:cs="Times New Roman"/>
                      <w:bCs/>
                      <w:szCs w:val="21"/>
                    </w:rPr>
                  </w:pPr>
                  <w:r>
                    <w:rPr>
                      <w:rFonts w:hint="eastAsia" w:cs="Times New Roman"/>
                      <w:bCs/>
                      <w:szCs w:val="21"/>
                    </w:rPr>
                    <w:t>75</w:t>
                  </w:r>
                </w:p>
              </w:tc>
              <w:tc>
                <w:tcPr>
                  <w:tcW w:w="418" w:type="pct"/>
                  <w:vMerge w:val="restart"/>
                  <w:noWrap w:val="0"/>
                  <w:vAlign w:val="center"/>
                </w:tcPr>
                <w:p>
                  <w:pPr>
                    <w:jc w:val="center"/>
                    <w:rPr>
                      <w:rFonts w:cs="Times New Roman"/>
                      <w:szCs w:val="21"/>
                    </w:rPr>
                  </w:pPr>
                  <w:r>
                    <w:rPr>
                      <w:rFonts w:cs="Times New Roman"/>
                      <w:szCs w:val="21"/>
                    </w:rPr>
                    <w:t>高噪声设备置于单独的房间内，安装设备减震器，加强管理，通过隔声和距离衰减使噪声达标、加强设备维护保养</w:t>
                  </w:r>
                </w:p>
              </w:tc>
              <w:tc>
                <w:tcPr>
                  <w:tcW w:w="360" w:type="pct"/>
                  <w:noWrap w:val="0"/>
                  <w:vAlign w:val="center"/>
                </w:tcPr>
                <w:p>
                  <w:pPr>
                    <w:jc w:val="center"/>
                    <w:rPr>
                      <w:rFonts w:hint="eastAsia" w:cs="Times New Roman"/>
                      <w:bCs/>
                      <w:szCs w:val="21"/>
                    </w:rPr>
                  </w:pPr>
                  <w:r>
                    <w:rPr>
                      <w:rFonts w:hint="eastAsia" w:cs="Times New Roman"/>
                      <w:bCs/>
                      <w:szCs w:val="21"/>
                    </w:rPr>
                    <w:t>7.43</w:t>
                  </w:r>
                </w:p>
              </w:tc>
              <w:tc>
                <w:tcPr>
                  <w:tcW w:w="360" w:type="pct"/>
                  <w:noWrap w:val="0"/>
                  <w:vAlign w:val="center"/>
                </w:tcPr>
                <w:p>
                  <w:pPr>
                    <w:jc w:val="center"/>
                    <w:rPr>
                      <w:rFonts w:hint="eastAsia" w:cs="Times New Roman"/>
                      <w:bCs/>
                      <w:szCs w:val="21"/>
                    </w:rPr>
                  </w:pPr>
                  <w:r>
                    <w:rPr>
                      <w:rFonts w:hint="eastAsia" w:cs="Times New Roman"/>
                      <w:bCs/>
                      <w:szCs w:val="21"/>
                    </w:rPr>
                    <w:t>6.84</w:t>
                  </w:r>
                </w:p>
              </w:tc>
              <w:tc>
                <w:tcPr>
                  <w:tcW w:w="371" w:type="pct"/>
                  <w:noWrap w:val="0"/>
                  <w:vAlign w:val="center"/>
                </w:tcPr>
                <w:p>
                  <w:pPr>
                    <w:jc w:val="center"/>
                    <w:rPr>
                      <w:rFonts w:hint="eastAsia" w:cs="Times New Roman"/>
                      <w:bCs/>
                      <w:szCs w:val="21"/>
                    </w:rPr>
                  </w:pPr>
                  <w:r>
                    <w:rPr>
                      <w:rFonts w:hint="eastAsia" w:cs="Times New Roman"/>
                      <w:bCs/>
                      <w:szCs w:val="21"/>
                    </w:rPr>
                    <w:t>3</w:t>
                  </w:r>
                </w:p>
              </w:tc>
              <w:tc>
                <w:tcPr>
                  <w:tcW w:w="290" w:type="pct"/>
                  <w:noWrap w:val="0"/>
                  <w:vAlign w:val="center"/>
                </w:tcPr>
                <w:p>
                  <w:pPr>
                    <w:jc w:val="center"/>
                    <w:rPr>
                      <w:rFonts w:hint="eastAsia" w:cs="Times New Roman"/>
                      <w:bCs/>
                      <w:szCs w:val="21"/>
                    </w:rPr>
                  </w:pPr>
                  <w:r>
                    <w:rPr>
                      <w:rFonts w:hint="eastAsia" w:cs="Times New Roman"/>
                      <w:bCs/>
                      <w:szCs w:val="21"/>
                    </w:rPr>
                    <w:t>1</w:t>
                  </w:r>
                </w:p>
              </w:tc>
              <w:tc>
                <w:tcPr>
                  <w:tcW w:w="294" w:type="pct"/>
                  <w:noWrap w:val="0"/>
                  <w:vAlign w:val="center"/>
                </w:tcPr>
                <w:p>
                  <w:pPr>
                    <w:jc w:val="center"/>
                    <w:rPr>
                      <w:rFonts w:hint="eastAsia" w:cs="Times New Roman"/>
                      <w:bCs/>
                      <w:szCs w:val="21"/>
                    </w:rPr>
                  </w:pPr>
                  <w:r>
                    <w:rPr>
                      <w:rFonts w:hint="eastAsia" w:cs="Times New Roman"/>
                      <w:bCs/>
                      <w:szCs w:val="21"/>
                    </w:rPr>
                    <w:t>75</w:t>
                  </w:r>
                </w:p>
              </w:tc>
              <w:tc>
                <w:tcPr>
                  <w:tcW w:w="252" w:type="pct"/>
                  <w:noWrap w:val="0"/>
                  <w:vAlign w:val="center"/>
                </w:tcPr>
                <w:p>
                  <w:pPr>
                    <w:jc w:val="center"/>
                    <w:rPr>
                      <w:rFonts w:cs="Times New Roman"/>
                      <w:szCs w:val="21"/>
                    </w:rPr>
                  </w:pPr>
                  <w:r>
                    <w:rPr>
                      <w:rFonts w:hint="eastAsia" w:cs="Times New Roman"/>
                      <w:szCs w:val="21"/>
                    </w:rPr>
                    <w:t>昼间</w:t>
                  </w:r>
                </w:p>
              </w:tc>
              <w:tc>
                <w:tcPr>
                  <w:tcW w:w="335" w:type="pct"/>
                  <w:noWrap w:val="0"/>
                  <w:vAlign w:val="center"/>
                </w:tcPr>
                <w:p>
                  <w:pPr>
                    <w:jc w:val="center"/>
                    <w:rPr>
                      <w:rFonts w:hint="eastAsia" w:cs="Times New Roman"/>
                      <w:bCs/>
                      <w:szCs w:val="21"/>
                    </w:rPr>
                  </w:pPr>
                  <w:r>
                    <w:rPr>
                      <w:rFonts w:hint="eastAsia" w:cs="Times New Roman"/>
                      <w:bCs/>
                      <w:szCs w:val="21"/>
                    </w:rPr>
                    <w:t>20</w:t>
                  </w:r>
                </w:p>
              </w:tc>
              <w:tc>
                <w:tcPr>
                  <w:tcW w:w="260" w:type="pct"/>
                  <w:noWrap w:val="0"/>
                  <w:vAlign w:val="center"/>
                </w:tcPr>
                <w:p>
                  <w:pPr>
                    <w:jc w:val="center"/>
                    <w:rPr>
                      <w:rFonts w:hint="eastAsia"/>
                    </w:rPr>
                  </w:pPr>
                  <w:r>
                    <w:rPr>
                      <w:rFonts w:hint="eastAsia"/>
                    </w:rPr>
                    <w:t>55</w:t>
                  </w:r>
                </w:p>
              </w:tc>
              <w:tc>
                <w:tcPr>
                  <w:tcW w:w="264" w:type="pct"/>
                  <w:noWrap w:val="0"/>
                  <w:vAlign w:val="center"/>
                </w:tcPr>
                <w:p>
                  <w:pPr>
                    <w:jc w:val="center"/>
                    <w:rPr>
                      <w:rFonts w:hint="eastAsia" w:cs="Times New Roman"/>
                      <w:bCs/>
                      <w:szCs w:val="21"/>
                    </w:rPr>
                  </w:pPr>
                  <w:r>
                    <w:rPr>
                      <w:rFonts w:hint="eastAsia" w:cs="Times New Roman"/>
                      <w:bCs/>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14" w:hRule="atLeast"/>
                <w:jc w:val="center"/>
              </w:trPr>
              <w:tc>
                <w:tcPr>
                  <w:tcW w:w="301" w:type="pct"/>
                  <w:noWrap w:val="0"/>
                  <w:vAlign w:val="center"/>
                </w:tcPr>
                <w:p>
                  <w:pPr>
                    <w:jc w:val="center"/>
                    <w:textAlignment w:val="baseline"/>
                    <w:rPr>
                      <w:rFonts w:hint="eastAsia" w:cs="Times New Roman"/>
                      <w:szCs w:val="21"/>
                      <w:lang w:bidi="ar"/>
                    </w:rPr>
                  </w:pPr>
                  <w:r>
                    <w:rPr>
                      <w:rFonts w:hint="eastAsia" w:cs="Times New Roman"/>
                      <w:szCs w:val="21"/>
                      <w:lang w:bidi="ar"/>
                    </w:rPr>
                    <w:t>2</w:t>
                  </w:r>
                </w:p>
              </w:tc>
              <w:tc>
                <w:tcPr>
                  <w:tcW w:w="466" w:type="pct"/>
                  <w:noWrap w:val="0"/>
                  <w:vAlign w:val="center"/>
                </w:tcPr>
                <w:p>
                  <w:pPr>
                    <w:jc w:val="center"/>
                    <w:textAlignment w:val="baseline"/>
                    <w:rPr>
                      <w:rFonts w:hint="eastAsia" w:cs="Times New Roman"/>
                      <w:szCs w:val="21"/>
                    </w:rPr>
                  </w:pPr>
                  <w:r>
                    <w:rPr>
                      <w:rFonts w:hint="eastAsia" w:cs="Times New Roman"/>
                      <w:szCs w:val="21"/>
                    </w:rPr>
                    <w:t>柴油发电机</w:t>
                  </w:r>
                </w:p>
              </w:tc>
              <w:tc>
                <w:tcPr>
                  <w:tcW w:w="258" w:type="pct"/>
                  <w:noWrap w:val="0"/>
                  <w:vAlign w:val="center"/>
                </w:tcPr>
                <w:p>
                  <w:pPr>
                    <w:jc w:val="center"/>
                    <w:rPr>
                      <w:rFonts w:cs="Times New Roman"/>
                      <w:szCs w:val="21"/>
                    </w:rPr>
                  </w:pPr>
                </w:p>
              </w:tc>
              <w:tc>
                <w:tcPr>
                  <w:tcW w:w="466" w:type="pct"/>
                  <w:noWrap w:val="0"/>
                  <w:vAlign w:val="center"/>
                </w:tcPr>
                <w:p>
                  <w:pPr>
                    <w:jc w:val="center"/>
                    <w:rPr>
                      <w:rFonts w:hint="eastAsia" w:cs="Times New Roman"/>
                      <w:szCs w:val="21"/>
                    </w:rPr>
                  </w:pPr>
                  <w:r>
                    <w:rPr>
                      <w:rFonts w:hint="eastAsia" w:cs="Times New Roman"/>
                      <w:szCs w:val="21"/>
                    </w:rPr>
                    <w:t>/</w:t>
                  </w:r>
                </w:p>
              </w:tc>
              <w:tc>
                <w:tcPr>
                  <w:tcW w:w="305" w:type="pct"/>
                  <w:noWrap w:val="0"/>
                  <w:vAlign w:val="center"/>
                </w:tcPr>
                <w:p>
                  <w:pPr>
                    <w:jc w:val="center"/>
                    <w:rPr>
                      <w:rFonts w:hint="eastAsia" w:cs="Times New Roman"/>
                      <w:szCs w:val="21"/>
                    </w:rPr>
                  </w:pPr>
                  <w:r>
                    <w:rPr>
                      <w:rFonts w:hint="eastAsia" w:cs="Times New Roman"/>
                      <w:szCs w:val="21"/>
                    </w:rPr>
                    <w:t>75</w:t>
                  </w:r>
                </w:p>
              </w:tc>
              <w:tc>
                <w:tcPr>
                  <w:tcW w:w="418" w:type="pct"/>
                  <w:vMerge w:val="continue"/>
                  <w:noWrap w:val="0"/>
                  <w:vAlign w:val="center"/>
                </w:tcPr>
                <w:p>
                  <w:pPr>
                    <w:jc w:val="center"/>
                    <w:rPr>
                      <w:rFonts w:cs="Times New Roman"/>
                      <w:szCs w:val="21"/>
                    </w:rPr>
                  </w:pPr>
                </w:p>
              </w:tc>
              <w:tc>
                <w:tcPr>
                  <w:tcW w:w="360" w:type="pct"/>
                  <w:noWrap w:val="0"/>
                  <w:vAlign w:val="center"/>
                </w:tcPr>
                <w:p>
                  <w:pPr>
                    <w:jc w:val="center"/>
                    <w:rPr>
                      <w:rFonts w:cs="Times New Roman"/>
                      <w:szCs w:val="21"/>
                    </w:rPr>
                  </w:pPr>
                  <w:r>
                    <w:rPr>
                      <w:rFonts w:hint="eastAsia"/>
                    </w:rPr>
                    <w:t>33.49</w:t>
                  </w:r>
                </w:p>
              </w:tc>
              <w:tc>
                <w:tcPr>
                  <w:tcW w:w="360" w:type="pct"/>
                  <w:noWrap w:val="0"/>
                  <w:vAlign w:val="center"/>
                </w:tcPr>
                <w:p>
                  <w:pPr>
                    <w:jc w:val="center"/>
                    <w:rPr>
                      <w:rFonts w:hint="eastAsia" w:cs="Times New Roman"/>
                      <w:szCs w:val="21"/>
                    </w:rPr>
                  </w:pPr>
                  <w:r>
                    <w:rPr>
                      <w:rFonts w:hint="eastAsia"/>
                    </w:rPr>
                    <w:t>22.94</w:t>
                  </w:r>
                </w:p>
              </w:tc>
              <w:tc>
                <w:tcPr>
                  <w:tcW w:w="371" w:type="pct"/>
                  <w:noWrap w:val="0"/>
                  <w:vAlign w:val="center"/>
                </w:tcPr>
                <w:p>
                  <w:pPr>
                    <w:jc w:val="center"/>
                    <w:rPr>
                      <w:rFonts w:hint="eastAsia" w:cs="Times New Roman"/>
                      <w:szCs w:val="21"/>
                    </w:rPr>
                  </w:pPr>
                  <w:r>
                    <w:rPr>
                      <w:rFonts w:hint="eastAsia"/>
                    </w:rPr>
                    <w:t>3</w:t>
                  </w:r>
                </w:p>
              </w:tc>
              <w:tc>
                <w:tcPr>
                  <w:tcW w:w="290" w:type="pct"/>
                  <w:noWrap w:val="0"/>
                  <w:vAlign w:val="center"/>
                </w:tcPr>
                <w:p>
                  <w:pPr>
                    <w:jc w:val="center"/>
                    <w:rPr>
                      <w:rFonts w:hint="eastAsia" w:cs="Times New Roman"/>
                      <w:szCs w:val="21"/>
                    </w:rPr>
                  </w:pPr>
                  <w:r>
                    <w:rPr>
                      <w:rFonts w:hint="eastAsia" w:cs="Times New Roman"/>
                      <w:szCs w:val="21"/>
                    </w:rPr>
                    <w:t>3</w:t>
                  </w:r>
                </w:p>
              </w:tc>
              <w:tc>
                <w:tcPr>
                  <w:tcW w:w="294" w:type="pct"/>
                  <w:noWrap w:val="0"/>
                  <w:vAlign w:val="center"/>
                </w:tcPr>
                <w:p>
                  <w:pPr>
                    <w:jc w:val="center"/>
                    <w:rPr>
                      <w:rFonts w:hint="eastAsia"/>
                    </w:rPr>
                  </w:pPr>
                  <w:r>
                    <w:rPr>
                      <w:rFonts w:hint="eastAsia"/>
                    </w:rPr>
                    <w:t>66</w:t>
                  </w:r>
                </w:p>
              </w:tc>
              <w:tc>
                <w:tcPr>
                  <w:tcW w:w="252" w:type="pct"/>
                  <w:noWrap w:val="0"/>
                  <w:vAlign w:val="center"/>
                </w:tcPr>
                <w:p>
                  <w:pPr>
                    <w:jc w:val="center"/>
                    <w:rPr>
                      <w:rFonts w:cs="Times New Roman"/>
                      <w:szCs w:val="21"/>
                    </w:rPr>
                  </w:pPr>
                  <w:r>
                    <w:rPr>
                      <w:rFonts w:hint="eastAsia" w:cs="Times New Roman"/>
                      <w:szCs w:val="21"/>
                    </w:rPr>
                    <w:t>全天</w:t>
                  </w:r>
                </w:p>
              </w:tc>
              <w:tc>
                <w:tcPr>
                  <w:tcW w:w="335" w:type="pct"/>
                  <w:noWrap w:val="0"/>
                  <w:vAlign w:val="center"/>
                </w:tcPr>
                <w:p>
                  <w:pPr>
                    <w:jc w:val="center"/>
                    <w:rPr>
                      <w:rFonts w:hint="eastAsia" w:cs="Times New Roman"/>
                      <w:szCs w:val="21"/>
                    </w:rPr>
                  </w:pPr>
                  <w:r>
                    <w:rPr>
                      <w:rFonts w:hint="eastAsia"/>
                    </w:rPr>
                    <w:t>15</w:t>
                  </w:r>
                </w:p>
              </w:tc>
              <w:tc>
                <w:tcPr>
                  <w:tcW w:w="260" w:type="pct"/>
                  <w:noWrap w:val="0"/>
                  <w:vAlign w:val="center"/>
                </w:tcPr>
                <w:p>
                  <w:pPr>
                    <w:jc w:val="center"/>
                  </w:pPr>
                  <w:r>
                    <w:rPr>
                      <w:rFonts w:hint="eastAsia"/>
                    </w:rPr>
                    <w:t>51</w:t>
                  </w:r>
                </w:p>
              </w:tc>
              <w:tc>
                <w:tcPr>
                  <w:tcW w:w="264" w:type="pct"/>
                  <w:noWrap w:val="0"/>
                  <w:vAlign w:val="center"/>
                </w:tcPr>
                <w:p>
                  <w:pPr>
                    <w:jc w:val="center"/>
                    <w:rPr>
                      <w:rFonts w:hint="eastAsia" w:cs="Times New Roman"/>
                      <w:szCs w:val="21"/>
                    </w:rPr>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15" w:hRule="atLeast"/>
                <w:jc w:val="center"/>
              </w:trPr>
              <w:tc>
                <w:tcPr>
                  <w:tcW w:w="301" w:type="pct"/>
                  <w:noWrap w:val="0"/>
                  <w:vAlign w:val="center"/>
                </w:tcPr>
                <w:p>
                  <w:pPr>
                    <w:jc w:val="center"/>
                    <w:textAlignment w:val="baseline"/>
                    <w:rPr>
                      <w:rFonts w:hint="eastAsia" w:cs="Times New Roman"/>
                      <w:szCs w:val="21"/>
                    </w:rPr>
                  </w:pPr>
                  <w:bookmarkStart w:id="0" w:name="_Hlk136349026"/>
                  <w:bookmarkStart w:id="1" w:name="OLE_LINK1" w:colFirst="9" w:colLast="73"/>
                  <w:bookmarkStart w:id="2" w:name="OLE_LINK2" w:colFirst="9" w:colLast="73"/>
                  <w:r>
                    <w:rPr>
                      <w:rFonts w:hint="eastAsia" w:cs="Times New Roman"/>
                      <w:szCs w:val="21"/>
                    </w:rPr>
                    <w:t>3</w:t>
                  </w:r>
                </w:p>
              </w:tc>
              <w:tc>
                <w:tcPr>
                  <w:tcW w:w="466" w:type="pct"/>
                  <w:noWrap w:val="0"/>
                  <w:vAlign w:val="center"/>
                </w:tcPr>
                <w:p>
                  <w:pPr>
                    <w:jc w:val="center"/>
                    <w:textAlignment w:val="baseline"/>
                    <w:rPr>
                      <w:rFonts w:cs="Times New Roman"/>
                      <w:szCs w:val="21"/>
                    </w:rPr>
                  </w:pPr>
                  <w:r>
                    <w:rPr>
                      <w:rFonts w:cs="Times New Roman"/>
                      <w:szCs w:val="21"/>
                    </w:rPr>
                    <w:t>风机</w:t>
                  </w:r>
                </w:p>
              </w:tc>
              <w:tc>
                <w:tcPr>
                  <w:tcW w:w="258" w:type="pct"/>
                  <w:noWrap w:val="0"/>
                  <w:vAlign w:val="center"/>
                </w:tcPr>
                <w:p>
                  <w:pPr>
                    <w:jc w:val="center"/>
                    <w:rPr>
                      <w:rFonts w:cs="Times New Roman"/>
                      <w:szCs w:val="21"/>
                    </w:rPr>
                  </w:pPr>
                  <w:r>
                    <w:rPr>
                      <w:rFonts w:hint="eastAsia" w:cs="Times New Roman"/>
                      <w:szCs w:val="21"/>
                    </w:rPr>
                    <w:t>/</w:t>
                  </w:r>
                </w:p>
              </w:tc>
              <w:tc>
                <w:tcPr>
                  <w:tcW w:w="466" w:type="pct"/>
                  <w:noWrap w:val="0"/>
                  <w:vAlign w:val="center"/>
                </w:tcPr>
                <w:p>
                  <w:pPr>
                    <w:jc w:val="center"/>
                    <w:rPr>
                      <w:rFonts w:cs="Times New Roman"/>
                      <w:szCs w:val="21"/>
                    </w:rPr>
                  </w:pPr>
                  <w:r>
                    <w:rPr>
                      <w:rFonts w:hint="eastAsia" w:cs="Times New Roman"/>
                      <w:szCs w:val="21"/>
                    </w:rPr>
                    <w:t>/</w:t>
                  </w:r>
                </w:p>
              </w:tc>
              <w:tc>
                <w:tcPr>
                  <w:tcW w:w="305" w:type="pct"/>
                  <w:noWrap w:val="0"/>
                  <w:vAlign w:val="center"/>
                </w:tcPr>
                <w:p>
                  <w:pPr>
                    <w:jc w:val="center"/>
                    <w:rPr>
                      <w:rFonts w:cs="Times New Roman"/>
                      <w:szCs w:val="21"/>
                    </w:rPr>
                  </w:pPr>
                  <w:r>
                    <w:rPr>
                      <w:rFonts w:hint="eastAsia" w:cs="Times New Roman"/>
                      <w:szCs w:val="21"/>
                    </w:rPr>
                    <w:t>75</w:t>
                  </w:r>
                </w:p>
              </w:tc>
              <w:tc>
                <w:tcPr>
                  <w:tcW w:w="418" w:type="pct"/>
                  <w:vMerge w:val="continue"/>
                  <w:noWrap w:val="0"/>
                  <w:vAlign w:val="center"/>
                </w:tcPr>
                <w:p>
                  <w:pPr>
                    <w:jc w:val="center"/>
                    <w:rPr>
                      <w:rFonts w:cs="Times New Roman"/>
                      <w:color w:val="FF00FF"/>
                      <w:szCs w:val="21"/>
                    </w:rPr>
                  </w:pPr>
                </w:p>
              </w:tc>
              <w:tc>
                <w:tcPr>
                  <w:tcW w:w="360" w:type="pct"/>
                  <w:noWrap w:val="0"/>
                  <w:vAlign w:val="center"/>
                </w:tcPr>
                <w:p>
                  <w:pPr>
                    <w:jc w:val="center"/>
                    <w:rPr>
                      <w:rFonts w:cs="Times New Roman"/>
                      <w:szCs w:val="21"/>
                    </w:rPr>
                  </w:pPr>
                  <w:r>
                    <w:rPr>
                      <w:rFonts w:hint="eastAsia"/>
                    </w:rPr>
                    <w:t>120.27</w:t>
                  </w:r>
                </w:p>
              </w:tc>
              <w:tc>
                <w:tcPr>
                  <w:tcW w:w="360" w:type="pct"/>
                  <w:noWrap w:val="0"/>
                  <w:vAlign w:val="center"/>
                </w:tcPr>
                <w:p>
                  <w:pPr>
                    <w:jc w:val="center"/>
                    <w:rPr>
                      <w:rFonts w:hint="eastAsia" w:cs="Times New Roman"/>
                      <w:szCs w:val="21"/>
                    </w:rPr>
                  </w:pPr>
                  <w:r>
                    <w:rPr>
                      <w:rFonts w:hint="eastAsia"/>
                    </w:rPr>
                    <w:t>64.48</w:t>
                  </w:r>
                </w:p>
              </w:tc>
              <w:tc>
                <w:tcPr>
                  <w:tcW w:w="371" w:type="pct"/>
                  <w:noWrap w:val="0"/>
                  <w:vAlign w:val="center"/>
                </w:tcPr>
                <w:p>
                  <w:pPr>
                    <w:jc w:val="center"/>
                    <w:rPr>
                      <w:rFonts w:hint="eastAsia" w:cs="Times New Roman"/>
                      <w:szCs w:val="21"/>
                    </w:rPr>
                  </w:pPr>
                  <w:r>
                    <w:rPr>
                      <w:rFonts w:hint="eastAsia"/>
                    </w:rPr>
                    <w:t>1</w:t>
                  </w:r>
                </w:p>
              </w:tc>
              <w:tc>
                <w:tcPr>
                  <w:tcW w:w="290" w:type="pct"/>
                  <w:noWrap w:val="0"/>
                  <w:vAlign w:val="center"/>
                </w:tcPr>
                <w:p>
                  <w:pPr>
                    <w:jc w:val="center"/>
                    <w:rPr>
                      <w:rFonts w:hint="eastAsia" w:cs="Times New Roman"/>
                      <w:szCs w:val="21"/>
                    </w:rPr>
                  </w:pPr>
                  <w:r>
                    <w:rPr>
                      <w:rFonts w:hint="eastAsia" w:cs="Times New Roman"/>
                      <w:szCs w:val="21"/>
                    </w:rPr>
                    <w:t>5</w:t>
                  </w:r>
                </w:p>
              </w:tc>
              <w:tc>
                <w:tcPr>
                  <w:tcW w:w="294" w:type="pct"/>
                  <w:noWrap w:val="0"/>
                  <w:vAlign w:val="center"/>
                </w:tcPr>
                <w:p>
                  <w:pPr>
                    <w:jc w:val="center"/>
                    <w:rPr>
                      <w:rFonts w:hint="eastAsia"/>
                    </w:rPr>
                  </w:pPr>
                  <w:r>
                    <w:rPr>
                      <w:rFonts w:hint="eastAsia"/>
                    </w:rPr>
                    <w:t>61</w:t>
                  </w:r>
                </w:p>
              </w:tc>
              <w:tc>
                <w:tcPr>
                  <w:tcW w:w="252" w:type="pct"/>
                  <w:noWrap w:val="0"/>
                  <w:vAlign w:val="center"/>
                </w:tcPr>
                <w:p>
                  <w:pPr>
                    <w:jc w:val="center"/>
                    <w:rPr>
                      <w:rFonts w:cs="Times New Roman"/>
                      <w:szCs w:val="21"/>
                    </w:rPr>
                  </w:pPr>
                  <w:r>
                    <w:rPr>
                      <w:rFonts w:hint="eastAsia" w:cs="Times New Roman"/>
                      <w:szCs w:val="21"/>
                    </w:rPr>
                    <w:t>全天</w:t>
                  </w:r>
                </w:p>
              </w:tc>
              <w:tc>
                <w:tcPr>
                  <w:tcW w:w="335" w:type="pct"/>
                  <w:noWrap w:val="0"/>
                  <w:vAlign w:val="center"/>
                </w:tcPr>
                <w:p>
                  <w:pPr>
                    <w:jc w:val="center"/>
                    <w:rPr>
                      <w:rFonts w:hint="eastAsia" w:cs="Times New Roman"/>
                      <w:szCs w:val="21"/>
                    </w:rPr>
                  </w:pPr>
                  <w:r>
                    <w:rPr>
                      <w:rFonts w:hint="eastAsia"/>
                    </w:rPr>
                    <w:t>15</w:t>
                  </w:r>
                </w:p>
              </w:tc>
              <w:tc>
                <w:tcPr>
                  <w:tcW w:w="260" w:type="pct"/>
                  <w:noWrap w:val="0"/>
                  <w:vAlign w:val="center"/>
                </w:tcPr>
                <w:p>
                  <w:pPr>
                    <w:jc w:val="center"/>
                  </w:pPr>
                  <w:r>
                    <w:rPr>
                      <w:rFonts w:hint="eastAsia"/>
                    </w:rPr>
                    <w:t>46</w:t>
                  </w:r>
                </w:p>
              </w:tc>
              <w:tc>
                <w:tcPr>
                  <w:tcW w:w="264" w:type="pct"/>
                  <w:noWrap w:val="0"/>
                  <w:vAlign w:val="center"/>
                </w:tcPr>
                <w:p>
                  <w:pPr>
                    <w:jc w:val="center"/>
                    <w:rPr>
                      <w:rFonts w:hint="eastAsia" w:cs="Times New Roman"/>
                      <w:szCs w:val="21"/>
                    </w:rPr>
                  </w:pPr>
                  <w:r>
                    <w:rPr>
                      <w:rFonts w:hint="eastAsia"/>
                    </w:rPr>
                    <w:t>1</w:t>
                  </w:r>
                </w:p>
              </w:tc>
            </w:tr>
            <w:bookmarkEnd w:id="0"/>
            <w:bookmarkEnd w:id="1"/>
            <w:bookmarkEnd w:id="2"/>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14" w:hRule="atLeast"/>
                <w:jc w:val="center"/>
              </w:trPr>
              <w:tc>
                <w:tcPr>
                  <w:tcW w:w="301" w:type="pct"/>
                  <w:noWrap w:val="0"/>
                  <w:vAlign w:val="center"/>
                </w:tcPr>
                <w:p>
                  <w:pPr>
                    <w:jc w:val="center"/>
                    <w:textAlignment w:val="baseline"/>
                    <w:rPr>
                      <w:rFonts w:hint="eastAsia" w:cs="Times New Roman"/>
                      <w:szCs w:val="21"/>
                    </w:rPr>
                  </w:pPr>
                  <w:r>
                    <w:rPr>
                      <w:rFonts w:hint="eastAsia" w:cs="Times New Roman"/>
                      <w:szCs w:val="21"/>
                    </w:rPr>
                    <w:t>4</w:t>
                  </w:r>
                </w:p>
              </w:tc>
              <w:tc>
                <w:tcPr>
                  <w:tcW w:w="466" w:type="pct"/>
                  <w:noWrap w:val="0"/>
                  <w:vAlign w:val="center"/>
                </w:tcPr>
                <w:p>
                  <w:pPr>
                    <w:jc w:val="center"/>
                    <w:textAlignment w:val="baseline"/>
                    <w:rPr>
                      <w:rFonts w:cs="Times New Roman"/>
                      <w:szCs w:val="21"/>
                    </w:rPr>
                  </w:pPr>
                  <w:r>
                    <w:rPr>
                      <w:rFonts w:cs="Times New Roman"/>
                      <w:szCs w:val="21"/>
                    </w:rPr>
                    <w:t>风机</w:t>
                  </w:r>
                </w:p>
              </w:tc>
              <w:tc>
                <w:tcPr>
                  <w:tcW w:w="258" w:type="pct"/>
                  <w:noWrap w:val="0"/>
                  <w:vAlign w:val="center"/>
                </w:tcPr>
                <w:p>
                  <w:pPr>
                    <w:jc w:val="center"/>
                    <w:rPr>
                      <w:rFonts w:cs="Times New Roman"/>
                      <w:szCs w:val="21"/>
                    </w:rPr>
                  </w:pPr>
                  <w:r>
                    <w:rPr>
                      <w:rFonts w:hint="eastAsia" w:cs="Times New Roman"/>
                      <w:szCs w:val="21"/>
                    </w:rPr>
                    <w:t>/</w:t>
                  </w:r>
                </w:p>
              </w:tc>
              <w:tc>
                <w:tcPr>
                  <w:tcW w:w="466" w:type="pct"/>
                  <w:noWrap w:val="0"/>
                  <w:vAlign w:val="center"/>
                </w:tcPr>
                <w:p>
                  <w:pPr>
                    <w:jc w:val="center"/>
                    <w:rPr>
                      <w:rFonts w:cs="Times New Roman"/>
                      <w:szCs w:val="21"/>
                    </w:rPr>
                  </w:pPr>
                  <w:r>
                    <w:rPr>
                      <w:rFonts w:hint="eastAsia" w:cs="Times New Roman"/>
                      <w:szCs w:val="21"/>
                    </w:rPr>
                    <w:t>/</w:t>
                  </w:r>
                </w:p>
              </w:tc>
              <w:tc>
                <w:tcPr>
                  <w:tcW w:w="305" w:type="pct"/>
                  <w:noWrap w:val="0"/>
                  <w:vAlign w:val="center"/>
                </w:tcPr>
                <w:p>
                  <w:pPr>
                    <w:jc w:val="center"/>
                    <w:rPr>
                      <w:rFonts w:cs="Times New Roman"/>
                      <w:szCs w:val="21"/>
                    </w:rPr>
                  </w:pPr>
                  <w:r>
                    <w:rPr>
                      <w:rFonts w:hint="eastAsia" w:cs="Times New Roman"/>
                      <w:szCs w:val="21"/>
                    </w:rPr>
                    <w:t>75</w:t>
                  </w:r>
                </w:p>
              </w:tc>
              <w:tc>
                <w:tcPr>
                  <w:tcW w:w="418" w:type="pct"/>
                  <w:vMerge w:val="continue"/>
                  <w:noWrap w:val="0"/>
                  <w:vAlign w:val="center"/>
                </w:tcPr>
                <w:p>
                  <w:pPr>
                    <w:jc w:val="center"/>
                    <w:rPr>
                      <w:rFonts w:cs="Times New Roman"/>
                      <w:color w:val="FF00FF"/>
                      <w:szCs w:val="21"/>
                    </w:rPr>
                  </w:pPr>
                </w:p>
              </w:tc>
              <w:tc>
                <w:tcPr>
                  <w:tcW w:w="360" w:type="pct"/>
                  <w:noWrap w:val="0"/>
                  <w:vAlign w:val="center"/>
                </w:tcPr>
                <w:p>
                  <w:pPr>
                    <w:jc w:val="center"/>
                    <w:rPr>
                      <w:rFonts w:cs="Times New Roman"/>
                      <w:szCs w:val="21"/>
                    </w:rPr>
                  </w:pPr>
                  <w:r>
                    <w:rPr>
                      <w:rFonts w:hint="eastAsia"/>
                    </w:rPr>
                    <w:t>142.64</w:t>
                  </w:r>
                </w:p>
              </w:tc>
              <w:tc>
                <w:tcPr>
                  <w:tcW w:w="360" w:type="pct"/>
                  <w:noWrap w:val="0"/>
                  <w:vAlign w:val="center"/>
                </w:tcPr>
                <w:p>
                  <w:pPr>
                    <w:jc w:val="center"/>
                    <w:rPr>
                      <w:rFonts w:hint="eastAsia" w:cs="Times New Roman"/>
                      <w:szCs w:val="21"/>
                    </w:rPr>
                  </w:pPr>
                  <w:r>
                    <w:rPr>
                      <w:rFonts w:hint="eastAsia"/>
                    </w:rPr>
                    <w:t>65.37</w:t>
                  </w:r>
                </w:p>
              </w:tc>
              <w:tc>
                <w:tcPr>
                  <w:tcW w:w="371" w:type="pct"/>
                  <w:noWrap w:val="0"/>
                  <w:vAlign w:val="center"/>
                </w:tcPr>
                <w:p>
                  <w:pPr>
                    <w:jc w:val="center"/>
                    <w:rPr>
                      <w:rFonts w:hint="eastAsia" w:cs="Times New Roman"/>
                      <w:szCs w:val="21"/>
                    </w:rPr>
                  </w:pPr>
                  <w:r>
                    <w:rPr>
                      <w:rFonts w:hint="eastAsia"/>
                    </w:rPr>
                    <w:t>1</w:t>
                  </w:r>
                </w:p>
              </w:tc>
              <w:tc>
                <w:tcPr>
                  <w:tcW w:w="290" w:type="pct"/>
                  <w:noWrap w:val="0"/>
                  <w:vAlign w:val="center"/>
                </w:tcPr>
                <w:p>
                  <w:pPr>
                    <w:jc w:val="center"/>
                    <w:rPr>
                      <w:rFonts w:hint="eastAsia" w:cs="Times New Roman"/>
                      <w:szCs w:val="21"/>
                    </w:rPr>
                  </w:pPr>
                  <w:r>
                    <w:rPr>
                      <w:rFonts w:hint="eastAsia" w:cs="Times New Roman"/>
                      <w:szCs w:val="21"/>
                    </w:rPr>
                    <w:t>10</w:t>
                  </w:r>
                </w:p>
              </w:tc>
              <w:tc>
                <w:tcPr>
                  <w:tcW w:w="294" w:type="pct"/>
                  <w:noWrap w:val="0"/>
                  <w:vAlign w:val="center"/>
                </w:tcPr>
                <w:p>
                  <w:pPr>
                    <w:jc w:val="center"/>
                    <w:rPr>
                      <w:rFonts w:hint="eastAsia"/>
                    </w:rPr>
                  </w:pPr>
                  <w:r>
                    <w:rPr>
                      <w:rFonts w:hint="eastAsia"/>
                    </w:rPr>
                    <w:t>55</w:t>
                  </w:r>
                </w:p>
              </w:tc>
              <w:tc>
                <w:tcPr>
                  <w:tcW w:w="252" w:type="pct"/>
                  <w:noWrap w:val="0"/>
                  <w:vAlign w:val="center"/>
                </w:tcPr>
                <w:p>
                  <w:pPr>
                    <w:jc w:val="center"/>
                    <w:rPr>
                      <w:rFonts w:cs="Times New Roman"/>
                      <w:szCs w:val="21"/>
                    </w:rPr>
                  </w:pPr>
                  <w:r>
                    <w:rPr>
                      <w:rFonts w:hint="eastAsia" w:cs="Times New Roman"/>
                      <w:szCs w:val="21"/>
                    </w:rPr>
                    <w:t>全天</w:t>
                  </w:r>
                </w:p>
              </w:tc>
              <w:tc>
                <w:tcPr>
                  <w:tcW w:w="335" w:type="pct"/>
                  <w:noWrap w:val="0"/>
                  <w:vAlign w:val="center"/>
                </w:tcPr>
                <w:p>
                  <w:pPr>
                    <w:jc w:val="center"/>
                    <w:rPr>
                      <w:rFonts w:hint="eastAsia" w:cs="Times New Roman"/>
                      <w:szCs w:val="21"/>
                    </w:rPr>
                  </w:pPr>
                  <w:r>
                    <w:rPr>
                      <w:rFonts w:hint="eastAsia"/>
                    </w:rPr>
                    <w:t>15</w:t>
                  </w:r>
                </w:p>
              </w:tc>
              <w:tc>
                <w:tcPr>
                  <w:tcW w:w="260" w:type="pct"/>
                  <w:noWrap w:val="0"/>
                  <w:vAlign w:val="center"/>
                </w:tcPr>
                <w:p>
                  <w:pPr>
                    <w:jc w:val="center"/>
                  </w:pPr>
                  <w:r>
                    <w:rPr>
                      <w:rFonts w:hint="eastAsia"/>
                    </w:rPr>
                    <w:t>40</w:t>
                  </w:r>
                </w:p>
              </w:tc>
              <w:tc>
                <w:tcPr>
                  <w:tcW w:w="264" w:type="pct"/>
                  <w:noWrap w:val="0"/>
                  <w:vAlign w:val="center"/>
                </w:tcPr>
                <w:p>
                  <w:pPr>
                    <w:jc w:val="center"/>
                    <w:rPr>
                      <w:rFonts w:hint="eastAsia" w:cs="Times New Roman"/>
                      <w:szCs w:val="21"/>
                    </w:rPr>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14" w:hRule="atLeast"/>
                <w:jc w:val="center"/>
              </w:trPr>
              <w:tc>
                <w:tcPr>
                  <w:tcW w:w="301" w:type="pct"/>
                  <w:noWrap w:val="0"/>
                  <w:vAlign w:val="center"/>
                </w:tcPr>
                <w:p>
                  <w:pPr>
                    <w:jc w:val="center"/>
                    <w:textAlignment w:val="baseline"/>
                    <w:rPr>
                      <w:rFonts w:hint="eastAsia" w:cs="Times New Roman"/>
                      <w:szCs w:val="21"/>
                    </w:rPr>
                  </w:pPr>
                  <w:r>
                    <w:rPr>
                      <w:rFonts w:hint="eastAsia" w:cs="Times New Roman"/>
                      <w:szCs w:val="21"/>
                    </w:rPr>
                    <w:t>5</w:t>
                  </w:r>
                </w:p>
              </w:tc>
              <w:tc>
                <w:tcPr>
                  <w:tcW w:w="466" w:type="pct"/>
                  <w:noWrap w:val="0"/>
                  <w:vAlign w:val="center"/>
                </w:tcPr>
                <w:p>
                  <w:pPr>
                    <w:jc w:val="center"/>
                    <w:textAlignment w:val="baseline"/>
                    <w:rPr>
                      <w:rFonts w:hint="eastAsia" w:cs="Times New Roman"/>
                      <w:szCs w:val="21"/>
                    </w:rPr>
                  </w:pPr>
                  <w:r>
                    <w:rPr>
                      <w:rFonts w:hint="eastAsia" w:cs="Times New Roman"/>
                      <w:szCs w:val="21"/>
                    </w:rPr>
                    <w:t>离心水泵</w:t>
                  </w:r>
                </w:p>
              </w:tc>
              <w:tc>
                <w:tcPr>
                  <w:tcW w:w="258" w:type="pct"/>
                  <w:noWrap w:val="0"/>
                  <w:vAlign w:val="center"/>
                </w:tcPr>
                <w:p>
                  <w:pPr>
                    <w:jc w:val="center"/>
                    <w:rPr>
                      <w:rFonts w:hint="eastAsia" w:cs="Times New Roman"/>
                      <w:szCs w:val="21"/>
                    </w:rPr>
                  </w:pPr>
                  <w:r>
                    <w:rPr>
                      <w:rFonts w:hint="eastAsia" w:cs="Times New Roman"/>
                      <w:szCs w:val="21"/>
                    </w:rPr>
                    <w:t>/</w:t>
                  </w:r>
                </w:p>
              </w:tc>
              <w:tc>
                <w:tcPr>
                  <w:tcW w:w="466" w:type="pct"/>
                  <w:noWrap w:val="0"/>
                  <w:vAlign w:val="center"/>
                </w:tcPr>
                <w:p>
                  <w:pPr>
                    <w:jc w:val="center"/>
                    <w:rPr>
                      <w:rFonts w:hint="eastAsia" w:cs="Times New Roman"/>
                      <w:szCs w:val="21"/>
                    </w:rPr>
                  </w:pPr>
                  <w:r>
                    <w:rPr>
                      <w:rFonts w:hint="eastAsia" w:cs="Times New Roman"/>
                      <w:szCs w:val="21"/>
                    </w:rPr>
                    <w:t>/</w:t>
                  </w:r>
                </w:p>
              </w:tc>
              <w:tc>
                <w:tcPr>
                  <w:tcW w:w="305" w:type="pct"/>
                  <w:noWrap w:val="0"/>
                  <w:vAlign w:val="center"/>
                </w:tcPr>
                <w:p>
                  <w:pPr>
                    <w:jc w:val="center"/>
                    <w:rPr>
                      <w:rFonts w:cs="Times New Roman"/>
                      <w:szCs w:val="21"/>
                    </w:rPr>
                  </w:pPr>
                  <w:r>
                    <w:rPr>
                      <w:rFonts w:hint="eastAsia" w:cs="Times New Roman"/>
                      <w:szCs w:val="21"/>
                    </w:rPr>
                    <w:t>80</w:t>
                  </w:r>
                </w:p>
              </w:tc>
              <w:tc>
                <w:tcPr>
                  <w:tcW w:w="418" w:type="pct"/>
                  <w:vMerge w:val="continue"/>
                  <w:noWrap w:val="0"/>
                  <w:vAlign w:val="center"/>
                </w:tcPr>
                <w:p>
                  <w:pPr>
                    <w:jc w:val="center"/>
                    <w:rPr>
                      <w:rFonts w:cs="Times New Roman"/>
                      <w:color w:val="FF00FF"/>
                      <w:szCs w:val="21"/>
                    </w:rPr>
                  </w:pPr>
                </w:p>
              </w:tc>
              <w:tc>
                <w:tcPr>
                  <w:tcW w:w="360" w:type="pct"/>
                  <w:noWrap w:val="0"/>
                  <w:vAlign w:val="center"/>
                </w:tcPr>
                <w:p>
                  <w:pPr>
                    <w:jc w:val="center"/>
                    <w:rPr>
                      <w:rFonts w:cs="Times New Roman"/>
                      <w:szCs w:val="21"/>
                    </w:rPr>
                  </w:pPr>
                  <w:r>
                    <w:rPr>
                      <w:rFonts w:hint="eastAsia"/>
                    </w:rPr>
                    <w:t>42.71</w:t>
                  </w:r>
                </w:p>
              </w:tc>
              <w:tc>
                <w:tcPr>
                  <w:tcW w:w="360" w:type="pct"/>
                  <w:noWrap w:val="0"/>
                  <w:vAlign w:val="center"/>
                </w:tcPr>
                <w:p>
                  <w:pPr>
                    <w:jc w:val="center"/>
                    <w:rPr>
                      <w:rFonts w:hint="eastAsia" w:cs="Times New Roman"/>
                      <w:szCs w:val="21"/>
                    </w:rPr>
                  </w:pPr>
                  <w:r>
                    <w:rPr>
                      <w:rFonts w:hint="eastAsia"/>
                    </w:rPr>
                    <w:t>340.42</w:t>
                  </w:r>
                </w:p>
              </w:tc>
              <w:tc>
                <w:tcPr>
                  <w:tcW w:w="371" w:type="pct"/>
                  <w:noWrap w:val="0"/>
                  <w:vAlign w:val="center"/>
                </w:tcPr>
                <w:p>
                  <w:pPr>
                    <w:jc w:val="center"/>
                    <w:rPr>
                      <w:rFonts w:hint="eastAsia" w:cs="Times New Roman"/>
                      <w:szCs w:val="21"/>
                    </w:rPr>
                  </w:pPr>
                  <w:r>
                    <w:rPr>
                      <w:rFonts w:hint="eastAsia"/>
                    </w:rPr>
                    <w:t>1</w:t>
                  </w:r>
                </w:p>
              </w:tc>
              <w:tc>
                <w:tcPr>
                  <w:tcW w:w="290" w:type="pct"/>
                  <w:noWrap w:val="0"/>
                  <w:vAlign w:val="center"/>
                </w:tcPr>
                <w:p>
                  <w:pPr>
                    <w:jc w:val="center"/>
                    <w:rPr>
                      <w:rFonts w:hint="eastAsia" w:cs="Times New Roman"/>
                      <w:szCs w:val="21"/>
                    </w:rPr>
                  </w:pPr>
                  <w:r>
                    <w:rPr>
                      <w:rFonts w:hint="eastAsia" w:cs="Times New Roman"/>
                      <w:szCs w:val="21"/>
                    </w:rPr>
                    <w:t>10</w:t>
                  </w:r>
                </w:p>
              </w:tc>
              <w:tc>
                <w:tcPr>
                  <w:tcW w:w="294" w:type="pct"/>
                  <w:noWrap w:val="0"/>
                  <w:vAlign w:val="center"/>
                </w:tcPr>
                <w:p>
                  <w:pPr>
                    <w:jc w:val="center"/>
                    <w:rPr>
                      <w:rFonts w:hint="eastAsia"/>
                    </w:rPr>
                  </w:pPr>
                  <w:r>
                    <w:rPr>
                      <w:rFonts w:hint="eastAsia"/>
                    </w:rPr>
                    <w:t>60</w:t>
                  </w:r>
                </w:p>
              </w:tc>
              <w:tc>
                <w:tcPr>
                  <w:tcW w:w="252" w:type="pct"/>
                  <w:noWrap w:val="0"/>
                  <w:vAlign w:val="center"/>
                </w:tcPr>
                <w:p>
                  <w:pPr>
                    <w:jc w:val="center"/>
                    <w:rPr>
                      <w:rFonts w:cs="Times New Roman"/>
                      <w:szCs w:val="21"/>
                    </w:rPr>
                  </w:pPr>
                  <w:r>
                    <w:rPr>
                      <w:rFonts w:hint="eastAsia" w:cs="Times New Roman"/>
                      <w:szCs w:val="21"/>
                    </w:rPr>
                    <w:t>全天</w:t>
                  </w:r>
                </w:p>
              </w:tc>
              <w:tc>
                <w:tcPr>
                  <w:tcW w:w="335" w:type="pct"/>
                  <w:noWrap w:val="0"/>
                  <w:vAlign w:val="center"/>
                </w:tcPr>
                <w:p>
                  <w:pPr>
                    <w:jc w:val="center"/>
                    <w:rPr>
                      <w:rFonts w:hint="eastAsia" w:cs="Times New Roman"/>
                      <w:szCs w:val="21"/>
                    </w:rPr>
                  </w:pPr>
                  <w:r>
                    <w:rPr>
                      <w:rFonts w:hint="eastAsia"/>
                    </w:rPr>
                    <w:t>20</w:t>
                  </w:r>
                </w:p>
              </w:tc>
              <w:tc>
                <w:tcPr>
                  <w:tcW w:w="260" w:type="pct"/>
                  <w:noWrap w:val="0"/>
                  <w:vAlign w:val="center"/>
                </w:tcPr>
                <w:p>
                  <w:pPr>
                    <w:jc w:val="center"/>
                  </w:pPr>
                  <w:r>
                    <w:rPr>
                      <w:rFonts w:hint="eastAsia"/>
                    </w:rPr>
                    <w:t>40</w:t>
                  </w:r>
                </w:p>
              </w:tc>
              <w:tc>
                <w:tcPr>
                  <w:tcW w:w="264" w:type="pct"/>
                  <w:noWrap w:val="0"/>
                  <w:vAlign w:val="center"/>
                </w:tcPr>
                <w:p>
                  <w:pPr>
                    <w:jc w:val="center"/>
                    <w:rPr>
                      <w:rFonts w:hint="eastAsia" w:cs="Times New Roman"/>
                      <w:szCs w:val="21"/>
                    </w:rPr>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15" w:hRule="atLeast"/>
                <w:jc w:val="center"/>
              </w:trPr>
              <w:tc>
                <w:tcPr>
                  <w:tcW w:w="301" w:type="pct"/>
                  <w:noWrap w:val="0"/>
                  <w:vAlign w:val="center"/>
                </w:tcPr>
                <w:p>
                  <w:pPr>
                    <w:jc w:val="center"/>
                    <w:textAlignment w:val="baseline"/>
                    <w:rPr>
                      <w:rFonts w:hint="eastAsia" w:cs="Times New Roman"/>
                      <w:szCs w:val="21"/>
                    </w:rPr>
                  </w:pPr>
                  <w:r>
                    <w:rPr>
                      <w:rFonts w:hint="eastAsia" w:cs="Times New Roman"/>
                      <w:szCs w:val="21"/>
                    </w:rPr>
                    <w:t>6</w:t>
                  </w:r>
                </w:p>
              </w:tc>
              <w:tc>
                <w:tcPr>
                  <w:tcW w:w="466" w:type="pct"/>
                  <w:noWrap w:val="0"/>
                  <w:vAlign w:val="center"/>
                </w:tcPr>
                <w:p>
                  <w:pPr>
                    <w:jc w:val="center"/>
                    <w:textAlignment w:val="baseline"/>
                    <w:rPr>
                      <w:rFonts w:cs="Times New Roman"/>
                      <w:szCs w:val="21"/>
                    </w:rPr>
                  </w:pPr>
                  <w:r>
                    <w:rPr>
                      <w:rFonts w:cs="Times New Roman"/>
                      <w:szCs w:val="21"/>
                    </w:rPr>
                    <w:t>风机</w:t>
                  </w:r>
                </w:p>
              </w:tc>
              <w:tc>
                <w:tcPr>
                  <w:tcW w:w="258" w:type="pct"/>
                  <w:noWrap w:val="0"/>
                  <w:vAlign w:val="center"/>
                </w:tcPr>
                <w:p>
                  <w:pPr>
                    <w:jc w:val="center"/>
                    <w:rPr>
                      <w:rFonts w:hint="eastAsia" w:cs="Times New Roman"/>
                      <w:szCs w:val="21"/>
                    </w:rPr>
                  </w:pPr>
                  <w:r>
                    <w:rPr>
                      <w:rFonts w:hint="eastAsia" w:cs="Times New Roman"/>
                      <w:szCs w:val="21"/>
                    </w:rPr>
                    <w:t>/</w:t>
                  </w:r>
                </w:p>
              </w:tc>
              <w:tc>
                <w:tcPr>
                  <w:tcW w:w="466" w:type="pct"/>
                  <w:noWrap w:val="0"/>
                  <w:vAlign w:val="center"/>
                </w:tcPr>
                <w:p>
                  <w:pPr>
                    <w:jc w:val="center"/>
                    <w:rPr>
                      <w:rFonts w:hint="eastAsia" w:cs="Times New Roman"/>
                      <w:szCs w:val="21"/>
                    </w:rPr>
                  </w:pPr>
                  <w:r>
                    <w:rPr>
                      <w:rFonts w:hint="eastAsia" w:cs="Times New Roman"/>
                      <w:szCs w:val="21"/>
                    </w:rPr>
                    <w:t>/</w:t>
                  </w:r>
                </w:p>
              </w:tc>
              <w:tc>
                <w:tcPr>
                  <w:tcW w:w="305" w:type="pct"/>
                  <w:noWrap w:val="0"/>
                  <w:vAlign w:val="center"/>
                </w:tcPr>
                <w:p>
                  <w:pPr>
                    <w:jc w:val="center"/>
                    <w:rPr>
                      <w:rFonts w:cs="Times New Roman"/>
                      <w:szCs w:val="21"/>
                    </w:rPr>
                  </w:pPr>
                  <w:r>
                    <w:rPr>
                      <w:rFonts w:hint="eastAsia" w:cs="Times New Roman"/>
                      <w:szCs w:val="21"/>
                    </w:rPr>
                    <w:t>75</w:t>
                  </w:r>
                </w:p>
              </w:tc>
              <w:tc>
                <w:tcPr>
                  <w:tcW w:w="418" w:type="pct"/>
                  <w:vMerge w:val="continue"/>
                  <w:noWrap w:val="0"/>
                  <w:vAlign w:val="center"/>
                </w:tcPr>
                <w:p>
                  <w:pPr>
                    <w:jc w:val="center"/>
                    <w:rPr>
                      <w:rFonts w:cs="Times New Roman"/>
                      <w:color w:val="FF00FF"/>
                      <w:szCs w:val="21"/>
                    </w:rPr>
                  </w:pPr>
                </w:p>
              </w:tc>
              <w:tc>
                <w:tcPr>
                  <w:tcW w:w="360" w:type="pct"/>
                  <w:noWrap w:val="0"/>
                  <w:vAlign w:val="center"/>
                </w:tcPr>
                <w:p>
                  <w:pPr>
                    <w:jc w:val="center"/>
                    <w:rPr>
                      <w:rFonts w:cs="Times New Roman"/>
                      <w:szCs w:val="21"/>
                    </w:rPr>
                  </w:pPr>
                  <w:r>
                    <w:rPr>
                      <w:rFonts w:hint="eastAsia"/>
                    </w:rPr>
                    <w:t>40.03</w:t>
                  </w:r>
                </w:p>
              </w:tc>
              <w:tc>
                <w:tcPr>
                  <w:tcW w:w="360" w:type="pct"/>
                  <w:noWrap w:val="0"/>
                  <w:vAlign w:val="center"/>
                </w:tcPr>
                <w:p>
                  <w:pPr>
                    <w:jc w:val="center"/>
                    <w:rPr>
                      <w:rFonts w:hint="eastAsia" w:cs="Times New Roman"/>
                      <w:szCs w:val="21"/>
                    </w:rPr>
                  </w:pPr>
                  <w:r>
                    <w:rPr>
                      <w:rFonts w:hint="eastAsia"/>
                    </w:rPr>
                    <w:t>14.07</w:t>
                  </w:r>
                </w:p>
              </w:tc>
              <w:tc>
                <w:tcPr>
                  <w:tcW w:w="371" w:type="pct"/>
                  <w:noWrap w:val="0"/>
                  <w:vAlign w:val="center"/>
                </w:tcPr>
                <w:p>
                  <w:pPr>
                    <w:jc w:val="center"/>
                    <w:rPr>
                      <w:rFonts w:hint="eastAsia" w:cs="Times New Roman"/>
                      <w:szCs w:val="21"/>
                    </w:rPr>
                  </w:pPr>
                  <w:r>
                    <w:rPr>
                      <w:rFonts w:hint="eastAsia"/>
                    </w:rPr>
                    <w:t>1</w:t>
                  </w:r>
                </w:p>
              </w:tc>
              <w:tc>
                <w:tcPr>
                  <w:tcW w:w="290" w:type="pct"/>
                  <w:noWrap w:val="0"/>
                  <w:vAlign w:val="center"/>
                </w:tcPr>
                <w:p>
                  <w:pPr>
                    <w:jc w:val="center"/>
                    <w:rPr>
                      <w:rFonts w:hint="eastAsia" w:cs="Times New Roman"/>
                      <w:szCs w:val="21"/>
                    </w:rPr>
                  </w:pPr>
                  <w:r>
                    <w:rPr>
                      <w:rFonts w:hint="eastAsia" w:cs="Times New Roman"/>
                      <w:szCs w:val="21"/>
                    </w:rPr>
                    <w:t>5</w:t>
                  </w:r>
                </w:p>
              </w:tc>
              <w:tc>
                <w:tcPr>
                  <w:tcW w:w="294" w:type="pct"/>
                  <w:noWrap w:val="0"/>
                  <w:vAlign w:val="center"/>
                </w:tcPr>
                <w:p>
                  <w:pPr>
                    <w:jc w:val="center"/>
                    <w:rPr>
                      <w:rFonts w:hint="eastAsia"/>
                    </w:rPr>
                  </w:pPr>
                  <w:r>
                    <w:rPr>
                      <w:rFonts w:hint="eastAsia"/>
                    </w:rPr>
                    <w:t>55</w:t>
                  </w:r>
                </w:p>
              </w:tc>
              <w:tc>
                <w:tcPr>
                  <w:tcW w:w="252" w:type="pct"/>
                  <w:noWrap w:val="0"/>
                  <w:vAlign w:val="center"/>
                </w:tcPr>
                <w:p>
                  <w:pPr>
                    <w:jc w:val="center"/>
                    <w:rPr>
                      <w:rFonts w:cs="Times New Roman"/>
                      <w:szCs w:val="21"/>
                    </w:rPr>
                  </w:pPr>
                  <w:r>
                    <w:rPr>
                      <w:rFonts w:hint="eastAsia" w:cs="Times New Roman"/>
                      <w:szCs w:val="21"/>
                    </w:rPr>
                    <w:t>全天</w:t>
                  </w:r>
                </w:p>
              </w:tc>
              <w:tc>
                <w:tcPr>
                  <w:tcW w:w="335" w:type="pct"/>
                  <w:noWrap w:val="0"/>
                  <w:vAlign w:val="center"/>
                </w:tcPr>
                <w:p>
                  <w:pPr>
                    <w:jc w:val="center"/>
                    <w:rPr>
                      <w:rFonts w:hint="eastAsia" w:cs="Times New Roman"/>
                      <w:szCs w:val="21"/>
                    </w:rPr>
                  </w:pPr>
                  <w:r>
                    <w:rPr>
                      <w:rFonts w:hint="eastAsia"/>
                    </w:rPr>
                    <w:t>15</w:t>
                  </w:r>
                </w:p>
              </w:tc>
              <w:tc>
                <w:tcPr>
                  <w:tcW w:w="260" w:type="pct"/>
                  <w:noWrap w:val="0"/>
                  <w:vAlign w:val="center"/>
                </w:tcPr>
                <w:p>
                  <w:pPr>
                    <w:jc w:val="center"/>
                  </w:pPr>
                  <w:r>
                    <w:rPr>
                      <w:rFonts w:hint="eastAsia"/>
                    </w:rPr>
                    <w:t>40</w:t>
                  </w:r>
                </w:p>
              </w:tc>
              <w:tc>
                <w:tcPr>
                  <w:tcW w:w="264" w:type="pct"/>
                  <w:noWrap w:val="0"/>
                  <w:vAlign w:val="center"/>
                </w:tcPr>
                <w:p>
                  <w:pPr>
                    <w:jc w:val="center"/>
                    <w:rPr>
                      <w:rFonts w:hint="eastAsia" w:cs="Times New Roman"/>
                      <w:szCs w:val="21"/>
                    </w:rPr>
                  </w:pPr>
                  <w:r>
                    <w:rPr>
                      <w:rFonts w:hint="eastAsia"/>
                    </w:rPr>
                    <w:t>1</w:t>
                  </w:r>
                </w:p>
              </w:tc>
            </w:tr>
          </w:tbl>
          <w:p>
            <w:pPr>
              <w:spacing w:line="276" w:lineRule="auto"/>
              <w:ind w:firstLine="420" w:firstLineChars="200"/>
              <w:rPr>
                <w:rFonts w:hint="eastAsia"/>
                <w:color w:val="FF00FF"/>
                <w:szCs w:val="21"/>
              </w:rPr>
            </w:pPr>
          </w:p>
          <w:p>
            <w:pPr>
              <w:spacing w:line="276" w:lineRule="auto"/>
              <w:ind w:firstLine="420" w:firstLineChars="200"/>
              <w:rPr>
                <w:rFonts w:hint="eastAsia"/>
                <w:color w:val="FF00FF"/>
                <w:szCs w:val="21"/>
              </w:rPr>
            </w:pPr>
          </w:p>
          <w:p>
            <w:pPr>
              <w:spacing w:line="276" w:lineRule="auto"/>
              <w:ind w:firstLine="420" w:firstLineChars="200"/>
              <w:rPr>
                <w:rFonts w:hint="eastAsia"/>
                <w:color w:val="FF00FF"/>
                <w:szCs w:val="21"/>
              </w:rPr>
            </w:pPr>
          </w:p>
          <w:p>
            <w:pPr>
              <w:spacing w:line="276" w:lineRule="auto"/>
              <w:ind w:firstLine="420" w:firstLineChars="200"/>
              <w:rPr>
                <w:rFonts w:hint="eastAsia"/>
                <w:color w:val="FF00FF"/>
                <w:szCs w:val="21"/>
              </w:rPr>
            </w:pPr>
          </w:p>
          <w:p>
            <w:pPr>
              <w:spacing w:line="276" w:lineRule="auto"/>
              <w:ind w:firstLine="420" w:firstLineChars="200"/>
              <w:rPr>
                <w:rFonts w:hint="eastAsia"/>
                <w:color w:val="FF00FF"/>
                <w:szCs w:val="21"/>
              </w:rPr>
            </w:pPr>
          </w:p>
          <w:p>
            <w:pPr>
              <w:spacing w:line="276" w:lineRule="auto"/>
              <w:ind w:firstLine="420" w:firstLineChars="200"/>
              <w:rPr>
                <w:rFonts w:hint="eastAsia"/>
                <w:color w:val="FF00FF"/>
                <w:szCs w:val="21"/>
              </w:rPr>
            </w:pPr>
          </w:p>
          <w:p>
            <w:pPr>
              <w:spacing w:line="276" w:lineRule="auto"/>
              <w:ind w:firstLine="420" w:firstLineChars="200"/>
              <w:rPr>
                <w:rFonts w:hint="eastAsia"/>
                <w:color w:val="FF00FF"/>
                <w:szCs w:val="21"/>
              </w:rPr>
            </w:pPr>
          </w:p>
          <w:p>
            <w:pPr>
              <w:spacing w:line="276" w:lineRule="auto"/>
              <w:ind w:firstLine="420" w:firstLineChars="200"/>
              <w:rPr>
                <w:rFonts w:hint="eastAsia"/>
                <w:color w:val="FF00FF"/>
                <w:szCs w:val="21"/>
              </w:rPr>
            </w:pPr>
          </w:p>
          <w:p>
            <w:pPr>
              <w:spacing w:line="276" w:lineRule="auto"/>
              <w:ind w:firstLine="420" w:firstLineChars="200"/>
              <w:rPr>
                <w:rFonts w:hint="eastAsia"/>
                <w:color w:val="FF00FF"/>
                <w:szCs w:val="21"/>
              </w:rPr>
            </w:pPr>
          </w:p>
        </w:tc>
      </w:tr>
    </w:tbl>
    <w:p>
      <w:pPr>
        <w:spacing w:line="276" w:lineRule="auto"/>
        <w:ind w:firstLine="420" w:firstLineChars="200"/>
        <w:rPr>
          <w:color w:val="FF00FF"/>
          <w:szCs w:val="21"/>
        </w:rPr>
        <w:sectPr>
          <w:pgSz w:w="16838" w:h="11906" w:orient="landscape"/>
          <w:pgMar w:top="1134" w:right="1134" w:bottom="1418" w:left="1134" w:header="851" w:footer="992" w:gutter="0"/>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2" w:type="dxa"/>
            <w:noWrap w:val="0"/>
            <w:vAlign w:val="top"/>
          </w:tcPr>
          <w:p>
            <w:pPr>
              <w:spacing w:line="276" w:lineRule="auto"/>
              <w:ind w:firstLine="420" w:firstLineChars="200"/>
              <w:rPr>
                <w:color w:val="FF00FF"/>
                <w:szCs w:val="21"/>
              </w:rPr>
            </w:pPr>
            <w:r>
              <w:rPr>
                <w:color w:val="FF00FF"/>
                <w:szCs w:val="21"/>
              </w:rPr>
              <w:tab/>
            </w:r>
          </w:p>
        </w:tc>
        <w:tc>
          <w:tcPr>
            <w:tcW w:w="8888" w:type="dxa"/>
            <w:noWrap w:val="0"/>
            <w:vAlign w:val="top"/>
          </w:tcPr>
          <w:p>
            <w:pPr>
              <w:spacing w:line="276" w:lineRule="auto"/>
              <w:ind w:firstLine="422" w:firstLineChars="200"/>
              <w:rPr>
                <w:rFonts w:hint="eastAsia"/>
                <w:b/>
                <w:szCs w:val="21"/>
              </w:rPr>
            </w:pPr>
            <w:r>
              <w:rPr>
                <w:rFonts w:hint="eastAsia"/>
                <w:b/>
                <w:szCs w:val="21"/>
              </w:rPr>
              <w:t>（</w:t>
            </w:r>
            <w:r>
              <w:rPr>
                <w:b/>
                <w:szCs w:val="21"/>
              </w:rPr>
              <w:t>2</w:t>
            </w:r>
            <w:r>
              <w:rPr>
                <w:rFonts w:hint="eastAsia"/>
                <w:b/>
                <w:szCs w:val="21"/>
              </w:rPr>
              <w:t>）达标情况分析</w:t>
            </w:r>
          </w:p>
          <w:p>
            <w:pPr>
              <w:spacing w:line="276" w:lineRule="auto"/>
              <w:ind w:firstLine="422" w:firstLineChars="200"/>
              <w:rPr>
                <w:rFonts w:hint="eastAsia"/>
                <w:b/>
                <w:szCs w:val="21"/>
              </w:rPr>
            </w:pPr>
            <w:r>
              <w:rPr>
                <w:rFonts w:hint="eastAsia"/>
                <w:b/>
                <w:szCs w:val="21"/>
              </w:rPr>
              <w:t>1）预测模式</w:t>
            </w:r>
          </w:p>
          <w:p>
            <w:pPr>
              <w:spacing w:line="276" w:lineRule="auto"/>
              <w:ind w:firstLine="420" w:firstLineChars="200"/>
              <w:rPr>
                <w:rFonts w:hint="eastAsia"/>
                <w:szCs w:val="21"/>
              </w:rPr>
            </w:pPr>
            <w:r>
              <w:rPr>
                <w:rFonts w:hint="eastAsia"/>
                <w:szCs w:val="21"/>
              </w:rPr>
              <w:t>本次评价采用《环境影响评价技术导则一声环境》（HJ2.4-2021）中推荐模式进行预测，用A声级计算，模式如下：</w:t>
            </w:r>
          </w:p>
          <w:p>
            <w:pPr>
              <w:spacing w:line="276" w:lineRule="auto"/>
              <w:ind w:firstLine="420" w:firstLineChars="200"/>
              <w:rPr>
                <w:rFonts w:hint="eastAsia"/>
                <w:szCs w:val="21"/>
              </w:rPr>
            </w:pPr>
            <w:r>
              <w:rPr>
                <w:rFonts w:hint="eastAsia"/>
                <w:szCs w:val="21"/>
              </w:rPr>
              <w:t>①室外声源</w:t>
            </w:r>
          </w:p>
          <w:p>
            <w:pPr>
              <w:spacing w:line="276" w:lineRule="auto"/>
              <w:ind w:firstLine="420" w:firstLineChars="200"/>
              <w:rPr>
                <w:rFonts w:hint="eastAsia"/>
                <w:szCs w:val="21"/>
              </w:rPr>
            </w:pPr>
            <w:r>
              <w:rPr>
                <w:rFonts w:hint="eastAsia"/>
                <w:szCs w:val="21"/>
              </w:rPr>
              <w:t>在预测点的声压级计算：</w:t>
            </w:r>
          </w:p>
          <w:p>
            <w:pPr>
              <w:spacing w:line="276" w:lineRule="auto"/>
              <w:ind w:firstLine="420" w:firstLineChars="200"/>
              <w:jc w:val="center"/>
              <w:rPr>
                <w:rFonts w:hint="eastAsia"/>
                <w:szCs w:val="21"/>
              </w:rPr>
            </w:pPr>
            <w:r>
              <w:rPr>
                <w:rFonts w:hint="eastAsia"/>
                <w:szCs w:val="21"/>
              </w:rPr>
              <w:t>L</w:t>
            </w:r>
            <w:r>
              <w:rPr>
                <w:rFonts w:hint="eastAsia"/>
                <w:szCs w:val="21"/>
                <w:vertAlign w:val="subscript"/>
              </w:rPr>
              <w:t>p</w:t>
            </w:r>
            <w:r>
              <w:rPr>
                <w:rFonts w:hint="eastAsia"/>
                <w:szCs w:val="21"/>
              </w:rPr>
              <w:t>(r)＝L</w:t>
            </w:r>
            <w:r>
              <w:rPr>
                <w:rFonts w:hint="eastAsia"/>
                <w:szCs w:val="21"/>
                <w:vertAlign w:val="subscript"/>
              </w:rPr>
              <w:t>w</w:t>
            </w:r>
            <w:r>
              <w:rPr>
                <w:rFonts w:hint="eastAsia"/>
                <w:szCs w:val="21"/>
              </w:rPr>
              <w:t>+D</w:t>
            </w:r>
            <w:r>
              <w:rPr>
                <w:rFonts w:hint="eastAsia"/>
                <w:szCs w:val="21"/>
                <w:vertAlign w:val="subscript"/>
              </w:rPr>
              <w:t>C</w:t>
            </w:r>
            <w:r>
              <w:rPr>
                <w:rFonts w:hint="eastAsia"/>
                <w:szCs w:val="21"/>
              </w:rPr>
              <w:t>－(A</w:t>
            </w:r>
            <w:r>
              <w:rPr>
                <w:rFonts w:hint="eastAsia"/>
                <w:szCs w:val="21"/>
                <w:vertAlign w:val="subscript"/>
              </w:rPr>
              <w:t>div</w:t>
            </w:r>
            <w:r>
              <w:rPr>
                <w:rFonts w:hint="eastAsia"/>
                <w:szCs w:val="21"/>
              </w:rPr>
              <w:t>＋A</w:t>
            </w:r>
            <w:r>
              <w:rPr>
                <w:rFonts w:hint="eastAsia"/>
                <w:szCs w:val="21"/>
                <w:vertAlign w:val="subscript"/>
              </w:rPr>
              <w:t>atm</w:t>
            </w:r>
            <w:r>
              <w:rPr>
                <w:rFonts w:hint="eastAsia"/>
                <w:szCs w:val="21"/>
              </w:rPr>
              <w:t>＋A</w:t>
            </w:r>
            <w:r>
              <w:rPr>
                <w:rFonts w:hint="eastAsia"/>
                <w:szCs w:val="21"/>
                <w:vertAlign w:val="subscript"/>
              </w:rPr>
              <w:t>gr</w:t>
            </w:r>
            <w:r>
              <w:rPr>
                <w:rFonts w:hint="eastAsia"/>
                <w:szCs w:val="21"/>
              </w:rPr>
              <w:t>＋A</w:t>
            </w:r>
            <w:r>
              <w:rPr>
                <w:rFonts w:hint="eastAsia"/>
                <w:szCs w:val="21"/>
                <w:vertAlign w:val="subscript"/>
              </w:rPr>
              <w:t>bar</w:t>
            </w:r>
            <w:r>
              <w:rPr>
                <w:rFonts w:hint="eastAsia"/>
                <w:szCs w:val="21"/>
              </w:rPr>
              <w:t>＋A</w:t>
            </w:r>
            <w:r>
              <w:rPr>
                <w:rFonts w:hint="eastAsia"/>
                <w:szCs w:val="21"/>
                <w:vertAlign w:val="subscript"/>
              </w:rPr>
              <w:t>misc</w:t>
            </w:r>
            <w:r>
              <w:rPr>
                <w:rFonts w:hint="eastAsia"/>
                <w:szCs w:val="21"/>
              </w:rPr>
              <w:t>)</w:t>
            </w:r>
          </w:p>
          <w:p>
            <w:pPr>
              <w:spacing w:line="276" w:lineRule="auto"/>
              <w:ind w:firstLine="420" w:firstLineChars="200"/>
              <w:rPr>
                <w:rFonts w:hint="eastAsia"/>
                <w:szCs w:val="21"/>
              </w:rPr>
            </w:pPr>
            <w:r>
              <w:rPr>
                <w:rFonts w:hint="eastAsia"/>
                <w:szCs w:val="21"/>
              </w:rPr>
              <w:t>式中：L</w:t>
            </w:r>
            <w:r>
              <w:rPr>
                <w:rFonts w:hint="eastAsia"/>
                <w:szCs w:val="21"/>
                <w:vertAlign w:val="subscript"/>
              </w:rPr>
              <w:t>p</w:t>
            </w:r>
            <w:r>
              <w:rPr>
                <w:rFonts w:hint="eastAsia"/>
                <w:szCs w:val="21"/>
              </w:rPr>
              <w:t>(r)——预测点处声压级，dB；</w:t>
            </w:r>
          </w:p>
          <w:p>
            <w:pPr>
              <w:spacing w:line="276" w:lineRule="auto"/>
              <w:ind w:firstLine="420" w:firstLineChars="200"/>
              <w:rPr>
                <w:rFonts w:hint="eastAsia"/>
                <w:szCs w:val="21"/>
              </w:rPr>
            </w:pPr>
            <w:r>
              <w:rPr>
                <w:rFonts w:hint="eastAsia"/>
                <w:szCs w:val="21"/>
              </w:rPr>
              <w:t>L</w:t>
            </w:r>
            <w:r>
              <w:rPr>
                <w:rFonts w:hint="eastAsia"/>
                <w:szCs w:val="21"/>
                <w:vertAlign w:val="subscript"/>
              </w:rPr>
              <w:t>w</w:t>
            </w:r>
            <w:r>
              <w:rPr>
                <w:rFonts w:hint="eastAsia"/>
                <w:szCs w:val="21"/>
              </w:rPr>
              <w:t>——由点声源产生的声功率级（A计权或倍频带），dB；</w:t>
            </w:r>
          </w:p>
          <w:p>
            <w:pPr>
              <w:spacing w:line="276" w:lineRule="auto"/>
              <w:ind w:firstLine="420" w:firstLineChars="200"/>
              <w:rPr>
                <w:rFonts w:hint="eastAsia"/>
                <w:szCs w:val="21"/>
              </w:rPr>
            </w:pPr>
            <w:r>
              <w:rPr>
                <w:rFonts w:hint="eastAsia"/>
                <w:szCs w:val="21"/>
              </w:rPr>
              <w:t>D</w:t>
            </w:r>
            <w:r>
              <w:rPr>
                <w:rFonts w:hint="eastAsia"/>
                <w:szCs w:val="21"/>
                <w:vertAlign w:val="subscript"/>
              </w:rPr>
              <w:t>C</w:t>
            </w:r>
            <w:r>
              <w:rPr>
                <w:rFonts w:hint="eastAsia"/>
                <w:szCs w:val="21"/>
              </w:rPr>
              <w:t>——指向性校正，它描述点声源的等效连续声压级与产生声功率级L</w:t>
            </w:r>
            <w:r>
              <w:rPr>
                <w:rFonts w:hint="eastAsia"/>
                <w:szCs w:val="21"/>
                <w:vertAlign w:val="subscript"/>
              </w:rPr>
              <w:t>w</w:t>
            </w:r>
            <w:r>
              <w:rPr>
                <w:rFonts w:hint="eastAsia"/>
                <w:szCs w:val="21"/>
              </w:rPr>
              <w:t>的全向点声源在规定方向的声级的偏差程度，dB；</w:t>
            </w:r>
          </w:p>
          <w:p>
            <w:pPr>
              <w:spacing w:line="276" w:lineRule="auto"/>
              <w:ind w:firstLine="420" w:firstLineChars="200"/>
              <w:rPr>
                <w:rFonts w:hint="eastAsia"/>
                <w:szCs w:val="21"/>
              </w:rPr>
            </w:pPr>
            <w:r>
              <w:rPr>
                <w:rFonts w:hint="eastAsia"/>
                <w:szCs w:val="21"/>
              </w:rPr>
              <w:t>A</w:t>
            </w:r>
            <w:r>
              <w:rPr>
                <w:rFonts w:hint="eastAsia"/>
                <w:szCs w:val="21"/>
                <w:vertAlign w:val="subscript"/>
              </w:rPr>
              <w:t>div</w:t>
            </w:r>
            <w:r>
              <w:rPr>
                <w:rFonts w:hint="eastAsia"/>
                <w:szCs w:val="21"/>
              </w:rPr>
              <w:t>——几何发散引起的衰减，dB；</w:t>
            </w:r>
          </w:p>
          <w:p>
            <w:pPr>
              <w:spacing w:line="276" w:lineRule="auto"/>
              <w:ind w:firstLine="420" w:firstLineChars="200"/>
              <w:rPr>
                <w:rFonts w:hint="eastAsia"/>
                <w:szCs w:val="21"/>
              </w:rPr>
            </w:pPr>
            <w:r>
              <w:rPr>
                <w:rFonts w:hint="eastAsia"/>
                <w:szCs w:val="21"/>
              </w:rPr>
              <w:t>A</w:t>
            </w:r>
            <w:r>
              <w:rPr>
                <w:rFonts w:hint="eastAsia"/>
                <w:szCs w:val="21"/>
                <w:vertAlign w:val="subscript"/>
              </w:rPr>
              <w:t>atm</w:t>
            </w:r>
            <w:r>
              <w:rPr>
                <w:rFonts w:hint="eastAsia"/>
                <w:szCs w:val="21"/>
              </w:rPr>
              <w:t>——大气吸收引起的衰减，dB；</w:t>
            </w:r>
          </w:p>
          <w:p>
            <w:pPr>
              <w:spacing w:line="276" w:lineRule="auto"/>
              <w:ind w:firstLine="420" w:firstLineChars="200"/>
              <w:rPr>
                <w:rFonts w:hint="eastAsia"/>
                <w:szCs w:val="21"/>
              </w:rPr>
            </w:pPr>
            <w:r>
              <w:rPr>
                <w:rFonts w:hint="eastAsia"/>
                <w:szCs w:val="21"/>
              </w:rPr>
              <w:t>A</w:t>
            </w:r>
            <w:r>
              <w:rPr>
                <w:rFonts w:hint="eastAsia"/>
                <w:szCs w:val="21"/>
                <w:vertAlign w:val="subscript"/>
              </w:rPr>
              <w:t>gr</w:t>
            </w:r>
            <w:r>
              <w:rPr>
                <w:rFonts w:hint="eastAsia"/>
                <w:szCs w:val="21"/>
              </w:rPr>
              <w:t>——地面效应引起的衰减，dB；</w:t>
            </w:r>
          </w:p>
          <w:p>
            <w:pPr>
              <w:spacing w:line="276" w:lineRule="auto"/>
              <w:ind w:firstLine="420" w:firstLineChars="200"/>
              <w:rPr>
                <w:rFonts w:hint="eastAsia"/>
                <w:szCs w:val="21"/>
              </w:rPr>
            </w:pPr>
            <w:r>
              <w:rPr>
                <w:rFonts w:hint="eastAsia"/>
                <w:szCs w:val="21"/>
              </w:rPr>
              <w:t>A</w:t>
            </w:r>
            <w:r>
              <w:rPr>
                <w:rFonts w:hint="eastAsia"/>
                <w:szCs w:val="21"/>
                <w:vertAlign w:val="subscript"/>
              </w:rPr>
              <w:t>bar</w:t>
            </w:r>
            <w:r>
              <w:rPr>
                <w:rFonts w:hint="eastAsia"/>
                <w:szCs w:val="21"/>
              </w:rPr>
              <w:t>——障碍物屏蔽引起的衰减，dB；</w:t>
            </w:r>
          </w:p>
          <w:p>
            <w:pPr>
              <w:spacing w:line="276" w:lineRule="auto"/>
              <w:ind w:firstLine="420" w:firstLineChars="200"/>
              <w:rPr>
                <w:rFonts w:hint="eastAsia"/>
                <w:szCs w:val="21"/>
              </w:rPr>
            </w:pPr>
            <w:r>
              <w:rPr>
                <w:rFonts w:hint="eastAsia"/>
                <w:szCs w:val="21"/>
              </w:rPr>
              <w:t>A</w:t>
            </w:r>
            <w:r>
              <w:rPr>
                <w:rFonts w:hint="eastAsia"/>
                <w:szCs w:val="21"/>
                <w:vertAlign w:val="subscript"/>
              </w:rPr>
              <w:t>misc</w:t>
            </w:r>
            <w:r>
              <w:rPr>
                <w:rFonts w:hint="eastAsia"/>
                <w:szCs w:val="21"/>
              </w:rPr>
              <w:t>——其他多方面效应引起的衰减，dB。</w:t>
            </w:r>
          </w:p>
          <w:p>
            <w:pPr>
              <w:spacing w:line="276" w:lineRule="auto"/>
              <w:ind w:firstLine="420" w:firstLineChars="200"/>
              <w:rPr>
                <w:rFonts w:hint="eastAsia"/>
                <w:szCs w:val="21"/>
              </w:rPr>
            </w:pPr>
            <w:r>
              <w:rPr>
                <w:rFonts w:hint="eastAsia"/>
                <w:szCs w:val="21"/>
              </w:rPr>
              <w:t>②室内声源在预测点的声压级计算：</w:t>
            </w:r>
          </w:p>
          <w:p>
            <w:pPr>
              <w:spacing w:line="276" w:lineRule="auto"/>
              <w:ind w:firstLine="420" w:firstLineChars="200"/>
              <w:rPr>
                <w:rFonts w:hint="eastAsia"/>
                <w:szCs w:val="21"/>
              </w:rPr>
            </w:pPr>
            <w:r>
              <w:rPr>
                <w:rFonts w:hint="eastAsia"/>
                <w:szCs w:val="21"/>
              </w:rPr>
              <w:t>（一）首先计算某个室内声源在靠近围护结构处的声压级:</w:t>
            </w:r>
          </w:p>
          <w:p>
            <w:pPr>
              <w:spacing w:line="276" w:lineRule="auto"/>
              <w:ind w:firstLine="420" w:firstLineChars="200"/>
            </w:pPr>
            <w:r>
              <w:drawing>
                <wp:inline distT="0" distB="0" distL="114300" distR="114300">
                  <wp:extent cx="2105025" cy="493395"/>
                  <wp:effectExtent l="0" t="0" r="9525" b="1905"/>
                  <wp:docPr id="3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0"/>
                          <pic:cNvPicPr>
                            <a:picLocks noChangeAspect="1"/>
                          </pic:cNvPicPr>
                        </pic:nvPicPr>
                        <pic:blipFill>
                          <a:blip r:embed="rId10"/>
                          <a:stretch>
                            <a:fillRect/>
                          </a:stretch>
                        </pic:blipFill>
                        <pic:spPr>
                          <a:xfrm>
                            <a:off x="0" y="0"/>
                            <a:ext cx="2105025" cy="493395"/>
                          </a:xfrm>
                          <a:prstGeom prst="rect">
                            <a:avLst/>
                          </a:prstGeom>
                          <a:noFill/>
                          <a:ln>
                            <a:noFill/>
                          </a:ln>
                        </pic:spPr>
                      </pic:pic>
                    </a:graphicData>
                  </a:graphic>
                </wp:inline>
              </w:drawing>
            </w:r>
          </w:p>
          <w:p>
            <w:pPr>
              <w:spacing w:line="276" w:lineRule="auto"/>
              <w:ind w:firstLine="420" w:firstLineChars="200"/>
              <w:rPr>
                <w:rFonts w:hint="eastAsia"/>
                <w:szCs w:val="21"/>
              </w:rPr>
            </w:pPr>
            <w:r>
              <w:rPr>
                <w:rFonts w:hint="eastAsia"/>
                <w:szCs w:val="21"/>
              </w:rPr>
              <w:t>式中:L</w:t>
            </w:r>
            <w:r>
              <w:rPr>
                <w:rFonts w:hint="eastAsia"/>
                <w:szCs w:val="21"/>
                <w:vertAlign w:val="subscript"/>
              </w:rPr>
              <w:t>p1</w:t>
            </w:r>
            <w:r>
              <w:rPr>
                <w:rFonts w:hint="eastAsia"/>
                <w:szCs w:val="21"/>
              </w:rPr>
              <w:t>——靠近开口处（或窗户）室内某倍频带的声压级或A声级，dB；；</w:t>
            </w:r>
          </w:p>
          <w:p>
            <w:pPr>
              <w:spacing w:line="276" w:lineRule="auto"/>
              <w:ind w:firstLine="420" w:firstLineChars="200"/>
              <w:rPr>
                <w:rFonts w:hint="eastAsia"/>
                <w:szCs w:val="21"/>
              </w:rPr>
            </w:pPr>
            <w:r>
              <w:rPr>
                <w:rFonts w:hint="eastAsia"/>
                <w:szCs w:val="21"/>
              </w:rPr>
              <w:t>Lw——点声源声功率级（A计权或倍频带），dB；</w:t>
            </w:r>
          </w:p>
          <w:p>
            <w:pPr>
              <w:spacing w:line="276" w:lineRule="auto"/>
              <w:ind w:firstLine="420" w:firstLineChars="200"/>
              <w:rPr>
                <w:rFonts w:hint="eastAsia"/>
                <w:szCs w:val="21"/>
              </w:rPr>
            </w:pPr>
            <w:r>
              <w:rPr>
                <w:rFonts w:hint="eastAsia"/>
                <w:szCs w:val="21"/>
              </w:rPr>
              <w:t>Q——指向性因数；通常对无指向性声源，当声源放在房间中心时，Q=1；当放在一面墙的中心时，Q=2；当放在两面墙夹角处时，Q=4；当放在三面墙夹角处时，Q=8；</w:t>
            </w:r>
          </w:p>
          <w:p>
            <w:pPr>
              <w:spacing w:line="276" w:lineRule="auto"/>
              <w:ind w:firstLine="420" w:firstLineChars="200"/>
              <w:rPr>
                <w:rFonts w:cs="Times New Roman"/>
                <w:szCs w:val="21"/>
              </w:rPr>
            </w:pPr>
            <w:r>
              <w:rPr>
                <w:rFonts w:cs="Times New Roman"/>
                <w:szCs w:val="21"/>
              </w:rPr>
              <w:t>R——房间常数；R=Sα/（1-α），S为房间内表面面积，m</w:t>
            </w:r>
            <w:r>
              <w:rPr>
                <w:rFonts w:cs="Times New Roman"/>
                <w:szCs w:val="21"/>
                <w:vertAlign w:val="superscript"/>
              </w:rPr>
              <w:t>2</w:t>
            </w:r>
            <w:r>
              <w:rPr>
                <w:rFonts w:cs="Times New Roman"/>
                <w:szCs w:val="21"/>
              </w:rPr>
              <w:t>；α为平均吸声系数；</w:t>
            </w:r>
          </w:p>
          <w:p>
            <w:pPr>
              <w:spacing w:line="276" w:lineRule="auto"/>
              <w:ind w:firstLine="420" w:firstLineChars="200"/>
              <w:rPr>
                <w:rFonts w:hint="eastAsia"/>
                <w:szCs w:val="21"/>
              </w:rPr>
            </w:pPr>
            <w:r>
              <w:rPr>
                <w:rFonts w:hint="eastAsia"/>
                <w:szCs w:val="21"/>
              </w:rPr>
              <w:t>r——声源到靠近围护结构某点处的距离，m。</w:t>
            </w:r>
          </w:p>
          <w:p>
            <w:pPr>
              <w:spacing w:line="276" w:lineRule="auto"/>
              <w:ind w:firstLine="420" w:firstLineChars="200"/>
              <w:rPr>
                <w:rFonts w:hint="eastAsia"/>
                <w:szCs w:val="21"/>
              </w:rPr>
            </w:pPr>
            <w:r>
              <w:rPr>
                <w:rFonts w:hint="eastAsia"/>
                <w:szCs w:val="21"/>
              </w:rPr>
              <w:t>（二）然后计算出所有室内声源在围护结构处产生的i倍频带叠加声压级：</w:t>
            </w:r>
          </w:p>
          <w:p>
            <w:pPr>
              <w:pStyle w:val="46"/>
              <w:ind w:firstLine="236" w:firstLineChars="98"/>
              <w:jc w:val="both"/>
              <w:rPr>
                <w:rFonts w:hint="eastAsia"/>
                <w:color w:val="auto"/>
              </w:rPr>
            </w:pPr>
            <w:r>
              <w:rPr>
                <w:color w:val="auto"/>
              </w:rPr>
              <w:drawing>
                <wp:inline distT="0" distB="0" distL="114300" distR="114300">
                  <wp:extent cx="1996440" cy="518795"/>
                  <wp:effectExtent l="0" t="0" r="3810" b="14605"/>
                  <wp:docPr id="3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1"/>
                          <pic:cNvPicPr>
                            <a:picLocks noChangeAspect="1"/>
                          </pic:cNvPicPr>
                        </pic:nvPicPr>
                        <pic:blipFill>
                          <a:blip r:embed="rId11"/>
                          <a:stretch>
                            <a:fillRect/>
                          </a:stretch>
                        </pic:blipFill>
                        <pic:spPr>
                          <a:xfrm>
                            <a:off x="0" y="0"/>
                            <a:ext cx="1996440" cy="518795"/>
                          </a:xfrm>
                          <a:prstGeom prst="rect">
                            <a:avLst/>
                          </a:prstGeom>
                          <a:noFill/>
                          <a:ln>
                            <a:noFill/>
                          </a:ln>
                        </pic:spPr>
                      </pic:pic>
                    </a:graphicData>
                  </a:graphic>
                </wp:inline>
              </w:drawing>
            </w:r>
          </w:p>
          <w:p>
            <w:pPr>
              <w:spacing w:line="276" w:lineRule="auto"/>
              <w:ind w:firstLine="420" w:firstLineChars="200"/>
              <w:rPr>
                <w:rFonts w:hint="eastAsia"/>
                <w:szCs w:val="21"/>
              </w:rPr>
            </w:pPr>
            <w:r>
              <w:rPr>
                <w:rFonts w:hint="eastAsia"/>
                <w:szCs w:val="21"/>
              </w:rPr>
              <w:t>式中：</w:t>
            </w:r>
          </w:p>
          <w:p>
            <w:pPr>
              <w:spacing w:line="276" w:lineRule="auto"/>
              <w:ind w:firstLine="420" w:firstLineChars="200"/>
              <w:rPr>
                <w:rFonts w:hint="eastAsia"/>
                <w:szCs w:val="21"/>
              </w:rPr>
            </w:pPr>
            <w:r>
              <w:rPr>
                <w:rFonts w:hint="eastAsia"/>
                <w:szCs w:val="21"/>
              </w:rPr>
              <w:t>L</w:t>
            </w:r>
            <w:r>
              <w:rPr>
                <w:rFonts w:hint="eastAsia"/>
                <w:szCs w:val="21"/>
                <w:vertAlign w:val="subscript"/>
              </w:rPr>
              <w:t>pli（T）</w:t>
            </w:r>
            <w:r>
              <w:rPr>
                <w:rFonts w:hint="eastAsia"/>
                <w:szCs w:val="21"/>
              </w:rPr>
              <w:t>——靠近围护结构处室内N个声源i倍频带的叠加声压级，dB；</w:t>
            </w:r>
          </w:p>
          <w:p>
            <w:pPr>
              <w:spacing w:line="276" w:lineRule="auto"/>
              <w:ind w:firstLine="420" w:firstLineChars="200"/>
              <w:rPr>
                <w:rFonts w:hint="eastAsia"/>
                <w:szCs w:val="21"/>
              </w:rPr>
            </w:pPr>
            <w:r>
              <w:rPr>
                <w:rFonts w:hint="eastAsia"/>
                <w:szCs w:val="21"/>
              </w:rPr>
              <w:t>L</w:t>
            </w:r>
            <w:r>
              <w:rPr>
                <w:rFonts w:hint="eastAsia"/>
                <w:szCs w:val="21"/>
                <w:vertAlign w:val="subscript"/>
              </w:rPr>
              <w:t>pli</w:t>
            </w:r>
            <w:r>
              <w:rPr>
                <w:rFonts w:hint="eastAsia"/>
                <w:szCs w:val="21"/>
              </w:rPr>
              <w:t>——室内j声源i倍频带的声压级，dB；</w:t>
            </w:r>
          </w:p>
          <w:p>
            <w:pPr>
              <w:spacing w:line="276" w:lineRule="auto"/>
              <w:ind w:firstLine="420" w:firstLineChars="200"/>
              <w:rPr>
                <w:rFonts w:hint="eastAsia"/>
                <w:szCs w:val="21"/>
              </w:rPr>
            </w:pPr>
            <w:r>
              <w:rPr>
                <w:rFonts w:hint="eastAsia"/>
                <w:szCs w:val="21"/>
              </w:rPr>
              <w:t>N——室内声源总数。</w:t>
            </w:r>
          </w:p>
          <w:p>
            <w:pPr>
              <w:spacing w:line="276" w:lineRule="auto"/>
              <w:ind w:firstLine="420" w:firstLineChars="200"/>
              <w:rPr>
                <w:rFonts w:hint="eastAsia"/>
                <w:szCs w:val="21"/>
              </w:rPr>
            </w:pPr>
            <w:r>
              <w:rPr>
                <w:rFonts w:hint="eastAsia"/>
                <w:szCs w:val="21"/>
              </w:rPr>
              <w:t>（三）计算出室外靠近围护结构处的声压级：</w:t>
            </w:r>
          </w:p>
          <w:p>
            <w:pPr>
              <w:spacing w:line="276" w:lineRule="auto"/>
              <w:ind w:firstLine="420" w:firstLineChars="200"/>
              <w:jc w:val="center"/>
              <w:rPr>
                <w:rFonts w:hint="eastAsia"/>
                <w:szCs w:val="21"/>
              </w:rPr>
            </w:pPr>
            <w:r>
              <w:rPr>
                <w:rFonts w:hint="eastAsia"/>
                <w:szCs w:val="21"/>
              </w:rPr>
              <w:t>L</w:t>
            </w:r>
            <w:r>
              <w:rPr>
                <w:rFonts w:hint="eastAsia"/>
                <w:szCs w:val="21"/>
                <w:vertAlign w:val="subscript"/>
              </w:rPr>
              <w:t>p2i</w:t>
            </w:r>
            <w:r>
              <w:rPr>
                <w:rFonts w:hint="eastAsia"/>
              </w:rPr>
              <w:t>（T）</w:t>
            </w:r>
            <w:r>
              <w:rPr>
                <w:rFonts w:hint="eastAsia"/>
                <w:szCs w:val="21"/>
              </w:rPr>
              <w:t>=L</w:t>
            </w:r>
            <w:r>
              <w:rPr>
                <w:rFonts w:hint="eastAsia"/>
                <w:szCs w:val="21"/>
                <w:vertAlign w:val="subscript"/>
              </w:rPr>
              <w:t>pli</w:t>
            </w:r>
            <w:r>
              <w:rPr>
                <w:rFonts w:hint="eastAsia"/>
                <w:szCs w:val="21"/>
              </w:rPr>
              <w:t>（T）-（TL</w:t>
            </w:r>
            <w:r>
              <w:rPr>
                <w:rFonts w:hint="eastAsia"/>
                <w:szCs w:val="21"/>
                <w:vertAlign w:val="subscript"/>
              </w:rPr>
              <w:t>i</w:t>
            </w:r>
            <w:r>
              <w:rPr>
                <w:rFonts w:hint="eastAsia"/>
                <w:szCs w:val="21"/>
              </w:rPr>
              <w:t>+6）</w:t>
            </w:r>
          </w:p>
          <w:p>
            <w:pPr>
              <w:spacing w:line="276" w:lineRule="auto"/>
              <w:ind w:firstLine="420" w:firstLineChars="200"/>
              <w:rPr>
                <w:rFonts w:hint="eastAsia"/>
                <w:szCs w:val="21"/>
              </w:rPr>
            </w:pPr>
            <w:r>
              <w:rPr>
                <w:rFonts w:hint="eastAsia"/>
                <w:szCs w:val="21"/>
              </w:rPr>
              <w:t>式中：</w:t>
            </w:r>
          </w:p>
          <w:p>
            <w:pPr>
              <w:spacing w:line="276" w:lineRule="auto"/>
              <w:ind w:firstLine="420" w:firstLineChars="200"/>
              <w:rPr>
                <w:rFonts w:hint="eastAsia"/>
                <w:szCs w:val="21"/>
              </w:rPr>
            </w:pPr>
            <w:r>
              <w:rPr>
                <w:rFonts w:hint="eastAsia"/>
                <w:szCs w:val="21"/>
              </w:rPr>
              <w:t>L</w:t>
            </w:r>
            <w:r>
              <w:rPr>
                <w:rFonts w:hint="eastAsia"/>
                <w:szCs w:val="21"/>
                <w:vertAlign w:val="subscript"/>
              </w:rPr>
              <w:t>p2i</w:t>
            </w:r>
            <w:r>
              <w:rPr>
                <w:rFonts w:hint="eastAsia"/>
              </w:rPr>
              <w:t>（T）</w:t>
            </w:r>
            <w:r>
              <w:rPr>
                <w:rFonts w:hint="eastAsia"/>
                <w:szCs w:val="21"/>
              </w:rPr>
              <w:t>——靠近围护结构处室外N个声源i倍频带的叠加声压级，dB；</w:t>
            </w:r>
          </w:p>
          <w:p>
            <w:pPr>
              <w:spacing w:line="276" w:lineRule="auto"/>
              <w:ind w:firstLine="420" w:firstLineChars="200"/>
              <w:rPr>
                <w:rFonts w:hint="eastAsia"/>
                <w:szCs w:val="21"/>
              </w:rPr>
            </w:pPr>
            <w:r>
              <w:rPr>
                <w:rFonts w:hint="eastAsia"/>
                <w:szCs w:val="21"/>
              </w:rPr>
              <w:t>L</w:t>
            </w:r>
            <w:r>
              <w:rPr>
                <w:rFonts w:hint="eastAsia"/>
                <w:szCs w:val="21"/>
                <w:vertAlign w:val="subscript"/>
              </w:rPr>
              <w:t>pli</w:t>
            </w:r>
            <w:r>
              <w:rPr>
                <w:rFonts w:hint="eastAsia"/>
                <w:szCs w:val="21"/>
              </w:rPr>
              <w:t>（T）——靠近围护结构处室内N个声源i倍频带的叠加声压级，dB；</w:t>
            </w:r>
          </w:p>
          <w:p>
            <w:pPr>
              <w:spacing w:line="276" w:lineRule="auto"/>
              <w:ind w:firstLine="420" w:firstLineChars="200"/>
              <w:rPr>
                <w:rFonts w:hint="eastAsia"/>
                <w:szCs w:val="21"/>
              </w:rPr>
            </w:pPr>
            <w:r>
              <w:rPr>
                <w:rFonts w:hint="eastAsia"/>
                <w:szCs w:val="21"/>
              </w:rPr>
              <w:t>TL</w:t>
            </w:r>
            <w:r>
              <w:rPr>
                <w:rFonts w:hint="eastAsia"/>
                <w:szCs w:val="21"/>
                <w:vertAlign w:val="subscript"/>
              </w:rPr>
              <w:t>i</w:t>
            </w:r>
            <w:r>
              <w:rPr>
                <w:rFonts w:hint="eastAsia"/>
                <w:szCs w:val="21"/>
              </w:rPr>
              <w:t>——围护结构i倍频带的隔声量，dB。</w:t>
            </w:r>
          </w:p>
          <w:p>
            <w:pPr>
              <w:spacing w:line="276" w:lineRule="auto"/>
              <w:ind w:firstLine="420" w:firstLineChars="200"/>
              <w:rPr>
                <w:rFonts w:hint="eastAsia"/>
                <w:szCs w:val="21"/>
              </w:rPr>
            </w:pPr>
            <w:r>
              <w:rPr>
                <w:rFonts w:hint="eastAsia"/>
                <w:szCs w:val="21"/>
              </w:rPr>
              <w:t>（四）将室外声级和透声面积换算成等效的室外声源，计算出等效声源第i个倍频带的声功率级：</w:t>
            </w:r>
          </w:p>
          <w:p>
            <w:pPr>
              <w:spacing w:line="276" w:lineRule="auto"/>
              <w:ind w:firstLine="420" w:firstLineChars="200"/>
              <w:jc w:val="center"/>
              <w:rPr>
                <w:rFonts w:hint="eastAsia"/>
                <w:szCs w:val="21"/>
              </w:rPr>
            </w:pPr>
            <w:r>
              <w:rPr>
                <w:rFonts w:hint="eastAsia"/>
                <w:szCs w:val="21"/>
              </w:rPr>
              <w:t>L</w:t>
            </w:r>
            <w:r>
              <w:rPr>
                <w:rFonts w:hint="eastAsia"/>
                <w:szCs w:val="21"/>
                <w:vertAlign w:val="subscript"/>
              </w:rPr>
              <w:t>w</w:t>
            </w:r>
            <w:r>
              <w:rPr>
                <w:rFonts w:hint="eastAsia"/>
                <w:szCs w:val="21"/>
              </w:rPr>
              <w:t>=L</w:t>
            </w:r>
            <w:r>
              <w:rPr>
                <w:rFonts w:hint="eastAsia"/>
                <w:szCs w:val="21"/>
                <w:vertAlign w:val="subscript"/>
              </w:rPr>
              <w:t>p2</w:t>
            </w:r>
            <w:r>
              <w:rPr>
                <w:rFonts w:hint="eastAsia"/>
                <w:szCs w:val="21"/>
              </w:rPr>
              <w:t>（T）+10lgS</w:t>
            </w:r>
          </w:p>
          <w:p>
            <w:pPr>
              <w:spacing w:line="276" w:lineRule="auto"/>
              <w:ind w:firstLine="420" w:firstLineChars="200"/>
              <w:rPr>
                <w:rFonts w:hint="eastAsia"/>
                <w:szCs w:val="21"/>
              </w:rPr>
            </w:pPr>
            <w:r>
              <w:rPr>
                <w:rFonts w:hint="eastAsia"/>
                <w:szCs w:val="21"/>
              </w:rPr>
              <w:t>式中：L</w:t>
            </w:r>
            <w:r>
              <w:rPr>
                <w:rFonts w:hint="eastAsia"/>
                <w:szCs w:val="21"/>
                <w:vertAlign w:val="subscript"/>
              </w:rPr>
              <w:t>w</w:t>
            </w:r>
            <w:r>
              <w:rPr>
                <w:rFonts w:hint="eastAsia"/>
                <w:szCs w:val="21"/>
              </w:rPr>
              <w:t>——中心位置位于透声面积（S）处的等效声源的倍频带声功率级，dB；</w:t>
            </w:r>
          </w:p>
          <w:p>
            <w:pPr>
              <w:spacing w:line="276" w:lineRule="auto"/>
              <w:ind w:firstLine="420" w:firstLineChars="200"/>
              <w:rPr>
                <w:rFonts w:hint="eastAsia"/>
                <w:szCs w:val="21"/>
              </w:rPr>
            </w:pPr>
            <w:r>
              <w:rPr>
                <w:rFonts w:hint="eastAsia"/>
                <w:szCs w:val="21"/>
              </w:rPr>
              <w:t>L</w:t>
            </w:r>
            <w:r>
              <w:rPr>
                <w:rFonts w:hint="eastAsia"/>
                <w:szCs w:val="21"/>
                <w:vertAlign w:val="subscript"/>
              </w:rPr>
              <w:t>p2</w:t>
            </w:r>
            <w:r>
              <w:rPr>
                <w:rFonts w:hint="eastAsia"/>
                <w:szCs w:val="21"/>
              </w:rPr>
              <w:t>（T）——靠近围护结构处室外声源的声压级，dB；</w:t>
            </w:r>
          </w:p>
          <w:p>
            <w:pPr>
              <w:spacing w:line="276" w:lineRule="auto"/>
              <w:ind w:firstLine="420" w:firstLineChars="200"/>
              <w:rPr>
                <w:rFonts w:hint="eastAsia"/>
                <w:szCs w:val="21"/>
              </w:rPr>
            </w:pPr>
            <w:r>
              <w:rPr>
                <w:rFonts w:hint="eastAsia"/>
                <w:szCs w:val="21"/>
              </w:rPr>
              <w:t>S——透声面积，m</w:t>
            </w:r>
            <w:r>
              <w:rPr>
                <w:rFonts w:hint="eastAsia"/>
                <w:szCs w:val="21"/>
                <w:vertAlign w:val="superscript"/>
              </w:rPr>
              <w:t>2</w:t>
            </w:r>
            <w:r>
              <w:rPr>
                <w:rFonts w:hint="eastAsia"/>
                <w:szCs w:val="21"/>
              </w:rPr>
              <w:t>。</w:t>
            </w:r>
          </w:p>
          <w:p>
            <w:pPr>
              <w:numPr>
                <w:ilvl w:val="0"/>
                <w:numId w:val="1"/>
              </w:numPr>
              <w:spacing w:line="276" w:lineRule="auto"/>
              <w:ind w:firstLine="420" w:firstLineChars="200"/>
              <w:rPr>
                <w:rFonts w:hint="eastAsia"/>
                <w:szCs w:val="21"/>
              </w:rPr>
            </w:pPr>
            <w:r>
              <w:rPr>
                <w:rFonts w:hint="eastAsia"/>
                <w:szCs w:val="21"/>
              </w:rPr>
              <w:t>等效室外声源的位置为围护结构的位置，其声功率级为L</w:t>
            </w:r>
            <w:r>
              <w:rPr>
                <w:rFonts w:hint="eastAsia"/>
                <w:szCs w:val="21"/>
                <w:vertAlign w:val="subscript"/>
              </w:rPr>
              <w:t>w</w:t>
            </w:r>
            <w:r>
              <w:rPr>
                <w:rFonts w:hint="eastAsia"/>
                <w:szCs w:val="21"/>
              </w:rPr>
              <w:t>，由此计算等效声源在预测点产生的声级。</w:t>
            </w:r>
          </w:p>
          <w:p>
            <w:pPr>
              <w:spacing w:line="276" w:lineRule="auto"/>
              <w:ind w:firstLine="420" w:firstLineChars="200"/>
              <w:rPr>
                <w:rFonts w:hint="eastAsia"/>
                <w:szCs w:val="21"/>
              </w:rPr>
            </w:pPr>
            <w:r>
              <w:rPr>
                <w:rFonts w:hint="eastAsia"/>
                <w:szCs w:val="21"/>
              </w:rPr>
              <w:t>③总声级的计算</w:t>
            </w:r>
          </w:p>
          <w:p>
            <w:pPr>
              <w:spacing w:line="276" w:lineRule="auto"/>
              <w:ind w:firstLine="420" w:firstLineChars="200"/>
              <w:rPr>
                <w:rFonts w:hint="eastAsia"/>
                <w:szCs w:val="21"/>
              </w:rPr>
            </w:pPr>
            <w:r>
              <w:rPr>
                <w:rFonts w:hint="eastAsia"/>
                <w:szCs w:val="21"/>
              </w:rPr>
              <w:t>设第i个室外声源在预测点产生的A声级为L</w:t>
            </w:r>
            <w:r>
              <w:rPr>
                <w:rFonts w:hint="eastAsia"/>
                <w:szCs w:val="21"/>
                <w:vertAlign w:val="subscript"/>
              </w:rPr>
              <w:t>Ai</w:t>
            </w:r>
            <w:r>
              <w:rPr>
                <w:rFonts w:hint="eastAsia"/>
                <w:szCs w:val="21"/>
              </w:rPr>
              <w:t>，在T时间内该声源工作时间为t</w:t>
            </w:r>
            <w:r>
              <w:rPr>
                <w:rFonts w:hint="eastAsia"/>
                <w:szCs w:val="21"/>
                <w:vertAlign w:val="subscript"/>
              </w:rPr>
              <w:t>i</w:t>
            </w:r>
            <w:r>
              <w:rPr>
                <w:rFonts w:hint="eastAsia"/>
                <w:szCs w:val="21"/>
              </w:rPr>
              <w:t>；第j个等效室外声源在预测点产生的A声级为L</w:t>
            </w:r>
            <w:r>
              <w:rPr>
                <w:rFonts w:hint="eastAsia"/>
                <w:szCs w:val="21"/>
                <w:vertAlign w:val="subscript"/>
              </w:rPr>
              <w:t>Aj</w:t>
            </w:r>
            <w:r>
              <w:rPr>
                <w:rFonts w:hint="eastAsia"/>
                <w:szCs w:val="21"/>
              </w:rPr>
              <w:t>，在T时间内该声源工作时间为t</w:t>
            </w:r>
            <w:r>
              <w:rPr>
                <w:rFonts w:hint="eastAsia"/>
                <w:szCs w:val="21"/>
                <w:vertAlign w:val="subscript"/>
              </w:rPr>
              <w:t>j</w:t>
            </w:r>
            <w:r>
              <w:rPr>
                <w:rFonts w:hint="eastAsia"/>
                <w:szCs w:val="21"/>
              </w:rPr>
              <w:t>，则拟建工程声源对预测点产生的贡献值（L</w:t>
            </w:r>
            <w:r>
              <w:rPr>
                <w:rFonts w:hint="eastAsia"/>
                <w:szCs w:val="21"/>
                <w:vertAlign w:val="subscript"/>
              </w:rPr>
              <w:t>eqg</w:t>
            </w:r>
            <w:r>
              <w:rPr>
                <w:rFonts w:hint="eastAsia"/>
                <w:szCs w:val="21"/>
              </w:rPr>
              <w:t>）为：：</w:t>
            </w:r>
          </w:p>
          <w:p>
            <w:pPr>
              <w:spacing w:line="276" w:lineRule="auto"/>
              <w:ind w:firstLine="420" w:firstLineChars="200"/>
              <w:rPr>
                <w:rFonts w:hint="eastAsia"/>
                <w:szCs w:val="21"/>
              </w:rPr>
            </w:pPr>
            <w:r>
              <w:drawing>
                <wp:inline distT="0" distB="0" distL="114300" distR="114300">
                  <wp:extent cx="2070100" cy="431800"/>
                  <wp:effectExtent l="0" t="0" r="6350" b="635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12"/>
                          <a:stretch>
                            <a:fillRect/>
                          </a:stretch>
                        </pic:blipFill>
                        <pic:spPr>
                          <a:xfrm>
                            <a:off x="0" y="0"/>
                            <a:ext cx="2070100" cy="431800"/>
                          </a:xfrm>
                          <a:prstGeom prst="rect">
                            <a:avLst/>
                          </a:prstGeom>
                          <a:noFill/>
                          <a:ln>
                            <a:noFill/>
                          </a:ln>
                        </pic:spPr>
                      </pic:pic>
                    </a:graphicData>
                  </a:graphic>
                </wp:inline>
              </w:drawing>
            </w:r>
          </w:p>
          <w:p>
            <w:pPr>
              <w:spacing w:line="276" w:lineRule="auto"/>
              <w:ind w:firstLine="420" w:firstLineChars="200"/>
              <w:rPr>
                <w:rFonts w:hint="eastAsia"/>
                <w:szCs w:val="21"/>
              </w:rPr>
            </w:pPr>
            <w:r>
              <w:rPr>
                <w:rFonts w:hint="eastAsia"/>
                <w:szCs w:val="21"/>
              </w:rPr>
              <w:t>式中：L</w:t>
            </w:r>
            <w:r>
              <w:rPr>
                <w:rFonts w:hint="eastAsia"/>
                <w:szCs w:val="21"/>
                <w:vertAlign w:val="subscript"/>
              </w:rPr>
              <w:t>eqg</w:t>
            </w:r>
            <w:r>
              <w:rPr>
                <w:rFonts w:hint="eastAsia"/>
                <w:szCs w:val="21"/>
              </w:rPr>
              <w:t>——建设项目声源在预测点产生的噪声贡献值，dB；</w:t>
            </w:r>
          </w:p>
          <w:p>
            <w:pPr>
              <w:spacing w:line="276" w:lineRule="auto"/>
              <w:ind w:firstLine="420" w:firstLineChars="200"/>
              <w:rPr>
                <w:rFonts w:hint="eastAsia"/>
                <w:szCs w:val="21"/>
              </w:rPr>
            </w:pPr>
            <w:r>
              <w:rPr>
                <w:rFonts w:hint="eastAsia"/>
                <w:szCs w:val="21"/>
              </w:rPr>
              <w:t>T——用于计算等效声级的时间，s；</w:t>
            </w:r>
          </w:p>
          <w:p>
            <w:pPr>
              <w:spacing w:line="276" w:lineRule="auto"/>
              <w:ind w:firstLine="420" w:firstLineChars="200"/>
              <w:rPr>
                <w:rFonts w:hint="eastAsia"/>
                <w:szCs w:val="21"/>
              </w:rPr>
            </w:pPr>
            <w:r>
              <w:rPr>
                <w:rFonts w:hint="eastAsia"/>
                <w:szCs w:val="21"/>
              </w:rPr>
              <w:t>N——室外声源个数；</w:t>
            </w:r>
          </w:p>
          <w:p>
            <w:pPr>
              <w:spacing w:line="276" w:lineRule="auto"/>
              <w:ind w:firstLine="420" w:firstLineChars="200"/>
              <w:rPr>
                <w:rFonts w:hint="eastAsia"/>
                <w:szCs w:val="21"/>
              </w:rPr>
            </w:pPr>
            <w:r>
              <w:rPr>
                <w:rFonts w:hint="eastAsia"/>
                <w:szCs w:val="21"/>
              </w:rPr>
              <w:t>t</w:t>
            </w:r>
            <w:r>
              <w:rPr>
                <w:rFonts w:hint="eastAsia"/>
                <w:szCs w:val="21"/>
                <w:vertAlign w:val="subscript"/>
              </w:rPr>
              <w:t>i</w:t>
            </w:r>
            <w:r>
              <w:rPr>
                <w:rFonts w:hint="eastAsia"/>
                <w:szCs w:val="21"/>
              </w:rPr>
              <w:t>——在T时间内i声源工作时间，s；</w:t>
            </w:r>
          </w:p>
          <w:p>
            <w:pPr>
              <w:spacing w:line="276" w:lineRule="auto"/>
              <w:ind w:firstLine="420" w:firstLineChars="200"/>
              <w:rPr>
                <w:rFonts w:hint="eastAsia"/>
                <w:szCs w:val="21"/>
              </w:rPr>
            </w:pPr>
            <w:r>
              <w:rPr>
                <w:rFonts w:hint="eastAsia"/>
                <w:szCs w:val="21"/>
              </w:rPr>
              <w:t>M——等效室外声源个数；</w:t>
            </w:r>
          </w:p>
          <w:p>
            <w:pPr>
              <w:spacing w:line="276" w:lineRule="auto"/>
              <w:ind w:firstLine="420" w:firstLineChars="200"/>
              <w:rPr>
                <w:rFonts w:hint="eastAsia"/>
                <w:szCs w:val="21"/>
              </w:rPr>
            </w:pPr>
            <w:r>
              <w:rPr>
                <w:rFonts w:hint="eastAsia"/>
                <w:szCs w:val="21"/>
              </w:rPr>
              <w:t>t</w:t>
            </w:r>
            <w:r>
              <w:rPr>
                <w:rFonts w:hint="eastAsia"/>
                <w:szCs w:val="21"/>
                <w:vertAlign w:val="subscript"/>
              </w:rPr>
              <w:t>j</w:t>
            </w:r>
            <w:r>
              <w:rPr>
                <w:rFonts w:hint="eastAsia"/>
                <w:szCs w:val="21"/>
              </w:rPr>
              <w:t>——在T时间内j声源工作时间，s。</w:t>
            </w:r>
          </w:p>
          <w:p>
            <w:pPr>
              <w:spacing w:line="276" w:lineRule="auto"/>
              <w:ind w:firstLine="422" w:firstLineChars="200"/>
              <w:rPr>
                <w:rFonts w:hint="eastAsia"/>
                <w:b/>
                <w:bCs/>
                <w:szCs w:val="21"/>
              </w:rPr>
            </w:pPr>
            <w:r>
              <w:rPr>
                <w:rFonts w:hint="eastAsia"/>
                <w:b/>
                <w:bCs/>
                <w:szCs w:val="21"/>
              </w:rPr>
              <w:t>2）参数确定</w:t>
            </w:r>
          </w:p>
          <w:p>
            <w:pPr>
              <w:spacing w:line="276" w:lineRule="auto"/>
              <w:ind w:firstLine="420" w:firstLineChars="200"/>
              <w:rPr>
                <w:rFonts w:hint="eastAsia"/>
                <w:szCs w:val="21"/>
              </w:rPr>
            </w:pPr>
            <w:r>
              <w:rPr>
                <w:rFonts w:hint="eastAsia"/>
                <w:szCs w:val="21"/>
              </w:rPr>
              <w:t>①声波几何发散引起的A声级衰减量：</w:t>
            </w:r>
          </w:p>
          <w:p>
            <w:pPr>
              <w:spacing w:line="276" w:lineRule="auto"/>
              <w:ind w:firstLine="420" w:firstLineChars="200"/>
              <w:rPr>
                <w:rFonts w:hint="eastAsia"/>
                <w:szCs w:val="21"/>
              </w:rPr>
            </w:pPr>
            <w:r>
              <w:rPr>
                <w:rFonts w:hint="eastAsia"/>
                <w:szCs w:val="21"/>
              </w:rPr>
              <w:t>点声源A</w:t>
            </w:r>
            <w:r>
              <w:rPr>
                <w:rFonts w:hint="eastAsia"/>
                <w:szCs w:val="21"/>
                <w:vertAlign w:val="subscript"/>
              </w:rPr>
              <w:t>div</w:t>
            </w:r>
            <w:r>
              <w:rPr>
                <w:rFonts w:hint="eastAsia"/>
                <w:szCs w:val="21"/>
              </w:rPr>
              <w:t>= 201g(r/r</w:t>
            </w:r>
            <w:r>
              <w:rPr>
                <w:rFonts w:hint="eastAsia"/>
                <w:szCs w:val="21"/>
                <w:vertAlign w:val="subscript"/>
              </w:rPr>
              <w:t>0</w:t>
            </w:r>
            <w:r>
              <w:rPr>
                <w:rFonts w:hint="eastAsia"/>
                <w:szCs w:val="21"/>
              </w:rPr>
              <w:t>)</w:t>
            </w:r>
          </w:p>
          <w:p>
            <w:pPr>
              <w:spacing w:line="276" w:lineRule="auto"/>
              <w:ind w:firstLine="420" w:firstLineChars="200"/>
              <w:rPr>
                <w:rFonts w:hint="eastAsia"/>
                <w:szCs w:val="21"/>
                <w:vertAlign w:val="subscript"/>
              </w:rPr>
            </w:pPr>
            <w:r>
              <w:rPr>
                <w:rFonts w:hint="eastAsia"/>
                <w:szCs w:val="21"/>
              </w:rPr>
              <w:t>②空气吸收衰减量A</w:t>
            </w:r>
            <w:r>
              <w:rPr>
                <w:rFonts w:hint="eastAsia"/>
                <w:szCs w:val="21"/>
                <w:vertAlign w:val="subscript"/>
              </w:rPr>
              <w:t>atm</w:t>
            </w:r>
            <w:r>
              <w:rPr>
                <w:rFonts w:hint="eastAsia"/>
                <w:szCs w:val="21"/>
              </w:rPr>
              <w:t>：</w:t>
            </w:r>
          </w:p>
          <w:p>
            <w:pPr>
              <w:spacing w:line="276" w:lineRule="auto"/>
              <w:ind w:firstLine="420" w:firstLineChars="200"/>
              <w:rPr>
                <w:rFonts w:hint="eastAsia"/>
                <w:szCs w:val="21"/>
              </w:rPr>
            </w:pPr>
            <w:r>
              <w:rPr>
                <w:rFonts w:hint="eastAsia"/>
                <w:szCs w:val="21"/>
              </w:rPr>
              <w:t>拟建项目噪声以中低频为主，空气吸收性衰减很少，预测时可忽略不计。</w:t>
            </w:r>
          </w:p>
          <w:p>
            <w:pPr>
              <w:spacing w:line="276" w:lineRule="auto"/>
              <w:ind w:firstLine="420" w:firstLineChars="200"/>
              <w:rPr>
                <w:rFonts w:hint="eastAsia"/>
                <w:szCs w:val="21"/>
              </w:rPr>
            </w:pPr>
            <w:r>
              <w:rPr>
                <w:rFonts w:hint="eastAsia"/>
                <w:szCs w:val="21"/>
              </w:rPr>
              <w:t>③遮挡物引起的衰减量A</w:t>
            </w:r>
            <w:r>
              <w:rPr>
                <w:rFonts w:hint="eastAsia"/>
                <w:szCs w:val="21"/>
                <w:vertAlign w:val="subscript"/>
              </w:rPr>
              <w:t>bar</w:t>
            </w:r>
            <w:r>
              <w:rPr>
                <w:rFonts w:hint="eastAsia"/>
                <w:szCs w:val="21"/>
              </w:rPr>
              <w:t>：</w:t>
            </w:r>
          </w:p>
          <w:p>
            <w:pPr>
              <w:spacing w:line="276" w:lineRule="auto"/>
              <w:ind w:firstLine="420" w:firstLineChars="200"/>
              <w:rPr>
                <w:rFonts w:hint="eastAsia"/>
                <w:szCs w:val="21"/>
              </w:rPr>
            </w:pPr>
            <w:r>
              <w:rPr>
                <w:rFonts w:hint="eastAsia"/>
                <w:szCs w:val="21"/>
              </w:rPr>
              <w:t>噪声在向外传播过程中将受到厂房或其它车间的阻挡影响，从而引起声能量的衰减，具体衰减根据不同声级的传播途径而定，一般取0~30dB（A），本次环评取15。</w:t>
            </w:r>
          </w:p>
          <w:p>
            <w:pPr>
              <w:spacing w:line="276" w:lineRule="auto"/>
              <w:ind w:firstLine="420" w:firstLineChars="200"/>
              <w:rPr>
                <w:rFonts w:hint="eastAsia"/>
                <w:szCs w:val="21"/>
              </w:rPr>
            </w:pPr>
            <w:r>
              <w:rPr>
                <w:rFonts w:hint="eastAsia"/>
                <w:szCs w:val="21"/>
              </w:rPr>
              <w:t>④地面效应引起的声级衰减量A</w:t>
            </w:r>
            <w:r>
              <w:rPr>
                <w:rFonts w:hint="eastAsia"/>
                <w:szCs w:val="21"/>
                <w:vertAlign w:val="subscript"/>
              </w:rPr>
              <w:t>gr</w:t>
            </w:r>
            <w:r>
              <w:rPr>
                <w:rFonts w:hint="eastAsia"/>
                <w:szCs w:val="21"/>
              </w:rPr>
              <w:t>：</w:t>
            </w:r>
          </w:p>
          <w:p>
            <w:pPr>
              <w:spacing w:line="276" w:lineRule="auto"/>
              <w:ind w:firstLine="420" w:firstLineChars="200"/>
              <w:rPr>
                <w:rFonts w:hint="eastAsia"/>
                <w:szCs w:val="21"/>
              </w:rPr>
            </w:pPr>
            <w:r>
              <w:rPr>
                <w:rFonts w:hint="eastAsia"/>
                <w:szCs w:val="21"/>
              </w:rPr>
              <w:t>根据项目总平面布置和噪声源强及外环境状况，可以忽略本项附加衰减量。</w:t>
            </w:r>
          </w:p>
          <w:p>
            <w:pPr>
              <w:spacing w:line="276" w:lineRule="auto"/>
              <w:ind w:firstLine="420" w:firstLineChars="200"/>
              <w:rPr>
                <w:rFonts w:hint="eastAsia"/>
                <w:szCs w:val="21"/>
              </w:rPr>
            </w:pPr>
            <w:r>
              <w:rPr>
                <w:rFonts w:hint="eastAsia"/>
                <w:szCs w:val="21"/>
              </w:rPr>
              <w:t>⑤其他多方面效应引起的声级衰减量A</w:t>
            </w:r>
            <w:r>
              <w:rPr>
                <w:rFonts w:hint="eastAsia"/>
                <w:szCs w:val="21"/>
                <w:vertAlign w:val="subscript"/>
              </w:rPr>
              <w:t>misc</w:t>
            </w:r>
            <w:r>
              <w:rPr>
                <w:rFonts w:hint="eastAsia"/>
                <w:szCs w:val="21"/>
              </w:rPr>
              <w:t>：</w:t>
            </w:r>
          </w:p>
          <w:p>
            <w:pPr>
              <w:spacing w:line="276" w:lineRule="auto"/>
              <w:ind w:firstLine="420" w:firstLineChars="200"/>
              <w:rPr>
                <w:rFonts w:hint="eastAsia"/>
                <w:szCs w:val="21"/>
              </w:rPr>
            </w:pPr>
            <w:r>
              <w:rPr>
                <w:rFonts w:hint="eastAsia"/>
                <w:szCs w:val="21"/>
              </w:rPr>
              <w:t>其他衰减包括通过工业场所的衰减，通过房屋群的衰减等。一般情况下，不考虑自然条件（如风、温度梯度、雾）变化引起的附加修正。</w:t>
            </w:r>
          </w:p>
          <w:p>
            <w:pPr>
              <w:spacing w:line="276" w:lineRule="auto"/>
              <w:ind w:firstLine="422" w:firstLineChars="200"/>
              <w:rPr>
                <w:b/>
                <w:bCs/>
                <w:szCs w:val="21"/>
              </w:rPr>
            </w:pPr>
            <w:r>
              <w:rPr>
                <w:rFonts w:hint="eastAsia"/>
                <w:b/>
                <w:bCs/>
                <w:szCs w:val="21"/>
              </w:rPr>
              <w:t>3）预测结果</w:t>
            </w:r>
          </w:p>
          <w:p>
            <w:pPr>
              <w:spacing w:line="276" w:lineRule="auto"/>
              <w:ind w:firstLine="420" w:firstLineChars="200"/>
              <w:rPr>
                <w:rFonts w:hint="eastAsia"/>
                <w:szCs w:val="21"/>
              </w:rPr>
            </w:pPr>
            <w:r>
              <w:rPr>
                <w:rFonts w:hint="eastAsia"/>
                <w:szCs w:val="21"/>
              </w:rPr>
              <w:t>根据不同设备的噪声级、确定的预测模式以及拟采取的降噪措施计算出不同距离处的噪声值。项目厂界噪声贡预测结果如下图和下表所示。</w:t>
            </w:r>
          </w:p>
          <w:p>
            <w:pPr>
              <w:spacing w:line="276" w:lineRule="auto"/>
              <w:jc w:val="center"/>
              <w:rPr>
                <w:rFonts w:hint="eastAsia"/>
                <w:b/>
                <w:bCs/>
                <w:color w:val="FF00FF"/>
                <w:szCs w:val="21"/>
              </w:rPr>
            </w:pPr>
          </w:p>
          <w:p>
            <w:pPr>
              <w:spacing w:line="276" w:lineRule="auto"/>
              <w:jc w:val="center"/>
              <w:rPr>
                <w:rFonts w:hint="eastAsia"/>
                <w:b/>
                <w:bCs/>
                <w:color w:val="FF00FF"/>
                <w:szCs w:val="21"/>
              </w:rPr>
            </w:pPr>
          </w:p>
          <w:p>
            <w:pPr>
              <w:pStyle w:val="2"/>
              <w:spacing w:after="0"/>
              <w:rPr>
                <w:rFonts w:hint="eastAsia"/>
              </w:rPr>
            </w:pPr>
          </w:p>
          <w:p>
            <w:pPr>
              <w:spacing w:line="276" w:lineRule="auto"/>
              <w:rPr>
                <w:rFonts w:hint="eastAsia"/>
                <w:szCs w:val="21"/>
              </w:rPr>
            </w:pPr>
            <w:r>
              <w:rPr>
                <w:szCs w:val="21"/>
              </w:rPr>
              <w:drawing>
                <wp:inline distT="0" distB="0" distL="114300" distR="114300">
                  <wp:extent cx="5012690" cy="3960495"/>
                  <wp:effectExtent l="0" t="0" r="16510" b="1905"/>
                  <wp:docPr id="36" name="图片 10" descr="昼间等值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昼间等值线"/>
                          <pic:cNvPicPr>
                            <a:picLocks noChangeAspect="1"/>
                          </pic:cNvPicPr>
                        </pic:nvPicPr>
                        <pic:blipFill>
                          <a:blip r:embed="rId13"/>
                          <a:stretch>
                            <a:fillRect/>
                          </a:stretch>
                        </pic:blipFill>
                        <pic:spPr>
                          <a:xfrm>
                            <a:off x="0" y="0"/>
                            <a:ext cx="5012690" cy="3960495"/>
                          </a:xfrm>
                          <a:prstGeom prst="rect">
                            <a:avLst/>
                          </a:prstGeom>
                          <a:noFill/>
                          <a:ln>
                            <a:noFill/>
                          </a:ln>
                        </pic:spPr>
                      </pic:pic>
                    </a:graphicData>
                  </a:graphic>
                </wp:inline>
              </w:drawing>
            </w:r>
          </w:p>
          <w:p>
            <w:pPr>
              <w:spacing w:line="276" w:lineRule="auto"/>
              <w:jc w:val="center"/>
              <w:rPr>
                <w:rFonts w:cs="Times New Roman"/>
                <w:b/>
                <w:bCs/>
                <w:szCs w:val="21"/>
              </w:rPr>
            </w:pPr>
            <w:r>
              <w:rPr>
                <w:rFonts w:cs="Times New Roman"/>
                <w:b/>
                <w:bCs/>
                <w:szCs w:val="21"/>
              </w:rPr>
              <w:t>图</w:t>
            </w:r>
            <w:r>
              <w:rPr>
                <w:rFonts w:hint="eastAsia" w:cs="Times New Roman"/>
                <w:b/>
                <w:bCs/>
                <w:szCs w:val="21"/>
              </w:rPr>
              <w:t>4-1：项目昼间噪声预测等值线</w:t>
            </w:r>
            <w:r>
              <w:rPr>
                <w:rFonts w:cs="Times New Roman"/>
                <w:b/>
                <w:bCs/>
                <w:szCs w:val="21"/>
              </w:rPr>
              <w:t>图</w:t>
            </w:r>
          </w:p>
          <w:p>
            <w:pPr>
              <w:spacing w:line="276" w:lineRule="auto"/>
              <w:ind w:firstLine="52" w:firstLineChars="25"/>
              <w:rPr>
                <w:rFonts w:hint="eastAsia"/>
                <w:szCs w:val="21"/>
              </w:rPr>
            </w:pPr>
            <w:r>
              <w:rPr>
                <w:szCs w:val="21"/>
              </w:rPr>
              <w:drawing>
                <wp:inline distT="0" distB="0" distL="114300" distR="114300">
                  <wp:extent cx="5124450" cy="3963670"/>
                  <wp:effectExtent l="0" t="0" r="0" b="17780"/>
                  <wp:docPr id="37" name="图片 11" descr="夜间等值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夜间等值线"/>
                          <pic:cNvPicPr>
                            <a:picLocks noChangeAspect="1"/>
                          </pic:cNvPicPr>
                        </pic:nvPicPr>
                        <pic:blipFill>
                          <a:blip r:embed="rId14"/>
                          <a:stretch>
                            <a:fillRect/>
                          </a:stretch>
                        </pic:blipFill>
                        <pic:spPr>
                          <a:xfrm>
                            <a:off x="0" y="0"/>
                            <a:ext cx="5124450" cy="3963670"/>
                          </a:xfrm>
                          <a:prstGeom prst="rect">
                            <a:avLst/>
                          </a:prstGeom>
                          <a:noFill/>
                          <a:ln>
                            <a:noFill/>
                          </a:ln>
                        </pic:spPr>
                      </pic:pic>
                    </a:graphicData>
                  </a:graphic>
                </wp:inline>
              </w:drawing>
            </w:r>
          </w:p>
          <w:p>
            <w:pPr>
              <w:spacing w:line="276" w:lineRule="auto"/>
              <w:jc w:val="center"/>
              <w:rPr>
                <w:rFonts w:cs="Times New Roman"/>
                <w:b/>
                <w:bCs/>
                <w:szCs w:val="21"/>
              </w:rPr>
            </w:pPr>
            <w:r>
              <w:rPr>
                <w:rFonts w:cs="Times New Roman"/>
                <w:b/>
                <w:bCs/>
                <w:szCs w:val="21"/>
              </w:rPr>
              <w:t>图</w:t>
            </w:r>
            <w:r>
              <w:rPr>
                <w:rFonts w:hint="eastAsia" w:cs="Times New Roman"/>
                <w:b/>
                <w:bCs/>
                <w:szCs w:val="21"/>
              </w:rPr>
              <w:t>4-2：项目夜间噪声预测等值线</w:t>
            </w:r>
            <w:r>
              <w:rPr>
                <w:rFonts w:cs="Times New Roman"/>
                <w:b/>
                <w:bCs/>
                <w:szCs w:val="21"/>
              </w:rPr>
              <w:t>图</w:t>
            </w:r>
          </w:p>
          <w:p>
            <w:pPr>
              <w:spacing w:line="276" w:lineRule="auto"/>
              <w:ind w:firstLine="420" w:firstLineChars="200"/>
              <w:rPr>
                <w:rFonts w:hint="eastAsia"/>
                <w:szCs w:val="21"/>
              </w:rPr>
            </w:pPr>
          </w:p>
          <w:p>
            <w:pPr>
              <w:spacing w:line="276" w:lineRule="auto"/>
              <w:jc w:val="center"/>
              <w:rPr>
                <w:rFonts w:hint="eastAsia"/>
                <w:b/>
                <w:bCs/>
                <w:szCs w:val="21"/>
              </w:rPr>
            </w:pPr>
            <w:r>
              <w:rPr>
                <w:rFonts w:hint="eastAsia"/>
                <w:b/>
                <w:bCs/>
                <w:szCs w:val="21"/>
              </w:rPr>
              <w:t>表4-11：净水厂噪声预测结果</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659"/>
              <w:gridCol w:w="674"/>
              <w:gridCol w:w="676"/>
              <w:gridCol w:w="655"/>
              <w:gridCol w:w="659"/>
              <w:gridCol w:w="657"/>
              <w:gridCol w:w="659"/>
              <w:gridCol w:w="763"/>
              <w:gridCol w:w="836"/>
              <w:gridCol w:w="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397" w:type="pct"/>
                  <w:vMerge w:val="restart"/>
                  <w:shd w:val="clear" w:color="000000" w:fill="auto"/>
                  <w:noWrap w:val="0"/>
                  <w:vAlign w:val="center"/>
                </w:tcPr>
                <w:p>
                  <w:pPr>
                    <w:jc w:val="center"/>
                    <w:rPr>
                      <w:rFonts w:cs="Times New Roman"/>
                      <w:b/>
                      <w:bCs/>
                      <w:szCs w:val="21"/>
                    </w:rPr>
                  </w:pPr>
                  <w:r>
                    <w:rPr>
                      <w:rFonts w:hint="eastAsia" w:cs="Times New Roman"/>
                      <w:b/>
                      <w:bCs/>
                      <w:szCs w:val="21"/>
                    </w:rPr>
                    <w:t>编号</w:t>
                  </w:r>
                </w:p>
              </w:tc>
              <w:tc>
                <w:tcPr>
                  <w:tcW w:w="957" w:type="pct"/>
                  <w:vMerge w:val="restart"/>
                  <w:shd w:val="clear" w:color="000000" w:fill="auto"/>
                  <w:noWrap w:val="0"/>
                  <w:vAlign w:val="center"/>
                </w:tcPr>
                <w:p>
                  <w:pPr>
                    <w:jc w:val="center"/>
                    <w:rPr>
                      <w:rFonts w:cs="Times New Roman"/>
                      <w:b/>
                      <w:bCs/>
                      <w:szCs w:val="21"/>
                    </w:rPr>
                  </w:pPr>
                  <w:r>
                    <w:rPr>
                      <w:rFonts w:hint="eastAsia" w:cs="Times New Roman"/>
                      <w:b/>
                      <w:bCs/>
                      <w:szCs w:val="21"/>
                    </w:rPr>
                    <w:t>预测点位置</w:t>
                  </w:r>
                </w:p>
              </w:tc>
              <w:tc>
                <w:tcPr>
                  <w:tcW w:w="779" w:type="pct"/>
                  <w:gridSpan w:val="2"/>
                  <w:shd w:val="clear" w:color="000000" w:fill="auto"/>
                  <w:noWrap w:val="0"/>
                  <w:vAlign w:val="center"/>
                </w:tcPr>
                <w:p>
                  <w:pPr>
                    <w:jc w:val="center"/>
                    <w:rPr>
                      <w:rFonts w:cs="Times New Roman"/>
                      <w:b/>
                      <w:bCs/>
                      <w:szCs w:val="21"/>
                    </w:rPr>
                  </w:pPr>
                  <w:r>
                    <w:rPr>
                      <w:rFonts w:hint="eastAsia" w:cs="Times New Roman"/>
                      <w:b/>
                      <w:bCs/>
                      <w:szCs w:val="21"/>
                    </w:rPr>
                    <w:t>贡献值</w:t>
                  </w:r>
                </w:p>
                <w:p>
                  <w:pPr>
                    <w:jc w:val="center"/>
                    <w:rPr>
                      <w:rFonts w:cs="Times New Roman"/>
                      <w:b/>
                      <w:bCs/>
                      <w:szCs w:val="21"/>
                    </w:rPr>
                  </w:pPr>
                  <w:r>
                    <w:rPr>
                      <w:rFonts w:hint="eastAsia" w:cs="Times New Roman"/>
                      <w:b/>
                      <w:bCs/>
                      <w:szCs w:val="21"/>
                    </w:rPr>
                    <w:t>[dB（A）]</w:t>
                  </w:r>
                </w:p>
              </w:tc>
              <w:tc>
                <w:tcPr>
                  <w:tcW w:w="758" w:type="pct"/>
                  <w:gridSpan w:val="2"/>
                  <w:shd w:val="clear" w:color="000000" w:fill="auto"/>
                  <w:noWrap w:val="0"/>
                  <w:vAlign w:val="center"/>
                </w:tcPr>
                <w:p>
                  <w:pPr>
                    <w:jc w:val="center"/>
                    <w:rPr>
                      <w:rFonts w:cs="Times New Roman"/>
                      <w:b/>
                      <w:bCs/>
                      <w:szCs w:val="21"/>
                    </w:rPr>
                  </w:pPr>
                  <w:r>
                    <w:rPr>
                      <w:rFonts w:hint="eastAsia" w:cs="Times New Roman"/>
                      <w:b/>
                      <w:bCs/>
                      <w:szCs w:val="21"/>
                    </w:rPr>
                    <w:t>背景值</w:t>
                  </w:r>
                </w:p>
                <w:p>
                  <w:pPr>
                    <w:jc w:val="center"/>
                    <w:rPr>
                      <w:rFonts w:cs="Times New Roman"/>
                      <w:b/>
                      <w:bCs/>
                      <w:szCs w:val="21"/>
                    </w:rPr>
                  </w:pPr>
                  <w:r>
                    <w:rPr>
                      <w:rFonts w:hint="eastAsia" w:cs="Times New Roman"/>
                      <w:b/>
                      <w:bCs/>
                      <w:szCs w:val="21"/>
                    </w:rPr>
                    <w:t>[dB（A）]</w:t>
                  </w:r>
                </w:p>
              </w:tc>
              <w:tc>
                <w:tcPr>
                  <w:tcW w:w="759" w:type="pct"/>
                  <w:gridSpan w:val="2"/>
                  <w:shd w:val="clear" w:color="000000" w:fill="auto"/>
                  <w:noWrap w:val="0"/>
                  <w:vAlign w:val="center"/>
                </w:tcPr>
                <w:p>
                  <w:pPr>
                    <w:jc w:val="center"/>
                    <w:rPr>
                      <w:rFonts w:cs="Times New Roman"/>
                      <w:b/>
                      <w:bCs/>
                      <w:szCs w:val="21"/>
                    </w:rPr>
                  </w:pPr>
                  <w:r>
                    <w:rPr>
                      <w:rFonts w:hint="eastAsia" w:cs="Times New Roman"/>
                      <w:b/>
                      <w:bCs/>
                      <w:szCs w:val="21"/>
                    </w:rPr>
                    <w:t>叠加值</w:t>
                  </w:r>
                </w:p>
                <w:p>
                  <w:pPr>
                    <w:jc w:val="center"/>
                    <w:rPr>
                      <w:rFonts w:cs="Times New Roman"/>
                      <w:b/>
                      <w:bCs/>
                      <w:szCs w:val="21"/>
                    </w:rPr>
                  </w:pPr>
                  <w:r>
                    <w:rPr>
                      <w:rFonts w:hint="eastAsia" w:cs="Times New Roman"/>
                      <w:b/>
                      <w:bCs/>
                      <w:szCs w:val="21"/>
                    </w:rPr>
                    <w:t>[dB（A）]</w:t>
                  </w:r>
                </w:p>
              </w:tc>
              <w:tc>
                <w:tcPr>
                  <w:tcW w:w="922" w:type="pct"/>
                  <w:gridSpan w:val="2"/>
                  <w:shd w:val="clear" w:color="000000" w:fill="auto"/>
                  <w:noWrap w:val="0"/>
                  <w:vAlign w:val="center"/>
                </w:tcPr>
                <w:p>
                  <w:pPr>
                    <w:jc w:val="center"/>
                    <w:rPr>
                      <w:rFonts w:cs="Times New Roman"/>
                      <w:b/>
                      <w:bCs/>
                      <w:szCs w:val="21"/>
                    </w:rPr>
                  </w:pPr>
                  <w:r>
                    <w:rPr>
                      <w:rFonts w:hint="eastAsia" w:cs="Times New Roman"/>
                      <w:b/>
                      <w:bCs/>
                      <w:szCs w:val="21"/>
                    </w:rPr>
                    <w:t>标准值</w:t>
                  </w:r>
                </w:p>
                <w:p>
                  <w:pPr>
                    <w:jc w:val="center"/>
                    <w:rPr>
                      <w:rFonts w:cs="Times New Roman"/>
                      <w:b/>
                      <w:bCs/>
                      <w:szCs w:val="21"/>
                    </w:rPr>
                  </w:pPr>
                  <w:r>
                    <w:rPr>
                      <w:rFonts w:hint="eastAsia" w:eastAsia="仿宋" w:cs="Times New Roman"/>
                      <w:b/>
                      <w:bCs/>
                      <w:szCs w:val="21"/>
                    </w:rPr>
                    <w:t>[</w:t>
                  </w:r>
                  <w:r>
                    <w:rPr>
                      <w:rFonts w:cs="Times New Roman"/>
                      <w:b/>
                      <w:bCs/>
                      <w:szCs w:val="21"/>
                    </w:rPr>
                    <w:t>dB（A）</w:t>
                  </w:r>
                  <w:r>
                    <w:rPr>
                      <w:rFonts w:hint="eastAsia" w:eastAsia="仿宋" w:cs="Times New Roman"/>
                      <w:b/>
                      <w:bCs/>
                      <w:szCs w:val="21"/>
                    </w:rPr>
                    <w:t>]</w:t>
                  </w:r>
                </w:p>
              </w:tc>
              <w:tc>
                <w:tcPr>
                  <w:tcW w:w="428" w:type="pct"/>
                  <w:vMerge w:val="restart"/>
                  <w:shd w:val="clear" w:color="000000" w:fill="auto"/>
                  <w:noWrap w:val="0"/>
                  <w:vAlign w:val="center"/>
                </w:tcPr>
                <w:p>
                  <w:pPr>
                    <w:jc w:val="center"/>
                    <w:rPr>
                      <w:rFonts w:cs="Times New Roman"/>
                      <w:b/>
                      <w:bCs/>
                      <w:szCs w:val="21"/>
                    </w:rPr>
                  </w:pPr>
                  <w:r>
                    <w:rPr>
                      <w:rFonts w:hint="eastAsia" w:cs="Times New Roman"/>
                      <w:b/>
                      <w:bCs/>
                      <w:szCs w:val="21"/>
                    </w:rPr>
                    <w:t>预测</w:t>
                  </w:r>
                  <w:r>
                    <w:rPr>
                      <w:rFonts w:cs="Times New Roman"/>
                      <w:b/>
                      <w:bCs/>
                      <w:szCs w:val="21"/>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continue"/>
                  <w:shd w:val="clear" w:color="auto" w:fill="auto"/>
                  <w:noWrap w:val="0"/>
                  <w:vAlign w:val="center"/>
                </w:tcPr>
                <w:p>
                  <w:pPr>
                    <w:jc w:val="center"/>
                    <w:rPr>
                      <w:rFonts w:cs="Times New Roman"/>
                      <w:szCs w:val="21"/>
                    </w:rPr>
                  </w:pPr>
                </w:p>
              </w:tc>
              <w:tc>
                <w:tcPr>
                  <w:tcW w:w="957" w:type="pct"/>
                  <w:vMerge w:val="continue"/>
                  <w:shd w:val="clear" w:color="auto" w:fill="auto"/>
                  <w:noWrap w:val="0"/>
                  <w:vAlign w:val="center"/>
                </w:tcPr>
                <w:p>
                  <w:pPr>
                    <w:jc w:val="center"/>
                    <w:rPr>
                      <w:rFonts w:cs="Times New Roman"/>
                      <w:szCs w:val="21"/>
                    </w:rPr>
                  </w:pPr>
                </w:p>
              </w:tc>
              <w:tc>
                <w:tcPr>
                  <w:tcW w:w="389" w:type="pct"/>
                  <w:shd w:val="clear" w:color="000000" w:fill="auto"/>
                  <w:noWrap w:val="0"/>
                  <w:vAlign w:val="center"/>
                </w:tcPr>
                <w:p>
                  <w:pPr>
                    <w:pStyle w:val="78"/>
                    <w:snapToGrid w:val="0"/>
                    <w:spacing w:before="0" w:after="0"/>
                    <w:rPr>
                      <w:b/>
                      <w:bCs/>
                      <w:sz w:val="21"/>
                      <w:szCs w:val="21"/>
                    </w:rPr>
                  </w:pPr>
                  <w:r>
                    <w:rPr>
                      <w:rFonts w:hint="eastAsia"/>
                      <w:b/>
                      <w:bCs/>
                      <w:sz w:val="21"/>
                      <w:szCs w:val="21"/>
                    </w:rPr>
                    <w:t>昼间</w:t>
                  </w:r>
                </w:p>
              </w:tc>
              <w:tc>
                <w:tcPr>
                  <w:tcW w:w="390" w:type="pct"/>
                  <w:shd w:val="clear" w:color="000000" w:fill="auto"/>
                  <w:noWrap w:val="0"/>
                  <w:vAlign w:val="center"/>
                </w:tcPr>
                <w:p>
                  <w:pPr>
                    <w:pStyle w:val="78"/>
                    <w:snapToGrid w:val="0"/>
                    <w:spacing w:before="0" w:after="0"/>
                    <w:rPr>
                      <w:rFonts w:hint="eastAsia"/>
                      <w:b/>
                      <w:bCs/>
                      <w:sz w:val="21"/>
                      <w:szCs w:val="21"/>
                    </w:rPr>
                  </w:pPr>
                  <w:r>
                    <w:rPr>
                      <w:rFonts w:hint="eastAsia"/>
                      <w:b/>
                      <w:bCs/>
                      <w:sz w:val="21"/>
                      <w:szCs w:val="21"/>
                    </w:rPr>
                    <w:t>夜间</w:t>
                  </w:r>
                </w:p>
              </w:tc>
              <w:tc>
                <w:tcPr>
                  <w:tcW w:w="378" w:type="pct"/>
                  <w:shd w:val="clear" w:color="000000" w:fill="auto"/>
                  <w:noWrap w:val="0"/>
                  <w:vAlign w:val="center"/>
                </w:tcPr>
                <w:p>
                  <w:pPr>
                    <w:pStyle w:val="78"/>
                    <w:snapToGrid w:val="0"/>
                    <w:spacing w:before="0" w:after="0"/>
                    <w:rPr>
                      <w:b/>
                      <w:bCs/>
                      <w:sz w:val="21"/>
                      <w:szCs w:val="21"/>
                    </w:rPr>
                  </w:pPr>
                  <w:r>
                    <w:rPr>
                      <w:rFonts w:hint="eastAsia"/>
                      <w:b/>
                      <w:bCs/>
                      <w:sz w:val="21"/>
                      <w:szCs w:val="21"/>
                    </w:rPr>
                    <w:t>昼间</w:t>
                  </w:r>
                </w:p>
              </w:tc>
              <w:tc>
                <w:tcPr>
                  <w:tcW w:w="380" w:type="pct"/>
                  <w:shd w:val="clear" w:color="000000" w:fill="auto"/>
                  <w:noWrap w:val="0"/>
                  <w:vAlign w:val="center"/>
                </w:tcPr>
                <w:p>
                  <w:pPr>
                    <w:pStyle w:val="78"/>
                    <w:snapToGrid w:val="0"/>
                    <w:spacing w:before="0" w:after="0"/>
                    <w:rPr>
                      <w:rFonts w:hint="eastAsia"/>
                      <w:b/>
                      <w:bCs/>
                      <w:sz w:val="21"/>
                      <w:szCs w:val="21"/>
                    </w:rPr>
                  </w:pPr>
                  <w:r>
                    <w:rPr>
                      <w:rFonts w:hint="eastAsia"/>
                      <w:b/>
                      <w:bCs/>
                      <w:sz w:val="21"/>
                      <w:szCs w:val="21"/>
                    </w:rPr>
                    <w:t>夜间</w:t>
                  </w:r>
                </w:p>
              </w:tc>
              <w:tc>
                <w:tcPr>
                  <w:tcW w:w="379" w:type="pct"/>
                  <w:shd w:val="clear" w:color="000000" w:fill="auto"/>
                  <w:noWrap w:val="0"/>
                  <w:vAlign w:val="center"/>
                </w:tcPr>
                <w:p>
                  <w:pPr>
                    <w:pStyle w:val="78"/>
                    <w:snapToGrid w:val="0"/>
                    <w:spacing w:before="0" w:after="0"/>
                    <w:rPr>
                      <w:b/>
                      <w:bCs/>
                      <w:sz w:val="21"/>
                      <w:szCs w:val="21"/>
                    </w:rPr>
                  </w:pPr>
                  <w:r>
                    <w:rPr>
                      <w:rFonts w:hint="eastAsia"/>
                      <w:b/>
                      <w:bCs/>
                      <w:sz w:val="21"/>
                      <w:szCs w:val="21"/>
                    </w:rPr>
                    <w:t>昼间</w:t>
                  </w:r>
                </w:p>
              </w:tc>
              <w:tc>
                <w:tcPr>
                  <w:tcW w:w="380" w:type="pct"/>
                  <w:shd w:val="clear" w:color="000000" w:fill="auto"/>
                  <w:noWrap w:val="0"/>
                  <w:vAlign w:val="center"/>
                </w:tcPr>
                <w:p>
                  <w:pPr>
                    <w:pStyle w:val="78"/>
                    <w:snapToGrid w:val="0"/>
                    <w:spacing w:before="0" w:after="0"/>
                    <w:rPr>
                      <w:rFonts w:hint="eastAsia"/>
                      <w:b/>
                      <w:bCs/>
                      <w:sz w:val="21"/>
                      <w:szCs w:val="21"/>
                    </w:rPr>
                  </w:pPr>
                  <w:r>
                    <w:rPr>
                      <w:rFonts w:hint="eastAsia"/>
                      <w:b/>
                      <w:bCs/>
                      <w:sz w:val="21"/>
                      <w:szCs w:val="21"/>
                    </w:rPr>
                    <w:t>夜间</w:t>
                  </w:r>
                </w:p>
              </w:tc>
              <w:tc>
                <w:tcPr>
                  <w:tcW w:w="440" w:type="pct"/>
                  <w:shd w:val="clear" w:color="000000" w:fill="auto"/>
                  <w:noWrap w:val="0"/>
                  <w:vAlign w:val="center"/>
                </w:tcPr>
                <w:p>
                  <w:pPr>
                    <w:pStyle w:val="78"/>
                    <w:snapToGrid w:val="0"/>
                    <w:spacing w:before="0" w:after="0"/>
                    <w:rPr>
                      <w:b/>
                      <w:bCs/>
                      <w:sz w:val="21"/>
                      <w:szCs w:val="21"/>
                    </w:rPr>
                  </w:pPr>
                  <w:r>
                    <w:rPr>
                      <w:rFonts w:hint="eastAsia"/>
                      <w:b/>
                      <w:bCs/>
                      <w:sz w:val="21"/>
                      <w:szCs w:val="21"/>
                    </w:rPr>
                    <w:t>昼间</w:t>
                  </w:r>
                </w:p>
              </w:tc>
              <w:tc>
                <w:tcPr>
                  <w:tcW w:w="482" w:type="pct"/>
                  <w:shd w:val="clear" w:color="000000" w:fill="auto"/>
                  <w:noWrap w:val="0"/>
                  <w:vAlign w:val="center"/>
                </w:tcPr>
                <w:p>
                  <w:pPr>
                    <w:pStyle w:val="78"/>
                    <w:snapToGrid w:val="0"/>
                    <w:spacing w:before="0" w:after="0"/>
                    <w:rPr>
                      <w:rFonts w:hint="eastAsia"/>
                      <w:b/>
                      <w:bCs/>
                      <w:sz w:val="21"/>
                      <w:szCs w:val="21"/>
                    </w:rPr>
                  </w:pPr>
                  <w:r>
                    <w:rPr>
                      <w:rFonts w:hint="eastAsia"/>
                      <w:b/>
                      <w:bCs/>
                      <w:sz w:val="21"/>
                      <w:szCs w:val="21"/>
                    </w:rPr>
                    <w:t>夜间</w:t>
                  </w:r>
                </w:p>
              </w:tc>
              <w:tc>
                <w:tcPr>
                  <w:tcW w:w="428" w:type="pct"/>
                  <w:vMerge w:val="continue"/>
                  <w:noWrap w:val="0"/>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noWrap w:val="0"/>
                  <w:vAlign w:val="center"/>
                </w:tcPr>
                <w:p>
                  <w:pPr>
                    <w:jc w:val="center"/>
                    <w:rPr>
                      <w:rFonts w:cs="Times New Roman"/>
                      <w:szCs w:val="21"/>
                    </w:rPr>
                  </w:pPr>
                  <w:r>
                    <w:rPr>
                      <w:rFonts w:hint="eastAsia" w:cs="Times New Roman"/>
                      <w:szCs w:val="21"/>
                    </w:rPr>
                    <w:t>1</w:t>
                  </w:r>
                  <w:r>
                    <w:rPr>
                      <w:rFonts w:cs="Times New Roman"/>
                      <w:szCs w:val="21"/>
                    </w:rPr>
                    <w:t>#</w:t>
                  </w:r>
                </w:p>
              </w:tc>
              <w:tc>
                <w:tcPr>
                  <w:tcW w:w="957" w:type="pct"/>
                  <w:noWrap w:val="0"/>
                  <w:vAlign w:val="center"/>
                </w:tcPr>
                <w:p>
                  <w:pPr>
                    <w:spacing w:line="300" w:lineRule="exact"/>
                    <w:jc w:val="center"/>
                    <w:rPr>
                      <w:rFonts w:cs="Times New Roman"/>
                      <w:szCs w:val="21"/>
                    </w:rPr>
                  </w:pPr>
                  <w:r>
                    <w:rPr>
                      <w:rFonts w:hint="eastAsia" w:cs="Times New Roman"/>
                      <w:szCs w:val="21"/>
                    </w:rPr>
                    <w:t>净水厂</w:t>
                  </w:r>
                  <w:r>
                    <w:rPr>
                      <w:rFonts w:cs="Times New Roman"/>
                      <w:szCs w:val="21"/>
                    </w:rPr>
                    <w:t>东厂界外1m处</w:t>
                  </w:r>
                </w:p>
              </w:tc>
              <w:tc>
                <w:tcPr>
                  <w:tcW w:w="389" w:type="pct"/>
                  <w:noWrap w:val="0"/>
                  <w:vAlign w:val="center"/>
                </w:tcPr>
                <w:p>
                  <w:pPr>
                    <w:adjustRightInd w:val="0"/>
                    <w:jc w:val="center"/>
                    <w:rPr>
                      <w:rFonts w:cs="Times New Roman"/>
                      <w:szCs w:val="21"/>
                    </w:rPr>
                  </w:pPr>
                  <w:r>
                    <w:rPr>
                      <w:rFonts w:hint="eastAsia" w:cs="Times New Roman"/>
                      <w:szCs w:val="21"/>
                    </w:rPr>
                    <w:t>35.9</w:t>
                  </w:r>
                </w:p>
              </w:tc>
              <w:tc>
                <w:tcPr>
                  <w:tcW w:w="390" w:type="pct"/>
                  <w:noWrap w:val="0"/>
                  <w:vAlign w:val="center"/>
                </w:tcPr>
                <w:p>
                  <w:pPr>
                    <w:adjustRightInd w:val="0"/>
                    <w:jc w:val="center"/>
                    <w:rPr>
                      <w:rFonts w:hint="eastAsia" w:cs="Times New Roman"/>
                      <w:szCs w:val="21"/>
                    </w:rPr>
                  </w:pPr>
                  <w:r>
                    <w:rPr>
                      <w:rFonts w:hint="eastAsia" w:cs="Times New Roman"/>
                      <w:szCs w:val="21"/>
                    </w:rPr>
                    <w:t>35.9</w:t>
                  </w:r>
                </w:p>
              </w:tc>
              <w:tc>
                <w:tcPr>
                  <w:tcW w:w="378" w:type="pct"/>
                  <w:noWrap w:val="0"/>
                  <w:vAlign w:val="center"/>
                </w:tcPr>
                <w:p>
                  <w:pPr>
                    <w:snapToGrid w:val="0"/>
                    <w:jc w:val="center"/>
                    <w:rPr>
                      <w:rFonts w:cs="Times New Roman"/>
                      <w:bCs/>
                      <w:szCs w:val="21"/>
                    </w:rPr>
                  </w:pPr>
                  <w:r>
                    <w:rPr>
                      <w:rFonts w:hint="eastAsia" w:cs="Times New Roman"/>
                      <w:bCs/>
                      <w:szCs w:val="21"/>
                    </w:rPr>
                    <w:t>52</w:t>
                  </w:r>
                </w:p>
              </w:tc>
              <w:tc>
                <w:tcPr>
                  <w:tcW w:w="380" w:type="pct"/>
                  <w:noWrap w:val="0"/>
                  <w:vAlign w:val="center"/>
                </w:tcPr>
                <w:p>
                  <w:pPr>
                    <w:snapToGrid w:val="0"/>
                    <w:jc w:val="center"/>
                    <w:rPr>
                      <w:rFonts w:hint="eastAsia" w:cs="Times New Roman"/>
                      <w:bCs/>
                      <w:szCs w:val="21"/>
                    </w:rPr>
                  </w:pPr>
                  <w:r>
                    <w:rPr>
                      <w:rFonts w:hint="eastAsia" w:cs="Times New Roman"/>
                      <w:bCs/>
                      <w:szCs w:val="21"/>
                    </w:rPr>
                    <w:t>46</w:t>
                  </w:r>
                </w:p>
              </w:tc>
              <w:tc>
                <w:tcPr>
                  <w:tcW w:w="379" w:type="pct"/>
                  <w:noWrap w:val="0"/>
                  <w:vAlign w:val="center"/>
                </w:tcPr>
                <w:p>
                  <w:pPr>
                    <w:adjustRightInd w:val="0"/>
                    <w:jc w:val="center"/>
                    <w:rPr>
                      <w:rFonts w:hint="eastAsia" w:cs="Times New Roman"/>
                      <w:szCs w:val="21"/>
                    </w:rPr>
                  </w:pPr>
                  <w:r>
                    <w:rPr>
                      <w:rFonts w:hint="eastAsia" w:cs="Times New Roman"/>
                      <w:szCs w:val="21"/>
                    </w:rPr>
                    <w:t>52.1</w:t>
                  </w:r>
                </w:p>
              </w:tc>
              <w:tc>
                <w:tcPr>
                  <w:tcW w:w="380" w:type="pct"/>
                  <w:noWrap w:val="0"/>
                  <w:vAlign w:val="center"/>
                </w:tcPr>
                <w:p>
                  <w:pPr>
                    <w:adjustRightInd w:val="0"/>
                    <w:jc w:val="center"/>
                    <w:rPr>
                      <w:rFonts w:hint="eastAsia" w:cs="Times New Roman"/>
                      <w:szCs w:val="21"/>
                    </w:rPr>
                  </w:pPr>
                  <w:r>
                    <w:rPr>
                      <w:rFonts w:hint="eastAsia" w:cs="Times New Roman"/>
                      <w:szCs w:val="21"/>
                    </w:rPr>
                    <w:t>46.4</w:t>
                  </w:r>
                </w:p>
              </w:tc>
              <w:tc>
                <w:tcPr>
                  <w:tcW w:w="440" w:type="pct"/>
                  <w:noWrap w:val="0"/>
                  <w:vAlign w:val="center"/>
                </w:tcPr>
                <w:p>
                  <w:pPr>
                    <w:jc w:val="center"/>
                    <w:rPr>
                      <w:rFonts w:cs="Times New Roman"/>
                      <w:szCs w:val="21"/>
                    </w:rPr>
                  </w:pPr>
                  <w:r>
                    <w:rPr>
                      <w:rFonts w:hint="eastAsia" w:cs="Times New Roman"/>
                      <w:szCs w:val="21"/>
                    </w:rPr>
                    <w:t>60</w:t>
                  </w:r>
                </w:p>
              </w:tc>
              <w:tc>
                <w:tcPr>
                  <w:tcW w:w="482" w:type="pct"/>
                  <w:noWrap w:val="0"/>
                  <w:vAlign w:val="center"/>
                </w:tcPr>
                <w:p>
                  <w:pPr>
                    <w:jc w:val="center"/>
                    <w:rPr>
                      <w:rFonts w:cs="Times New Roman"/>
                      <w:szCs w:val="21"/>
                    </w:rPr>
                  </w:pPr>
                  <w:r>
                    <w:rPr>
                      <w:rFonts w:hint="eastAsia" w:cs="Times New Roman"/>
                      <w:szCs w:val="21"/>
                    </w:rPr>
                    <w:t>50</w:t>
                  </w:r>
                </w:p>
              </w:tc>
              <w:tc>
                <w:tcPr>
                  <w:tcW w:w="428" w:type="pct"/>
                  <w:noWrap w:val="0"/>
                  <w:vAlign w:val="center"/>
                </w:tcPr>
                <w:p>
                  <w:pPr>
                    <w:jc w:val="center"/>
                    <w:rPr>
                      <w:rFonts w:cs="Times New Roman"/>
                      <w:szCs w:val="21"/>
                    </w:rPr>
                  </w:pPr>
                  <w:r>
                    <w:rPr>
                      <w:rFonts w:hint="eastAsia"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noWrap w:val="0"/>
                  <w:vAlign w:val="center"/>
                </w:tcPr>
                <w:p>
                  <w:pPr>
                    <w:jc w:val="center"/>
                    <w:rPr>
                      <w:rFonts w:cs="Times New Roman"/>
                      <w:szCs w:val="21"/>
                    </w:rPr>
                  </w:pPr>
                  <w:r>
                    <w:rPr>
                      <w:rFonts w:hint="eastAsia" w:cs="Times New Roman"/>
                      <w:szCs w:val="21"/>
                    </w:rPr>
                    <w:t>2</w:t>
                  </w:r>
                  <w:r>
                    <w:rPr>
                      <w:rFonts w:cs="Times New Roman"/>
                      <w:szCs w:val="21"/>
                    </w:rPr>
                    <w:t>#</w:t>
                  </w:r>
                </w:p>
              </w:tc>
              <w:tc>
                <w:tcPr>
                  <w:tcW w:w="957" w:type="pct"/>
                  <w:noWrap w:val="0"/>
                  <w:vAlign w:val="center"/>
                </w:tcPr>
                <w:p>
                  <w:pPr>
                    <w:spacing w:line="300" w:lineRule="exact"/>
                    <w:jc w:val="center"/>
                    <w:rPr>
                      <w:rFonts w:cs="Times New Roman"/>
                      <w:szCs w:val="21"/>
                    </w:rPr>
                  </w:pPr>
                  <w:r>
                    <w:rPr>
                      <w:rFonts w:hint="eastAsia" w:cs="Times New Roman"/>
                      <w:szCs w:val="21"/>
                    </w:rPr>
                    <w:t>净水厂</w:t>
                  </w:r>
                  <w:r>
                    <w:rPr>
                      <w:rFonts w:cs="Times New Roman"/>
                      <w:szCs w:val="21"/>
                    </w:rPr>
                    <w:t>南厂界外1m处</w:t>
                  </w:r>
                </w:p>
              </w:tc>
              <w:tc>
                <w:tcPr>
                  <w:tcW w:w="389" w:type="pct"/>
                  <w:noWrap w:val="0"/>
                  <w:vAlign w:val="center"/>
                </w:tcPr>
                <w:p>
                  <w:pPr>
                    <w:adjustRightInd w:val="0"/>
                    <w:jc w:val="center"/>
                    <w:rPr>
                      <w:rFonts w:cs="Times New Roman"/>
                      <w:szCs w:val="21"/>
                    </w:rPr>
                  </w:pPr>
                  <w:r>
                    <w:rPr>
                      <w:rFonts w:hint="eastAsia" w:cs="Times New Roman"/>
                      <w:szCs w:val="21"/>
                    </w:rPr>
                    <w:t>36.4</w:t>
                  </w:r>
                </w:p>
              </w:tc>
              <w:tc>
                <w:tcPr>
                  <w:tcW w:w="390" w:type="pct"/>
                  <w:noWrap w:val="0"/>
                  <w:vAlign w:val="center"/>
                </w:tcPr>
                <w:p>
                  <w:pPr>
                    <w:adjustRightInd w:val="0"/>
                    <w:jc w:val="center"/>
                    <w:rPr>
                      <w:rFonts w:hint="eastAsia" w:cs="Times New Roman"/>
                      <w:szCs w:val="21"/>
                    </w:rPr>
                  </w:pPr>
                  <w:r>
                    <w:rPr>
                      <w:rFonts w:hint="eastAsia" w:cs="Times New Roman"/>
                      <w:szCs w:val="21"/>
                    </w:rPr>
                    <w:t>34.9</w:t>
                  </w:r>
                </w:p>
              </w:tc>
              <w:tc>
                <w:tcPr>
                  <w:tcW w:w="378" w:type="pct"/>
                  <w:noWrap w:val="0"/>
                  <w:vAlign w:val="center"/>
                </w:tcPr>
                <w:p>
                  <w:pPr>
                    <w:snapToGrid w:val="0"/>
                    <w:jc w:val="center"/>
                    <w:rPr>
                      <w:rFonts w:cs="Times New Roman"/>
                      <w:bCs/>
                      <w:szCs w:val="21"/>
                    </w:rPr>
                  </w:pPr>
                  <w:r>
                    <w:rPr>
                      <w:rFonts w:hint="eastAsia" w:cs="Times New Roman"/>
                      <w:bCs/>
                      <w:szCs w:val="21"/>
                    </w:rPr>
                    <w:t>52</w:t>
                  </w:r>
                </w:p>
              </w:tc>
              <w:tc>
                <w:tcPr>
                  <w:tcW w:w="380" w:type="pct"/>
                  <w:noWrap w:val="0"/>
                  <w:vAlign w:val="center"/>
                </w:tcPr>
                <w:p>
                  <w:pPr>
                    <w:snapToGrid w:val="0"/>
                    <w:jc w:val="center"/>
                    <w:rPr>
                      <w:rFonts w:hint="eastAsia" w:cs="Times New Roman"/>
                      <w:bCs/>
                      <w:szCs w:val="21"/>
                    </w:rPr>
                  </w:pPr>
                  <w:r>
                    <w:rPr>
                      <w:rFonts w:hint="eastAsia" w:cs="Times New Roman"/>
                      <w:bCs/>
                      <w:szCs w:val="21"/>
                    </w:rPr>
                    <w:t>44</w:t>
                  </w:r>
                </w:p>
              </w:tc>
              <w:tc>
                <w:tcPr>
                  <w:tcW w:w="379" w:type="pct"/>
                  <w:noWrap w:val="0"/>
                  <w:vAlign w:val="center"/>
                </w:tcPr>
                <w:p>
                  <w:pPr>
                    <w:adjustRightInd w:val="0"/>
                    <w:jc w:val="center"/>
                    <w:rPr>
                      <w:rFonts w:hint="eastAsia" w:cs="Times New Roman"/>
                      <w:szCs w:val="21"/>
                    </w:rPr>
                  </w:pPr>
                  <w:r>
                    <w:rPr>
                      <w:rFonts w:hint="eastAsia" w:cs="Times New Roman"/>
                      <w:szCs w:val="21"/>
                    </w:rPr>
                    <w:t>52.1</w:t>
                  </w:r>
                </w:p>
              </w:tc>
              <w:tc>
                <w:tcPr>
                  <w:tcW w:w="380" w:type="pct"/>
                  <w:noWrap w:val="0"/>
                  <w:vAlign w:val="center"/>
                </w:tcPr>
                <w:p>
                  <w:pPr>
                    <w:adjustRightInd w:val="0"/>
                    <w:jc w:val="center"/>
                    <w:rPr>
                      <w:rFonts w:hint="eastAsia" w:cs="Times New Roman"/>
                      <w:szCs w:val="21"/>
                    </w:rPr>
                  </w:pPr>
                  <w:r>
                    <w:rPr>
                      <w:rFonts w:hint="eastAsia" w:cs="Times New Roman"/>
                      <w:szCs w:val="21"/>
                    </w:rPr>
                    <w:t>44.5</w:t>
                  </w:r>
                </w:p>
              </w:tc>
              <w:tc>
                <w:tcPr>
                  <w:tcW w:w="440" w:type="pct"/>
                  <w:noWrap w:val="0"/>
                  <w:vAlign w:val="center"/>
                </w:tcPr>
                <w:p>
                  <w:pPr>
                    <w:jc w:val="center"/>
                    <w:rPr>
                      <w:rFonts w:cs="Times New Roman"/>
                      <w:szCs w:val="21"/>
                    </w:rPr>
                  </w:pPr>
                  <w:r>
                    <w:rPr>
                      <w:rFonts w:hint="eastAsia" w:cs="Times New Roman"/>
                      <w:szCs w:val="21"/>
                    </w:rPr>
                    <w:t>60</w:t>
                  </w:r>
                </w:p>
              </w:tc>
              <w:tc>
                <w:tcPr>
                  <w:tcW w:w="482" w:type="pct"/>
                  <w:noWrap w:val="0"/>
                  <w:vAlign w:val="center"/>
                </w:tcPr>
                <w:p>
                  <w:pPr>
                    <w:jc w:val="center"/>
                    <w:rPr>
                      <w:rFonts w:hint="eastAsia" w:cs="Times New Roman"/>
                      <w:szCs w:val="21"/>
                    </w:rPr>
                  </w:pPr>
                  <w:r>
                    <w:rPr>
                      <w:rFonts w:hint="eastAsia" w:cs="Times New Roman"/>
                      <w:szCs w:val="21"/>
                    </w:rPr>
                    <w:t>50</w:t>
                  </w:r>
                </w:p>
              </w:tc>
              <w:tc>
                <w:tcPr>
                  <w:tcW w:w="428" w:type="pct"/>
                  <w:noWrap w:val="0"/>
                  <w:vAlign w:val="center"/>
                </w:tcPr>
                <w:p>
                  <w:pPr>
                    <w:jc w:val="center"/>
                    <w:rPr>
                      <w:rFonts w:cs="Times New Roman"/>
                      <w:szCs w:val="21"/>
                    </w:rPr>
                  </w:pPr>
                  <w:r>
                    <w:rPr>
                      <w:rFonts w:hint="eastAsia"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noWrap w:val="0"/>
                  <w:vAlign w:val="center"/>
                </w:tcPr>
                <w:p>
                  <w:pPr>
                    <w:jc w:val="center"/>
                    <w:rPr>
                      <w:rFonts w:cs="Times New Roman"/>
                      <w:szCs w:val="21"/>
                    </w:rPr>
                  </w:pPr>
                  <w:r>
                    <w:rPr>
                      <w:rFonts w:hint="eastAsia" w:cs="Times New Roman"/>
                      <w:szCs w:val="21"/>
                    </w:rPr>
                    <w:t>3#</w:t>
                  </w:r>
                </w:p>
              </w:tc>
              <w:tc>
                <w:tcPr>
                  <w:tcW w:w="957" w:type="pct"/>
                  <w:noWrap w:val="0"/>
                  <w:vAlign w:val="center"/>
                </w:tcPr>
                <w:p>
                  <w:pPr>
                    <w:spacing w:line="300" w:lineRule="exact"/>
                    <w:jc w:val="center"/>
                    <w:rPr>
                      <w:rFonts w:cs="Times New Roman"/>
                      <w:szCs w:val="21"/>
                    </w:rPr>
                  </w:pPr>
                  <w:r>
                    <w:rPr>
                      <w:rFonts w:hint="eastAsia" w:cs="Times New Roman"/>
                      <w:szCs w:val="21"/>
                    </w:rPr>
                    <w:t>净水厂</w:t>
                  </w:r>
                  <w:r>
                    <w:rPr>
                      <w:rFonts w:cs="Times New Roman"/>
                      <w:szCs w:val="21"/>
                    </w:rPr>
                    <w:t>西厂界外1m处</w:t>
                  </w:r>
                </w:p>
              </w:tc>
              <w:tc>
                <w:tcPr>
                  <w:tcW w:w="389" w:type="pct"/>
                  <w:noWrap w:val="0"/>
                  <w:vAlign w:val="center"/>
                </w:tcPr>
                <w:p>
                  <w:pPr>
                    <w:adjustRightInd w:val="0"/>
                    <w:jc w:val="center"/>
                    <w:rPr>
                      <w:rFonts w:cs="Times New Roman"/>
                      <w:szCs w:val="21"/>
                    </w:rPr>
                  </w:pPr>
                  <w:r>
                    <w:rPr>
                      <w:rFonts w:hint="eastAsia" w:cs="Times New Roman"/>
                      <w:szCs w:val="21"/>
                    </w:rPr>
                    <w:t>42.9</w:t>
                  </w:r>
                </w:p>
              </w:tc>
              <w:tc>
                <w:tcPr>
                  <w:tcW w:w="390" w:type="pct"/>
                  <w:noWrap w:val="0"/>
                  <w:vAlign w:val="center"/>
                </w:tcPr>
                <w:p>
                  <w:pPr>
                    <w:adjustRightInd w:val="0"/>
                    <w:jc w:val="center"/>
                    <w:rPr>
                      <w:rFonts w:hint="eastAsia" w:cs="Times New Roman"/>
                      <w:szCs w:val="21"/>
                    </w:rPr>
                  </w:pPr>
                  <w:r>
                    <w:rPr>
                      <w:rFonts w:hint="eastAsia" w:cs="Times New Roman"/>
                      <w:szCs w:val="21"/>
                    </w:rPr>
                    <w:t>42.9</w:t>
                  </w:r>
                </w:p>
              </w:tc>
              <w:tc>
                <w:tcPr>
                  <w:tcW w:w="378" w:type="pct"/>
                  <w:noWrap w:val="0"/>
                  <w:vAlign w:val="center"/>
                </w:tcPr>
                <w:p>
                  <w:pPr>
                    <w:snapToGrid w:val="0"/>
                    <w:jc w:val="center"/>
                    <w:rPr>
                      <w:rFonts w:cs="Times New Roman"/>
                      <w:bCs/>
                      <w:szCs w:val="21"/>
                    </w:rPr>
                  </w:pPr>
                  <w:r>
                    <w:rPr>
                      <w:rFonts w:hint="eastAsia" w:cs="Times New Roman"/>
                      <w:bCs/>
                      <w:szCs w:val="21"/>
                    </w:rPr>
                    <w:t>52</w:t>
                  </w:r>
                </w:p>
              </w:tc>
              <w:tc>
                <w:tcPr>
                  <w:tcW w:w="380" w:type="pct"/>
                  <w:noWrap w:val="0"/>
                  <w:vAlign w:val="center"/>
                </w:tcPr>
                <w:p>
                  <w:pPr>
                    <w:snapToGrid w:val="0"/>
                    <w:jc w:val="center"/>
                    <w:rPr>
                      <w:rFonts w:hint="eastAsia" w:cs="Times New Roman"/>
                      <w:bCs/>
                      <w:szCs w:val="21"/>
                    </w:rPr>
                  </w:pPr>
                  <w:r>
                    <w:rPr>
                      <w:rFonts w:hint="eastAsia" w:cs="Times New Roman"/>
                      <w:bCs/>
                      <w:szCs w:val="21"/>
                    </w:rPr>
                    <w:t>48</w:t>
                  </w:r>
                </w:p>
              </w:tc>
              <w:tc>
                <w:tcPr>
                  <w:tcW w:w="379" w:type="pct"/>
                  <w:noWrap w:val="0"/>
                  <w:vAlign w:val="center"/>
                </w:tcPr>
                <w:p>
                  <w:pPr>
                    <w:adjustRightInd w:val="0"/>
                    <w:jc w:val="center"/>
                    <w:rPr>
                      <w:rFonts w:hint="eastAsia" w:cs="Times New Roman"/>
                      <w:szCs w:val="21"/>
                    </w:rPr>
                  </w:pPr>
                  <w:r>
                    <w:rPr>
                      <w:rFonts w:hint="eastAsia" w:cs="Times New Roman"/>
                      <w:szCs w:val="21"/>
                    </w:rPr>
                    <w:t>52.5</w:t>
                  </w:r>
                </w:p>
              </w:tc>
              <w:tc>
                <w:tcPr>
                  <w:tcW w:w="380" w:type="pct"/>
                  <w:noWrap w:val="0"/>
                  <w:vAlign w:val="center"/>
                </w:tcPr>
                <w:p>
                  <w:pPr>
                    <w:adjustRightInd w:val="0"/>
                    <w:jc w:val="center"/>
                    <w:rPr>
                      <w:rFonts w:hint="eastAsia" w:cs="Times New Roman"/>
                      <w:szCs w:val="21"/>
                    </w:rPr>
                  </w:pPr>
                  <w:r>
                    <w:rPr>
                      <w:rFonts w:hint="eastAsia" w:cs="Times New Roman"/>
                      <w:szCs w:val="21"/>
                    </w:rPr>
                    <w:t>49.2</w:t>
                  </w:r>
                </w:p>
              </w:tc>
              <w:tc>
                <w:tcPr>
                  <w:tcW w:w="440" w:type="pct"/>
                  <w:noWrap w:val="0"/>
                  <w:vAlign w:val="center"/>
                </w:tcPr>
                <w:p>
                  <w:pPr>
                    <w:jc w:val="center"/>
                    <w:rPr>
                      <w:rFonts w:cs="Times New Roman"/>
                      <w:szCs w:val="21"/>
                    </w:rPr>
                  </w:pPr>
                  <w:r>
                    <w:rPr>
                      <w:rFonts w:hint="eastAsia" w:cs="Times New Roman"/>
                      <w:szCs w:val="21"/>
                    </w:rPr>
                    <w:t>60</w:t>
                  </w:r>
                </w:p>
              </w:tc>
              <w:tc>
                <w:tcPr>
                  <w:tcW w:w="482" w:type="pct"/>
                  <w:noWrap w:val="0"/>
                  <w:vAlign w:val="center"/>
                </w:tcPr>
                <w:p>
                  <w:pPr>
                    <w:jc w:val="center"/>
                    <w:rPr>
                      <w:rFonts w:hint="eastAsia" w:cs="Times New Roman"/>
                      <w:szCs w:val="21"/>
                    </w:rPr>
                  </w:pPr>
                  <w:r>
                    <w:rPr>
                      <w:rFonts w:hint="eastAsia" w:cs="Times New Roman"/>
                      <w:szCs w:val="21"/>
                    </w:rPr>
                    <w:t>50</w:t>
                  </w:r>
                </w:p>
              </w:tc>
              <w:tc>
                <w:tcPr>
                  <w:tcW w:w="428" w:type="pct"/>
                  <w:noWrap w:val="0"/>
                  <w:vAlign w:val="center"/>
                </w:tcPr>
                <w:p>
                  <w:pPr>
                    <w:jc w:val="center"/>
                    <w:rPr>
                      <w:rFonts w:cs="Times New Roman"/>
                      <w:szCs w:val="21"/>
                    </w:rPr>
                  </w:pPr>
                  <w:r>
                    <w:rPr>
                      <w:rFonts w:hint="eastAsia"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 w:hRule="atLeast"/>
              </w:trPr>
              <w:tc>
                <w:tcPr>
                  <w:tcW w:w="397" w:type="pct"/>
                  <w:noWrap w:val="0"/>
                  <w:vAlign w:val="center"/>
                </w:tcPr>
                <w:p>
                  <w:pPr>
                    <w:jc w:val="center"/>
                    <w:rPr>
                      <w:rFonts w:cs="Times New Roman"/>
                      <w:szCs w:val="21"/>
                    </w:rPr>
                  </w:pPr>
                  <w:r>
                    <w:rPr>
                      <w:rFonts w:hint="eastAsia" w:cs="Times New Roman"/>
                      <w:szCs w:val="21"/>
                    </w:rPr>
                    <w:t>4</w:t>
                  </w:r>
                  <w:r>
                    <w:rPr>
                      <w:rFonts w:cs="Times New Roman"/>
                      <w:szCs w:val="21"/>
                    </w:rPr>
                    <w:t>#</w:t>
                  </w:r>
                </w:p>
              </w:tc>
              <w:tc>
                <w:tcPr>
                  <w:tcW w:w="957" w:type="pct"/>
                  <w:noWrap w:val="0"/>
                  <w:vAlign w:val="center"/>
                </w:tcPr>
                <w:p>
                  <w:pPr>
                    <w:spacing w:line="300" w:lineRule="exact"/>
                    <w:jc w:val="center"/>
                    <w:rPr>
                      <w:rFonts w:cs="Times New Roman"/>
                      <w:szCs w:val="21"/>
                    </w:rPr>
                  </w:pPr>
                  <w:r>
                    <w:rPr>
                      <w:rFonts w:hint="eastAsia" w:cs="Times New Roman"/>
                      <w:szCs w:val="21"/>
                    </w:rPr>
                    <w:t>净水厂</w:t>
                  </w:r>
                  <w:r>
                    <w:rPr>
                      <w:rFonts w:cs="Times New Roman"/>
                      <w:szCs w:val="21"/>
                    </w:rPr>
                    <w:t>北厂界外1m处</w:t>
                  </w:r>
                </w:p>
              </w:tc>
              <w:tc>
                <w:tcPr>
                  <w:tcW w:w="389" w:type="pct"/>
                  <w:noWrap w:val="0"/>
                  <w:vAlign w:val="center"/>
                </w:tcPr>
                <w:p>
                  <w:pPr>
                    <w:adjustRightInd w:val="0"/>
                    <w:jc w:val="center"/>
                    <w:rPr>
                      <w:rFonts w:cs="Times New Roman"/>
                      <w:szCs w:val="21"/>
                    </w:rPr>
                  </w:pPr>
                  <w:r>
                    <w:rPr>
                      <w:rFonts w:hint="eastAsia" w:cs="Times New Roman"/>
                      <w:szCs w:val="21"/>
                    </w:rPr>
                    <w:t>35.2</w:t>
                  </w:r>
                </w:p>
              </w:tc>
              <w:tc>
                <w:tcPr>
                  <w:tcW w:w="390" w:type="pct"/>
                  <w:noWrap w:val="0"/>
                  <w:vAlign w:val="center"/>
                </w:tcPr>
                <w:p>
                  <w:pPr>
                    <w:adjustRightInd w:val="0"/>
                    <w:jc w:val="center"/>
                    <w:rPr>
                      <w:rFonts w:hint="eastAsia" w:cs="Times New Roman"/>
                      <w:szCs w:val="21"/>
                    </w:rPr>
                  </w:pPr>
                  <w:r>
                    <w:rPr>
                      <w:rFonts w:hint="eastAsia" w:cs="Times New Roman"/>
                      <w:szCs w:val="21"/>
                    </w:rPr>
                    <w:t>35.2</w:t>
                  </w:r>
                </w:p>
              </w:tc>
              <w:tc>
                <w:tcPr>
                  <w:tcW w:w="378" w:type="pct"/>
                  <w:noWrap w:val="0"/>
                  <w:vAlign w:val="center"/>
                </w:tcPr>
                <w:p>
                  <w:pPr>
                    <w:snapToGrid w:val="0"/>
                    <w:jc w:val="center"/>
                    <w:rPr>
                      <w:rFonts w:cs="Times New Roman"/>
                      <w:bCs/>
                      <w:szCs w:val="21"/>
                    </w:rPr>
                  </w:pPr>
                  <w:r>
                    <w:rPr>
                      <w:rFonts w:hint="eastAsia" w:cs="Times New Roman"/>
                      <w:bCs/>
                      <w:szCs w:val="21"/>
                    </w:rPr>
                    <w:t>56</w:t>
                  </w:r>
                </w:p>
              </w:tc>
              <w:tc>
                <w:tcPr>
                  <w:tcW w:w="380" w:type="pct"/>
                  <w:noWrap w:val="0"/>
                  <w:vAlign w:val="center"/>
                </w:tcPr>
                <w:p>
                  <w:pPr>
                    <w:snapToGrid w:val="0"/>
                    <w:jc w:val="center"/>
                    <w:rPr>
                      <w:rFonts w:hint="eastAsia" w:cs="Times New Roman"/>
                      <w:bCs/>
                      <w:szCs w:val="21"/>
                    </w:rPr>
                  </w:pPr>
                  <w:r>
                    <w:rPr>
                      <w:rFonts w:hint="eastAsia" w:cs="Times New Roman"/>
                      <w:bCs/>
                      <w:szCs w:val="21"/>
                    </w:rPr>
                    <w:t>48</w:t>
                  </w:r>
                </w:p>
              </w:tc>
              <w:tc>
                <w:tcPr>
                  <w:tcW w:w="379" w:type="pct"/>
                  <w:noWrap w:val="0"/>
                  <w:vAlign w:val="center"/>
                </w:tcPr>
                <w:p>
                  <w:pPr>
                    <w:adjustRightInd w:val="0"/>
                    <w:jc w:val="center"/>
                    <w:rPr>
                      <w:rFonts w:hint="eastAsia" w:cs="Times New Roman"/>
                      <w:szCs w:val="21"/>
                    </w:rPr>
                  </w:pPr>
                  <w:r>
                    <w:rPr>
                      <w:rFonts w:hint="eastAsia" w:cs="Times New Roman"/>
                      <w:szCs w:val="21"/>
                    </w:rPr>
                    <w:t>56.0</w:t>
                  </w:r>
                </w:p>
              </w:tc>
              <w:tc>
                <w:tcPr>
                  <w:tcW w:w="380" w:type="pct"/>
                  <w:noWrap w:val="0"/>
                  <w:vAlign w:val="center"/>
                </w:tcPr>
                <w:p>
                  <w:pPr>
                    <w:adjustRightInd w:val="0"/>
                    <w:jc w:val="center"/>
                    <w:rPr>
                      <w:rFonts w:hint="eastAsia" w:cs="Times New Roman"/>
                      <w:szCs w:val="21"/>
                    </w:rPr>
                  </w:pPr>
                  <w:r>
                    <w:rPr>
                      <w:rFonts w:hint="eastAsia" w:cs="Times New Roman"/>
                      <w:szCs w:val="21"/>
                    </w:rPr>
                    <w:t>48.2</w:t>
                  </w:r>
                </w:p>
              </w:tc>
              <w:tc>
                <w:tcPr>
                  <w:tcW w:w="440" w:type="pct"/>
                  <w:noWrap w:val="0"/>
                  <w:vAlign w:val="center"/>
                </w:tcPr>
                <w:p>
                  <w:pPr>
                    <w:jc w:val="center"/>
                    <w:rPr>
                      <w:rFonts w:cs="Times New Roman"/>
                      <w:szCs w:val="21"/>
                    </w:rPr>
                  </w:pPr>
                  <w:r>
                    <w:rPr>
                      <w:rFonts w:hint="eastAsia" w:cs="Times New Roman"/>
                      <w:szCs w:val="21"/>
                    </w:rPr>
                    <w:t>60</w:t>
                  </w:r>
                </w:p>
              </w:tc>
              <w:tc>
                <w:tcPr>
                  <w:tcW w:w="482" w:type="pct"/>
                  <w:noWrap w:val="0"/>
                  <w:vAlign w:val="center"/>
                </w:tcPr>
                <w:p>
                  <w:pPr>
                    <w:jc w:val="center"/>
                    <w:rPr>
                      <w:rFonts w:hint="eastAsia" w:cs="Times New Roman"/>
                      <w:szCs w:val="21"/>
                    </w:rPr>
                  </w:pPr>
                  <w:r>
                    <w:rPr>
                      <w:rFonts w:hint="eastAsia" w:cs="Times New Roman"/>
                      <w:szCs w:val="21"/>
                    </w:rPr>
                    <w:t>50</w:t>
                  </w:r>
                </w:p>
              </w:tc>
              <w:tc>
                <w:tcPr>
                  <w:tcW w:w="428" w:type="pct"/>
                  <w:noWrap w:val="0"/>
                  <w:vAlign w:val="center"/>
                </w:tcPr>
                <w:p>
                  <w:pPr>
                    <w:jc w:val="center"/>
                    <w:rPr>
                      <w:rFonts w:cs="Times New Roman"/>
                      <w:szCs w:val="21"/>
                    </w:rPr>
                  </w:pPr>
                  <w:r>
                    <w:rPr>
                      <w:rFonts w:hint="eastAsia" w:cs="Times New Roman"/>
                      <w:szCs w:val="21"/>
                    </w:rPr>
                    <w:t>达标</w:t>
                  </w:r>
                </w:p>
              </w:tc>
            </w:tr>
          </w:tbl>
          <w:p>
            <w:pPr>
              <w:spacing w:line="276" w:lineRule="auto"/>
              <w:ind w:firstLine="420" w:firstLineChars="200"/>
              <w:rPr>
                <w:szCs w:val="21"/>
              </w:rPr>
            </w:pPr>
            <w:r>
              <w:rPr>
                <w:rFonts w:hint="eastAsia"/>
                <w:szCs w:val="21"/>
              </w:rPr>
              <w:t>由预测结果可知，净水厂厂界四周预测点噪声排放值均满足《工业企业厂界环境噪声排放标准》（GB12348-2008）2类标准要求，本项目50m范围内无噪声敏感目标。因此，本项目噪声不会对区域声环境造成影响。</w:t>
            </w:r>
          </w:p>
          <w:p>
            <w:pPr>
              <w:spacing w:line="276" w:lineRule="auto"/>
              <w:ind w:firstLine="316" w:firstLineChars="150"/>
              <w:rPr>
                <w:b/>
                <w:szCs w:val="21"/>
              </w:rPr>
            </w:pPr>
            <w:r>
              <w:rPr>
                <w:rFonts w:hint="eastAsia"/>
                <w:b/>
                <w:szCs w:val="21"/>
              </w:rPr>
              <w:t>（</w:t>
            </w:r>
            <w:r>
              <w:rPr>
                <w:b/>
                <w:szCs w:val="21"/>
              </w:rPr>
              <w:t>3</w:t>
            </w:r>
            <w:r>
              <w:rPr>
                <w:rFonts w:hint="eastAsia"/>
                <w:b/>
                <w:szCs w:val="21"/>
              </w:rPr>
              <w:t>）监测要求</w:t>
            </w:r>
          </w:p>
          <w:p>
            <w:pPr>
              <w:spacing w:line="276" w:lineRule="auto"/>
              <w:ind w:firstLine="420" w:firstLineChars="200"/>
              <w:rPr>
                <w:szCs w:val="21"/>
              </w:rPr>
            </w:pPr>
            <w:r>
              <w:rPr>
                <w:rFonts w:hint="eastAsia"/>
                <w:szCs w:val="21"/>
              </w:rPr>
              <w:t>本次环评根据《排污单位自行监测技术指南 总则》（HJ819-2017）提出项目生产运行阶段的污染源监测计划，详见下表：</w:t>
            </w:r>
          </w:p>
          <w:p>
            <w:pPr>
              <w:spacing w:line="276" w:lineRule="auto"/>
              <w:jc w:val="center"/>
              <w:rPr>
                <w:rFonts w:hint="eastAsia"/>
                <w:b/>
                <w:bCs/>
                <w:szCs w:val="21"/>
              </w:rPr>
            </w:pPr>
            <w:r>
              <w:rPr>
                <w:rFonts w:hint="eastAsia"/>
                <w:b/>
                <w:bCs/>
                <w:szCs w:val="21"/>
              </w:rPr>
              <w:t>表4-12    噪声监测方案</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2060"/>
              <w:gridCol w:w="1109"/>
              <w:gridCol w:w="37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pct"/>
                  <w:noWrap w:val="0"/>
                  <w:vAlign w:val="center"/>
                </w:tcPr>
                <w:p>
                  <w:pPr>
                    <w:jc w:val="center"/>
                    <w:rPr>
                      <w:b/>
                      <w:bCs/>
                      <w:szCs w:val="21"/>
                    </w:rPr>
                  </w:pPr>
                  <w:r>
                    <w:rPr>
                      <w:b/>
                      <w:bCs/>
                      <w:szCs w:val="21"/>
                    </w:rPr>
                    <w:t>监测点位</w:t>
                  </w:r>
                </w:p>
              </w:tc>
              <w:tc>
                <w:tcPr>
                  <w:tcW w:w="1189" w:type="pct"/>
                  <w:noWrap w:val="0"/>
                  <w:vAlign w:val="center"/>
                </w:tcPr>
                <w:p>
                  <w:pPr>
                    <w:jc w:val="center"/>
                    <w:rPr>
                      <w:b/>
                      <w:bCs/>
                      <w:szCs w:val="21"/>
                    </w:rPr>
                  </w:pPr>
                  <w:r>
                    <w:rPr>
                      <w:b/>
                      <w:bCs/>
                      <w:szCs w:val="21"/>
                    </w:rPr>
                    <w:t>监测指标</w:t>
                  </w:r>
                </w:p>
              </w:tc>
              <w:tc>
                <w:tcPr>
                  <w:tcW w:w="640" w:type="pct"/>
                  <w:noWrap w:val="0"/>
                  <w:vAlign w:val="center"/>
                </w:tcPr>
                <w:p>
                  <w:pPr>
                    <w:jc w:val="center"/>
                    <w:rPr>
                      <w:b/>
                      <w:bCs/>
                      <w:szCs w:val="21"/>
                    </w:rPr>
                  </w:pPr>
                  <w:r>
                    <w:rPr>
                      <w:b/>
                      <w:bCs/>
                      <w:szCs w:val="21"/>
                    </w:rPr>
                    <w:t>监测频次</w:t>
                  </w:r>
                </w:p>
              </w:tc>
              <w:tc>
                <w:tcPr>
                  <w:tcW w:w="2182" w:type="pct"/>
                  <w:noWrap w:val="0"/>
                  <w:vAlign w:val="top"/>
                </w:tcPr>
                <w:p>
                  <w:pPr>
                    <w:jc w:val="center"/>
                    <w:rPr>
                      <w:b/>
                      <w:bCs/>
                      <w:szCs w:val="21"/>
                    </w:rPr>
                  </w:pPr>
                  <w:r>
                    <w:rPr>
                      <w:b/>
                      <w:bCs/>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pct"/>
                  <w:noWrap w:val="0"/>
                  <w:vAlign w:val="center"/>
                </w:tcPr>
                <w:p>
                  <w:pPr>
                    <w:jc w:val="center"/>
                    <w:rPr>
                      <w:szCs w:val="21"/>
                    </w:rPr>
                  </w:pPr>
                  <w:r>
                    <w:rPr>
                      <w:rFonts w:hint="eastAsia" w:cs="Times New Roman"/>
                      <w:szCs w:val="21"/>
                    </w:rPr>
                    <w:t>净水厂</w:t>
                  </w:r>
                  <w:r>
                    <w:rPr>
                      <w:rFonts w:cs="Times New Roman"/>
                      <w:szCs w:val="21"/>
                    </w:rPr>
                    <w:t>四周</w:t>
                  </w:r>
                  <w:r>
                    <w:rPr>
                      <w:rFonts w:hint="eastAsia" w:cs="Times New Roman"/>
                      <w:szCs w:val="21"/>
                    </w:rPr>
                    <w:t>，</w:t>
                  </w:r>
                  <w:r>
                    <w:rPr>
                      <w:rFonts w:cs="Times New Roman"/>
                      <w:szCs w:val="21"/>
                    </w:rPr>
                    <w:t>厂界外1m处</w:t>
                  </w:r>
                </w:p>
              </w:tc>
              <w:tc>
                <w:tcPr>
                  <w:tcW w:w="1189" w:type="pct"/>
                  <w:noWrap w:val="0"/>
                  <w:vAlign w:val="center"/>
                </w:tcPr>
                <w:p>
                  <w:pPr>
                    <w:jc w:val="center"/>
                    <w:rPr>
                      <w:szCs w:val="21"/>
                    </w:rPr>
                  </w:pPr>
                  <w:r>
                    <w:rPr>
                      <w:rFonts w:hint="eastAsia"/>
                      <w:szCs w:val="21"/>
                    </w:rPr>
                    <w:t>昼夜</w:t>
                  </w:r>
                  <w:r>
                    <w:rPr>
                      <w:szCs w:val="21"/>
                    </w:rPr>
                    <w:t>等效连续 A 声级</w:t>
                  </w:r>
                </w:p>
              </w:tc>
              <w:tc>
                <w:tcPr>
                  <w:tcW w:w="640" w:type="pct"/>
                  <w:noWrap w:val="0"/>
                  <w:vAlign w:val="center"/>
                </w:tcPr>
                <w:p>
                  <w:pPr>
                    <w:jc w:val="center"/>
                    <w:rPr>
                      <w:rFonts w:hint="eastAsia"/>
                      <w:szCs w:val="21"/>
                    </w:rPr>
                  </w:pPr>
                  <w:r>
                    <w:rPr>
                      <w:rFonts w:hint="eastAsia"/>
                      <w:szCs w:val="21"/>
                    </w:rPr>
                    <w:t>1季度/</w:t>
                  </w:r>
                  <w:r>
                    <w:rPr>
                      <w:szCs w:val="21"/>
                    </w:rPr>
                    <w:t>次</w:t>
                  </w:r>
                  <w:r>
                    <w:rPr>
                      <w:rFonts w:hint="eastAsia"/>
                      <w:szCs w:val="21"/>
                    </w:rPr>
                    <w:t>，</w:t>
                  </w:r>
                  <w:r>
                    <w:rPr>
                      <w:rFonts w:cs="Times New Roman"/>
                      <w:szCs w:val="21"/>
                    </w:rPr>
                    <w:t>昼夜各一次</w:t>
                  </w:r>
                </w:p>
              </w:tc>
              <w:tc>
                <w:tcPr>
                  <w:tcW w:w="2182" w:type="pct"/>
                  <w:noWrap w:val="0"/>
                  <w:vAlign w:val="center"/>
                </w:tcPr>
                <w:p>
                  <w:pPr>
                    <w:jc w:val="center"/>
                    <w:rPr>
                      <w:szCs w:val="21"/>
                    </w:rPr>
                  </w:pPr>
                  <w:r>
                    <w:rPr>
                      <w:rFonts w:hint="eastAsia"/>
                      <w:szCs w:val="21"/>
                    </w:rPr>
                    <w:t>《工业企业厂界环境噪声排放标准》（GB12348-2008）2类标准</w:t>
                  </w:r>
                </w:p>
              </w:tc>
            </w:tr>
          </w:tbl>
          <w:p>
            <w:pPr>
              <w:spacing w:line="276" w:lineRule="auto"/>
              <w:ind w:firstLine="422" w:firstLineChars="200"/>
              <w:rPr>
                <w:b/>
                <w:color w:val="FF00FF"/>
                <w:szCs w:val="21"/>
              </w:rPr>
            </w:pPr>
          </w:p>
          <w:p>
            <w:pPr>
              <w:spacing w:line="276" w:lineRule="auto"/>
              <w:ind w:firstLine="422" w:firstLineChars="200"/>
              <w:rPr>
                <w:b/>
                <w:szCs w:val="21"/>
              </w:rPr>
            </w:pPr>
            <w:r>
              <w:rPr>
                <w:b/>
                <w:szCs w:val="21"/>
              </w:rPr>
              <w:t>4</w:t>
            </w:r>
            <w:r>
              <w:rPr>
                <w:rFonts w:hint="eastAsia"/>
                <w:b/>
                <w:szCs w:val="21"/>
              </w:rPr>
              <w:t>、固体废物</w:t>
            </w:r>
          </w:p>
          <w:p>
            <w:pPr>
              <w:spacing w:line="276" w:lineRule="auto"/>
              <w:ind w:firstLine="420" w:firstLineChars="200"/>
              <w:rPr>
                <w:rFonts w:hint="eastAsia"/>
                <w:szCs w:val="21"/>
              </w:rPr>
            </w:pPr>
            <w:r>
              <w:rPr>
                <w:rFonts w:hint="eastAsia"/>
                <w:szCs w:val="21"/>
              </w:rPr>
              <w:t>一般固体废物：生活垃圾、餐厨垃圾、压滤污泥、废填料、废包装材料等。</w:t>
            </w:r>
          </w:p>
          <w:p>
            <w:pPr>
              <w:spacing w:line="276" w:lineRule="auto"/>
              <w:ind w:firstLine="420" w:firstLineChars="200"/>
              <w:rPr>
                <w:szCs w:val="21"/>
              </w:rPr>
            </w:pPr>
            <w:r>
              <w:rPr>
                <w:rFonts w:hint="eastAsia"/>
                <w:szCs w:val="21"/>
              </w:rPr>
              <w:t>本项目检修全部由水务集团负责检修，产生的检修废弃物由集团统一收集处置，现场不考虑危险废物收集暂存。</w:t>
            </w:r>
          </w:p>
          <w:p>
            <w:pPr>
              <w:spacing w:line="276" w:lineRule="auto"/>
              <w:ind w:firstLine="316" w:firstLineChars="150"/>
              <w:rPr>
                <w:b/>
                <w:szCs w:val="21"/>
              </w:rPr>
            </w:pPr>
            <w:r>
              <w:rPr>
                <w:rFonts w:hint="eastAsia"/>
                <w:b/>
                <w:szCs w:val="21"/>
              </w:rPr>
              <w:t>（</w:t>
            </w:r>
            <w:r>
              <w:rPr>
                <w:b/>
                <w:szCs w:val="21"/>
              </w:rPr>
              <w:t>1</w:t>
            </w:r>
            <w:r>
              <w:rPr>
                <w:rFonts w:hint="eastAsia"/>
                <w:b/>
                <w:szCs w:val="21"/>
              </w:rPr>
              <w:t>）一般固体废物产生及处置措施</w:t>
            </w:r>
          </w:p>
          <w:p>
            <w:pPr>
              <w:spacing w:line="276" w:lineRule="auto"/>
              <w:ind w:firstLine="420" w:firstLineChars="200"/>
              <w:rPr>
                <w:szCs w:val="21"/>
              </w:rPr>
            </w:pPr>
            <w:r>
              <w:rPr>
                <w:rFonts w:hint="eastAsia"/>
                <w:szCs w:val="21"/>
              </w:rPr>
              <w:t>①生活垃圾</w:t>
            </w:r>
          </w:p>
          <w:p>
            <w:pPr>
              <w:spacing w:line="276" w:lineRule="auto"/>
              <w:ind w:firstLine="420" w:firstLineChars="200"/>
              <w:rPr>
                <w:szCs w:val="21"/>
              </w:rPr>
            </w:pPr>
            <w:r>
              <w:rPr>
                <w:rFonts w:hint="eastAsia"/>
                <w:szCs w:val="21"/>
              </w:rPr>
              <w:t>项目劳动定员20人，年工作365天，生活垃圾产生量按照0.5kg/人·天计，则生活垃圾产生量10kg/d，3.65t/年，交由环卫部门清运处理。项目建成后全厂40人，产生生活垃圾7.3t/年。</w:t>
            </w:r>
          </w:p>
          <w:p>
            <w:pPr>
              <w:spacing w:line="276" w:lineRule="auto"/>
              <w:ind w:firstLine="420" w:firstLineChars="200"/>
              <w:rPr>
                <w:szCs w:val="21"/>
              </w:rPr>
            </w:pPr>
            <w:r>
              <w:rPr>
                <w:rFonts w:hint="eastAsia"/>
                <w:szCs w:val="21"/>
              </w:rPr>
              <w:t>②餐厨垃圾</w:t>
            </w:r>
          </w:p>
          <w:p>
            <w:pPr>
              <w:spacing w:line="276" w:lineRule="auto"/>
              <w:ind w:firstLine="420" w:firstLineChars="200"/>
              <w:rPr>
                <w:rFonts w:hint="eastAsia"/>
                <w:szCs w:val="21"/>
              </w:rPr>
            </w:pPr>
            <w:r>
              <w:rPr>
                <w:rFonts w:hint="eastAsia"/>
                <w:szCs w:val="21"/>
              </w:rPr>
              <w:t>项目设食堂，产生餐厨垃圾。项目劳动定员20人，餐厨垃圾产生量按0.2kg/人.d计，则餐厨垃圾产生量为1.46t/a。餐厨垃圾与生活垃圾分类收集，委托有合法手续的餐厨垃圾处置单位进行处置。项目建成后全厂40人，产生餐厨垃圾2.92t/年。</w:t>
            </w:r>
          </w:p>
          <w:p>
            <w:pPr>
              <w:spacing w:line="276" w:lineRule="auto"/>
              <w:ind w:firstLine="420" w:firstLineChars="200"/>
              <w:rPr>
                <w:rFonts w:hint="eastAsia"/>
                <w:szCs w:val="21"/>
              </w:rPr>
            </w:pPr>
            <w:r>
              <w:rPr>
                <w:rFonts w:hint="eastAsia"/>
                <w:szCs w:val="21"/>
              </w:rPr>
              <w:t>③压滤污泥</w:t>
            </w:r>
          </w:p>
          <w:p>
            <w:pPr>
              <w:spacing w:line="276" w:lineRule="auto"/>
              <w:ind w:firstLine="420" w:firstLineChars="200"/>
              <w:rPr>
                <w:rFonts w:hint="eastAsia"/>
                <w:color w:val="FF00FF"/>
                <w:szCs w:val="21"/>
              </w:rPr>
            </w:pPr>
            <w:r>
              <w:rPr>
                <w:rFonts w:hint="eastAsia"/>
                <w:szCs w:val="21"/>
              </w:rPr>
              <w:t>本项目运营期间，污泥主要产生于混凝、沉淀、过滤等。经板框压滤机脱水后可以得到含水率60%的泥饼。根据建设单位提供的资料，项目运营期污泥（按脱水后的泥饼计）产生量约10t/d，3650t/a。项目已建设1个污泥暂存点，严格做好“防风、防雨、防晒、防渗漏”措施和标识标牌，经板框压滤机脱水后泥饼暂存于污泥暂存间，定期运往达州市城市建筑垃圾填埋场填埋。</w:t>
            </w:r>
          </w:p>
          <w:p>
            <w:pPr>
              <w:spacing w:line="276" w:lineRule="auto"/>
              <w:ind w:firstLine="420" w:firstLineChars="200"/>
              <w:rPr>
                <w:rFonts w:hint="eastAsia"/>
                <w:szCs w:val="21"/>
              </w:rPr>
            </w:pPr>
            <w:r>
              <w:rPr>
                <w:rFonts w:hint="eastAsia"/>
                <w:szCs w:val="21"/>
              </w:rPr>
              <w:t>④废填料</w:t>
            </w:r>
          </w:p>
          <w:p>
            <w:pPr>
              <w:spacing w:line="276" w:lineRule="auto"/>
              <w:ind w:firstLine="420" w:firstLineChars="200"/>
              <w:rPr>
                <w:rFonts w:hint="eastAsia"/>
                <w:szCs w:val="21"/>
              </w:rPr>
            </w:pPr>
            <w:r>
              <w:rPr>
                <w:rFonts w:hint="eastAsia"/>
                <w:szCs w:val="21"/>
              </w:rPr>
              <w:t>本项目V型滤池采用石英砂作为滤料，由于石英砂在使用一段时间后吸附达到饱和后，应将石英砂替换掉，平均每年更换1次，废石英砂产生量约80t/a，废石英砂交由厂商回收处理。</w:t>
            </w:r>
          </w:p>
          <w:p>
            <w:pPr>
              <w:spacing w:line="276" w:lineRule="auto"/>
              <w:ind w:firstLine="420" w:firstLineChars="200"/>
              <w:rPr>
                <w:rFonts w:hint="eastAsia"/>
                <w:szCs w:val="21"/>
              </w:rPr>
            </w:pPr>
            <w:r>
              <w:rPr>
                <w:rFonts w:hint="eastAsia"/>
                <w:szCs w:val="21"/>
              </w:rPr>
              <w:t>⑤废包装材料</w:t>
            </w:r>
          </w:p>
          <w:p>
            <w:pPr>
              <w:spacing w:line="276" w:lineRule="auto"/>
              <w:ind w:firstLine="420" w:firstLineChars="200"/>
              <w:rPr>
                <w:rFonts w:hint="eastAsia"/>
                <w:szCs w:val="21"/>
              </w:rPr>
            </w:pPr>
            <w:r>
              <w:rPr>
                <w:rFonts w:hint="eastAsia"/>
                <w:szCs w:val="21"/>
              </w:rPr>
              <w:t>主要为净水药剂（PAC等）等使用后废弃的包装袋，产生量约0.5t/a，定期交由废品收购站回收。</w:t>
            </w:r>
          </w:p>
          <w:p>
            <w:pPr>
              <w:spacing w:line="276" w:lineRule="auto"/>
              <w:ind w:firstLine="420" w:firstLineChars="200"/>
              <w:rPr>
                <w:szCs w:val="21"/>
              </w:rPr>
            </w:pPr>
            <w:r>
              <w:rPr>
                <w:rFonts w:hint="eastAsia"/>
                <w:szCs w:val="21"/>
              </w:rPr>
              <w:t>项目固体废物污染源强及处置措施见下表：</w:t>
            </w:r>
          </w:p>
          <w:p>
            <w:pPr>
              <w:spacing w:line="276" w:lineRule="auto"/>
              <w:jc w:val="center"/>
              <w:rPr>
                <w:rFonts w:hint="eastAsia" w:cs="Times New Roman"/>
                <w:b/>
                <w:szCs w:val="21"/>
              </w:rPr>
            </w:pPr>
            <w:r>
              <w:rPr>
                <w:rFonts w:hint="eastAsia" w:cs="Times New Roman"/>
                <w:b/>
                <w:szCs w:val="21"/>
              </w:rPr>
              <w:t>表4-13：固体废物污染源强及处置措施表</w:t>
            </w:r>
          </w:p>
          <w:tbl>
            <w:tblPr>
              <w:tblStyle w:val="27"/>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314"/>
              <w:gridCol w:w="1123"/>
              <w:gridCol w:w="880"/>
              <w:gridCol w:w="1452"/>
              <w:gridCol w:w="908"/>
              <w:gridCol w:w="1263"/>
              <w:gridCol w:w="17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58" w:type="pct"/>
                  <w:vMerge w:val="restart"/>
                  <w:noWrap w:val="0"/>
                  <w:vAlign w:val="center"/>
                </w:tcPr>
                <w:p>
                  <w:pPr>
                    <w:jc w:val="center"/>
                    <w:rPr>
                      <w:rFonts w:cs="Times New Roman"/>
                      <w:b/>
                      <w:bCs/>
                      <w:szCs w:val="21"/>
                    </w:rPr>
                  </w:pPr>
                  <w:r>
                    <w:rPr>
                      <w:rFonts w:hint="eastAsia" w:cs="Times New Roman"/>
                      <w:b/>
                      <w:bCs/>
                      <w:szCs w:val="21"/>
                    </w:rPr>
                    <w:t>产生源</w:t>
                  </w:r>
                </w:p>
              </w:tc>
              <w:tc>
                <w:tcPr>
                  <w:tcW w:w="648" w:type="pct"/>
                  <w:vMerge w:val="restart"/>
                  <w:noWrap w:val="0"/>
                  <w:vAlign w:val="center"/>
                </w:tcPr>
                <w:p>
                  <w:pPr>
                    <w:jc w:val="center"/>
                    <w:rPr>
                      <w:rFonts w:cs="Times New Roman"/>
                      <w:b/>
                      <w:bCs/>
                      <w:szCs w:val="21"/>
                    </w:rPr>
                  </w:pPr>
                  <w:r>
                    <w:rPr>
                      <w:rFonts w:cs="Times New Roman"/>
                      <w:b/>
                      <w:bCs/>
                      <w:szCs w:val="21"/>
                    </w:rPr>
                    <w:t>固体废物名称</w:t>
                  </w:r>
                </w:p>
              </w:tc>
              <w:tc>
                <w:tcPr>
                  <w:tcW w:w="508" w:type="pct"/>
                  <w:vMerge w:val="restart"/>
                  <w:noWrap w:val="0"/>
                  <w:vAlign w:val="center"/>
                </w:tcPr>
                <w:p>
                  <w:pPr>
                    <w:jc w:val="center"/>
                    <w:rPr>
                      <w:rFonts w:cs="Times New Roman"/>
                      <w:b/>
                      <w:bCs/>
                      <w:szCs w:val="21"/>
                    </w:rPr>
                  </w:pPr>
                  <w:r>
                    <w:rPr>
                      <w:rFonts w:hint="eastAsia" w:cs="Times New Roman"/>
                      <w:b/>
                      <w:bCs/>
                      <w:szCs w:val="21"/>
                    </w:rPr>
                    <w:t>固废属性</w:t>
                  </w:r>
                </w:p>
              </w:tc>
              <w:tc>
                <w:tcPr>
                  <w:tcW w:w="838" w:type="pct"/>
                  <w:vMerge w:val="restart"/>
                  <w:noWrap w:val="0"/>
                  <w:vAlign w:val="center"/>
                </w:tcPr>
                <w:p>
                  <w:pPr>
                    <w:jc w:val="center"/>
                    <w:rPr>
                      <w:rFonts w:hint="eastAsia" w:cs="Times New Roman"/>
                      <w:b/>
                      <w:bCs/>
                      <w:szCs w:val="21"/>
                    </w:rPr>
                  </w:pPr>
                  <w:r>
                    <w:rPr>
                      <w:rFonts w:hint="eastAsia" w:cs="Times New Roman"/>
                      <w:b/>
                      <w:bCs/>
                      <w:szCs w:val="21"/>
                    </w:rPr>
                    <w:t>产生量(t/a)</w:t>
                  </w:r>
                </w:p>
              </w:tc>
              <w:tc>
                <w:tcPr>
                  <w:tcW w:w="1253" w:type="pct"/>
                  <w:gridSpan w:val="2"/>
                  <w:noWrap w:val="0"/>
                  <w:vAlign w:val="center"/>
                </w:tcPr>
                <w:p>
                  <w:pPr>
                    <w:jc w:val="center"/>
                    <w:rPr>
                      <w:rFonts w:cs="Times New Roman"/>
                      <w:b/>
                      <w:bCs/>
                      <w:szCs w:val="21"/>
                    </w:rPr>
                  </w:pPr>
                  <w:r>
                    <w:rPr>
                      <w:rFonts w:hint="eastAsia" w:cs="Times New Roman"/>
                      <w:b/>
                      <w:bCs/>
                      <w:szCs w:val="21"/>
                    </w:rPr>
                    <w:t>处置措施</w:t>
                  </w:r>
                </w:p>
              </w:tc>
              <w:tc>
                <w:tcPr>
                  <w:tcW w:w="994" w:type="pct"/>
                  <w:vMerge w:val="restart"/>
                  <w:noWrap w:val="0"/>
                  <w:vAlign w:val="center"/>
                </w:tcPr>
                <w:p>
                  <w:pPr>
                    <w:jc w:val="center"/>
                    <w:rPr>
                      <w:rFonts w:cs="Times New Roman"/>
                      <w:b/>
                      <w:bCs/>
                      <w:szCs w:val="21"/>
                    </w:rPr>
                  </w:pPr>
                  <w:r>
                    <w:rPr>
                      <w:rFonts w:hint="eastAsia" w:cs="Times New Roman"/>
                      <w:b/>
                      <w:bCs/>
                      <w:szCs w:val="21"/>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58" w:type="pct"/>
                  <w:vMerge w:val="continue"/>
                  <w:noWrap w:val="0"/>
                  <w:vAlign w:val="center"/>
                </w:tcPr>
                <w:p>
                  <w:pPr>
                    <w:jc w:val="center"/>
                    <w:rPr>
                      <w:szCs w:val="21"/>
                    </w:rPr>
                  </w:pPr>
                </w:p>
              </w:tc>
              <w:tc>
                <w:tcPr>
                  <w:tcW w:w="648" w:type="pct"/>
                  <w:vMerge w:val="continue"/>
                  <w:noWrap w:val="0"/>
                  <w:vAlign w:val="center"/>
                </w:tcPr>
                <w:p>
                  <w:pPr>
                    <w:jc w:val="center"/>
                    <w:rPr>
                      <w:szCs w:val="21"/>
                    </w:rPr>
                  </w:pPr>
                </w:p>
              </w:tc>
              <w:tc>
                <w:tcPr>
                  <w:tcW w:w="508" w:type="pct"/>
                  <w:vMerge w:val="continue"/>
                  <w:noWrap w:val="0"/>
                  <w:vAlign w:val="center"/>
                </w:tcPr>
                <w:p>
                  <w:pPr>
                    <w:jc w:val="center"/>
                    <w:rPr>
                      <w:szCs w:val="21"/>
                    </w:rPr>
                  </w:pPr>
                </w:p>
              </w:tc>
              <w:tc>
                <w:tcPr>
                  <w:tcW w:w="838" w:type="pct"/>
                  <w:vMerge w:val="continue"/>
                  <w:noWrap w:val="0"/>
                  <w:vAlign w:val="center"/>
                </w:tcPr>
                <w:p>
                  <w:pPr>
                    <w:jc w:val="center"/>
                    <w:rPr>
                      <w:b/>
                      <w:bCs/>
                      <w:szCs w:val="21"/>
                    </w:rPr>
                  </w:pPr>
                </w:p>
              </w:tc>
              <w:tc>
                <w:tcPr>
                  <w:tcW w:w="524" w:type="pct"/>
                  <w:noWrap w:val="0"/>
                  <w:vAlign w:val="center"/>
                </w:tcPr>
                <w:p>
                  <w:pPr>
                    <w:jc w:val="center"/>
                    <w:rPr>
                      <w:b/>
                      <w:bCs/>
                      <w:szCs w:val="21"/>
                    </w:rPr>
                  </w:pPr>
                  <w:r>
                    <w:rPr>
                      <w:rFonts w:hint="eastAsia"/>
                      <w:b/>
                      <w:bCs/>
                      <w:szCs w:val="21"/>
                    </w:rPr>
                    <w:t>工艺</w:t>
                  </w:r>
                </w:p>
              </w:tc>
              <w:tc>
                <w:tcPr>
                  <w:tcW w:w="729" w:type="pct"/>
                  <w:noWrap w:val="0"/>
                  <w:vAlign w:val="center"/>
                </w:tcPr>
                <w:p>
                  <w:pPr>
                    <w:jc w:val="center"/>
                    <w:rPr>
                      <w:b/>
                      <w:bCs/>
                      <w:szCs w:val="21"/>
                    </w:rPr>
                  </w:pPr>
                  <w:r>
                    <w:rPr>
                      <w:rFonts w:hint="eastAsia"/>
                      <w:b/>
                      <w:bCs/>
                      <w:szCs w:val="21"/>
                    </w:rPr>
                    <w:t>处置量(t/a)</w:t>
                  </w:r>
                </w:p>
              </w:tc>
              <w:tc>
                <w:tcPr>
                  <w:tcW w:w="994" w:type="pct"/>
                  <w:vMerge w:val="continue"/>
                  <w:noWrap w:val="0"/>
                  <w:vAlign w:val="center"/>
                </w:tcPr>
                <w:p>
                  <w:pPr>
                    <w:jc w:val="center"/>
                    <w:rPr>
                      <w:b/>
                      <w:bCs/>
                      <w:color w:val="FF00FF"/>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58" w:type="pct"/>
                  <w:noWrap w:val="0"/>
                  <w:vAlign w:val="center"/>
                </w:tcPr>
                <w:p>
                  <w:pPr>
                    <w:jc w:val="center"/>
                    <w:rPr>
                      <w:rFonts w:cs="Times New Roman"/>
                      <w:szCs w:val="21"/>
                    </w:rPr>
                  </w:pPr>
                  <w:r>
                    <w:rPr>
                      <w:rFonts w:cs="Times New Roman"/>
                      <w:szCs w:val="21"/>
                    </w:rPr>
                    <w:t>生产及办公人员</w:t>
                  </w:r>
                </w:p>
              </w:tc>
              <w:tc>
                <w:tcPr>
                  <w:tcW w:w="648" w:type="pct"/>
                  <w:noWrap w:val="0"/>
                  <w:vAlign w:val="center"/>
                </w:tcPr>
                <w:p>
                  <w:pPr>
                    <w:jc w:val="center"/>
                    <w:rPr>
                      <w:rFonts w:cs="Times New Roman"/>
                      <w:szCs w:val="21"/>
                    </w:rPr>
                  </w:pPr>
                  <w:r>
                    <w:rPr>
                      <w:rFonts w:cs="Times New Roman"/>
                      <w:szCs w:val="21"/>
                    </w:rPr>
                    <w:t>生活垃圾</w:t>
                  </w:r>
                </w:p>
              </w:tc>
              <w:tc>
                <w:tcPr>
                  <w:tcW w:w="508" w:type="pct"/>
                  <w:vMerge w:val="restart"/>
                  <w:noWrap w:val="0"/>
                  <w:vAlign w:val="center"/>
                </w:tcPr>
                <w:p>
                  <w:pPr>
                    <w:jc w:val="center"/>
                    <w:rPr>
                      <w:szCs w:val="21"/>
                    </w:rPr>
                  </w:pPr>
                  <w:r>
                    <w:rPr>
                      <w:rFonts w:hint="eastAsia"/>
                      <w:szCs w:val="21"/>
                    </w:rPr>
                    <w:t>一般废物</w:t>
                  </w:r>
                </w:p>
              </w:tc>
              <w:tc>
                <w:tcPr>
                  <w:tcW w:w="838" w:type="pct"/>
                  <w:noWrap w:val="0"/>
                  <w:vAlign w:val="center"/>
                </w:tcPr>
                <w:p>
                  <w:pPr>
                    <w:tabs>
                      <w:tab w:val="left" w:pos="1134"/>
                    </w:tabs>
                    <w:jc w:val="center"/>
                    <w:rPr>
                      <w:szCs w:val="21"/>
                    </w:rPr>
                  </w:pPr>
                  <w:r>
                    <w:rPr>
                      <w:rFonts w:hint="eastAsia"/>
                      <w:szCs w:val="21"/>
                    </w:rPr>
                    <w:t>3.65</w:t>
                  </w:r>
                </w:p>
              </w:tc>
              <w:tc>
                <w:tcPr>
                  <w:tcW w:w="524" w:type="pct"/>
                  <w:noWrap w:val="0"/>
                  <w:vAlign w:val="center"/>
                </w:tcPr>
                <w:p>
                  <w:pPr>
                    <w:jc w:val="center"/>
                    <w:rPr>
                      <w:szCs w:val="21"/>
                    </w:rPr>
                  </w:pPr>
                  <w:r>
                    <w:rPr>
                      <w:szCs w:val="21"/>
                    </w:rPr>
                    <w:t>委托处置</w:t>
                  </w:r>
                </w:p>
              </w:tc>
              <w:tc>
                <w:tcPr>
                  <w:tcW w:w="729" w:type="pct"/>
                  <w:noWrap w:val="0"/>
                  <w:vAlign w:val="center"/>
                </w:tcPr>
                <w:p>
                  <w:pPr>
                    <w:tabs>
                      <w:tab w:val="left" w:pos="1134"/>
                    </w:tabs>
                    <w:jc w:val="center"/>
                    <w:rPr>
                      <w:szCs w:val="21"/>
                    </w:rPr>
                  </w:pPr>
                  <w:r>
                    <w:rPr>
                      <w:rFonts w:hint="eastAsia"/>
                      <w:szCs w:val="21"/>
                    </w:rPr>
                    <w:t>3.65</w:t>
                  </w:r>
                </w:p>
              </w:tc>
              <w:tc>
                <w:tcPr>
                  <w:tcW w:w="994" w:type="pct"/>
                  <w:noWrap w:val="0"/>
                  <w:vAlign w:val="center"/>
                </w:tcPr>
                <w:p>
                  <w:pPr>
                    <w:tabs>
                      <w:tab w:val="left" w:pos="1134"/>
                    </w:tabs>
                    <w:jc w:val="center"/>
                    <w:rPr>
                      <w:szCs w:val="21"/>
                    </w:rPr>
                  </w:pPr>
                  <w:r>
                    <w:rPr>
                      <w:szCs w:val="21"/>
                    </w:rPr>
                    <w:t>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58" w:type="pct"/>
                  <w:noWrap w:val="0"/>
                  <w:vAlign w:val="center"/>
                </w:tcPr>
                <w:p>
                  <w:pPr>
                    <w:jc w:val="center"/>
                    <w:rPr>
                      <w:rFonts w:hint="eastAsia" w:cs="Times New Roman"/>
                      <w:szCs w:val="21"/>
                    </w:rPr>
                  </w:pPr>
                  <w:r>
                    <w:rPr>
                      <w:rFonts w:hint="eastAsia" w:cs="Times New Roman"/>
                      <w:szCs w:val="21"/>
                    </w:rPr>
                    <w:t>食堂</w:t>
                  </w:r>
                </w:p>
              </w:tc>
              <w:tc>
                <w:tcPr>
                  <w:tcW w:w="648" w:type="pct"/>
                  <w:noWrap w:val="0"/>
                  <w:vAlign w:val="center"/>
                </w:tcPr>
                <w:p>
                  <w:pPr>
                    <w:jc w:val="center"/>
                    <w:rPr>
                      <w:rFonts w:cs="Times New Roman"/>
                      <w:szCs w:val="21"/>
                    </w:rPr>
                  </w:pPr>
                  <w:r>
                    <w:rPr>
                      <w:rFonts w:cs="Times New Roman"/>
                      <w:szCs w:val="21"/>
                    </w:rPr>
                    <w:t>餐厨垃圾</w:t>
                  </w:r>
                </w:p>
              </w:tc>
              <w:tc>
                <w:tcPr>
                  <w:tcW w:w="508" w:type="pct"/>
                  <w:vMerge w:val="continue"/>
                  <w:noWrap w:val="0"/>
                  <w:vAlign w:val="center"/>
                </w:tcPr>
                <w:p>
                  <w:pPr>
                    <w:jc w:val="center"/>
                    <w:rPr>
                      <w:rFonts w:hint="eastAsia"/>
                      <w:color w:val="FF00FF"/>
                      <w:szCs w:val="21"/>
                    </w:rPr>
                  </w:pPr>
                </w:p>
              </w:tc>
              <w:tc>
                <w:tcPr>
                  <w:tcW w:w="838" w:type="pct"/>
                  <w:noWrap w:val="0"/>
                  <w:vAlign w:val="center"/>
                </w:tcPr>
                <w:p>
                  <w:pPr>
                    <w:tabs>
                      <w:tab w:val="left" w:pos="1134"/>
                    </w:tabs>
                    <w:jc w:val="center"/>
                    <w:rPr>
                      <w:szCs w:val="21"/>
                    </w:rPr>
                  </w:pPr>
                  <w:r>
                    <w:rPr>
                      <w:rFonts w:hint="eastAsia"/>
                      <w:szCs w:val="21"/>
                    </w:rPr>
                    <w:t>1.46</w:t>
                  </w:r>
                </w:p>
              </w:tc>
              <w:tc>
                <w:tcPr>
                  <w:tcW w:w="524" w:type="pct"/>
                  <w:noWrap w:val="0"/>
                  <w:vAlign w:val="center"/>
                </w:tcPr>
                <w:p>
                  <w:pPr>
                    <w:jc w:val="center"/>
                    <w:rPr>
                      <w:szCs w:val="21"/>
                    </w:rPr>
                  </w:pPr>
                  <w:r>
                    <w:rPr>
                      <w:szCs w:val="21"/>
                    </w:rPr>
                    <w:t>委托处置</w:t>
                  </w:r>
                </w:p>
              </w:tc>
              <w:tc>
                <w:tcPr>
                  <w:tcW w:w="729" w:type="pct"/>
                  <w:noWrap w:val="0"/>
                  <w:vAlign w:val="center"/>
                </w:tcPr>
                <w:p>
                  <w:pPr>
                    <w:tabs>
                      <w:tab w:val="left" w:pos="1134"/>
                    </w:tabs>
                    <w:jc w:val="center"/>
                    <w:rPr>
                      <w:rFonts w:hint="eastAsia"/>
                      <w:szCs w:val="21"/>
                    </w:rPr>
                  </w:pPr>
                  <w:r>
                    <w:rPr>
                      <w:rFonts w:hint="eastAsia"/>
                      <w:szCs w:val="21"/>
                    </w:rPr>
                    <w:t>1.46</w:t>
                  </w:r>
                </w:p>
              </w:tc>
              <w:tc>
                <w:tcPr>
                  <w:tcW w:w="994" w:type="pct"/>
                  <w:noWrap w:val="0"/>
                  <w:vAlign w:val="center"/>
                </w:tcPr>
                <w:p>
                  <w:pPr>
                    <w:tabs>
                      <w:tab w:val="left" w:pos="1134"/>
                    </w:tabs>
                    <w:jc w:val="center"/>
                    <w:rPr>
                      <w:szCs w:val="21"/>
                    </w:rPr>
                  </w:pPr>
                  <w:r>
                    <w:rPr>
                      <w:rFonts w:hint="eastAsia"/>
                      <w:szCs w:val="21"/>
                    </w:rPr>
                    <w:t>委托有合法手续的餐厨垃圾处置单位进行处置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58" w:type="pct"/>
                  <w:noWrap w:val="0"/>
                  <w:vAlign w:val="center"/>
                </w:tcPr>
                <w:p>
                  <w:pPr>
                    <w:jc w:val="center"/>
                    <w:rPr>
                      <w:rFonts w:cs="Times New Roman"/>
                      <w:szCs w:val="21"/>
                    </w:rPr>
                  </w:pPr>
                  <w:r>
                    <w:rPr>
                      <w:rFonts w:hint="eastAsia" w:cs="Times New Roman"/>
                      <w:szCs w:val="21"/>
                    </w:rPr>
                    <w:t>污泥脱水</w:t>
                  </w:r>
                </w:p>
              </w:tc>
              <w:tc>
                <w:tcPr>
                  <w:tcW w:w="648" w:type="pct"/>
                  <w:noWrap w:val="0"/>
                  <w:vAlign w:val="center"/>
                </w:tcPr>
                <w:p>
                  <w:pPr>
                    <w:jc w:val="center"/>
                    <w:rPr>
                      <w:rFonts w:cs="Times New Roman"/>
                      <w:szCs w:val="21"/>
                    </w:rPr>
                  </w:pPr>
                  <w:r>
                    <w:rPr>
                      <w:rFonts w:hint="eastAsia"/>
                      <w:szCs w:val="21"/>
                    </w:rPr>
                    <w:t>污泥</w:t>
                  </w:r>
                </w:p>
              </w:tc>
              <w:tc>
                <w:tcPr>
                  <w:tcW w:w="508" w:type="pct"/>
                  <w:vMerge w:val="continue"/>
                  <w:noWrap w:val="0"/>
                  <w:vAlign w:val="center"/>
                </w:tcPr>
                <w:p>
                  <w:pPr>
                    <w:jc w:val="center"/>
                    <w:rPr>
                      <w:rFonts w:hint="eastAsia"/>
                      <w:color w:val="FF00FF"/>
                      <w:szCs w:val="21"/>
                    </w:rPr>
                  </w:pPr>
                </w:p>
              </w:tc>
              <w:tc>
                <w:tcPr>
                  <w:tcW w:w="838" w:type="pct"/>
                  <w:noWrap w:val="0"/>
                  <w:vAlign w:val="center"/>
                </w:tcPr>
                <w:p>
                  <w:pPr>
                    <w:tabs>
                      <w:tab w:val="left" w:pos="1134"/>
                    </w:tabs>
                    <w:jc w:val="center"/>
                    <w:rPr>
                      <w:rFonts w:hint="eastAsia"/>
                      <w:szCs w:val="21"/>
                    </w:rPr>
                  </w:pPr>
                  <w:r>
                    <w:rPr>
                      <w:rFonts w:hint="eastAsia"/>
                      <w:szCs w:val="21"/>
                    </w:rPr>
                    <w:t>3650</w:t>
                  </w:r>
                </w:p>
              </w:tc>
              <w:tc>
                <w:tcPr>
                  <w:tcW w:w="524" w:type="pct"/>
                  <w:noWrap w:val="0"/>
                  <w:vAlign w:val="center"/>
                </w:tcPr>
                <w:p>
                  <w:pPr>
                    <w:jc w:val="center"/>
                    <w:rPr>
                      <w:szCs w:val="21"/>
                    </w:rPr>
                  </w:pPr>
                  <w:r>
                    <w:rPr>
                      <w:szCs w:val="21"/>
                    </w:rPr>
                    <w:t>委托处置</w:t>
                  </w:r>
                </w:p>
              </w:tc>
              <w:tc>
                <w:tcPr>
                  <w:tcW w:w="729" w:type="pct"/>
                  <w:noWrap w:val="0"/>
                  <w:vAlign w:val="center"/>
                </w:tcPr>
                <w:p>
                  <w:pPr>
                    <w:tabs>
                      <w:tab w:val="left" w:pos="1134"/>
                    </w:tabs>
                    <w:jc w:val="center"/>
                    <w:rPr>
                      <w:rFonts w:hint="eastAsia"/>
                      <w:szCs w:val="21"/>
                    </w:rPr>
                  </w:pPr>
                  <w:r>
                    <w:rPr>
                      <w:rFonts w:hint="eastAsia"/>
                      <w:szCs w:val="21"/>
                    </w:rPr>
                    <w:t>3650</w:t>
                  </w:r>
                </w:p>
              </w:tc>
              <w:tc>
                <w:tcPr>
                  <w:tcW w:w="994" w:type="pct"/>
                  <w:noWrap w:val="0"/>
                  <w:vAlign w:val="center"/>
                </w:tcPr>
                <w:p>
                  <w:pPr>
                    <w:tabs>
                      <w:tab w:val="left" w:pos="1134"/>
                    </w:tabs>
                    <w:jc w:val="center"/>
                    <w:rPr>
                      <w:rFonts w:hint="eastAsia"/>
                      <w:szCs w:val="21"/>
                    </w:rPr>
                  </w:pPr>
                  <w:r>
                    <w:rPr>
                      <w:rFonts w:hint="eastAsia"/>
                      <w:szCs w:val="21"/>
                    </w:rPr>
                    <w:t>城市建筑垃圾填埋场填埋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58" w:type="pct"/>
                  <w:noWrap w:val="0"/>
                  <w:vAlign w:val="center"/>
                </w:tcPr>
                <w:p>
                  <w:pPr>
                    <w:jc w:val="center"/>
                    <w:rPr>
                      <w:rFonts w:cs="Times New Roman"/>
                      <w:szCs w:val="21"/>
                    </w:rPr>
                  </w:pPr>
                  <w:r>
                    <w:rPr>
                      <w:rFonts w:hint="eastAsia"/>
                      <w:szCs w:val="21"/>
                    </w:rPr>
                    <w:t>V型滤池</w:t>
                  </w:r>
                </w:p>
              </w:tc>
              <w:tc>
                <w:tcPr>
                  <w:tcW w:w="648" w:type="pct"/>
                  <w:noWrap w:val="0"/>
                  <w:vAlign w:val="center"/>
                </w:tcPr>
                <w:p>
                  <w:pPr>
                    <w:jc w:val="center"/>
                    <w:rPr>
                      <w:rFonts w:cs="Times New Roman"/>
                      <w:szCs w:val="21"/>
                    </w:rPr>
                  </w:pPr>
                  <w:r>
                    <w:rPr>
                      <w:rFonts w:hint="eastAsia"/>
                      <w:szCs w:val="21"/>
                    </w:rPr>
                    <w:t>废填料</w:t>
                  </w:r>
                </w:p>
              </w:tc>
              <w:tc>
                <w:tcPr>
                  <w:tcW w:w="508" w:type="pct"/>
                  <w:vMerge w:val="continue"/>
                  <w:noWrap w:val="0"/>
                  <w:vAlign w:val="center"/>
                </w:tcPr>
                <w:p>
                  <w:pPr>
                    <w:jc w:val="center"/>
                    <w:rPr>
                      <w:rFonts w:hint="eastAsia"/>
                      <w:color w:val="FF00FF"/>
                      <w:szCs w:val="21"/>
                    </w:rPr>
                  </w:pPr>
                </w:p>
              </w:tc>
              <w:tc>
                <w:tcPr>
                  <w:tcW w:w="838" w:type="pct"/>
                  <w:noWrap w:val="0"/>
                  <w:vAlign w:val="center"/>
                </w:tcPr>
                <w:p>
                  <w:pPr>
                    <w:tabs>
                      <w:tab w:val="left" w:pos="1134"/>
                    </w:tabs>
                    <w:jc w:val="center"/>
                    <w:rPr>
                      <w:rFonts w:hint="eastAsia"/>
                      <w:szCs w:val="21"/>
                    </w:rPr>
                  </w:pPr>
                  <w:r>
                    <w:rPr>
                      <w:rFonts w:hint="eastAsia"/>
                      <w:szCs w:val="21"/>
                    </w:rPr>
                    <w:t>80</w:t>
                  </w:r>
                </w:p>
              </w:tc>
              <w:tc>
                <w:tcPr>
                  <w:tcW w:w="524" w:type="pct"/>
                  <w:noWrap w:val="0"/>
                  <w:vAlign w:val="center"/>
                </w:tcPr>
                <w:p>
                  <w:pPr>
                    <w:jc w:val="center"/>
                    <w:rPr>
                      <w:szCs w:val="21"/>
                    </w:rPr>
                  </w:pPr>
                  <w:r>
                    <w:rPr>
                      <w:szCs w:val="21"/>
                    </w:rPr>
                    <w:t>委托处置</w:t>
                  </w:r>
                </w:p>
              </w:tc>
              <w:tc>
                <w:tcPr>
                  <w:tcW w:w="729" w:type="pct"/>
                  <w:noWrap w:val="0"/>
                  <w:vAlign w:val="center"/>
                </w:tcPr>
                <w:p>
                  <w:pPr>
                    <w:tabs>
                      <w:tab w:val="left" w:pos="1134"/>
                    </w:tabs>
                    <w:jc w:val="center"/>
                    <w:rPr>
                      <w:rFonts w:hint="eastAsia"/>
                      <w:szCs w:val="21"/>
                    </w:rPr>
                  </w:pPr>
                  <w:r>
                    <w:rPr>
                      <w:rFonts w:hint="eastAsia"/>
                      <w:szCs w:val="21"/>
                    </w:rPr>
                    <w:t>80</w:t>
                  </w:r>
                </w:p>
              </w:tc>
              <w:tc>
                <w:tcPr>
                  <w:tcW w:w="994" w:type="pct"/>
                  <w:noWrap w:val="0"/>
                  <w:vAlign w:val="center"/>
                </w:tcPr>
                <w:p>
                  <w:pPr>
                    <w:tabs>
                      <w:tab w:val="left" w:pos="1134"/>
                    </w:tabs>
                    <w:jc w:val="center"/>
                    <w:rPr>
                      <w:rFonts w:hint="eastAsia"/>
                      <w:szCs w:val="21"/>
                    </w:rPr>
                  </w:pPr>
                  <w:r>
                    <w:rPr>
                      <w:rFonts w:hint="eastAsia"/>
                      <w:szCs w:val="21"/>
                    </w:rPr>
                    <w:t>交由厂商回收处理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58" w:type="pct"/>
                  <w:noWrap w:val="0"/>
                  <w:vAlign w:val="center"/>
                </w:tcPr>
                <w:p>
                  <w:pPr>
                    <w:jc w:val="center"/>
                    <w:rPr>
                      <w:rFonts w:hint="eastAsia" w:cs="Times New Roman"/>
                      <w:szCs w:val="21"/>
                    </w:rPr>
                  </w:pPr>
                  <w:r>
                    <w:rPr>
                      <w:rFonts w:hint="eastAsia"/>
                      <w:szCs w:val="21"/>
                    </w:rPr>
                    <w:t>PAC等</w:t>
                  </w:r>
                </w:p>
              </w:tc>
              <w:tc>
                <w:tcPr>
                  <w:tcW w:w="648" w:type="pct"/>
                  <w:noWrap w:val="0"/>
                  <w:vAlign w:val="center"/>
                </w:tcPr>
                <w:p>
                  <w:pPr>
                    <w:jc w:val="center"/>
                    <w:rPr>
                      <w:rFonts w:cs="Times New Roman"/>
                      <w:szCs w:val="21"/>
                    </w:rPr>
                  </w:pPr>
                  <w:r>
                    <w:rPr>
                      <w:rFonts w:hint="eastAsia"/>
                      <w:szCs w:val="21"/>
                    </w:rPr>
                    <w:t>废包装材料</w:t>
                  </w:r>
                </w:p>
              </w:tc>
              <w:tc>
                <w:tcPr>
                  <w:tcW w:w="508" w:type="pct"/>
                  <w:vMerge w:val="continue"/>
                  <w:noWrap w:val="0"/>
                  <w:vAlign w:val="center"/>
                </w:tcPr>
                <w:p>
                  <w:pPr>
                    <w:jc w:val="center"/>
                    <w:rPr>
                      <w:rFonts w:hint="eastAsia"/>
                      <w:szCs w:val="21"/>
                    </w:rPr>
                  </w:pPr>
                </w:p>
              </w:tc>
              <w:tc>
                <w:tcPr>
                  <w:tcW w:w="838" w:type="pct"/>
                  <w:noWrap w:val="0"/>
                  <w:vAlign w:val="center"/>
                </w:tcPr>
                <w:p>
                  <w:pPr>
                    <w:tabs>
                      <w:tab w:val="left" w:pos="1134"/>
                    </w:tabs>
                    <w:jc w:val="center"/>
                    <w:rPr>
                      <w:szCs w:val="21"/>
                    </w:rPr>
                  </w:pPr>
                  <w:r>
                    <w:rPr>
                      <w:rFonts w:hint="eastAsia"/>
                      <w:szCs w:val="21"/>
                    </w:rPr>
                    <w:t>0.5</w:t>
                  </w:r>
                </w:p>
              </w:tc>
              <w:tc>
                <w:tcPr>
                  <w:tcW w:w="524" w:type="pct"/>
                  <w:noWrap w:val="0"/>
                  <w:vAlign w:val="center"/>
                </w:tcPr>
                <w:p>
                  <w:pPr>
                    <w:jc w:val="center"/>
                    <w:rPr>
                      <w:szCs w:val="21"/>
                    </w:rPr>
                  </w:pPr>
                  <w:r>
                    <w:rPr>
                      <w:szCs w:val="21"/>
                    </w:rPr>
                    <w:t>委托处置</w:t>
                  </w:r>
                </w:p>
              </w:tc>
              <w:tc>
                <w:tcPr>
                  <w:tcW w:w="729" w:type="pct"/>
                  <w:noWrap w:val="0"/>
                  <w:vAlign w:val="center"/>
                </w:tcPr>
                <w:p>
                  <w:pPr>
                    <w:tabs>
                      <w:tab w:val="left" w:pos="1134"/>
                    </w:tabs>
                    <w:jc w:val="center"/>
                    <w:rPr>
                      <w:rFonts w:hint="eastAsia"/>
                      <w:szCs w:val="21"/>
                    </w:rPr>
                  </w:pPr>
                  <w:r>
                    <w:rPr>
                      <w:rFonts w:hint="eastAsia"/>
                      <w:szCs w:val="21"/>
                    </w:rPr>
                    <w:t>0.5</w:t>
                  </w:r>
                </w:p>
              </w:tc>
              <w:tc>
                <w:tcPr>
                  <w:tcW w:w="994" w:type="pct"/>
                  <w:noWrap w:val="0"/>
                  <w:vAlign w:val="center"/>
                </w:tcPr>
                <w:p>
                  <w:pPr>
                    <w:tabs>
                      <w:tab w:val="left" w:pos="1134"/>
                    </w:tabs>
                    <w:jc w:val="center"/>
                    <w:rPr>
                      <w:rFonts w:hint="eastAsia"/>
                      <w:szCs w:val="21"/>
                    </w:rPr>
                  </w:pPr>
                  <w:r>
                    <w:rPr>
                      <w:rFonts w:hint="eastAsia"/>
                      <w:szCs w:val="21"/>
                    </w:rPr>
                    <w:t>定期交由废品收购站回收</w:t>
                  </w:r>
                </w:p>
              </w:tc>
            </w:tr>
          </w:tbl>
          <w:p>
            <w:pPr>
              <w:spacing w:line="276" w:lineRule="auto"/>
              <w:ind w:firstLine="420" w:firstLineChars="200"/>
              <w:rPr>
                <w:bCs/>
                <w:szCs w:val="21"/>
              </w:rPr>
            </w:pPr>
            <w:r>
              <w:rPr>
                <w:rFonts w:hint="eastAsia"/>
                <w:bCs/>
                <w:szCs w:val="21"/>
              </w:rPr>
              <w:t>综上所述，本项目营运期严格落实本环评中提出的各类废物处置措施，可防止因处置不当出现的环境二次污染。</w:t>
            </w:r>
          </w:p>
          <w:p>
            <w:pPr>
              <w:spacing w:line="276" w:lineRule="auto"/>
              <w:ind w:firstLine="422" w:firstLineChars="200"/>
              <w:rPr>
                <w:b/>
                <w:szCs w:val="21"/>
              </w:rPr>
            </w:pPr>
            <w:r>
              <w:rPr>
                <w:b/>
                <w:szCs w:val="21"/>
              </w:rPr>
              <w:t>5</w:t>
            </w:r>
            <w:r>
              <w:rPr>
                <w:rFonts w:hint="eastAsia"/>
                <w:b/>
                <w:szCs w:val="21"/>
              </w:rPr>
              <w:t>、地下水、土壤污染防治措施</w:t>
            </w:r>
          </w:p>
          <w:p>
            <w:pPr>
              <w:spacing w:line="276" w:lineRule="auto"/>
              <w:ind w:firstLine="316" w:firstLineChars="150"/>
              <w:rPr>
                <w:b/>
                <w:szCs w:val="21"/>
              </w:rPr>
            </w:pPr>
            <w:r>
              <w:rPr>
                <w:rFonts w:hint="eastAsia"/>
                <w:b/>
                <w:szCs w:val="21"/>
              </w:rPr>
              <w:t>（1）污染途径</w:t>
            </w:r>
          </w:p>
          <w:p>
            <w:pPr>
              <w:spacing w:line="276" w:lineRule="auto"/>
              <w:ind w:firstLine="420" w:firstLineChars="200"/>
              <w:rPr>
                <w:szCs w:val="21"/>
              </w:rPr>
            </w:pPr>
            <w:r>
              <w:rPr>
                <w:rFonts w:hint="eastAsia"/>
                <w:szCs w:val="21"/>
              </w:rPr>
              <w:t>运营期污染物进入地下水环境的途径主要是各类化学物质废水泄漏通过垂直渗透进入包气带，进入包气带的污染物在物理、化学和生物作用下经吸附、转化、迁移和分解后输入地下水，运营期因渗漏可能产生的污染地下水环节为污水管网、污水处理设施发生“跑、冒、滴、漏”使污染物进入地下水环境。</w:t>
            </w:r>
          </w:p>
          <w:p>
            <w:pPr>
              <w:spacing w:line="276" w:lineRule="auto"/>
              <w:ind w:firstLine="316" w:firstLineChars="150"/>
              <w:rPr>
                <w:b/>
                <w:szCs w:val="21"/>
              </w:rPr>
            </w:pPr>
            <w:r>
              <w:rPr>
                <w:rFonts w:hint="eastAsia"/>
                <w:b/>
                <w:szCs w:val="21"/>
              </w:rPr>
              <w:t>（2）防渗分区</w:t>
            </w:r>
          </w:p>
          <w:p>
            <w:pPr>
              <w:spacing w:line="276" w:lineRule="auto"/>
              <w:ind w:firstLine="420" w:firstLineChars="200"/>
              <w:rPr>
                <w:rFonts w:cs="Times New Roman"/>
                <w:szCs w:val="21"/>
              </w:rPr>
            </w:pPr>
            <w:r>
              <w:rPr>
                <w:rFonts w:hint="eastAsia"/>
                <w:szCs w:val="21"/>
              </w:rPr>
              <w:t>根据《环境影响评价技术导则 地下水环境》（HJ610-2016）防渗分区原则，将本项目分划为重点</w:t>
            </w:r>
            <w:r>
              <w:rPr>
                <w:rFonts w:cs="Times New Roman"/>
                <w:szCs w:val="21"/>
              </w:rPr>
              <w:t>防渗区、一般防渗区和简单防渗区，划分区域如下：</w:t>
            </w:r>
          </w:p>
          <w:p>
            <w:pPr>
              <w:spacing w:line="276" w:lineRule="auto"/>
              <w:ind w:firstLine="422" w:firstLineChars="200"/>
              <w:rPr>
                <w:rFonts w:cs="Times New Roman"/>
                <w:szCs w:val="21"/>
              </w:rPr>
            </w:pPr>
            <w:r>
              <w:rPr>
                <w:rFonts w:cs="Times New Roman"/>
                <w:b/>
                <w:bCs/>
                <w:szCs w:val="21"/>
              </w:rPr>
              <w:t>重点防渗区：</w:t>
            </w:r>
            <w:r>
              <w:rPr>
                <w:rFonts w:hint="eastAsia" w:cs="Times New Roman"/>
                <w:bCs/>
                <w:szCs w:val="21"/>
              </w:rPr>
              <w:t>化学溶液贮罐区已采取防渗措施，并设置围堰，满足环保要求；</w:t>
            </w:r>
            <w:r>
              <w:rPr>
                <w:rFonts w:cs="Times New Roman"/>
                <w:szCs w:val="21"/>
              </w:rPr>
              <w:t>主要为</w:t>
            </w:r>
            <w:r>
              <w:rPr>
                <w:rFonts w:hint="eastAsia" w:cs="Times New Roman"/>
                <w:szCs w:val="21"/>
              </w:rPr>
              <w:t>柴油发电机房、应急加药间，采用防渗混凝土+2mm厚HDPE防渗层进行防渗、防腐处理</w:t>
            </w:r>
            <w:r>
              <w:rPr>
                <w:rFonts w:cs="Times New Roman"/>
                <w:szCs w:val="21"/>
              </w:rPr>
              <w:t>，防渗技术要求为等效黏土防渗层Mb≥6.0m，K≤10</w:t>
            </w:r>
            <w:r>
              <w:rPr>
                <w:rFonts w:cs="Times New Roman"/>
                <w:szCs w:val="21"/>
                <w:vertAlign w:val="superscript"/>
              </w:rPr>
              <w:t>-7</w:t>
            </w:r>
            <w:r>
              <w:rPr>
                <w:rFonts w:cs="Times New Roman"/>
                <w:szCs w:val="21"/>
              </w:rPr>
              <w:t>cm/s</w:t>
            </w:r>
          </w:p>
          <w:p>
            <w:pPr>
              <w:spacing w:line="276" w:lineRule="auto"/>
              <w:ind w:firstLine="422" w:firstLineChars="200"/>
              <w:rPr>
                <w:rFonts w:cs="Times New Roman"/>
                <w:szCs w:val="21"/>
              </w:rPr>
            </w:pPr>
            <w:r>
              <w:rPr>
                <w:rFonts w:cs="Times New Roman"/>
                <w:b/>
                <w:bCs/>
                <w:szCs w:val="21"/>
              </w:rPr>
              <w:t>一般防渗区：</w:t>
            </w:r>
            <w:r>
              <w:rPr>
                <w:rFonts w:cs="Times New Roman"/>
                <w:szCs w:val="21"/>
              </w:rPr>
              <w:t>包括</w:t>
            </w:r>
            <w:r>
              <w:rPr>
                <w:rFonts w:hint="eastAsia" w:cs="Times New Roman"/>
                <w:bCs/>
                <w:szCs w:val="21"/>
              </w:rPr>
              <w:t>反冲洗及回流泵房、回收水池、排泥浓缩贮泥池、污泥脱水机房（含污泥暂存间）、化粪池等采用25cmC30防渗混凝土防渗</w:t>
            </w:r>
            <w:r>
              <w:rPr>
                <w:rFonts w:cs="Times New Roman"/>
                <w:szCs w:val="21"/>
              </w:rPr>
              <w:t>，防渗技术要求为等效粘土防渗层Mb≥1.5m，K≤10</w:t>
            </w:r>
            <w:r>
              <w:rPr>
                <w:rFonts w:cs="Times New Roman"/>
                <w:szCs w:val="21"/>
                <w:vertAlign w:val="superscript"/>
              </w:rPr>
              <w:t>-7</w:t>
            </w:r>
            <w:r>
              <w:rPr>
                <w:rFonts w:cs="Times New Roman"/>
                <w:szCs w:val="21"/>
              </w:rPr>
              <w:t>cm/s。</w:t>
            </w:r>
          </w:p>
          <w:p>
            <w:pPr>
              <w:spacing w:line="276" w:lineRule="auto"/>
              <w:ind w:firstLine="422" w:firstLineChars="200"/>
              <w:rPr>
                <w:rFonts w:cs="Times New Roman"/>
                <w:szCs w:val="21"/>
              </w:rPr>
            </w:pPr>
            <w:r>
              <w:rPr>
                <w:rFonts w:cs="Times New Roman"/>
                <w:b/>
                <w:bCs/>
                <w:szCs w:val="21"/>
              </w:rPr>
              <w:t>简单防渗区：</w:t>
            </w:r>
            <w:r>
              <w:rPr>
                <w:rFonts w:cs="Times New Roman"/>
                <w:szCs w:val="21"/>
              </w:rPr>
              <w:t>包括门卫室、综合楼、厂区道路</w:t>
            </w:r>
            <w:r>
              <w:rPr>
                <w:szCs w:val="21"/>
              </w:rPr>
              <w:t>及除重点、一般防渗区以外的区域</w:t>
            </w:r>
            <w:r>
              <w:rPr>
                <w:rFonts w:cs="Times New Roman"/>
                <w:szCs w:val="21"/>
              </w:rPr>
              <w:t>，防渗技术要求为一般地面硬化。</w:t>
            </w:r>
          </w:p>
          <w:p>
            <w:pPr>
              <w:spacing w:line="276" w:lineRule="auto"/>
              <w:ind w:firstLine="316" w:firstLineChars="150"/>
              <w:rPr>
                <w:b/>
                <w:szCs w:val="21"/>
              </w:rPr>
            </w:pPr>
            <w:r>
              <w:rPr>
                <w:rFonts w:hint="eastAsia"/>
                <w:b/>
                <w:szCs w:val="21"/>
              </w:rPr>
              <w:t>（3）防控措施</w:t>
            </w:r>
          </w:p>
          <w:p>
            <w:pPr>
              <w:spacing w:line="276" w:lineRule="auto"/>
              <w:ind w:firstLine="422" w:firstLineChars="200"/>
              <w:rPr>
                <w:color w:val="FF00FF"/>
                <w:szCs w:val="21"/>
              </w:rPr>
            </w:pPr>
            <w:r>
              <w:rPr>
                <w:rFonts w:hint="eastAsia"/>
                <w:b/>
                <w:bCs/>
                <w:szCs w:val="21"/>
              </w:rPr>
              <w:t>重点防渗区：</w:t>
            </w:r>
            <w:r>
              <w:rPr>
                <w:rFonts w:hint="eastAsia" w:cs="Times New Roman"/>
                <w:szCs w:val="21"/>
              </w:rPr>
              <w:t>柴油发电机房</w:t>
            </w:r>
            <w:r>
              <w:rPr>
                <w:rFonts w:hint="eastAsia"/>
                <w:szCs w:val="21"/>
              </w:rPr>
              <w:t>采取防渗混凝土+2mm厚HDPE防渗层进行防渗、防腐处理，确保防渗性能与6m厚黏土防渗层等效，防渗系数K≤1×10</w:t>
            </w:r>
            <w:r>
              <w:rPr>
                <w:rFonts w:hint="eastAsia"/>
                <w:szCs w:val="21"/>
                <w:vertAlign w:val="superscript"/>
              </w:rPr>
              <w:t>-10</w:t>
            </w:r>
            <w:r>
              <w:rPr>
                <w:rFonts w:hint="eastAsia"/>
                <w:szCs w:val="21"/>
              </w:rPr>
              <w:t>cm/s</w:t>
            </w:r>
            <w:r>
              <w:rPr>
                <w:rFonts w:hint="eastAsia" w:cs="Times New Roman"/>
                <w:color w:val="FF00FF"/>
                <w:szCs w:val="21"/>
              </w:rPr>
              <w:t>。</w:t>
            </w:r>
          </w:p>
          <w:p>
            <w:pPr>
              <w:spacing w:line="276" w:lineRule="auto"/>
              <w:ind w:firstLine="422" w:firstLineChars="200"/>
              <w:rPr>
                <w:rFonts w:hint="eastAsia"/>
                <w:szCs w:val="21"/>
              </w:rPr>
            </w:pPr>
            <w:r>
              <w:rPr>
                <w:rFonts w:hint="eastAsia"/>
                <w:b/>
                <w:bCs/>
                <w:color w:val="FF00FF"/>
                <w:szCs w:val="21"/>
              </w:rPr>
              <w:t>一</w:t>
            </w:r>
            <w:r>
              <w:rPr>
                <w:rFonts w:hint="eastAsia"/>
                <w:b/>
                <w:bCs/>
                <w:szCs w:val="21"/>
              </w:rPr>
              <w:t>般防渗区：</w:t>
            </w:r>
            <w:r>
              <w:rPr>
                <w:rFonts w:hint="eastAsia"/>
                <w:szCs w:val="21"/>
              </w:rPr>
              <w:t>采取25cmC30防渗混凝土，确保防渗性能与1.5m厚黏土防渗层等效，防渗系数K≤1×10</w:t>
            </w:r>
            <w:r>
              <w:rPr>
                <w:rFonts w:hint="eastAsia"/>
                <w:szCs w:val="21"/>
                <w:vertAlign w:val="superscript"/>
              </w:rPr>
              <w:t>-7</w:t>
            </w:r>
            <w:r>
              <w:rPr>
                <w:rFonts w:hint="eastAsia"/>
                <w:szCs w:val="21"/>
              </w:rPr>
              <w:t>cm/s。</w:t>
            </w:r>
          </w:p>
          <w:p>
            <w:pPr>
              <w:spacing w:line="276" w:lineRule="auto"/>
              <w:ind w:firstLine="422" w:firstLineChars="200"/>
              <w:rPr>
                <w:szCs w:val="21"/>
              </w:rPr>
            </w:pPr>
            <w:r>
              <w:rPr>
                <w:rFonts w:hint="eastAsia"/>
                <w:b/>
                <w:bCs/>
                <w:szCs w:val="21"/>
              </w:rPr>
              <w:t>简单防渗区：</w:t>
            </w:r>
            <w:r>
              <w:rPr>
                <w:rFonts w:hint="eastAsia"/>
                <w:szCs w:val="21"/>
              </w:rPr>
              <w:t>采用混凝土硬化。</w:t>
            </w:r>
          </w:p>
          <w:p>
            <w:pPr>
              <w:spacing w:line="276" w:lineRule="auto"/>
              <w:jc w:val="center"/>
              <w:rPr>
                <w:rFonts w:hint="eastAsia"/>
                <w:b/>
                <w:szCs w:val="21"/>
              </w:rPr>
            </w:pPr>
            <w:r>
              <w:rPr>
                <w:rFonts w:hint="eastAsia"/>
                <w:b/>
                <w:szCs w:val="21"/>
              </w:rPr>
              <w:t>表4-14    本项目地下水防渗分区表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43"/>
              <w:gridCol w:w="1932"/>
              <w:gridCol w:w="1130"/>
              <w:gridCol w:w="3768"/>
              <w:gridCol w:w="11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370" w:type="pct"/>
                  <w:shd w:val="clear" w:color="000000" w:fill="auto"/>
                  <w:noWrap w:val="0"/>
                  <w:vAlign w:val="center"/>
                </w:tcPr>
                <w:p>
                  <w:pPr>
                    <w:jc w:val="center"/>
                    <w:rPr>
                      <w:rFonts w:hint="eastAsia"/>
                      <w:b/>
                      <w:bCs/>
                      <w:szCs w:val="21"/>
                    </w:rPr>
                  </w:pPr>
                  <w:r>
                    <w:rPr>
                      <w:rFonts w:hint="eastAsia"/>
                      <w:b/>
                      <w:bCs/>
                      <w:szCs w:val="21"/>
                    </w:rPr>
                    <w:t>序号</w:t>
                  </w:r>
                </w:p>
              </w:tc>
              <w:tc>
                <w:tcPr>
                  <w:tcW w:w="1114" w:type="pct"/>
                  <w:shd w:val="clear" w:color="000000" w:fill="auto"/>
                  <w:noWrap w:val="0"/>
                  <w:vAlign w:val="center"/>
                </w:tcPr>
                <w:p>
                  <w:pPr>
                    <w:jc w:val="center"/>
                    <w:rPr>
                      <w:b/>
                      <w:bCs/>
                      <w:szCs w:val="21"/>
                    </w:rPr>
                  </w:pPr>
                  <w:r>
                    <w:rPr>
                      <w:rFonts w:hint="eastAsia"/>
                      <w:b/>
                      <w:bCs/>
                      <w:szCs w:val="21"/>
                    </w:rPr>
                    <w:t>车间名称</w:t>
                  </w:r>
                </w:p>
              </w:tc>
              <w:tc>
                <w:tcPr>
                  <w:tcW w:w="652" w:type="pct"/>
                  <w:shd w:val="clear" w:color="000000" w:fill="auto"/>
                  <w:noWrap w:val="0"/>
                  <w:vAlign w:val="center"/>
                </w:tcPr>
                <w:p>
                  <w:pPr>
                    <w:jc w:val="center"/>
                    <w:rPr>
                      <w:b/>
                      <w:bCs/>
                      <w:szCs w:val="21"/>
                    </w:rPr>
                  </w:pPr>
                  <w:r>
                    <w:rPr>
                      <w:rFonts w:hint="eastAsia"/>
                      <w:b/>
                      <w:bCs/>
                      <w:szCs w:val="21"/>
                    </w:rPr>
                    <w:t>分区类别</w:t>
                  </w:r>
                </w:p>
              </w:tc>
              <w:tc>
                <w:tcPr>
                  <w:tcW w:w="2172" w:type="pct"/>
                  <w:shd w:val="clear" w:color="000000" w:fill="auto"/>
                  <w:noWrap w:val="0"/>
                  <w:vAlign w:val="center"/>
                </w:tcPr>
                <w:p>
                  <w:pPr>
                    <w:jc w:val="center"/>
                    <w:rPr>
                      <w:b/>
                      <w:bCs/>
                      <w:szCs w:val="21"/>
                    </w:rPr>
                  </w:pPr>
                  <w:r>
                    <w:rPr>
                      <w:rFonts w:hint="eastAsia"/>
                      <w:b/>
                      <w:bCs/>
                      <w:szCs w:val="21"/>
                    </w:rPr>
                    <w:t>防渗要求</w:t>
                  </w:r>
                </w:p>
              </w:tc>
              <w:tc>
                <w:tcPr>
                  <w:tcW w:w="690" w:type="pct"/>
                  <w:shd w:val="clear" w:color="000000" w:fill="auto"/>
                  <w:noWrap w:val="0"/>
                  <w:vAlign w:val="center"/>
                </w:tcPr>
                <w:p>
                  <w:pPr>
                    <w:jc w:val="center"/>
                    <w:rPr>
                      <w:b/>
                      <w:bCs/>
                      <w:szCs w:val="21"/>
                    </w:rPr>
                  </w:pPr>
                  <w:r>
                    <w:rPr>
                      <w:rFonts w:hint="eastAsia"/>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70" w:type="pct"/>
                  <w:noWrap w:val="0"/>
                  <w:vAlign w:val="center"/>
                </w:tcPr>
                <w:p>
                  <w:pPr>
                    <w:jc w:val="center"/>
                    <w:rPr>
                      <w:rFonts w:hint="eastAsia"/>
                      <w:szCs w:val="21"/>
                    </w:rPr>
                  </w:pPr>
                  <w:r>
                    <w:rPr>
                      <w:rFonts w:hint="eastAsia"/>
                      <w:szCs w:val="21"/>
                    </w:rPr>
                    <w:t>1</w:t>
                  </w:r>
                </w:p>
              </w:tc>
              <w:tc>
                <w:tcPr>
                  <w:tcW w:w="1114" w:type="pct"/>
                  <w:noWrap w:val="0"/>
                  <w:vAlign w:val="center"/>
                </w:tcPr>
                <w:p>
                  <w:pPr>
                    <w:jc w:val="center"/>
                    <w:rPr>
                      <w:rFonts w:hint="eastAsia" w:cs="Times New Roman"/>
                      <w:szCs w:val="21"/>
                    </w:rPr>
                  </w:pPr>
                  <w:r>
                    <w:rPr>
                      <w:rFonts w:hint="eastAsia" w:cs="Times New Roman"/>
                      <w:szCs w:val="21"/>
                    </w:rPr>
                    <w:t>柴油发电机房、应急加药间</w:t>
                  </w:r>
                </w:p>
              </w:tc>
              <w:tc>
                <w:tcPr>
                  <w:tcW w:w="652" w:type="pct"/>
                  <w:noWrap w:val="0"/>
                  <w:vAlign w:val="center"/>
                </w:tcPr>
                <w:p>
                  <w:pPr>
                    <w:jc w:val="center"/>
                    <w:rPr>
                      <w:rFonts w:hint="eastAsia"/>
                      <w:szCs w:val="21"/>
                    </w:rPr>
                  </w:pPr>
                  <w:r>
                    <w:rPr>
                      <w:rFonts w:hint="eastAsia"/>
                      <w:szCs w:val="21"/>
                    </w:rPr>
                    <w:t>重点防渗</w:t>
                  </w:r>
                </w:p>
              </w:tc>
              <w:tc>
                <w:tcPr>
                  <w:tcW w:w="2172" w:type="pct"/>
                  <w:noWrap w:val="0"/>
                  <w:vAlign w:val="center"/>
                </w:tcPr>
                <w:p>
                  <w:pPr>
                    <w:jc w:val="center"/>
                    <w:rPr>
                      <w:rFonts w:hint="eastAsia" w:cs="Times New Roman"/>
                      <w:szCs w:val="21"/>
                    </w:rPr>
                  </w:pPr>
                  <w:r>
                    <w:rPr>
                      <w:rFonts w:hint="eastAsia"/>
                      <w:szCs w:val="21"/>
                    </w:rPr>
                    <w:t>防渗混凝土+2mm厚HDPE防渗层进行防渗、防腐处理，确保防渗性能与6m厚黏土防渗层等效，防渗系数K≤1×10</w:t>
                  </w:r>
                  <w:r>
                    <w:rPr>
                      <w:rFonts w:hint="eastAsia"/>
                      <w:szCs w:val="21"/>
                      <w:vertAlign w:val="superscript"/>
                    </w:rPr>
                    <w:t>-10</w:t>
                  </w:r>
                  <w:r>
                    <w:rPr>
                      <w:rFonts w:hint="eastAsia"/>
                      <w:szCs w:val="21"/>
                    </w:rPr>
                    <w:t>cm/s</w:t>
                  </w:r>
                </w:p>
              </w:tc>
              <w:tc>
                <w:tcPr>
                  <w:tcW w:w="690" w:type="pct"/>
                  <w:noWrap w:val="0"/>
                  <w:vAlign w:val="center"/>
                </w:tcPr>
                <w:p>
                  <w:pPr>
                    <w:jc w:val="center"/>
                    <w:rPr>
                      <w:rFonts w:hint="eastAsia"/>
                      <w:szCs w:val="21"/>
                    </w:rPr>
                  </w:pPr>
                  <w:r>
                    <w:rPr>
                      <w:rFonts w:hint="eastAsia"/>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70" w:type="pct"/>
                  <w:noWrap w:val="0"/>
                  <w:vAlign w:val="center"/>
                </w:tcPr>
                <w:p>
                  <w:pPr>
                    <w:jc w:val="center"/>
                    <w:rPr>
                      <w:szCs w:val="21"/>
                    </w:rPr>
                  </w:pPr>
                  <w:r>
                    <w:rPr>
                      <w:rFonts w:hint="eastAsia"/>
                      <w:szCs w:val="21"/>
                    </w:rPr>
                    <w:t>2</w:t>
                  </w:r>
                </w:p>
              </w:tc>
              <w:tc>
                <w:tcPr>
                  <w:tcW w:w="1114" w:type="pct"/>
                  <w:noWrap w:val="0"/>
                  <w:vAlign w:val="center"/>
                </w:tcPr>
                <w:p>
                  <w:pPr>
                    <w:jc w:val="center"/>
                    <w:rPr>
                      <w:rFonts w:cs="Times New Roman"/>
                      <w:szCs w:val="21"/>
                      <w:lang w:bidi="ar"/>
                    </w:rPr>
                  </w:pPr>
                  <w:r>
                    <w:rPr>
                      <w:rFonts w:hint="eastAsia" w:cs="Times New Roman"/>
                      <w:szCs w:val="21"/>
                    </w:rPr>
                    <w:t>加氯间</w:t>
                  </w:r>
                </w:p>
              </w:tc>
              <w:tc>
                <w:tcPr>
                  <w:tcW w:w="652" w:type="pct"/>
                  <w:noWrap w:val="0"/>
                  <w:vAlign w:val="center"/>
                </w:tcPr>
                <w:p>
                  <w:pPr>
                    <w:jc w:val="center"/>
                    <w:rPr>
                      <w:rFonts w:hint="eastAsia"/>
                      <w:szCs w:val="21"/>
                    </w:rPr>
                  </w:pPr>
                  <w:r>
                    <w:rPr>
                      <w:rFonts w:hint="eastAsia"/>
                      <w:szCs w:val="21"/>
                    </w:rPr>
                    <w:t>重点防渗</w:t>
                  </w:r>
                </w:p>
              </w:tc>
              <w:tc>
                <w:tcPr>
                  <w:tcW w:w="2172" w:type="pct"/>
                  <w:noWrap w:val="0"/>
                  <w:vAlign w:val="center"/>
                </w:tcPr>
                <w:p>
                  <w:pPr>
                    <w:jc w:val="center"/>
                  </w:pPr>
                  <w:r>
                    <w:rPr>
                      <w:rFonts w:hint="eastAsia"/>
                      <w:szCs w:val="21"/>
                    </w:rPr>
                    <w:t>防渗混凝土+2mm厚HDPE防渗层进行防渗、防腐处理，确保防渗性能与6m厚黏土防渗层等效，防渗系数K≤1×10</w:t>
                  </w:r>
                  <w:r>
                    <w:rPr>
                      <w:rFonts w:hint="eastAsia"/>
                      <w:szCs w:val="21"/>
                      <w:vertAlign w:val="superscript"/>
                    </w:rPr>
                    <w:t>-7</w:t>
                  </w:r>
                  <w:r>
                    <w:rPr>
                      <w:rFonts w:hint="eastAsia"/>
                      <w:szCs w:val="21"/>
                    </w:rPr>
                    <w:t>cm/s；另外，溶液贮罐区建有围堰</w:t>
                  </w:r>
                </w:p>
              </w:tc>
              <w:tc>
                <w:tcPr>
                  <w:tcW w:w="690" w:type="pct"/>
                  <w:noWrap w:val="0"/>
                  <w:vAlign w:val="center"/>
                </w:tcPr>
                <w:p>
                  <w:pPr>
                    <w:jc w:val="center"/>
                    <w:rPr>
                      <w:rFonts w:hint="eastAsia"/>
                      <w:szCs w:val="21"/>
                    </w:rPr>
                  </w:pPr>
                  <w:r>
                    <w:rPr>
                      <w:rFonts w:hint="eastAsia"/>
                      <w:szCs w:val="21"/>
                    </w:rPr>
                    <w:t>已建、依托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70" w:type="pct"/>
                  <w:noWrap w:val="0"/>
                  <w:vAlign w:val="center"/>
                </w:tcPr>
                <w:p>
                  <w:pPr>
                    <w:jc w:val="center"/>
                    <w:rPr>
                      <w:szCs w:val="21"/>
                    </w:rPr>
                  </w:pPr>
                  <w:r>
                    <w:rPr>
                      <w:rFonts w:hint="eastAsia"/>
                      <w:szCs w:val="21"/>
                    </w:rPr>
                    <w:t>3</w:t>
                  </w:r>
                </w:p>
              </w:tc>
              <w:tc>
                <w:tcPr>
                  <w:tcW w:w="1114" w:type="pct"/>
                  <w:noWrap w:val="0"/>
                  <w:vAlign w:val="center"/>
                </w:tcPr>
                <w:p>
                  <w:pPr>
                    <w:jc w:val="center"/>
                    <w:rPr>
                      <w:rFonts w:eastAsia="TTA2o00"/>
                      <w:szCs w:val="21"/>
                    </w:rPr>
                  </w:pPr>
                  <w:r>
                    <w:rPr>
                      <w:rFonts w:hint="eastAsia" w:eastAsia="TTA2o00"/>
                      <w:szCs w:val="21"/>
                    </w:rPr>
                    <w:t>反冲洗及回流泵房、回收水池、排泥浓缩贮泥池、污泥脱水机房（含污泥暂存间）、化粪池等</w:t>
                  </w:r>
                </w:p>
              </w:tc>
              <w:tc>
                <w:tcPr>
                  <w:tcW w:w="652" w:type="pct"/>
                  <w:noWrap w:val="0"/>
                  <w:vAlign w:val="center"/>
                </w:tcPr>
                <w:p>
                  <w:pPr>
                    <w:jc w:val="center"/>
                    <w:rPr>
                      <w:rFonts w:hint="eastAsia"/>
                      <w:szCs w:val="21"/>
                    </w:rPr>
                  </w:pPr>
                  <w:r>
                    <w:rPr>
                      <w:rFonts w:hint="eastAsia"/>
                      <w:szCs w:val="21"/>
                    </w:rPr>
                    <w:t>一般防渗</w:t>
                  </w:r>
                </w:p>
              </w:tc>
              <w:tc>
                <w:tcPr>
                  <w:tcW w:w="2172" w:type="pct"/>
                  <w:noWrap w:val="0"/>
                  <w:vAlign w:val="center"/>
                </w:tcPr>
                <w:p>
                  <w:pPr>
                    <w:jc w:val="center"/>
                    <w:rPr>
                      <w:rFonts w:hint="eastAsia"/>
                      <w:szCs w:val="21"/>
                    </w:rPr>
                  </w:pPr>
                  <w:r>
                    <w:rPr>
                      <w:rFonts w:hint="eastAsia"/>
                      <w:szCs w:val="21"/>
                    </w:rPr>
                    <w:t>25cmC30防渗混凝土</w:t>
                  </w:r>
                  <w:r>
                    <w:rPr>
                      <w:rFonts w:eastAsia="TTA2o00"/>
                      <w:szCs w:val="21"/>
                    </w:rPr>
                    <w:t>，</w:t>
                  </w:r>
                  <w:r>
                    <w:rPr>
                      <w:szCs w:val="21"/>
                    </w:rPr>
                    <w:t>达到等效黏土防渗层M≧1.5m，K≤10</w:t>
                  </w:r>
                  <w:r>
                    <w:rPr>
                      <w:szCs w:val="21"/>
                      <w:vertAlign w:val="superscript"/>
                    </w:rPr>
                    <w:t>-7</w:t>
                  </w:r>
                  <w:r>
                    <w:rPr>
                      <w:szCs w:val="21"/>
                    </w:rPr>
                    <w:t>cm/s的要求</w:t>
                  </w:r>
                </w:p>
              </w:tc>
              <w:tc>
                <w:tcPr>
                  <w:tcW w:w="690" w:type="pct"/>
                  <w:noWrap w:val="0"/>
                  <w:vAlign w:val="center"/>
                </w:tcPr>
                <w:p>
                  <w:pPr>
                    <w:jc w:val="center"/>
                    <w:rPr>
                      <w:rFonts w:hint="eastAsia"/>
                      <w:szCs w:val="21"/>
                    </w:rPr>
                  </w:pPr>
                  <w:r>
                    <w:rPr>
                      <w:rFonts w:hint="eastAsia"/>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70" w:type="pct"/>
                  <w:noWrap w:val="0"/>
                  <w:vAlign w:val="center"/>
                </w:tcPr>
                <w:p>
                  <w:pPr>
                    <w:jc w:val="center"/>
                    <w:rPr>
                      <w:szCs w:val="21"/>
                    </w:rPr>
                  </w:pPr>
                  <w:r>
                    <w:rPr>
                      <w:rFonts w:hint="eastAsia"/>
                      <w:szCs w:val="21"/>
                    </w:rPr>
                    <w:t>4</w:t>
                  </w:r>
                </w:p>
              </w:tc>
              <w:tc>
                <w:tcPr>
                  <w:tcW w:w="1114" w:type="pct"/>
                  <w:noWrap w:val="0"/>
                  <w:vAlign w:val="center"/>
                </w:tcPr>
                <w:p>
                  <w:pPr>
                    <w:jc w:val="center"/>
                    <w:rPr>
                      <w:szCs w:val="21"/>
                    </w:rPr>
                  </w:pPr>
                  <w:r>
                    <w:rPr>
                      <w:rFonts w:cs="Times New Roman"/>
                      <w:szCs w:val="21"/>
                    </w:rPr>
                    <w:t>门卫室、综合楼、厂区道路</w:t>
                  </w:r>
                  <w:r>
                    <w:rPr>
                      <w:szCs w:val="21"/>
                    </w:rPr>
                    <w:t>及除重点、一般防渗区以外的区域</w:t>
                  </w:r>
                </w:p>
              </w:tc>
              <w:tc>
                <w:tcPr>
                  <w:tcW w:w="652" w:type="pct"/>
                  <w:noWrap w:val="0"/>
                  <w:vAlign w:val="center"/>
                </w:tcPr>
                <w:p>
                  <w:pPr>
                    <w:jc w:val="center"/>
                    <w:rPr>
                      <w:rFonts w:hint="eastAsia"/>
                      <w:szCs w:val="21"/>
                    </w:rPr>
                  </w:pPr>
                  <w:r>
                    <w:rPr>
                      <w:rFonts w:hint="eastAsia"/>
                      <w:szCs w:val="21"/>
                    </w:rPr>
                    <w:t>简单防渗区</w:t>
                  </w:r>
                </w:p>
              </w:tc>
              <w:tc>
                <w:tcPr>
                  <w:tcW w:w="2172" w:type="pct"/>
                  <w:noWrap w:val="0"/>
                  <w:vAlign w:val="center"/>
                </w:tcPr>
                <w:p>
                  <w:pPr>
                    <w:jc w:val="center"/>
                    <w:rPr>
                      <w:rFonts w:hint="eastAsia"/>
                      <w:szCs w:val="21"/>
                    </w:rPr>
                  </w:pPr>
                  <w:r>
                    <w:rPr>
                      <w:rFonts w:hint="eastAsia"/>
                      <w:szCs w:val="21"/>
                    </w:rPr>
                    <w:t>混凝土硬化</w:t>
                  </w:r>
                </w:p>
              </w:tc>
              <w:tc>
                <w:tcPr>
                  <w:tcW w:w="690" w:type="pct"/>
                  <w:noWrap w:val="0"/>
                  <w:vAlign w:val="center"/>
                </w:tcPr>
                <w:p>
                  <w:pPr>
                    <w:jc w:val="center"/>
                    <w:rPr>
                      <w:rFonts w:hint="eastAsia"/>
                      <w:szCs w:val="21"/>
                    </w:rPr>
                  </w:pPr>
                  <w:r>
                    <w:rPr>
                      <w:rFonts w:hint="eastAsia"/>
                      <w:szCs w:val="21"/>
                    </w:rPr>
                    <w:t>新建</w:t>
                  </w:r>
                </w:p>
              </w:tc>
            </w:tr>
          </w:tbl>
          <w:p>
            <w:pPr>
              <w:spacing w:line="276" w:lineRule="auto"/>
              <w:ind w:firstLine="420" w:firstLineChars="200"/>
              <w:rPr>
                <w:rFonts w:hint="eastAsia"/>
                <w:szCs w:val="21"/>
              </w:rPr>
            </w:pPr>
            <w:r>
              <w:rPr>
                <w:rFonts w:hint="eastAsia"/>
                <w:szCs w:val="21"/>
              </w:rPr>
              <w:t>在严格执行以上污染预防措施的基础上，项目建设不会对地下水及土壤产生影响。</w:t>
            </w:r>
          </w:p>
          <w:p>
            <w:pPr>
              <w:spacing w:line="276" w:lineRule="auto"/>
              <w:ind w:firstLine="422" w:firstLineChars="200"/>
              <w:rPr>
                <w:b/>
                <w:szCs w:val="21"/>
              </w:rPr>
            </w:pPr>
            <w:r>
              <w:rPr>
                <w:rFonts w:hint="eastAsia"/>
                <w:b/>
                <w:szCs w:val="21"/>
              </w:rPr>
              <w:t>6、环境风险</w:t>
            </w:r>
          </w:p>
          <w:p>
            <w:pPr>
              <w:spacing w:line="276" w:lineRule="auto"/>
              <w:ind w:firstLine="420" w:firstLineChars="200"/>
              <w:rPr>
                <w:rFonts w:hint="eastAsia"/>
                <w:bCs/>
                <w:szCs w:val="21"/>
              </w:rPr>
            </w:pPr>
            <w:r>
              <w:rPr>
                <w:rFonts w:hint="eastAsia"/>
                <w:bCs/>
                <w:szCs w:val="21"/>
              </w:rPr>
              <w:t>环境风险评价的目的是分析和预测建设项目存在的潜在危险、有害因素，建设项目建设和运行期间可能发生的突发事件或事故（一般不包括人为破坏及自然灾害），引起有毒有害、易燃易爆等物质</w:t>
            </w:r>
            <w:r>
              <w:rPr>
                <w:rFonts w:hint="eastAsia"/>
                <w:bCs/>
                <w:szCs w:val="21"/>
                <w:lang w:eastAsia="zh-CN"/>
              </w:rPr>
              <w:t>泄漏</w:t>
            </w:r>
            <w:r>
              <w:rPr>
                <w:rFonts w:hint="eastAsia"/>
                <w:bCs/>
                <w:szCs w:val="21"/>
              </w:rPr>
              <w:t>，或突发事件产生的新的有毒有害物质，所造成的对人身安全与环境的影响和损害程度，提出合理可行的防范、应急与减缓措施，以使建设项目事故率、损失和环境影响达到可接受水平。</w:t>
            </w:r>
          </w:p>
          <w:p>
            <w:pPr>
              <w:spacing w:line="276" w:lineRule="auto"/>
              <w:ind w:firstLine="316" w:firstLineChars="150"/>
              <w:rPr>
                <w:b/>
                <w:szCs w:val="21"/>
              </w:rPr>
            </w:pPr>
            <w:r>
              <w:rPr>
                <w:rFonts w:hint="eastAsia"/>
                <w:b/>
                <w:szCs w:val="21"/>
              </w:rPr>
              <w:t>（1）风险调查</w:t>
            </w:r>
          </w:p>
          <w:p>
            <w:pPr>
              <w:spacing w:line="276" w:lineRule="auto"/>
              <w:ind w:firstLine="480"/>
              <w:rPr>
                <w:szCs w:val="21"/>
              </w:rPr>
            </w:pPr>
            <w:r>
              <w:rPr>
                <w:rFonts w:hint="eastAsia"/>
                <w:szCs w:val="21"/>
              </w:rPr>
              <w:t>按照《建设项目环境风险评价技术导则》（HJ169-2018）的要求，对照附录B，根据项目原辅材料，本项目主要涉及的危险物质为利用复合氯酸钠及复合硫酸钠制取的二氧化氯及高锰酸钾、复合氯酸钠、复合硫酸钠等。其危险特性、贮存情况见下表：</w:t>
            </w:r>
          </w:p>
          <w:p>
            <w:pPr>
              <w:spacing w:line="276" w:lineRule="auto"/>
              <w:jc w:val="center"/>
              <w:rPr>
                <w:rFonts w:hint="eastAsia"/>
                <w:b/>
                <w:bCs/>
                <w:color w:val="FF00FF"/>
                <w:szCs w:val="21"/>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spacing w:line="276" w:lineRule="auto"/>
              <w:jc w:val="center"/>
              <w:rPr>
                <w:rFonts w:hint="eastAsia"/>
                <w:b/>
                <w:bCs/>
                <w:color w:val="FF00FF"/>
                <w:szCs w:val="21"/>
              </w:rPr>
            </w:pPr>
          </w:p>
          <w:p>
            <w:pPr>
              <w:spacing w:line="276" w:lineRule="auto"/>
              <w:jc w:val="center"/>
              <w:rPr>
                <w:rFonts w:hint="eastAsia"/>
                <w:b/>
                <w:bCs/>
                <w:szCs w:val="21"/>
              </w:rPr>
            </w:pPr>
            <w:r>
              <w:rPr>
                <w:rFonts w:hint="eastAsia"/>
                <w:b/>
                <w:bCs/>
                <w:szCs w:val="21"/>
              </w:rPr>
              <w:t>表4-15    主要危险物质储存及危险特性</w:t>
            </w:r>
          </w:p>
          <w:tbl>
            <w:tblPr>
              <w:tblStyle w:val="26"/>
              <w:tblW w:w="85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03"/>
              <w:gridCol w:w="1193"/>
              <w:gridCol w:w="1116"/>
              <w:gridCol w:w="1792"/>
              <w:gridCol w:w="1514"/>
              <w:gridCol w:w="15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822" w:type="pct"/>
                  <w:noWrap w:val="0"/>
                  <w:vAlign w:val="center"/>
                </w:tcPr>
                <w:p>
                  <w:pPr>
                    <w:jc w:val="center"/>
                    <w:rPr>
                      <w:rFonts w:cs="Times New Roman"/>
                      <w:b/>
                      <w:bCs/>
                      <w:szCs w:val="21"/>
                    </w:rPr>
                  </w:pPr>
                  <w:r>
                    <w:rPr>
                      <w:rFonts w:hint="eastAsia" w:ascii="宋体" w:hAnsi="宋体"/>
                      <w:b/>
                      <w:bCs/>
                      <w:kern w:val="0"/>
                      <w:szCs w:val="21"/>
                    </w:rPr>
                    <w:t>化学品名称</w:t>
                  </w:r>
                </w:p>
              </w:tc>
              <w:tc>
                <w:tcPr>
                  <w:tcW w:w="699" w:type="pct"/>
                  <w:noWrap w:val="0"/>
                  <w:vAlign w:val="center"/>
                </w:tcPr>
                <w:p>
                  <w:pPr>
                    <w:jc w:val="center"/>
                    <w:rPr>
                      <w:rFonts w:cs="Times New Roman"/>
                      <w:b/>
                      <w:bCs/>
                      <w:szCs w:val="21"/>
                    </w:rPr>
                  </w:pPr>
                  <w:r>
                    <w:rPr>
                      <w:rFonts w:cs="Times New Roman"/>
                      <w:b/>
                      <w:bCs/>
                      <w:szCs w:val="21"/>
                    </w:rPr>
                    <w:t>CAS号</w:t>
                  </w:r>
                </w:p>
              </w:tc>
              <w:tc>
                <w:tcPr>
                  <w:tcW w:w="654" w:type="pct"/>
                  <w:noWrap w:val="0"/>
                  <w:vAlign w:val="center"/>
                </w:tcPr>
                <w:p>
                  <w:pPr>
                    <w:jc w:val="center"/>
                    <w:rPr>
                      <w:rFonts w:cs="Times New Roman"/>
                      <w:b/>
                      <w:bCs/>
                      <w:szCs w:val="21"/>
                    </w:rPr>
                  </w:pPr>
                  <w:r>
                    <w:rPr>
                      <w:rFonts w:cs="Times New Roman"/>
                      <w:b/>
                      <w:bCs/>
                      <w:szCs w:val="21"/>
                    </w:rPr>
                    <w:t>危险特性</w:t>
                  </w:r>
                </w:p>
              </w:tc>
              <w:tc>
                <w:tcPr>
                  <w:tcW w:w="1050" w:type="pct"/>
                  <w:noWrap w:val="0"/>
                  <w:vAlign w:val="center"/>
                </w:tcPr>
                <w:p>
                  <w:pPr>
                    <w:jc w:val="center"/>
                    <w:rPr>
                      <w:rFonts w:cs="Times New Roman"/>
                      <w:b/>
                      <w:bCs/>
                      <w:szCs w:val="21"/>
                    </w:rPr>
                  </w:pPr>
                  <w:r>
                    <w:rPr>
                      <w:rFonts w:cs="Times New Roman"/>
                      <w:b/>
                      <w:bCs/>
                      <w:szCs w:val="21"/>
                    </w:rPr>
                    <w:t>最大储存量（t）</w:t>
                  </w:r>
                </w:p>
              </w:tc>
              <w:tc>
                <w:tcPr>
                  <w:tcW w:w="887" w:type="pct"/>
                  <w:noWrap w:val="0"/>
                  <w:vAlign w:val="center"/>
                </w:tcPr>
                <w:p>
                  <w:pPr>
                    <w:jc w:val="center"/>
                    <w:rPr>
                      <w:rFonts w:cs="Times New Roman"/>
                      <w:b/>
                      <w:bCs/>
                      <w:szCs w:val="21"/>
                    </w:rPr>
                  </w:pPr>
                  <w:r>
                    <w:rPr>
                      <w:rFonts w:cs="Times New Roman"/>
                      <w:b/>
                      <w:bCs/>
                      <w:szCs w:val="21"/>
                    </w:rPr>
                    <w:t>临界量（t）</w:t>
                  </w:r>
                </w:p>
              </w:tc>
              <w:tc>
                <w:tcPr>
                  <w:tcW w:w="888" w:type="pct"/>
                  <w:noWrap w:val="0"/>
                  <w:vAlign w:val="center"/>
                </w:tcPr>
                <w:p>
                  <w:pPr>
                    <w:jc w:val="center"/>
                    <w:rPr>
                      <w:rFonts w:cs="Times New Roman"/>
                      <w:b/>
                      <w:bCs/>
                      <w:szCs w:val="21"/>
                    </w:rPr>
                  </w:pPr>
                  <w:r>
                    <w:rPr>
                      <w:rFonts w:cs="Times New Roman"/>
                      <w:b/>
                      <w:bCs/>
                      <w:szCs w:val="21"/>
                    </w:rPr>
                    <w:t>储存位置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822" w:type="pct"/>
                  <w:noWrap w:val="0"/>
                  <w:vAlign w:val="center"/>
                </w:tcPr>
                <w:p>
                  <w:pPr>
                    <w:jc w:val="center"/>
                    <w:rPr>
                      <w:rFonts w:hint="eastAsia" w:ascii="宋体" w:hAnsi="宋体"/>
                      <w:kern w:val="0"/>
                      <w:szCs w:val="21"/>
                    </w:rPr>
                  </w:pPr>
                  <w:r>
                    <w:rPr>
                      <w:rFonts w:hint="eastAsia" w:ascii="宋体" w:hAnsi="宋体"/>
                      <w:kern w:val="0"/>
                      <w:szCs w:val="21"/>
                    </w:rPr>
                    <w:t>复合氯酸钠</w:t>
                  </w:r>
                </w:p>
              </w:tc>
              <w:tc>
                <w:tcPr>
                  <w:tcW w:w="699" w:type="pct"/>
                  <w:noWrap w:val="0"/>
                  <w:vAlign w:val="center"/>
                </w:tcPr>
                <w:p>
                  <w:pPr>
                    <w:pStyle w:val="52"/>
                    <w:ind w:firstLine="0" w:firstLineChars="0"/>
                    <w:rPr>
                      <w:rFonts w:hint="eastAsia" w:eastAsia="宋体"/>
                      <w:sz w:val="21"/>
                    </w:rPr>
                  </w:pPr>
                  <w:r>
                    <w:rPr>
                      <w:rFonts w:hint="eastAsia" w:eastAsia="宋体"/>
                      <w:sz w:val="21"/>
                    </w:rPr>
                    <w:t>7775-09-9</w:t>
                  </w:r>
                </w:p>
              </w:tc>
              <w:tc>
                <w:tcPr>
                  <w:tcW w:w="654" w:type="pct"/>
                  <w:noWrap w:val="0"/>
                  <w:vAlign w:val="center"/>
                </w:tcPr>
                <w:p>
                  <w:pPr>
                    <w:jc w:val="center"/>
                    <w:rPr>
                      <w:rFonts w:hint="eastAsia" w:cs="Times New Roman"/>
                      <w:bCs/>
                      <w:szCs w:val="21"/>
                    </w:rPr>
                  </w:pPr>
                  <w:r>
                    <w:rPr>
                      <w:rFonts w:hint="eastAsia" w:cs="Times New Roman"/>
                      <w:bCs/>
                      <w:szCs w:val="21"/>
                    </w:rPr>
                    <w:t>强氧化性</w:t>
                  </w:r>
                </w:p>
              </w:tc>
              <w:tc>
                <w:tcPr>
                  <w:tcW w:w="1050" w:type="pct"/>
                  <w:noWrap w:val="0"/>
                  <w:vAlign w:val="center"/>
                </w:tcPr>
                <w:p>
                  <w:pPr>
                    <w:jc w:val="center"/>
                    <w:rPr>
                      <w:rFonts w:cs="Times New Roman"/>
                      <w:bCs/>
                      <w:szCs w:val="21"/>
                    </w:rPr>
                  </w:pPr>
                  <w:r>
                    <w:rPr>
                      <w:rFonts w:hint="eastAsia" w:cs="Times New Roman"/>
                      <w:bCs/>
                      <w:szCs w:val="21"/>
                    </w:rPr>
                    <w:t>10（有效成分2.4）</w:t>
                  </w:r>
                </w:p>
              </w:tc>
              <w:tc>
                <w:tcPr>
                  <w:tcW w:w="887" w:type="pct"/>
                  <w:noWrap w:val="0"/>
                  <w:vAlign w:val="center"/>
                </w:tcPr>
                <w:p>
                  <w:pPr>
                    <w:jc w:val="center"/>
                    <w:rPr>
                      <w:rFonts w:cs="Times New Roman"/>
                      <w:bCs/>
                      <w:szCs w:val="21"/>
                    </w:rPr>
                  </w:pPr>
                  <w:r>
                    <w:rPr>
                      <w:rFonts w:hint="eastAsia" w:cs="Times New Roman"/>
                      <w:bCs/>
                      <w:szCs w:val="21"/>
                    </w:rPr>
                    <w:t>100</w:t>
                  </w:r>
                </w:p>
              </w:tc>
              <w:tc>
                <w:tcPr>
                  <w:tcW w:w="888" w:type="pct"/>
                  <w:noWrap w:val="0"/>
                  <w:vAlign w:val="center"/>
                </w:tcPr>
                <w:p>
                  <w:pPr>
                    <w:jc w:val="center"/>
                    <w:rPr>
                      <w:rFonts w:hint="eastAsia" w:cs="Times New Roman"/>
                      <w:bCs/>
                      <w:szCs w:val="21"/>
                    </w:rPr>
                  </w:pPr>
                  <w:r>
                    <w:rPr>
                      <w:rFonts w:hint="eastAsia" w:cs="Times New Roman"/>
                      <w:bCs/>
                      <w:szCs w:val="21"/>
                    </w:rPr>
                    <w:t>加氯</w:t>
                  </w:r>
                  <w:r>
                    <w:rPr>
                      <w:rFonts w:cs="Times New Roman"/>
                      <w:bCs/>
                      <w:szCs w:val="21"/>
                    </w:rPr>
                    <w:t>加药间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822" w:type="pct"/>
                  <w:noWrap w:val="0"/>
                  <w:vAlign w:val="center"/>
                </w:tcPr>
                <w:p>
                  <w:pPr>
                    <w:jc w:val="center"/>
                    <w:rPr>
                      <w:rFonts w:hint="eastAsia"/>
                      <w:szCs w:val="21"/>
                    </w:rPr>
                  </w:pPr>
                  <w:r>
                    <w:rPr>
                      <w:rFonts w:hint="eastAsia"/>
                      <w:szCs w:val="21"/>
                    </w:rPr>
                    <w:t>复合硫酸氢钠</w:t>
                  </w:r>
                </w:p>
              </w:tc>
              <w:tc>
                <w:tcPr>
                  <w:tcW w:w="699" w:type="pct"/>
                  <w:noWrap w:val="0"/>
                  <w:vAlign w:val="center"/>
                </w:tcPr>
                <w:p>
                  <w:pPr>
                    <w:pStyle w:val="52"/>
                    <w:ind w:firstLine="0" w:firstLineChars="0"/>
                    <w:rPr>
                      <w:rFonts w:hint="eastAsia" w:eastAsia="宋体"/>
                      <w:sz w:val="21"/>
                    </w:rPr>
                  </w:pPr>
                  <w:r>
                    <w:rPr>
                      <w:rFonts w:hint="eastAsia" w:eastAsia="宋体"/>
                      <w:sz w:val="21"/>
                    </w:rPr>
                    <w:t>7681-38-1</w:t>
                  </w:r>
                </w:p>
              </w:tc>
              <w:tc>
                <w:tcPr>
                  <w:tcW w:w="654" w:type="pct"/>
                  <w:noWrap w:val="0"/>
                  <w:vAlign w:val="center"/>
                </w:tcPr>
                <w:p>
                  <w:pPr>
                    <w:jc w:val="center"/>
                    <w:rPr>
                      <w:rFonts w:hint="eastAsia" w:cs="Times New Roman"/>
                      <w:bCs/>
                      <w:szCs w:val="21"/>
                    </w:rPr>
                  </w:pPr>
                  <w:r>
                    <w:rPr>
                      <w:rFonts w:hint="eastAsia" w:cs="Times New Roman"/>
                      <w:bCs/>
                      <w:szCs w:val="21"/>
                    </w:rPr>
                    <w:t>强酸性</w:t>
                  </w:r>
                </w:p>
              </w:tc>
              <w:tc>
                <w:tcPr>
                  <w:tcW w:w="1050" w:type="pct"/>
                  <w:noWrap w:val="0"/>
                  <w:vAlign w:val="center"/>
                </w:tcPr>
                <w:p>
                  <w:pPr>
                    <w:jc w:val="center"/>
                    <w:rPr>
                      <w:rFonts w:cs="Times New Roman"/>
                      <w:bCs/>
                      <w:szCs w:val="21"/>
                    </w:rPr>
                  </w:pPr>
                  <w:r>
                    <w:rPr>
                      <w:rFonts w:hint="eastAsia" w:cs="Times New Roman"/>
                      <w:bCs/>
                      <w:szCs w:val="21"/>
                    </w:rPr>
                    <w:t>20（有效成分9.6）</w:t>
                  </w:r>
                </w:p>
              </w:tc>
              <w:tc>
                <w:tcPr>
                  <w:tcW w:w="887" w:type="pct"/>
                  <w:noWrap w:val="0"/>
                  <w:vAlign w:val="center"/>
                </w:tcPr>
                <w:p>
                  <w:pPr>
                    <w:jc w:val="center"/>
                    <w:rPr>
                      <w:rFonts w:hint="eastAsia" w:cs="Times New Roman"/>
                      <w:bCs/>
                      <w:szCs w:val="21"/>
                    </w:rPr>
                  </w:pPr>
                  <w:r>
                    <w:rPr>
                      <w:rFonts w:hint="eastAsia" w:cs="Times New Roman"/>
                      <w:bCs/>
                      <w:szCs w:val="21"/>
                    </w:rPr>
                    <w:t>100</w:t>
                  </w:r>
                </w:p>
              </w:tc>
              <w:tc>
                <w:tcPr>
                  <w:tcW w:w="888" w:type="pct"/>
                  <w:noWrap w:val="0"/>
                  <w:vAlign w:val="center"/>
                </w:tcPr>
                <w:p>
                  <w:pPr>
                    <w:jc w:val="center"/>
                    <w:rPr>
                      <w:rFonts w:hint="eastAsia" w:cs="Times New Roman"/>
                      <w:bCs/>
                      <w:szCs w:val="21"/>
                    </w:rPr>
                  </w:pPr>
                  <w:r>
                    <w:rPr>
                      <w:rFonts w:hint="eastAsia" w:cs="Times New Roman"/>
                      <w:bCs/>
                      <w:szCs w:val="21"/>
                    </w:rPr>
                    <w:t>加氯</w:t>
                  </w:r>
                  <w:r>
                    <w:rPr>
                      <w:rFonts w:cs="Times New Roman"/>
                      <w:bCs/>
                      <w:szCs w:val="21"/>
                    </w:rPr>
                    <w:t>加药间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822" w:type="pct"/>
                  <w:noWrap w:val="0"/>
                  <w:vAlign w:val="center"/>
                </w:tcPr>
                <w:p>
                  <w:pPr>
                    <w:jc w:val="center"/>
                    <w:rPr>
                      <w:rFonts w:cs="Times New Roman"/>
                      <w:bCs/>
                      <w:szCs w:val="21"/>
                    </w:rPr>
                  </w:pPr>
                  <w:r>
                    <w:rPr>
                      <w:rFonts w:hint="eastAsia" w:ascii="宋体" w:hAnsi="宋体"/>
                      <w:kern w:val="0"/>
                      <w:szCs w:val="21"/>
                    </w:rPr>
                    <w:t>二氧化氯</w:t>
                  </w:r>
                </w:p>
              </w:tc>
              <w:tc>
                <w:tcPr>
                  <w:tcW w:w="699" w:type="pct"/>
                  <w:noWrap w:val="0"/>
                  <w:vAlign w:val="center"/>
                </w:tcPr>
                <w:p>
                  <w:pPr>
                    <w:pStyle w:val="52"/>
                    <w:ind w:firstLine="0" w:firstLineChars="0"/>
                    <w:rPr>
                      <w:rFonts w:eastAsia="宋体"/>
                      <w:sz w:val="21"/>
                    </w:rPr>
                  </w:pPr>
                  <w:r>
                    <w:rPr>
                      <w:rFonts w:hint="eastAsia" w:eastAsia="宋体"/>
                      <w:sz w:val="21"/>
                    </w:rPr>
                    <w:t>10049</w:t>
                  </w:r>
                  <w:r>
                    <w:rPr>
                      <w:sz w:val="21"/>
                    </w:rPr>
                    <w:t>-</w:t>
                  </w:r>
                  <w:r>
                    <w:rPr>
                      <w:rFonts w:hint="eastAsia" w:eastAsia="宋体"/>
                      <w:sz w:val="21"/>
                    </w:rPr>
                    <w:t>04</w:t>
                  </w:r>
                  <w:r>
                    <w:rPr>
                      <w:sz w:val="21"/>
                    </w:rPr>
                    <w:t>-</w:t>
                  </w:r>
                  <w:r>
                    <w:rPr>
                      <w:rFonts w:hint="eastAsia" w:eastAsia="宋体"/>
                      <w:sz w:val="21"/>
                    </w:rPr>
                    <w:t>4</w:t>
                  </w:r>
                </w:p>
              </w:tc>
              <w:tc>
                <w:tcPr>
                  <w:tcW w:w="654" w:type="pct"/>
                  <w:noWrap w:val="0"/>
                  <w:vAlign w:val="center"/>
                </w:tcPr>
                <w:p>
                  <w:pPr>
                    <w:jc w:val="center"/>
                    <w:rPr>
                      <w:rFonts w:cs="Times New Roman"/>
                      <w:bCs/>
                      <w:szCs w:val="21"/>
                    </w:rPr>
                  </w:pPr>
                  <w:r>
                    <w:rPr>
                      <w:rFonts w:hint="eastAsia" w:cs="Times New Roman"/>
                      <w:bCs/>
                      <w:szCs w:val="21"/>
                    </w:rPr>
                    <w:t>强氧化性、</w:t>
                  </w:r>
                  <w:r>
                    <w:rPr>
                      <w:rFonts w:cs="Times New Roman"/>
                      <w:bCs/>
                      <w:szCs w:val="21"/>
                    </w:rPr>
                    <w:t>腐蚀性</w:t>
                  </w:r>
                </w:p>
              </w:tc>
              <w:tc>
                <w:tcPr>
                  <w:tcW w:w="1050" w:type="pct"/>
                  <w:noWrap w:val="0"/>
                  <w:vAlign w:val="center"/>
                </w:tcPr>
                <w:p>
                  <w:pPr>
                    <w:jc w:val="center"/>
                    <w:rPr>
                      <w:rFonts w:cs="Times New Roman"/>
                      <w:bCs/>
                      <w:szCs w:val="21"/>
                    </w:rPr>
                  </w:pPr>
                  <w:r>
                    <w:rPr>
                      <w:rFonts w:hint="eastAsia" w:cs="Times New Roman"/>
                      <w:bCs/>
                      <w:szCs w:val="21"/>
                    </w:rPr>
                    <w:t>0.025</w:t>
                  </w:r>
                </w:p>
              </w:tc>
              <w:tc>
                <w:tcPr>
                  <w:tcW w:w="887" w:type="pct"/>
                  <w:noWrap w:val="0"/>
                  <w:vAlign w:val="center"/>
                </w:tcPr>
                <w:p>
                  <w:pPr>
                    <w:jc w:val="center"/>
                    <w:rPr>
                      <w:rFonts w:cs="Times New Roman"/>
                      <w:bCs/>
                      <w:szCs w:val="21"/>
                    </w:rPr>
                  </w:pPr>
                  <w:r>
                    <w:rPr>
                      <w:rFonts w:hint="eastAsia" w:cs="Times New Roman"/>
                      <w:bCs/>
                      <w:szCs w:val="21"/>
                    </w:rPr>
                    <w:t>0.</w:t>
                  </w:r>
                  <w:r>
                    <w:rPr>
                      <w:rFonts w:cs="Times New Roman"/>
                      <w:bCs/>
                      <w:szCs w:val="21"/>
                    </w:rPr>
                    <w:t>5</w:t>
                  </w:r>
                </w:p>
              </w:tc>
              <w:tc>
                <w:tcPr>
                  <w:tcW w:w="888" w:type="pct"/>
                  <w:noWrap w:val="0"/>
                  <w:vAlign w:val="center"/>
                </w:tcPr>
                <w:p>
                  <w:pPr>
                    <w:jc w:val="center"/>
                    <w:rPr>
                      <w:rFonts w:cs="Times New Roman"/>
                      <w:bCs/>
                      <w:szCs w:val="21"/>
                    </w:rPr>
                  </w:pPr>
                  <w:r>
                    <w:rPr>
                      <w:rFonts w:hint="eastAsia" w:cs="Times New Roman"/>
                      <w:bCs/>
                      <w:szCs w:val="21"/>
                    </w:rPr>
                    <w:t>加氯</w:t>
                  </w:r>
                  <w:r>
                    <w:rPr>
                      <w:rFonts w:cs="Times New Roman"/>
                      <w:bCs/>
                      <w:szCs w:val="21"/>
                    </w:rPr>
                    <w:t>加药间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822" w:type="pct"/>
                  <w:noWrap w:val="0"/>
                  <w:vAlign w:val="center"/>
                </w:tcPr>
                <w:p>
                  <w:pPr>
                    <w:jc w:val="center"/>
                    <w:rPr>
                      <w:rFonts w:hint="eastAsia" w:ascii="宋体" w:hAnsi="宋体"/>
                      <w:kern w:val="0"/>
                      <w:szCs w:val="21"/>
                    </w:rPr>
                  </w:pPr>
                  <w:r>
                    <w:rPr>
                      <w:rFonts w:hint="eastAsia" w:cs="Times New Roman"/>
                      <w:szCs w:val="21"/>
                    </w:rPr>
                    <w:t>高锰酸钾</w:t>
                  </w:r>
                </w:p>
              </w:tc>
              <w:tc>
                <w:tcPr>
                  <w:tcW w:w="699" w:type="pct"/>
                  <w:noWrap w:val="0"/>
                  <w:vAlign w:val="center"/>
                </w:tcPr>
                <w:p>
                  <w:pPr>
                    <w:pStyle w:val="52"/>
                    <w:ind w:firstLine="0" w:firstLineChars="0"/>
                    <w:rPr>
                      <w:rFonts w:hint="eastAsia" w:eastAsia="宋体"/>
                      <w:sz w:val="21"/>
                    </w:rPr>
                  </w:pPr>
                  <w:r>
                    <w:rPr>
                      <w:rFonts w:hint="eastAsia" w:eastAsia="宋体"/>
                      <w:sz w:val="21"/>
                    </w:rPr>
                    <w:t>7722-64-7</w:t>
                  </w:r>
                </w:p>
              </w:tc>
              <w:tc>
                <w:tcPr>
                  <w:tcW w:w="654" w:type="pct"/>
                  <w:noWrap w:val="0"/>
                  <w:vAlign w:val="center"/>
                </w:tcPr>
                <w:p>
                  <w:pPr>
                    <w:jc w:val="center"/>
                    <w:rPr>
                      <w:rFonts w:hint="eastAsia" w:cs="Times New Roman"/>
                      <w:bCs/>
                      <w:szCs w:val="21"/>
                    </w:rPr>
                  </w:pPr>
                  <w:r>
                    <w:rPr>
                      <w:rFonts w:hint="eastAsia" w:cs="Times New Roman"/>
                      <w:bCs/>
                      <w:szCs w:val="21"/>
                    </w:rPr>
                    <w:t>强氧化性、</w:t>
                  </w:r>
                  <w:r>
                    <w:rPr>
                      <w:rFonts w:cs="Times New Roman"/>
                      <w:bCs/>
                      <w:szCs w:val="21"/>
                    </w:rPr>
                    <w:t>腐蚀性</w:t>
                  </w:r>
                </w:p>
              </w:tc>
              <w:tc>
                <w:tcPr>
                  <w:tcW w:w="1050" w:type="pct"/>
                  <w:noWrap w:val="0"/>
                  <w:vAlign w:val="center"/>
                </w:tcPr>
                <w:p>
                  <w:pPr>
                    <w:jc w:val="center"/>
                    <w:rPr>
                      <w:rFonts w:cs="Times New Roman"/>
                      <w:bCs/>
                      <w:szCs w:val="21"/>
                    </w:rPr>
                  </w:pPr>
                  <w:r>
                    <w:rPr>
                      <w:rFonts w:hint="eastAsia" w:cs="Times New Roman"/>
                      <w:bCs/>
                      <w:szCs w:val="21"/>
                    </w:rPr>
                    <w:t>1</w:t>
                  </w:r>
                </w:p>
              </w:tc>
              <w:tc>
                <w:tcPr>
                  <w:tcW w:w="887" w:type="pct"/>
                  <w:noWrap w:val="0"/>
                  <w:vAlign w:val="center"/>
                </w:tcPr>
                <w:p>
                  <w:pPr>
                    <w:jc w:val="center"/>
                    <w:rPr>
                      <w:rFonts w:cs="Times New Roman"/>
                      <w:bCs/>
                      <w:szCs w:val="21"/>
                    </w:rPr>
                  </w:pPr>
                  <w:r>
                    <w:rPr>
                      <w:rFonts w:hint="eastAsia" w:cs="Times New Roman"/>
                      <w:bCs/>
                      <w:szCs w:val="21"/>
                    </w:rPr>
                    <w:t>100</w:t>
                  </w:r>
                </w:p>
              </w:tc>
              <w:tc>
                <w:tcPr>
                  <w:tcW w:w="888" w:type="pct"/>
                  <w:noWrap w:val="0"/>
                  <w:vAlign w:val="center"/>
                </w:tcPr>
                <w:p>
                  <w:pPr>
                    <w:jc w:val="center"/>
                    <w:rPr>
                      <w:rFonts w:cs="Times New Roman"/>
                      <w:bCs/>
                      <w:szCs w:val="21"/>
                    </w:rPr>
                  </w:pPr>
                  <w:r>
                    <w:rPr>
                      <w:rFonts w:hint="eastAsia" w:cs="Times New Roman"/>
                      <w:bCs/>
                      <w:szCs w:val="21"/>
                    </w:rPr>
                    <w:t>应急加药间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822" w:type="pct"/>
                  <w:noWrap w:val="0"/>
                  <w:vAlign w:val="center"/>
                </w:tcPr>
                <w:p>
                  <w:pPr>
                    <w:jc w:val="center"/>
                    <w:rPr>
                      <w:rFonts w:hint="eastAsia" w:cs="Times New Roman"/>
                      <w:szCs w:val="21"/>
                    </w:rPr>
                  </w:pPr>
                  <w:r>
                    <w:rPr>
                      <w:rFonts w:hint="eastAsia" w:cs="Times New Roman"/>
                      <w:szCs w:val="21"/>
                    </w:rPr>
                    <w:t>柴油</w:t>
                  </w:r>
                </w:p>
              </w:tc>
              <w:tc>
                <w:tcPr>
                  <w:tcW w:w="699" w:type="pct"/>
                  <w:noWrap w:val="0"/>
                  <w:vAlign w:val="center"/>
                </w:tcPr>
                <w:p>
                  <w:pPr>
                    <w:pStyle w:val="52"/>
                    <w:ind w:firstLine="0" w:firstLineChars="0"/>
                    <w:rPr>
                      <w:rFonts w:hint="eastAsia" w:eastAsia="宋体"/>
                      <w:sz w:val="21"/>
                    </w:rPr>
                  </w:pPr>
                  <w:r>
                    <w:rPr>
                      <w:rFonts w:hint="eastAsia" w:eastAsia="宋体"/>
                      <w:sz w:val="21"/>
                    </w:rPr>
                    <w:t>/</w:t>
                  </w:r>
                </w:p>
              </w:tc>
              <w:tc>
                <w:tcPr>
                  <w:tcW w:w="654" w:type="pct"/>
                  <w:noWrap w:val="0"/>
                  <w:vAlign w:val="center"/>
                </w:tcPr>
                <w:p>
                  <w:pPr>
                    <w:jc w:val="center"/>
                    <w:rPr>
                      <w:rFonts w:hint="eastAsia" w:cs="Times New Roman"/>
                      <w:bCs/>
                      <w:szCs w:val="21"/>
                    </w:rPr>
                  </w:pPr>
                  <w:r>
                    <w:rPr>
                      <w:rFonts w:hint="eastAsia" w:cs="Times New Roman"/>
                      <w:bCs/>
                      <w:szCs w:val="21"/>
                    </w:rPr>
                    <w:t>易燃</w:t>
                  </w:r>
                </w:p>
              </w:tc>
              <w:tc>
                <w:tcPr>
                  <w:tcW w:w="1050" w:type="pct"/>
                  <w:noWrap w:val="0"/>
                  <w:vAlign w:val="center"/>
                </w:tcPr>
                <w:p>
                  <w:pPr>
                    <w:jc w:val="center"/>
                    <w:rPr>
                      <w:rFonts w:hint="eastAsia" w:cs="Times New Roman"/>
                      <w:bCs/>
                      <w:szCs w:val="21"/>
                    </w:rPr>
                  </w:pPr>
                  <w:r>
                    <w:rPr>
                      <w:rFonts w:hint="eastAsia" w:cs="Times New Roman"/>
                      <w:bCs/>
                      <w:szCs w:val="21"/>
                    </w:rPr>
                    <w:t>0.5</w:t>
                  </w:r>
                </w:p>
              </w:tc>
              <w:tc>
                <w:tcPr>
                  <w:tcW w:w="887" w:type="pct"/>
                  <w:noWrap w:val="0"/>
                  <w:vAlign w:val="center"/>
                </w:tcPr>
                <w:p>
                  <w:pPr>
                    <w:jc w:val="center"/>
                    <w:rPr>
                      <w:rFonts w:hint="eastAsia" w:cs="Times New Roman"/>
                      <w:bCs/>
                      <w:szCs w:val="21"/>
                    </w:rPr>
                  </w:pPr>
                  <w:r>
                    <w:rPr>
                      <w:rFonts w:hint="eastAsia" w:cs="Times New Roman"/>
                      <w:bCs/>
                      <w:szCs w:val="21"/>
                    </w:rPr>
                    <w:t>2500</w:t>
                  </w:r>
                </w:p>
              </w:tc>
              <w:tc>
                <w:tcPr>
                  <w:tcW w:w="888" w:type="pct"/>
                  <w:noWrap w:val="0"/>
                  <w:vAlign w:val="center"/>
                </w:tcPr>
                <w:p>
                  <w:pPr>
                    <w:jc w:val="center"/>
                    <w:rPr>
                      <w:rFonts w:hint="eastAsia" w:cs="Times New Roman"/>
                      <w:bCs/>
                      <w:szCs w:val="21"/>
                    </w:rPr>
                  </w:pPr>
                  <w:r>
                    <w:rPr>
                      <w:rFonts w:hint="eastAsia" w:cs="Times New Roman"/>
                      <w:bCs/>
                      <w:szCs w:val="21"/>
                    </w:rPr>
                    <w:t>柴油发电机房</w:t>
                  </w:r>
                </w:p>
              </w:tc>
            </w:tr>
          </w:tbl>
          <w:p>
            <w:pPr>
              <w:spacing w:line="276" w:lineRule="auto"/>
              <w:ind w:firstLine="316" w:firstLineChars="150"/>
              <w:rPr>
                <w:rFonts w:hint="eastAsia"/>
                <w:b/>
                <w:szCs w:val="21"/>
              </w:rPr>
            </w:pPr>
            <w:r>
              <w:rPr>
                <w:rFonts w:hint="eastAsia"/>
                <w:b/>
                <w:szCs w:val="21"/>
              </w:rPr>
              <w:t>备注：二氧化氯为水质消毒过程由复合氯酸钠及复合硫酸钠制取产生，不在厂区储存，仅二氧化氯发生器中存有少量。</w:t>
            </w:r>
          </w:p>
          <w:p>
            <w:pPr>
              <w:spacing w:line="276" w:lineRule="auto"/>
              <w:ind w:firstLine="316" w:firstLineChars="150"/>
              <w:rPr>
                <w:szCs w:val="21"/>
              </w:rPr>
            </w:pPr>
            <w:r>
              <w:rPr>
                <w:rFonts w:hint="eastAsia"/>
                <w:b/>
                <w:szCs w:val="21"/>
              </w:rPr>
              <w:t>（</w:t>
            </w:r>
            <w:r>
              <w:rPr>
                <w:b/>
                <w:szCs w:val="21"/>
              </w:rPr>
              <w:t>2</w:t>
            </w:r>
            <w:r>
              <w:rPr>
                <w:rFonts w:hint="eastAsia"/>
                <w:b/>
                <w:szCs w:val="21"/>
              </w:rPr>
              <w:t>）风险潜势初判</w:t>
            </w:r>
          </w:p>
          <w:p>
            <w:pPr>
              <w:spacing w:line="276" w:lineRule="auto"/>
              <w:ind w:firstLine="480"/>
              <w:rPr>
                <w:szCs w:val="21"/>
              </w:rPr>
            </w:pPr>
            <w:r>
              <w:rPr>
                <w:rFonts w:hint="eastAsia"/>
                <w:szCs w:val="21"/>
              </w:rPr>
              <w:t>建设项目环境风险潜势划分为I、II、III、IV</w:t>
            </w:r>
            <w:r>
              <w:rPr>
                <w:szCs w:val="21"/>
              </w:rPr>
              <w:t>/IV</w:t>
            </w:r>
            <w:r>
              <w:rPr>
                <w:rFonts w:hint="eastAsia"/>
                <w:szCs w:val="21"/>
                <w:vertAlign w:val="superscript"/>
              </w:rPr>
              <w:t>+</w:t>
            </w:r>
            <w:r>
              <w:rPr>
                <w:szCs w:val="21"/>
              </w:rPr>
              <w:t>级</w:t>
            </w:r>
            <w:r>
              <w:rPr>
                <w:rFonts w:hint="eastAsia"/>
                <w:szCs w:val="21"/>
              </w:rPr>
              <w:t>，</w:t>
            </w:r>
            <w:r>
              <w:rPr>
                <w:szCs w:val="21"/>
              </w:rPr>
              <w:t>主要根据建设项目涉及的物质和工艺系统的危险性及其所在地的环境敏感</w:t>
            </w:r>
            <w:r>
              <w:rPr>
                <w:rFonts w:hint="eastAsia"/>
                <w:szCs w:val="21"/>
              </w:rPr>
              <w:t>程度，</w:t>
            </w:r>
            <w:r>
              <w:rPr>
                <w:szCs w:val="21"/>
              </w:rPr>
              <w:t>结合事故情形下环境影响途径</w:t>
            </w:r>
            <w:r>
              <w:rPr>
                <w:rFonts w:hint="eastAsia"/>
                <w:szCs w:val="21"/>
              </w:rPr>
              <w:t>，</w:t>
            </w:r>
            <w:r>
              <w:rPr>
                <w:szCs w:val="21"/>
              </w:rPr>
              <w:t>按照</w:t>
            </w:r>
            <w:r>
              <w:rPr>
                <w:rFonts w:hint="eastAsia"/>
                <w:szCs w:val="21"/>
              </w:rPr>
              <w:t>《建设项目环境风险评价技术导则》（HJ169-2018）表2进行确定，其中：危险物质数量与临界量比值（</w:t>
            </w:r>
            <w:r>
              <w:rPr>
                <w:rFonts w:hint="eastAsia"/>
                <w:i/>
                <w:szCs w:val="21"/>
              </w:rPr>
              <w:t>Q</w:t>
            </w:r>
            <w:r>
              <w:rPr>
                <w:rFonts w:hint="eastAsia"/>
                <w:szCs w:val="21"/>
              </w:rPr>
              <w:t>）为每种</w:t>
            </w:r>
            <w:r>
              <w:rPr>
                <w:szCs w:val="21"/>
              </w:rPr>
              <w:t>危险物质在厂界内的最大存在总量与其在</w:t>
            </w:r>
            <w:r>
              <w:rPr>
                <w:rFonts w:hint="eastAsia"/>
                <w:szCs w:val="21"/>
              </w:rPr>
              <w:t>HJ169-2018附录B中对应临界量的比值，即：</w:t>
            </w:r>
          </w:p>
          <w:p>
            <w:pPr>
              <w:spacing w:line="276" w:lineRule="auto"/>
              <w:jc w:val="center"/>
              <w:rPr>
                <w:szCs w:val="21"/>
              </w:rPr>
            </w:pPr>
            <w:r>
              <w:rPr>
                <w:position w:val="-30"/>
                <w:szCs w:val="21"/>
              </w:rPr>
              <w:object>
                <v:shape id="_x0000_i1025" o:spt="75" type="#_x0000_t75" style="height:28.5pt;width:79.5pt;" o:ole="t" filled="f" o:preferrelative="t" stroked="f" coordsize="21600,21600">
                  <v:path/>
                  <v:fill on="f" focussize="0,0"/>
                  <v:stroke on="f"/>
                  <v:imagedata r:id="rId16" o:title=""/>
                  <o:lock v:ext="edit" aspectratio="t"/>
                  <w10:wrap type="none"/>
                  <w10:anchorlock/>
                </v:shape>
                <o:OLEObject Type="Embed" ProgID="Equation.DSMT4" ShapeID="_x0000_i1025" DrawAspect="Content" ObjectID="_1468075725" r:id="rId15">
                  <o:LockedField>false</o:LockedField>
                </o:OLEObject>
              </w:object>
            </w:r>
          </w:p>
          <w:p>
            <w:pPr>
              <w:spacing w:line="276" w:lineRule="auto"/>
              <w:ind w:firstLine="420" w:firstLineChars="200"/>
              <w:rPr>
                <w:i/>
                <w:szCs w:val="21"/>
              </w:rPr>
            </w:pPr>
            <w:r>
              <w:rPr>
                <w:rFonts w:hint="eastAsia"/>
                <w:szCs w:val="21"/>
              </w:rPr>
              <w:t>式中：</w:t>
            </w:r>
            <w:r>
              <w:rPr>
                <w:i/>
                <w:szCs w:val="21"/>
              </w:rPr>
              <w:t>q</w:t>
            </w:r>
            <w:r>
              <w:rPr>
                <w:szCs w:val="21"/>
                <w:vertAlign w:val="subscript"/>
              </w:rPr>
              <w:t>1</w:t>
            </w:r>
            <w:r>
              <w:rPr>
                <w:rFonts w:hint="eastAsia"/>
                <w:szCs w:val="21"/>
              </w:rPr>
              <w:t>，</w:t>
            </w:r>
            <w:r>
              <w:rPr>
                <w:i/>
                <w:szCs w:val="21"/>
              </w:rPr>
              <w:t>q</w:t>
            </w:r>
            <w:r>
              <w:rPr>
                <w:szCs w:val="21"/>
                <w:vertAlign w:val="subscript"/>
              </w:rPr>
              <w:t>2</w:t>
            </w:r>
            <w:r>
              <w:rPr>
                <w:rFonts w:hint="eastAsia"/>
                <w:szCs w:val="21"/>
              </w:rPr>
              <w:t>，</w:t>
            </w:r>
            <w:r>
              <w:rPr>
                <w:rFonts w:cs="Calibri"/>
                <w:szCs w:val="21"/>
              </w:rPr>
              <w:t>···，</w:t>
            </w:r>
            <w:r>
              <w:rPr>
                <w:i/>
                <w:szCs w:val="21"/>
              </w:rPr>
              <w:t>q</w:t>
            </w:r>
            <w:r>
              <w:rPr>
                <w:i/>
                <w:szCs w:val="21"/>
                <w:vertAlign w:val="subscript"/>
              </w:rPr>
              <w:t>n</w:t>
            </w:r>
            <w:r>
              <w:rPr>
                <w:szCs w:val="21"/>
              </w:rPr>
              <w:t>——</w:t>
            </w:r>
            <w:r>
              <w:rPr>
                <w:rFonts w:hint="eastAsia"/>
                <w:szCs w:val="21"/>
              </w:rPr>
              <w:t>每种危险物质的最大存在总量，t；</w:t>
            </w:r>
          </w:p>
          <w:p>
            <w:pPr>
              <w:spacing w:line="276" w:lineRule="auto"/>
              <w:ind w:firstLine="420" w:firstLineChars="200"/>
              <w:rPr>
                <w:szCs w:val="21"/>
              </w:rPr>
            </w:pPr>
            <w:r>
              <w:rPr>
                <w:szCs w:val="21"/>
              </w:rPr>
              <w:t xml:space="preserve">      </w:t>
            </w:r>
            <w:r>
              <w:rPr>
                <w:i/>
                <w:szCs w:val="21"/>
              </w:rPr>
              <w:t>Q</w:t>
            </w:r>
            <w:r>
              <w:rPr>
                <w:szCs w:val="21"/>
                <w:vertAlign w:val="subscript"/>
              </w:rPr>
              <w:t>1</w:t>
            </w:r>
            <w:r>
              <w:rPr>
                <w:rFonts w:hint="eastAsia"/>
                <w:szCs w:val="21"/>
              </w:rPr>
              <w:t>，</w:t>
            </w:r>
            <w:r>
              <w:rPr>
                <w:i/>
                <w:szCs w:val="21"/>
              </w:rPr>
              <w:t>Q</w:t>
            </w:r>
            <w:r>
              <w:rPr>
                <w:szCs w:val="21"/>
                <w:vertAlign w:val="subscript"/>
              </w:rPr>
              <w:t>2</w:t>
            </w:r>
            <w:r>
              <w:rPr>
                <w:rFonts w:hint="eastAsia"/>
                <w:szCs w:val="21"/>
              </w:rPr>
              <w:t>，</w:t>
            </w:r>
            <w:r>
              <w:rPr>
                <w:rFonts w:cs="Calibri"/>
                <w:szCs w:val="21"/>
              </w:rPr>
              <w:t>···，</w:t>
            </w:r>
            <w:r>
              <w:rPr>
                <w:i/>
                <w:szCs w:val="21"/>
              </w:rPr>
              <w:t>Q</w:t>
            </w:r>
            <w:r>
              <w:rPr>
                <w:i/>
                <w:szCs w:val="21"/>
                <w:vertAlign w:val="subscript"/>
              </w:rPr>
              <w:t>n</w:t>
            </w:r>
            <w:r>
              <w:rPr>
                <w:szCs w:val="21"/>
              </w:rPr>
              <w:t>——</w:t>
            </w:r>
            <w:r>
              <w:rPr>
                <w:rFonts w:hint="eastAsia"/>
                <w:szCs w:val="21"/>
              </w:rPr>
              <w:t>每种危险物质的临界量，t。</w:t>
            </w:r>
          </w:p>
          <w:p>
            <w:pPr>
              <w:spacing w:line="276" w:lineRule="auto"/>
              <w:ind w:firstLine="420" w:firstLineChars="200"/>
              <w:rPr>
                <w:rFonts w:cs="Calibri"/>
                <w:szCs w:val="21"/>
              </w:rPr>
            </w:pPr>
            <w:r>
              <w:rPr>
                <w:rFonts w:cs="Calibri"/>
                <w:szCs w:val="21"/>
              </w:rPr>
              <w:t>当</w:t>
            </w:r>
            <w:r>
              <w:rPr>
                <w:rFonts w:cs="Calibri"/>
                <w:i/>
                <w:szCs w:val="21"/>
              </w:rPr>
              <w:t>Q</w:t>
            </w:r>
            <w:r>
              <w:rPr>
                <w:rFonts w:cs="Calibri"/>
                <w:szCs w:val="21"/>
              </w:rPr>
              <w:t>&lt;1时，该项目环境风险潜势为I；当</w:t>
            </w:r>
            <w:r>
              <w:rPr>
                <w:rFonts w:cs="Calibri"/>
                <w:i/>
                <w:szCs w:val="21"/>
              </w:rPr>
              <w:t>Q</w:t>
            </w:r>
            <w:r>
              <w:rPr>
                <w:rFonts w:cs="Calibri"/>
                <w:szCs w:val="21"/>
              </w:rPr>
              <w:t>≥1时</w:t>
            </w:r>
            <w:r>
              <w:rPr>
                <w:rFonts w:hint="eastAsia" w:cs="Calibri"/>
                <w:szCs w:val="21"/>
              </w:rPr>
              <w:t>，</w:t>
            </w:r>
            <w:r>
              <w:rPr>
                <w:rFonts w:cs="Calibri"/>
                <w:szCs w:val="21"/>
              </w:rPr>
              <w:t>将</w:t>
            </w:r>
            <w:r>
              <w:rPr>
                <w:rFonts w:cs="Calibri"/>
                <w:i/>
                <w:szCs w:val="21"/>
              </w:rPr>
              <w:t>Q</w:t>
            </w:r>
            <w:r>
              <w:rPr>
                <w:rFonts w:cs="Calibri"/>
                <w:szCs w:val="21"/>
              </w:rPr>
              <w:t>值划分为：a.1≤</w:t>
            </w:r>
            <w:r>
              <w:rPr>
                <w:rFonts w:cs="Calibri"/>
                <w:i/>
                <w:szCs w:val="21"/>
              </w:rPr>
              <w:t>Q</w:t>
            </w:r>
            <w:r>
              <w:rPr>
                <w:rFonts w:cs="Calibri"/>
                <w:szCs w:val="21"/>
              </w:rPr>
              <w:t>&lt;10</w:t>
            </w:r>
            <w:r>
              <w:rPr>
                <w:rFonts w:hint="eastAsia" w:cs="Calibri"/>
                <w:szCs w:val="21"/>
              </w:rPr>
              <w:t>；</w:t>
            </w:r>
            <w:r>
              <w:rPr>
                <w:rFonts w:cs="Calibri"/>
                <w:szCs w:val="21"/>
              </w:rPr>
              <w:t>b. 10≤</w:t>
            </w:r>
            <w:r>
              <w:rPr>
                <w:rFonts w:cs="Calibri"/>
                <w:i/>
                <w:szCs w:val="21"/>
              </w:rPr>
              <w:t>Q</w:t>
            </w:r>
            <w:r>
              <w:rPr>
                <w:rFonts w:cs="Calibri"/>
                <w:szCs w:val="21"/>
              </w:rPr>
              <w:t>&lt;100</w:t>
            </w:r>
            <w:r>
              <w:rPr>
                <w:rFonts w:hint="eastAsia" w:cs="Calibri"/>
                <w:szCs w:val="21"/>
              </w:rPr>
              <w:t>；c</w:t>
            </w:r>
            <w:r>
              <w:rPr>
                <w:rFonts w:cs="Calibri"/>
                <w:szCs w:val="21"/>
              </w:rPr>
              <w:t>.</w:t>
            </w:r>
            <w:r>
              <w:rPr>
                <w:rFonts w:cs="Calibri"/>
                <w:i/>
                <w:szCs w:val="21"/>
              </w:rPr>
              <w:t>Q</w:t>
            </w:r>
            <w:r>
              <w:rPr>
                <w:rFonts w:cs="Calibri"/>
                <w:szCs w:val="21"/>
              </w:rPr>
              <w:t>≥100</w:t>
            </w:r>
            <w:r>
              <w:rPr>
                <w:rFonts w:hint="eastAsia" w:cs="Calibri"/>
                <w:szCs w:val="21"/>
              </w:rPr>
              <w:t>。</w:t>
            </w:r>
          </w:p>
          <w:p>
            <w:pPr>
              <w:spacing w:line="276" w:lineRule="auto"/>
              <w:ind w:firstLine="480"/>
              <w:rPr>
                <w:szCs w:val="21"/>
              </w:rPr>
            </w:pPr>
            <w:r>
              <w:rPr>
                <w:szCs w:val="21"/>
              </w:rPr>
              <w:t>根据计算</w:t>
            </w:r>
            <w:r>
              <w:rPr>
                <w:rFonts w:hint="eastAsia"/>
                <w:szCs w:val="21"/>
              </w:rPr>
              <w:t>，</w:t>
            </w:r>
            <w:r>
              <w:rPr>
                <w:szCs w:val="21"/>
              </w:rPr>
              <w:t>本项目</w:t>
            </w:r>
            <w:r>
              <w:rPr>
                <w:rFonts w:hint="eastAsia"/>
                <w:szCs w:val="21"/>
              </w:rPr>
              <w:t>危险物质数量与临界量比值见表</w:t>
            </w:r>
            <w:r>
              <w:rPr>
                <w:szCs w:val="21"/>
              </w:rPr>
              <w:t>4</w:t>
            </w:r>
            <w:r>
              <w:rPr>
                <w:rFonts w:hint="eastAsia"/>
                <w:szCs w:val="21"/>
              </w:rPr>
              <w:t>-16。</w:t>
            </w:r>
          </w:p>
          <w:p>
            <w:pPr>
              <w:spacing w:line="276" w:lineRule="auto"/>
              <w:jc w:val="center"/>
              <w:rPr>
                <w:rFonts w:hint="eastAsia"/>
                <w:b/>
                <w:bCs/>
                <w:szCs w:val="21"/>
              </w:rPr>
            </w:pPr>
            <w:r>
              <w:rPr>
                <w:rFonts w:hint="eastAsia"/>
                <w:b/>
                <w:bCs/>
                <w:szCs w:val="21"/>
              </w:rPr>
              <w:t>表4-16  危险物质数量与临界量比值表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
              <w:gridCol w:w="2255"/>
              <w:gridCol w:w="1866"/>
              <w:gridCol w:w="1974"/>
              <w:gridCol w:w="1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noWrap w:val="0"/>
                  <w:vAlign w:val="center"/>
                </w:tcPr>
                <w:p>
                  <w:pPr>
                    <w:jc w:val="center"/>
                    <w:rPr>
                      <w:rFonts w:cs="Times New Roman"/>
                      <w:b/>
                      <w:bCs/>
                      <w:szCs w:val="21"/>
                    </w:rPr>
                  </w:pPr>
                  <w:r>
                    <w:rPr>
                      <w:rFonts w:cs="Times New Roman"/>
                      <w:b/>
                      <w:bCs/>
                      <w:szCs w:val="21"/>
                    </w:rPr>
                    <w:t>序号</w:t>
                  </w:r>
                </w:p>
              </w:tc>
              <w:tc>
                <w:tcPr>
                  <w:tcW w:w="1300" w:type="pct"/>
                  <w:noWrap w:val="0"/>
                  <w:vAlign w:val="center"/>
                </w:tcPr>
                <w:p>
                  <w:pPr>
                    <w:jc w:val="center"/>
                    <w:rPr>
                      <w:rFonts w:cs="Times New Roman"/>
                      <w:b/>
                      <w:bCs/>
                      <w:szCs w:val="21"/>
                    </w:rPr>
                  </w:pPr>
                  <w:r>
                    <w:rPr>
                      <w:rFonts w:cs="Times New Roman"/>
                      <w:b/>
                      <w:bCs/>
                      <w:szCs w:val="21"/>
                    </w:rPr>
                    <w:t>危险物质</w:t>
                  </w:r>
                </w:p>
              </w:tc>
              <w:tc>
                <w:tcPr>
                  <w:tcW w:w="1076" w:type="pct"/>
                  <w:noWrap w:val="0"/>
                  <w:vAlign w:val="center"/>
                </w:tcPr>
                <w:p>
                  <w:pPr>
                    <w:jc w:val="center"/>
                    <w:rPr>
                      <w:rFonts w:cs="Times New Roman"/>
                      <w:b/>
                      <w:bCs/>
                      <w:szCs w:val="21"/>
                    </w:rPr>
                  </w:pPr>
                  <w:r>
                    <w:rPr>
                      <w:rFonts w:cs="Times New Roman"/>
                      <w:b/>
                      <w:bCs/>
                      <w:szCs w:val="21"/>
                    </w:rPr>
                    <w:t>储存量（</w:t>
                  </w:r>
                  <w:r>
                    <w:rPr>
                      <w:rFonts w:cs="Times New Roman"/>
                      <w:b/>
                      <w:bCs/>
                      <w:i/>
                      <w:szCs w:val="21"/>
                    </w:rPr>
                    <w:t>q</w:t>
                  </w:r>
                  <w:r>
                    <w:rPr>
                      <w:rFonts w:cs="Times New Roman"/>
                      <w:b/>
                      <w:bCs/>
                      <w:szCs w:val="21"/>
                    </w:rPr>
                    <w:t>）</w:t>
                  </w:r>
                </w:p>
              </w:tc>
              <w:tc>
                <w:tcPr>
                  <w:tcW w:w="1138" w:type="pct"/>
                  <w:noWrap w:val="0"/>
                  <w:vAlign w:val="center"/>
                </w:tcPr>
                <w:p>
                  <w:pPr>
                    <w:jc w:val="center"/>
                    <w:rPr>
                      <w:rFonts w:cs="Times New Roman"/>
                      <w:b/>
                      <w:bCs/>
                      <w:szCs w:val="21"/>
                    </w:rPr>
                  </w:pPr>
                  <w:r>
                    <w:rPr>
                      <w:rFonts w:cs="Times New Roman"/>
                      <w:b/>
                      <w:bCs/>
                      <w:szCs w:val="21"/>
                    </w:rPr>
                    <w:t>临界量（</w:t>
                  </w:r>
                  <w:r>
                    <w:rPr>
                      <w:rFonts w:cs="Times New Roman"/>
                      <w:b/>
                      <w:bCs/>
                      <w:i/>
                      <w:szCs w:val="21"/>
                    </w:rPr>
                    <w:t>Q</w:t>
                  </w:r>
                  <w:r>
                    <w:rPr>
                      <w:rFonts w:cs="Times New Roman"/>
                      <w:b/>
                      <w:bCs/>
                      <w:szCs w:val="21"/>
                    </w:rPr>
                    <w:t>）</w:t>
                  </w:r>
                </w:p>
              </w:tc>
              <w:tc>
                <w:tcPr>
                  <w:tcW w:w="957" w:type="pct"/>
                  <w:noWrap w:val="0"/>
                  <w:vAlign w:val="center"/>
                </w:tcPr>
                <w:p>
                  <w:pPr>
                    <w:jc w:val="center"/>
                    <w:rPr>
                      <w:rFonts w:cs="Times New Roman"/>
                      <w:b/>
                      <w:bCs/>
                      <w:szCs w:val="21"/>
                    </w:rPr>
                  </w:pPr>
                  <w:r>
                    <w:rPr>
                      <w:rFonts w:cs="Times New Roman"/>
                      <w:b/>
                      <w:bCs/>
                      <w:szCs w:val="21"/>
                    </w:rPr>
                    <w:t>比值（</w:t>
                  </w:r>
                  <w:r>
                    <w:rPr>
                      <w:rFonts w:cs="Times New Roman"/>
                      <w:b/>
                      <w:bCs/>
                      <w:i/>
                      <w:szCs w:val="21"/>
                    </w:rPr>
                    <w:t>Q</w:t>
                  </w:r>
                  <w:r>
                    <w:rPr>
                      <w:rFonts w:cs="Times New Roman"/>
                      <w:b/>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9" w:type="pct"/>
                  <w:noWrap w:val="0"/>
                  <w:vAlign w:val="center"/>
                </w:tcPr>
                <w:p>
                  <w:pPr>
                    <w:jc w:val="center"/>
                    <w:rPr>
                      <w:rFonts w:cs="Times New Roman"/>
                      <w:szCs w:val="21"/>
                    </w:rPr>
                  </w:pPr>
                  <w:r>
                    <w:rPr>
                      <w:rFonts w:cs="Times New Roman"/>
                      <w:szCs w:val="21"/>
                    </w:rPr>
                    <w:t>1</w:t>
                  </w:r>
                </w:p>
              </w:tc>
              <w:tc>
                <w:tcPr>
                  <w:tcW w:w="1300" w:type="pct"/>
                  <w:noWrap w:val="0"/>
                  <w:vAlign w:val="center"/>
                </w:tcPr>
                <w:p>
                  <w:pPr>
                    <w:jc w:val="center"/>
                    <w:rPr>
                      <w:rFonts w:hint="eastAsia" w:ascii="宋体" w:hAnsi="宋体"/>
                      <w:kern w:val="0"/>
                      <w:szCs w:val="21"/>
                    </w:rPr>
                  </w:pPr>
                  <w:r>
                    <w:rPr>
                      <w:rFonts w:hint="eastAsia" w:ascii="宋体" w:hAnsi="宋体"/>
                      <w:kern w:val="0"/>
                      <w:szCs w:val="21"/>
                    </w:rPr>
                    <w:t>氯酸钠</w:t>
                  </w:r>
                </w:p>
              </w:tc>
              <w:tc>
                <w:tcPr>
                  <w:tcW w:w="1076" w:type="pct"/>
                  <w:noWrap w:val="0"/>
                  <w:vAlign w:val="center"/>
                </w:tcPr>
                <w:p>
                  <w:pPr>
                    <w:jc w:val="center"/>
                    <w:rPr>
                      <w:rFonts w:cs="Times New Roman"/>
                      <w:bCs/>
                      <w:szCs w:val="21"/>
                    </w:rPr>
                  </w:pPr>
                  <w:r>
                    <w:rPr>
                      <w:rFonts w:hint="eastAsia" w:cs="Times New Roman"/>
                      <w:bCs/>
                      <w:szCs w:val="21"/>
                    </w:rPr>
                    <w:t>2.4</w:t>
                  </w:r>
                </w:p>
              </w:tc>
              <w:tc>
                <w:tcPr>
                  <w:tcW w:w="1138" w:type="pct"/>
                  <w:noWrap w:val="0"/>
                  <w:vAlign w:val="center"/>
                </w:tcPr>
                <w:p>
                  <w:pPr>
                    <w:jc w:val="center"/>
                    <w:rPr>
                      <w:rFonts w:hint="eastAsia" w:cs="Times New Roman"/>
                      <w:bCs/>
                      <w:szCs w:val="21"/>
                    </w:rPr>
                  </w:pPr>
                  <w:r>
                    <w:rPr>
                      <w:rFonts w:hint="eastAsia" w:cs="Times New Roman"/>
                      <w:bCs/>
                      <w:szCs w:val="21"/>
                    </w:rPr>
                    <w:t>100</w:t>
                  </w:r>
                </w:p>
              </w:tc>
              <w:tc>
                <w:tcPr>
                  <w:tcW w:w="957" w:type="pct"/>
                  <w:noWrap w:val="0"/>
                  <w:vAlign w:val="center"/>
                </w:tcPr>
                <w:p>
                  <w:pPr>
                    <w:jc w:val="center"/>
                    <w:rPr>
                      <w:rFonts w:cs="Times New Roman"/>
                      <w:bCs/>
                      <w:szCs w:val="21"/>
                    </w:rPr>
                  </w:pPr>
                  <w:r>
                    <w:rPr>
                      <w:rFonts w:hint="eastAsia" w:cs="Times New Roman"/>
                      <w:bCs/>
                      <w:szCs w:val="21"/>
                    </w:rPr>
                    <w:t>0.024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9" w:type="pct"/>
                  <w:noWrap w:val="0"/>
                  <w:vAlign w:val="center"/>
                </w:tcPr>
                <w:p>
                  <w:pPr>
                    <w:jc w:val="center"/>
                    <w:rPr>
                      <w:rFonts w:cs="Times New Roman"/>
                      <w:szCs w:val="21"/>
                    </w:rPr>
                  </w:pPr>
                  <w:r>
                    <w:rPr>
                      <w:rFonts w:hint="eastAsia" w:cs="Times New Roman"/>
                      <w:szCs w:val="21"/>
                    </w:rPr>
                    <w:t>2</w:t>
                  </w:r>
                </w:p>
              </w:tc>
              <w:tc>
                <w:tcPr>
                  <w:tcW w:w="1300" w:type="pct"/>
                  <w:noWrap w:val="0"/>
                  <w:vAlign w:val="center"/>
                </w:tcPr>
                <w:p>
                  <w:pPr>
                    <w:jc w:val="center"/>
                    <w:rPr>
                      <w:rFonts w:hint="eastAsia"/>
                      <w:szCs w:val="21"/>
                    </w:rPr>
                  </w:pPr>
                  <w:r>
                    <w:rPr>
                      <w:rFonts w:hint="eastAsia"/>
                      <w:szCs w:val="21"/>
                    </w:rPr>
                    <w:t>硫酸氢钠</w:t>
                  </w:r>
                </w:p>
              </w:tc>
              <w:tc>
                <w:tcPr>
                  <w:tcW w:w="1076" w:type="pct"/>
                  <w:noWrap w:val="0"/>
                  <w:vAlign w:val="center"/>
                </w:tcPr>
                <w:p>
                  <w:pPr>
                    <w:jc w:val="center"/>
                    <w:rPr>
                      <w:rFonts w:cs="Times New Roman"/>
                      <w:bCs/>
                      <w:szCs w:val="21"/>
                    </w:rPr>
                  </w:pPr>
                  <w:r>
                    <w:rPr>
                      <w:rFonts w:hint="eastAsia" w:cs="Times New Roman"/>
                      <w:bCs/>
                      <w:szCs w:val="21"/>
                    </w:rPr>
                    <w:t>9.6</w:t>
                  </w:r>
                </w:p>
              </w:tc>
              <w:tc>
                <w:tcPr>
                  <w:tcW w:w="1138" w:type="pct"/>
                  <w:noWrap w:val="0"/>
                  <w:vAlign w:val="center"/>
                </w:tcPr>
                <w:p>
                  <w:pPr>
                    <w:jc w:val="center"/>
                    <w:rPr>
                      <w:rFonts w:hint="eastAsia" w:cs="Times New Roman"/>
                      <w:bCs/>
                      <w:szCs w:val="21"/>
                    </w:rPr>
                  </w:pPr>
                  <w:r>
                    <w:rPr>
                      <w:rFonts w:hint="eastAsia" w:cs="Times New Roman"/>
                      <w:bCs/>
                      <w:szCs w:val="21"/>
                    </w:rPr>
                    <w:t>100</w:t>
                  </w:r>
                </w:p>
              </w:tc>
              <w:tc>
                <w:tcPr>
                  <w:tcW w:w="957" w:type="pct"/>
                  <w:noWrap w:val="0"/>
                  <w:vAlign w:val="center"/>
                </w:tcPr>
                <w:p>
                  <w:pPr>
                    <w:jc w:val="center"/>
                    <w:rPr>
                      <w:rFonts w:cs="Times New Roman"/>
                      <w:bCs/>
                      <w:szCs w:val="21"/>
                    </w:rPr>
                  </w:pPr>
                  <w:r>
                    <w:rPr>
                      <w:rFonts w:hint="eastAsia" w:cs="Times New Roman"/>
                      <w:bCs/>
                      <w:szCs w:val="21"/>
                    </w:rPr>
                    <w:t>0.096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9" w:type="pct"/>
                  <w:noWrap w:val="0"/>
                  <w:vAlign w:val="center"/>
                </w:tcPr>
                <w:p>
                  <w:pPr>
                    <w:jc w:val="center"/>
                    <w:rPr>
                      <w:rFonts w:hint="eastAsia" w:cs="Times New Roman"/>
                      <w:szCs w:val="21"/>
                    </w:rPr>
                  </w:pPr>
                  <w:r>
                    <w:rPr>
                      <w:rFonts w:hint="eastAsia" w:cs="Times New Roman"/>
                      <w:szCs w:val="21"/>
                    </w:rPr>
                    <w:t>3</w:t>
                  </w:r>
                </w:p>
              </w:tc>
              <w:tc>
                <w:tcPr>
                  <w:tcW w:w="1300" w:type="pct"/>
                  <w:noWrap w:val="0"/>
                  <w:vAlign w:val="center"/>
                </w:tcPr>
                <w:p>
                  <w:pPr>
                    <w:jc w:val="center"/>
                    <w:rPr>
                      <w:rFonts w:cs="Times New Roman"/>
                      <w:bCs/>
                      <w:szCs w:val="21"/>
                    </w:rPr>
                  </w:pPr>
                  <w:r>
                    <w:rPr>
                      <w:rFonts w:hint="eastAsia" w:ascii="宋体" w:hAnsi="宋体"/>
                      <w:kern w:val="0"/>
                      <w:szCs w:val="21"/>
                    </w:rPr>
                    <w:t>二氧化氯</w:t>
                  </w:r>
                </w:p>
              </w:tc>
              <w:tc>
                <w:tcPr>
                  <w:tcW w:w="1076" w:type="pct"/>
                  <w:noWrap w:val="0"/>
                  <w:vAlign w:val="center"/>
                </w:tcPr>
                <w:p>
                  <w:pPr>
                    <w:jc w:val="center"/>
                    <w:rPr>
                      <w:rFonts w:cs="Times New Roman"/>
                      <w:bCs/>
                      <w:szCs w:val="21"/>
                    </w:rPr>
                  </w:pPr>
                  <w:r>
                    <w:rPr>
                      <w:rFonts w:hint="eastAsia" w:cs="Times New Roman"/>
                      <w:bCs/>
                      <w:szCs w:val="21"/>
                    </w:rPr>
                    <w:t>0.025</w:t>
                  </w:r>
                </w:p>
              </w:tc>
              <w:tc>
                <w:tcPr>
                  <w:tcW w:w="1138" w:type="pct"/>
                  <w:noWrap w:val="0"/>
                  <w:vAlign w:val="center"/>
                </w:tcPr>
                <w:p>
                  <w:pPr>
                    <w:jc w:val="center"/>
                    <w:rPr>
                      <w:rFonts w:cs="Times New Roman"/>
                      <w:bCs/>
                      <w:szCs w:val="21"/>
                    </w:rPr>
                  </w:pPr>
                  <w:r>
                    <w:rPr>
                      <w:rFonts w:hint="eastAsia" w:cs="Times New Roman"/>
                      <w:bCs/>
                      <w:szCs w:val="21"/>
                    </w:rPr>
                    <w:t>0.</w:t>
                  </w:r>
                  <w:r>
                    <w:rPr>
                      <w:rFonts w:cs="Times New Roman"/>
                      <w:bCs/>
                      <w:szCs w:val="21"/>
                    </w:rPr>
                    <w:t>5</w:t>
                  </w:r>
                </w:p>
              </w:tc>
              <w:tc>
                <w:tcPr>
                  <w:tcW w:w="957" w:type="pct"/>
                  <w:noWrap w:val="0"/>
                  <w:vAlign w:val="center"/>
                </w:tcPr>
                <w:p>
                  <w:pPr>
                    <w:jc w:val="center"/>
                    <w:rPr>
                      <w:rFonts w:cs="Times New Roman"/>
                      <w:bCs/>
                      <w:szCs w:val="21"/>
                    </w:rPr>
                  </w:pPr>
                  <w:r>
                    <w:rPr>
                      <w:rFonts w:hint="eastAsia" w:cs="Times New Roman"/>
                      <w:bCs/>
                      <w:szCs w:val="21"/>
                    </w:rPr>
                    <w:t>0.050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 w:hRule="atLeast"/>
                <w:jc w:val="center"/>
              </w:trPr>
              <w:tc>
                <w:tcPr>
                  <w:tcW w:w="529" w:type="pct"/>
                  <w:noWrap w:val="0"/>
                  <w:vAlign w:val="center"/>
                </w:tcPr>
                <w:p>
                  <w:pPr>
                    <w:jc w:val="center"/>
                    <w:rPr>
                      <w:rFonts w:cs="Times New Roman"/>
                      <w:szCs w:val="21"/>
                    </w:rPr>
                  </w:pPr>
                  <w:r>
                    <w:rPr>
                      <w:rFonts w:hint="eastAsia" w:cs="Times New Roman"/>
                      <w:szCs w:val="21"/>
                    </w:rPr>
                    <w:t>4</w:t>
                  </w:r>
                </w:p>
              </w:tc>
              <w:tc>
                <w:tcPr>
                  <w:tcW w:w="1300" w:type="pct"/>
                  <w:noWrap w:val="0"/>
                  <w:vAlign w:val="center"/>
                </w:tcPr>
                <w:p>
                  <w:pPr>
                    <w:jc w:val="center"/>
                    <w:rPr>
                      <w:rFonts w:hint="eastAsia" w:ascii="宋体" w:hAnsi="宋体"/>
                      <w:kern w:val="0"/>
                      <w:szCs w:val="21"/>
                    </w:rPr>
                  </w:pPr>
                  <w:r>
                    <w:rPr>
                      <w:rFonts w:hint="eastAsia" w:cs="Times New Roman"/>
                      <w:szCs w:val="21"/>
                    </w:rPr>
                    <w:t>高锰酸钾</w:t>
                  </w:r>
                </w:p>
              </w:tc>
              <w:tc>
                <w:tcPr>
                  <w:tcW w:w="1076" w:type="pct"/>
                  <w:noWrap w:val="0"/>
                  <w:vAlign w:val="center"/>
                </w:tcPr>
                <w:p>
                  <w:pPr>
                    <w:jc w:val="center"/>
                    <w:rPr>
                      <w:rFonts w:cs="Times New Roman"/>
                      <w:bCs/>
                      <w:szCs w:val="21"/>
                    </w:rPr>
                  </w:pPr>
                  <w:r>
                    <w:rPr>
                      <w:rFonts w:hint="eastAsia" w:cs="Times New Roman"/>
                      <w:bCs/>
                      <w:szCs w:val="21"/>
                    </w:rPr>
                    <w:t>1</w:t>
                  </w:r>
                </w:p>
              </w:tc>
              <w:tc>
                <w:tcPr>
                  <w:tcW w:w="1138" w:type="pct"/>
                  <w:noWrap w:val="0"/>
                  <w:vAlign w:val="center"/>
                </w:tcPr>
                <w:p>
                  <w:pPr>
                    <w:jc w:val="center"/>
                    <w:rPr>
                      <w:rFonts w:cs="Times New Roman"/>
                      <w:bCs/>
                      <w:szCs w:val="21"/>
                    </w:rPr>
                  </w:pPr>
                  <w:r>
                    <w:rPr>
                      <w:rFonts w:hint="eastAsia" w:cs="Times New Roman"/>
                      <w:bCs/>
                      <w:szCs w:val="21"/>
                    </w:rPr>
                    <w:t>100</w:t>
                  </w:r>
                </w:p>
              </w:tc>
              <w:tc>
                <w:tcPr>
                  <w:tcW w:w="957" w:type="pct"/>
                  <w:noWrap w:val="0"/>
                  <w:vAlign w:val="center"/>
                </w:tcPr>
                <w:p>
                  <w:pPr>
                    <w:jc w:val="center"/>
                    <w:rPr>
                      <w:rFonts w:cs="Times New Roman"/>
                      <w:bCs/>
                      <w:szCs w:val="21"/>
                    </w:rPr>
                  </w:pPr>
                  <w:r>
                    <w:rPr>
                      <w:rFonts w:hint="eastAsia" w:cs="Times New Roman"/>
                      <w:bCs/>
                      <w:szCs w:val="21"/>
                    </w:rPr>
                    <w:t>0.010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 w:hRule="atLeast"/>
                <w:jc w:val="center"/>
              </w:trPr>
              <w:tc>
                <w:tcPr>
                  <w:tcW w:w="529" w:type="pct"/>
                  <w:noWrap w:val="0"/>
                  <w:vAlign w:val="center"/>
                </w:tcPr>
                <w:p>
                  <w:pPr>
                    <w:jc w:val="center"/>
                    <w:rPr>
                      <w:rFonts w:hint="eastAsia" w:cs="Times New Roman"/>
                      <w:szCs w:val="21"/>
                    </w:rPr>
                  </w:pPr>
                  <w:r>
                    <w:rPr>
                      <w:rFonts w:hint="eastAsia" w:cs="Times New Roman"/>
                      <w:szCs w:val="21"/>
                    </w:rPr>
                    <w:t>5</w:t>
                  </w:r>
                </w:p>
              </w:tc>
              <w:tc>
                <w:tcPr>
                  <w:tcW w:w="1300" w:type="pct"/>
                  <w:noWrap w:val="0"/>
                  <w:vAlign w:val="center"/>
                </w:tcPr>
                <w:p>
                  <w:pPr>
                    <w:jc w:val="center"/>
                    <w:rPr>
                      <w:rFonts w:hint="eastAsia" w:cs="Times New Roman"/>
                      <w:szCs w:val="21"/>
                    </w:rPr>
                  </w:pPr>
                  <w:r>
                    <w:rPr>
                      <w:rFonts w:hint="eastAsia" w:cs="Times New Roman"/>
                      <w:szCs w:val="21"/>
                    </w:rPr>
                    <w:t>柴油</w:t>
                  </w:r>
                </w:p>
              </w:tc>
              <w:tc>
                <w:tcPr>
                  <w:tcW w:w="1076" w:type="pct"/>
                  <w:noWrap w:val="0"/>
                  <w:vAlign w:val="center"/>
                </w:tcPr>
                <w:p>
                  <w:pPr>
                    <w:jc w:val="center"/>
                    <w:rPr>
                      <w:rFonts w:hint="eastAsia" w:cs="Times New Roman"/>
                      <w:bCs/>
                      <w:szCs w:val="21"/>
                    </w:rPr>
                  </w:pPr>
                  <w:r>
                    <w:rPr>
                      <w:rFonts w:hint="eastAsia" w:cs="Times New Roman"/>
                      <w:bCs/>
                      <w:szCs w:val="21"/>
                    </w:rPr>
                    <w:t>0.5</w:t>
                  </w:r>
                </w:p>
              </w:tc>
              <w:tc>
                <w:tcPr>
                  <w:tcW w:w="1138" w:type="pct"/>
                  <w:noWrap w:val="0"/>
                  <w:vAlign w:val="center"/>
                </w:tcPr>
                <w:p>
                  <w:pPr>
                    <w:jc w:val="center"/>
                    <w:rPr>
                      <w:rFonts w:hint="eastAsia" w:cs="Times New Roman"/>
                      <w:bCs/>
                      <w:szCs w:val="21"/>
                    </w:rPr>
                  </w:pPr>
                  <w:r>
                    <w:rPr>
                      <w:rFonts w:hint="eastAsia" w:cs="Times New Roman"/>
                      <w:bCs/>
                      <w:szCs w:val="21"/>
                    </w:rPr>
                    <w:t>2500</w:t>
                  </w:r>
                </w:p>
              </w:tc>
              <w:tc>
                <w:tcPr>
                  <w:tcW w:w="957" w:type="pct"/>
                  <w:noWrap w:val="0"/>
                  <w:vAlign w:val="center"/>
                </w:tcPr>
                <w:p>
                  <w:pPr>
                    <w:jc w:val="center"/>
                    <w:rPr>
                      <w:rFonts w:hint="eastAsia" w:cs="Times New Roman"/>
                      <w:bCs/>
                      <w:szCs w:val="21"/>
                    </w:rPr>
                  </w:pPr>
                  <w:r>
                    <w:rPr>
                      <w:rFonts w:hint="eastAsia" w:cs="Times New Roman"/>
                      <w:bCs/>
                      <w:szCs w:val="21"/>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3" w:type="pct"/>
                  <w:gridSpan w:val="4"/>
                  <w:noWrap w:val="0"/>
                  <w:vAlign w:val="top"/>
                </w:tcPr>
                <w:p>
                  <w:pPr>
                    <w:jc w:val="center"/>
                    <w:rPr>
                      <w:rFonts w:hint="eastAsia" w:cs="Times New Roman"/>
                      <w:szCs w:val="21"/>
                    </w:rPr>
                  </w:pPr>
                  <w:r>
                    <w:rPr>
                      <w:rFonts w:hint="eastAsia" w:cs="Times New Roman"/>
                      <w:szCs w:val="21"/>
                    </w:rPr>
                    <w:t>合计</w:t>
                  </w:r>
                </w:p>
              </w:tc>
              <w:tc>
                <w:tcPr>
                  <w:tcW w:w="957" w:type="pct"/>
                  <w:noWrap w:val="0"/>
                  <w:vAlign w:val="top"/>
                </w:tcPr>
                <w:p>
                  <w:pPr>
                    <w:jc w:val="center"/>
                    <w:rPr>
                      <w:rFonts w:cs="Times New Roman"/>
                      <w:bCs/>
                      <w:szCs w:val="21"/>
                    </w:rPr>
                  </w:pPr>
                  <w:r>
                    <w:rPr>
                      <w:rFonts w:hint="eastAsia" w:cs="Times New Roman"/>
                      <w:bCs/>
                      <w:szCs w:val="21"/>
                    </w:rPr>
                    <w:t>0.1802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5"/>
                  <w:noWrap w:val="0"/>
                  <w:vAlign w:val="top"/>
                </w:tcPr>
                <w:p>
                  <w:pPr>
                    <w:jc w:val="left"/>
                    <w:rPr>
                      <w:rFonts w:hint="eastAsia" w:cs="Times New Roman"/>
                      <w:bCs/>
                      <w:sz w:val="17"/>
                      <w:szCs w:val="21"/>
                    </w:rPr>
                  </w:pPr>
                  <w:r>
                    <w:rPr>
                      <w:rFonts w:hint="eastAsia" w:cs="Times New Roman"/>
                      <w:sz w:val="17"/>
                      <w:szCs w:val="21"/>
                    </w:rPr>
                    <w:t>注：本项目贮存量按折纯量计。</w:t>
                  </w:r>
                </w:p>
              </w:tc>
            </w:tr>
          </w:tbl>
          <w:p>
            <w:pPr>
              <w:spacing w:line="276" w:lineRule="auto"/>
              <w:ind w:firstLine="420" w:firstLineChars="200"/>
              <w:rPr>
                <w:szCs w:val="21"/>
              </w:rPr>
            </w:pPr>
            <w:r>
              <w:rPr>
                <w:rFonts w:hint="eastAsia"/>
                <w:szCs w:val="21"/>
              </w:rPr>
              <w:t>由上表可知，本项目危险物质数量与临界量比值（Q）为0.1802&lt;1，环境风险潜势为I。</w:t>
            </w:r>
          </w:p>
          <w:p>
            <w:pPr>
              <w:spacing w:line="276" w:lineRule="auto"/>
              <w:ind w:firstLine="422" w:firstLineChars="200"/>
              <w:rPr>
                <w:b/>
                <w:szCs w:val="21"/>
              </w:rPr>
            </w:pPr>
            <w:r>
              <w:rPr>
                <w:rFonts w:hint="eastAsia"/>
                <w:b/>
                <w:szCs w:val="21"/>
              </w:rPr>
              <w:t>（</w:t>
            </w:r>
            <w:r>
              <w:rPr>
                <w:b/>
                <w:szCs w:val="21"/>
              </w:rPr>
              <w:t>3</w:t>
            </w:r>
            <w:r>
              <w:rPr>
                <w:rFonts w:hint="eastAsia"/>
                <w:b/>
                <w:szCs w:val="21"/>
              </w:rPr>
              <w:t>）评价等级</w:t>
            </w:r>
          </w:p>
          <w:p>
            <w:pPr>
              <w:spacing w:line="276" w:lineRule="auto"/>
              <w:ind w:firstLine="420" w:firstLineChars="200"/>
              <w:rPr>
                <w:szCs w:val="21"/>
              </w:rPr>
            </w:pPr>
            <w:r>
              <w:rPr>
                <w:szCs w:val="21"/>
              </w:rPr>
              <w:t>根据建设项目涉及的</w:t>
            </w:r>
            <w:r>
              <w:rPr>
                <w:rFonts w:hint="eastAsia"/>
                <w:szCs w:val="21"/>
              </w:rPr>
              <w:t>物质及工艺系统危险性和所在地的环境敏感性确定环境风险潜势，按照表</w:t>
            </w:r>
            <w:r>
              <w:rPr>
                <w:szCs w:val="21"/>
              </w:rPr>
              <w:t>4</w:t>
            </w:r>
            <w:r>
              <w:rPr>
                <w:rFonts w:hint="eastAsia"/>
                <w:szCs w:val="21"/>
              </w:rPr>
              <w:t>-17确定评价工作等级。</w:t>
            </w:r>
          </w:p>
          <w:p>
            <w:pPr>
              <w:spacing w:line="276" w:lineRule="auto"/>
              <w:jc w:val="center"/>
              <w:rPr>
                <w:rFonts w:hint="eastAsia"/>
                <w:b/>
                <w:bCs/>
                <w:szCs w:val="21"/>
              </w:rPr>
            </w:pPr>
            <w:r>
              <w:rPr>
                <w:rFonts w:hint="eastAsia"/>
                <w:b/>
                <w:bCs/>
                <w:szCs w:val="21"/>
              </w:rPr>
              <w:t>表4-17  环境风险评价工作等级划分</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735"/>
              <w:gridCol w:w="1734"/>
              <w:gridCol w:w="1734"/>
              <w:gridCol w:w="1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center"/>
                </w:tcPr>
                <w:p>
                  <w:pPr>
                    <w:jc w:val="center"/>
                    <w:rPr>
                      <w:szCs w:val="21"/>
                    </w:rPr>
                  </w:pPr>
                  <w:r>
                    <w:rPr>
                      <w:szCs w:val="21"/>
                    </w:rPr>
                    <w:t>环境风险潜势</w:t>
                  </w:r>
                </w:p>
              </w:tc>
              <w:tc>
                <w:tcPr>
                  <w:tcW w:w="1000" w:type="pct"/>
                  <w:noWrap w:val="0"/>
                  <w:vAlign w:val="center"/>
                </w:tcPr>
                <w:p>
                  <w:pPr>
                    <w:jc w:val="center"/>
                    <w:rPr>
                      <w:szCs w:val="21"/>
                    </w:rPr>
                  </w:pPr>
                  <w:r>
                    <w:rPr>
                      <w:szCs w:val="21"/>
                    </w:rPr>
                    <w:t>IV</w:t>
                  </w:r>
                  <w:r>
                    <w:rPr>
                      <w:rFonts w:hint="eastAsia"/>
                      <w:szCs w:val="21"/>
                    </w:rPr>
                    <w:t>、</w:t>
                  </w:r>
                  <w:r>
                    <w:rPr>
                      <w:szCs w:val="21"/>
                    </w:rPr>
                    <w:t>IV</w:t>
                  </w:r>
                  <w:r>
                    <w:rPr>
                      <w:rFonts w:hint="eastAsia"/>
                      <w:szCs w:val="21"/>
                      <w:vertAlign w:val="superscript"/>
                    </w:rPr>
                    <w:t>+</w:t>
                  </w:r>
                </w:p>
              </w:tc>
              <w:tc>
                <w:tcPr>
                  <w:tcW w:w="1000" w:type="pct"/>
                  <w:noWrap w:val="0"/>
                  <w:vAlign w:val="center"/>
                </w:tcPr>
                <w:p>
                  <w:pPr>
                    <w:jc w:val="center"/>
                    <w:rPr>
                      <w:szCs w:val="21"/>
                    </w:rPr>
                  </w:pPr>
                  <w:r>
                    <w:rPr>
                      <w:szCs w:val="21"/>
                    </w:rPr>
                    <w:t>III</w:t>
                  </w:r>
                </w:p>
              </w:tc>
              <w:tc>
                <w:tcPr>
                  <w:tcW w:w="1000" w:type="pct"/>
                  <w:noWrap w:val="0"/>
                  <w:vAlign w:val="center"/>
                </w:tcPr>
                <w:p>
                  <w:pPr>
                    <w:jc w:val="center"/>
                    <w:rPr>
                      <w:szCs w:val="21"/>
                    </w:rPr>
                  </w:pPr>
                  <w:r>
                    <w:rPr>
                      <w:szCs w:val="21"/>
                    </w:rPr>
                    <w:t>II</w:t>
                  </w:r>
                </w:p>
              </w:tc>
              <w:tc>
                <w:tcPr>
                  <w:tcW w:w="1000" w:type="pct"/>
                  <w:noWrap w:val="0"/>
                  <w:vAlign w:val="center"/>
                </w:tcPr>
                <w:p>
                  <w:pPr>
                    <w:jc w:val="center"/>
                    <w:rPr>
                      <w:szCs w:val="21"/>
                    </w:rPr>
                  </w:pPr>
                  <w:r>
                    <w:rPr>
                      <w:szCs w:val="21"/>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00" w:type="pct"/>
                  <w:noWrap w:val="0"/>
                  <w:vAlign w:val="center"/>
                </w:tcPr>
                <w:p>
                  <w:pPr>
                    <w:jc w:val="center"/>
                    <w:rPr>
                      <w:szCs w:val="21"/>
                    </w:rPr>
                  </w:pPr>
                  <w:r>
                    <w:rPr>
                      <w:szCs w:val="21"/>
                    </w:rPr>
                    <w:t>评价工作等级</w:t>
                  </w:r>
                </w:p>
              </w:tc>
              <w:tc>
                <w:tcPr>
                  <w:tcW w:w="1000" w:type="pct"/>
                  <w:noWrap w:val="0"/>
                  <w:vAlign w:val="center"/>
                </w:tcPr>
                <w:p>
                  <w:pPr>
                    <w:jc w:val="center"/>
                    <w:rPr>
                      <w:szCs w:val="21"/>
                    </w:rPr>
                  </w:pPr>
                  <w:r>
                    <w:rPr>
                      <w:szCs w:val="21"/>
                    </w:rPr>
                    <w:t>一</w:t>
                  </w:r>
                </w:p>
              </w:tc>
              <w:tc>
                <w:tcPr>
                  <w:tcW w:w="1000" w:type="pct"/>
                  <w:noWrap w:val="0"/>
                  <w:vAlign w:val="center"/>
                </w:tcPr>
                <w:p>
                  <w:pPr>
                    <w:jc w:val="center"/>
                    <w:rPr>
                      <w:szCs w:val="21"/>
                    </w:rPr>
                  </w:pPr>
                  <w:r>
                    <w:rPr>
                      <w:szCs w:val="21"/>
                    </w:rPr>
                    <w:t>二</w:t>
                  </w:r>
                </w:p>
              </w:tc>
              <w:tc>
                <w:tcPr>
                  <w:tcW w:w="1000" w:type="pct"/>
                  <w:noWrap w:val="0"/>
                  <w:vAlign w:val="center"/>
                </w:tcPr>
                <w:p>
                  <w:pPr>
                    <w:jc w:val="center"/>
                    <w:rPr>
                      <w:szCs w:val="21"/>
                    </w:rPr>
                  </w:pPr>
                  <w:r>
                    <w:rPr>
                      <w:szCs w:val="21"/>
                    </w:rPr>
                    <w:t>三</w:t>
                  </w:r>
                </w:p>
              </w:tc>
              <w:tc>
                <w:tcPr>
                  <w:tcW w:w="1000" w:type="pct"/>
                  <w:noWrap w:val="0"/>
                  <w:vAlign w:val="center"/>
                </w:tcPr>
                <w:p>
                  <w:pPr>
                    <w:jc w:val="center"/>
                    <w:rPr>
                      <w:szCs w:val="21"/>
                    </w:rPr>
                  </w:pPr>
                  <w:r>
                    <w:rPr>
                      <w:szCs w:val="21"/>
                    </w:rPr>
                    <w:t>简单分析</w:t>
                  </w:r>
                </w:p>
              </w:tc>
            </w:tr>
          </w:tbl>
          <w:p>
            <w:pPr>
              <w:spacing w:line="276" w:lineRule="auto"/>
              <w:ind w:firstLine="420" w:firstLineChars="200"/>
              <w:rPr>
                <w:rFonts w:hint="eastAsia"/>
                <w:szCs w:val="21"/>
              </w:rPr>
            </w:pPr>
            <w:r>
              <w:rPr>
                <w:rFonts w:hint="eastAsia"/>
                <w:szCs w:val="21"/>
              </w:rPr>
              <w:t>本项目环境风险潜势为I，根据上述判定依据，确定本次环评仅开展简单分析。</w:t>
            </w:r>
          </w:p>
          <w:p>
            <w:pPr>
              <w:spacing w:line="276" w:lineRule="auto"/>
              <w:ind w:firstLine="422" w:firstLineChars="200"/>
              <w:rPr>
                <w:rFonts w:hint="eastAsia"/>
                <w:b/>
                <w:bCs/>
                <w:szCs w:val="21"/>
              </w:rPr>
            </w:pPr>
          </w:p>
          <w:p>
            <w:pPr>
              <w:spacing w:line="276" w:lineRule="auto"/>
              <w:ind w:firstLine="422" w:firstLineChars="200"/>
              <w:rPr>
                <w:rFonts w:hint="eastAsia"/>
                <w:b/>
                <w:bCs/>
                <w:szCs w:val="21"/>
              </w:rPr>
            </w:pPr>
            <w:r>
              <w:rPr>
                <w:rFonts w:hint="eastAsia"/>
                <w:b/>
                <w:bCs/>
                <w:szCs w:val="21"/>
              </w:rPr>
              <w:t>（4）环境风险识别</w:t>
            </w:r>
          </w:p>
          <w:p>
            <w:pPr>
              <w:spacing w:line="276" w:lineRule="auto"/>
              <w:ind w:firstLine="422" w:firstLineChars="200"/>
              <w:rPr>
                <w:rFonts w:hint="eastAsia"/>
                <w:b/>
                <w:bCs/>
                <w:szCs w:val="21"/>
              </w:rPr>
            </w:pPr>
            <w:r>
              <w:rPr>
                <w:rFonts w:hint="eastAsia"/>
                <w:b/>
                <w:bCs/>
                <w:szCs w:val="21"/>
              </w:rPr>
              <w:t>①物质识别内容</w:t>
            </w:r>
          </w:p>
          <w:p>
            <w:pPr>
              <w:spacing w:line="276" w:lineRule="auto"/>
              <w:ind w:firstLine="420" w:firstLineChars="200"/>
              <w:rPr>
                <w:rFonts w:hint="eastAsia"/>
                <w:szCs w:val="21"/>
              </w:rPr>
            </w:pPr>
            <w:r>
              <w:rPr>
                <w:rFonts w:hint="eastAsia"/>
                <w:szCs w:val="21"/>
              </w:rPr>
              <w:t>项目主要风险物质理化性质、燃烧爆炸性、危险特性、毒理毒性如下：</w:t>
            </w:r>
          </w:p>
          <w:p>
            <w:pPr>
              <w:spacing w:line="276" w:lineRule="auto"/>
              <w:jc w:val="center"/>
              <w:rPr>
                <w:rFonts w:hint="eastAsia"/>
                <w:b/>
                <w:bCs/>
                <w:szCs w:val="21"/>
              </w:rPr>
            </w:pPr>
            <w:r>
              <w:rPr>
                <w:rFonts w:hint="eastAsia"/>
                <w:b/>
                <w:bCs/>
                <w:szCs w:val="21"/>
              </w:rPr>
              <w:t>表4-18  主要风险物质理化性质、燃烧爆炸性、危险特性、毒理毒性表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07"/>
              <w:gridCol w:w="1034"/>
              <w:gridCol w:w="3514"/>
              <w:gridCol w:w="2218"/>
              <w:gridCol w:w="11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7" w:type="pct"/>
                  <w:noWrap w:val="0"/>
                  <w:vAlign w:val="center"/>
                </w:tcPr>
                <w:p>
                  <w:pPr>
                    <w:jc w:val="center"/>
                    <w:rPr>
                      <w:rFonts w:cs="Times New Roman"/>
                      <w:b/>
                      <w:bCs/>
                      <w:szCs w:val="21"/>
                    </w:rPr>
                  </w:pPr>
                  <w:r>
                    <w:rPr>
                      <w:rFonts w:cs="Times New Roman"/>
                      <w:b/>
                      <w:bCs/>
                      <w:szCs w:val="21"/>
                    </w:rPr>
                    <w:t>名称</w:t>
                  </w:r>
                </w:p>
              </w:tc>
              <w:tc>
                <w:tcPr>
                  <w:tcW w:w="596" w:type="pct"/>
                  <w:noWrap w:val="0"/>
                  <w:vAlign w:val="center"/>
                </w:tcPr>
                <w:p>
                  <w:pPr>
                    <w:jc w:val="center"/>
                    <w:rPr>
                      <w:rFonts w:cs="Times New Roman"/>
                      <w:b/>
                      <w:bCs/>
                      <w:szCs w:val="21"/>
                    </w:rPr>
                  </w:pPr>
                  <w:r>
                    <w:rPr>
                      <w:rFonts w:cs="Times New Roman"/>
                      <w:b/>
                      <w:bCs/>
                      <w:szCs w:val="21"/>
                    </w:rPr>
                    <w:t>分子式</w:t>
                  </w:r>
                </w:p>
              </w:tc>
              <w:tc>
                <w:tcPr>
                  <w:tcW w:w="2026" w:type="pct"/>
                  <w:noWrap w:val="0"/>
                  <w:vAlign w:val="center"/>
                </w:tcPr>
                <w:p>
                  <w:pPr>
                    <w:jc w:val="center"/>
                    <w:rPr>
                      <w:rFonts w:cs="Times New Roman"/>
                      <w:b/>
                      <w:bCs/>
                      <w:szCs w:val="21"/>
                    </w:rPr>
                  </w:pPr>
                  <w:r>
                    <w:rPr>
                      <w:rFonts w:cs="Times New Roman"/>
                      <w:b/>
                      <w:bCs/>
                      <w:szCs w:val="21"/>
                    </w:rPr>
                    <w:t>理化性质</w:t>
                  </w:r>
                </w:p>
              </w:tc>
              <w:tc>
                <w:tcPr>
                  <w:tcW w:w="1278" w:type="pct"/>
                  <w:noWrap w:val="0"/>
                  <w:vAlign w:val="center"/>
                </w:tcPr>
                <w:p>
                  <w:pPr>
                    <w:jc w:val="center"/>
                    <w:rPr>
                      <w:rFonts w:cs="Times New Roman"/>
                      <w:b/>
                      <w:bCs/>
                      <w:szCs w:val="21"/>
                    </w:rPr>
                  </w:pPr>
                  <w:r>
                    <w:rPr>
                      <w:rFonts w:cs="Times New Roman"/>
                      <w:b/>
                      <w:bCs/>
                      <w:szCs w:val="21"/>
                    </w:rPr>
                    <w:t>危险特性</w:t>
                  </w:r>
                </w:p>
              </w:tc>
              <w:tc>
                <w:tcPr>
                  <w:tcW w:w="690" w:type="pct"/>
                  <w:noWrap w:val="0"/>
                  <w:vAlign w:val="center"/>
                </w:tcPr>
                <w:p>
                  <w:pPr>
                    <w:jc w:val="center"/>
                    <w:rPr>
                      <w:rFonts w:cs="Times New Roman"/>
                      <w:b/>
                      <w:bCs/>
                      <w:szCs w:val="21"/>
                    </w:rPr>
                  </w:pPr>
                  <w:r>
                    <w:rPr>
                      <w:rFonts w:cs="Times New Roman"/>
                      <w:b/>
                      <w:bCs/>
                      <w:szCs w:val="21"/>
                    </w:rPr>
                    <w:t>毒理毒性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7" w:type="pct"/>
                  <w:noWrap w:val="0"/>
                  <w:vAlign w:val="center"/>
                </w:tcPr>
                <w:p>
                  <w:pPr>
                    <w:jc w:val="center"/>
                    <w:rPr>
                      <w:rFonts w:hint="eastAsia" w:cs="Times New Roman"/>
                      <w:szCs w:val="21"/>
                    </w:rPr>
                  </w:pPr>
                  <w:r>
                    <w:rPr>
                      <w:rFonts w:hint="eastAsia" w:cs="Times New Roman"/>
                      <w:szCs w:val="21"/>
                    </w:rPr>
                    <w:t>氯酸钠</w:t>
                  </w:r>
                </w:p>
              </w:tc>
              <w:tc>
                <w:tcPr>
                  <w:tcW w:w="596" w:type="pct"/>
                  <w:noWrap w:val="0"/>
                  <w:vAlign w:val="center"/>
                </w:tcPr>
                <w:p>
                  <w:pPr>
                    <w:jc w:val="center"/>
                    <w:rPr>
                      <w:rFonts w:cs="Times New Roman"/>
                      <w:szCs w:val="21"/>
                    </w:rPr>
                  </w:pPr>
                  <w:r>
                    <w:rPr>
                      <w:rFonts w:cs="Times New Roman"/>
                      <w:szCs w:val="21"/>
                    </w:rPr>
                    <w:t>NaClO</w:t>
                  </w:r>
                  <w:r>
                    <w:rPr>
                      <w:rFonts w:cs="Times New Roman"/>
                      <w:szCs w:val="21"/>
                      <w:vertAlign w:val="subscript"/>
                    </w:rPr>
                    <w:t>3</w:t>
                  </w:r>
                </w:p>
              </w:tc>
              <w:tc>
                <w:tcPr>
                  <w:tcW w:w="2026" w:type="pct"/>
                  <w:noWrap w:val="0"/>
                  <w:vAlign w:val="center"/>
                </w:tcPr>
                <w:p>
                  <w:pPr>
                    <w:jc w:val="center"/>
                    <w:rPr>
                      <w:rFonts w:hint="eastAsia"/>
                      <w:szCs w:val="21"/>
                    </w:rPr>
                  </w:pPr>
                  <w:r>
                    <w:rPr>
                      <w:rFonts w:hint="eastAsia"/>
                      <w:szCs w:val="21"/>
                    </w:rPr>
                    <w:t>常温下为无色结晶或白色颗粒。无气味。约300℃时释放出氧气，较高温度全部分解。</w:t>
                  </w:r>
                </w:p>
              </w:tc>
              <w:tc>
                <w:tcPr>
                  <w:tcW w:w="1278" w:type="pct"/>
                  <w:noWrap w:val="0"/>
                  <w:vAlign w:val="center"/>
                </w:tcPr>
                <w:p>
                  <w:pPr>
                    <w:jc w:val="center"/>
                    <w:rPr>
                      <w:rFonts w:cs="Times New Roman"/>
                      <w:szCs w:val="21"/>
                    </w:rPr>
                  </w:pPr>
                  <w:r>
                    <w:rPr>
                      <w:rFonts w:cs="Times New Roman"/>
                      <w:szCs w:val="21"/>
                    </w:rPr>
                    <w:t>有强氧化性。与有机物或还原性物质摩擦或撞击能引起烧或爆炸。</w:t>
                  </w:r>
                </w:p>
              </w:tc>
              <w:tc>
                <w:tcPr>
                  <w:tcW w:w="690" w:type="pct"/>
                  <w:noWrap w:val="0"/>
                  <w:vAlign w:val="center"/>
                </w:tcPr>
                <w:p>
                  <w:pPr>
                    <w:jc w:val="center"/>
                    <w:rPr>
                      <w:rFonts w:cs="Times New Roman"/>
                      <w:bCs/>
                      <w:szCs w:val="21"/>
                    </w:rPr>
                  </w:pPr>
                  <w:r>
                    <w:rPr>
                      <w:rFonts w:hint="eastAsia" w:cs="Times New Roman"/>
                      <w:bCs/>
                      <w:szCs w:val="21"/>
                    </w:rPr>
                    <w:t>低毒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7" w:type="pct"/>
                  <w:noWrap w:val="0"/>
                  <w:vAlign w:val="center"/>
                </w:tcPr>
                <w:p>
                  <w:pPr>
                    <w:jc w:val="center"/>
                    <w:rPr>
                      <w:rFonts w:hint="eastAsia" w:cs="Times New Roman"/>
                      <w:szCs w:val="21"/>
                    </w:rPr>
                  </w:pPr>
                  <w:r>
                    <w:rPr>
                      <w:rFonts w:hint="eastAsia" w:cs="Times New Roman"/>
                      <w:szCs w:val="21"/>
                    </w:rPr>
                    <w:t>硫酸氢钠</w:t>
                  </w:r>
                </w:p>
              </w:tc>
              <w:tc>
                <w:tcPr>
                  <w:tcW w:w="596" w:type="pct"/>
                  <w:noWrap w:val="0"/>
                  <w:vAlign w:val="center"/>
                </w:tcPr>
                <w:p>
                  <w:pPr>
                    <w:jc w:val="center"/>
                    <w:rPr>
                      <w:rFonts w:cs="Times New Roman"/>
                      <w:szCs w:val="21"/>
                    </w:rPr>
                  </w:pPr>
                  <w:r>
                    <w:rPr>
                      <w:rFonts w:cs="Times New Roman"/>
                      <w:szCs w:val="21"/>
                    </w:rPr>
                    <w:t>NaHSO</w:t>
                  </w:r>
                  <w:r>
                    <w:rPr>
                      <w:rFonts w:cs="Times New Roman"/>
                      <w:szCs w:val="21"/>
                      <w:vertAlign w:val="subscript"/>
                    </w:rPr>
                    <w:t>4</w:t>
                  </w:r>
                </w:p>
              </w:tc>
              <w:tc>
                <w:tcPr>
                  <w:tcW w:w="2026" w:type="pct"/>
                  <w:noWrap w:val="0"/>
                  <w:vAlign w:val="center"/>
                </w:tcPr>
                <w:p>
                  <w:pPr>
                    <w:jc w:val="center"/>
                    <w:rPr>
                      <w:rFonts w:hint="eastAsia"/>
                      <w:szCs w:val="21"/>
                    </w:rPr>
                  </w:pPr>
                  <w:r>
                    <w:rPr>
                      <w:rFonts w:hint="eastAsia"/>
                      <w:szCs w:val="21"/>
                    </w:rPr>
                    <w:t>无色结晶。无气味。强热时生成焦硫酸钠。被乙醇分解成硫酸钠和游离硫酸。</w:t>
                  </w:r>
                </w:p>
              </w:tc>
              <w:tc>
                <w:tcPr>
                  <w:tcW w:w="1278" w:type="pct"/>
                  <w:noWrap w:val="0"/>
                  <w:vAlign w:val="center"/>
                </w:tcPr>
                <w:p>
                  <w:pPr>
                    <w:jc w:val="center"/>
                    <w:rPr>
                      <w:rFonts w:hint="eastAsia" w:cs="Times New Roman"/>
                      <w:szCs w:val="21"/>
                    </w:rPr>
                  </w:pPr>
                  <w:r>
                    <w:rPr>
                      <w:rFonts w:hint="eastAsia" w:cs="Times New Roman"/>
                      <w:szCs w:val="21"/>
                    </w:rPr>
                    <w:t>不燃，具腐蚀性、强</w:t>
                  </w:r>
                  <w:r>
                    <w:rPr>
                      <w:rFonts w:hint="eastAsia" w:cs="Times New Roman"/>
                      <w:szCs w:val="21"/>
                    </w:rPr>
                    <w:fldChar w:fldCharType="begin"/>
                  </w:r>
                  <w:r>
                    <w:rPr>
                      <w:rFonts w:hint="eastAsia" w:cs="Times New Roman"/>
                      <w:szCs w:val="21"/>
                    </w:rPr>
                    <w:instrText xml:space="preserve"> HYPERLINK "https://baike.so.com/doc/3105569-3273338.html" \t "https://baike.so.com/doc/_blank" </w:instrText>
                  </w:r>
                  <w:r>
                    <w:rPr>
                      <w:rFonts w:hint="eastAsia" w:cs="Times New Roman"/>
                      <w:szCs w:val="21"/>
                    </w:rPr>
                    <w:fldChar w:fldCharType="separate"/>
                  </w:r>
                  <w:r>
                    <w:rPr>
                      <w:rFonts w:hint="eastAsia" w:cs="Times New Roman"/>
                      <w:szCs w:val="21"/>
                    </w:rPr>
                    <w:t>刺激性</w:t>
                  </w:r>
                  <w:r>
                    <w:rPr>
                      <w:rFonts w:hint="eastAsia" w:cs="Times New Roman"/>
                      <w:szCs w:val="21"/>
                    </w:rPr>
                    <w:fldChar w:fldCharType="end"/>
                  </w:r>
                  <w:r>
                    <w:rPr>
                      <w:rFonts w:hint="eastAsia" w:cs="Times New Roman"/>
                      <w:szCs w:val="21"/>
                    </w:rPr>
                    <w:t>。</w:t>
                  </w:r>
                </w:p>
              </w:tc>
              <w:tc>
                <w:tcPr>
                  <w:tcW w:w="690" w:type="pct"/>
                  <w:noWrap w:val="0"/>
                  <w:vAlign w:val="center"/>
                </w:tcPr>
                <w:p>
                  <w:pPr>
                    <w:jc w:val="center"/>
                    <w:rPr>
                      <w:rFonts w:hint="eastAsia" w:cs="Times New Roman"/>
                      <w:bCs/>
                      <w:szCs w:val="21"/>
                    </w:rPr>
                  </w:pPr>
                  <w:r>
                    <w:rPr>
                      <w:rFonts w:hint="eastAsia" w:cs="Times New Roman"/>
                      <w:bCs/>
                      <w:szCs w:val="21"/>
                    </w:rPr>
                    <w:t>对眼睛、皮肤、粘膜和上呼吸道具强烈刺激作用和腐蚀性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7" w:type="pct"/>
                  <w:noWrap w:val="0"/>
                  <w:vAlign w:val="center"/>
                </w:tcPr>
                <w:p>
                  <w:pPr>
                    <w:jc w:val="center"/>
                    <w:rPr>
                      <w:rFonts w:hint="eastAsia" w:cs="Times New Roman"/>
                      <w:szCs w:val="21"/>
                    </w:rPr>
                  </w:pPr>
                  <w:r>
                    <w:rPr>
                      <w:rFonts w:hint="eastAsia" w:cs="Times New Roman"/>
                      <w:szCs w:val="21"/>
                    </w:rPr>
                    <w:t>二氧化氯</w:t>
                  </w:r>
                </w:p>
              </w:tc>
              <w:tc>
                <w:tcPr>
                  <w:tcW w:w="596" w:type="pct"/>
                  <w:noWrap w:val="0"/>
                  <w:vAlign w:val="center"/>
                </w:tcPr>
                <w:p>
                  <w:pPr>
                    <w:jc w:val="center"/>
                    <w:rPr>
                      <w:rFonts w:hint="eastAsia" w:cs="Times New Roman"/>
                      <w:szCs w:val="21"/>
                      <w:vertAlign w:val="subscript"/>
                    </w:rPr>
                  </w:pPr>
                  <w:r>
                    <w:rPr>
                      <w:rFonts w:cs="Times New Roman"/>
                      <w:szCs w:val="21"/>
                    </w:rPr>
                    <w:t>ClO</w:t>
                  </w:r>
                  <w:r>
                    <w:rPr>
                      <w:rFonts w:hint="eastAsia" w:cs="Times New Roman"/>
                      <w:szCs w:val="21"/>
                      <w:vertAlign w:val="subscript"/>
                    </w:rPr>
                    <w:t>2</w:t>
                  </w:r>
                </w:p>
              </w:tc>
              <w:tc>
                <w:tcPr>
                  <w:tcW w:w="2026" w:type="pct"/>
                  <w:noWrap w:val="0"/>
                  <w:vAlign w:val="center"/>
                </w:tcPr>
                <w:p>
                  <w:pPr>
                    <w:jc w:val="center"/>
                    <w:rPr>
                      <w:rFonts w:cs="Times New Roman"/>
                      <w:szCs w:val="21"/>
                    </w:rPr>
                  </w:pPr>
                  <w:r>
                    <w:rPr>
                      <w:rFonts w:hint="eastAsia"/>
                      <w:szCs w:val="21"/>
                    </w:rPr>
                    <w:t>是—种黄绿色到橙黄色的气体，有强烈刺激性臭味的气体，有类似氯气和硝酸的特殊刺激臭味。沸点11℃，熔点-59.5℃，常态为气态，固体为橙红色。相对蒸气密度2.3g/L。遇热水则分解成次氦酸、氯气、氧气，受光也易分解，其溶液于冷暗处相对稳定。</w:t>
                  </w:r>
                </w:p>
              </w:tc>
              <w:tc>
                <w:tcPr>
                  <w:tcW w:w="1278" w:type="pct"/>
                  <w:noWrap w:val="0"/>
                  <w:vAlign w:val="center"/>
                </w:tcPr>
                <w:p>
                  <w:pPr>
                    <w:jc w:val="center"/>
                    <w:rPr>
                      <w:rFonts w:cs="Times New Roman"/>
                      <w:szCs w:val="21"/>
                    </w:rPr>
                  </w:pPr>
                  <w:r>
                    <w:rPr>
                      <w:rFonts w:cs="Times New Roman"/>
                      <w:szCs w:val="21"/>
                    </w:rPr>
                    <w:t>具有强氧化性。能与许多化学物质发生爆炸性反应。受热、震动、撞击、摩擦，相当敏感，极易分解发生爆炸。燃烧</w:t>
                  </w:r>
                  <w:r>
                    <w:rPr>
                      <w:rFonts w:hint="eastAsia" w:cs="Times New Roman"/>
                      <w:szCs w:val="21"/>
                    </w:rPr>
                    <w:t>（</w:t>
                  </w:r>
                  <w:r>
                    <w:rPr>
                      <w:rFonts w:cs="Times New Roman"/>
                      <w:szCs w:val="21"/>
                    </w:rPr>
                    <w:t>分解</w:t>
                  </w:r>
                  <w:r>
                    <w:rPr>
                      <w:rFonts w:hint="eastAsia" w:cs="Times New Roman"/>
                      <w:szCs w:val="21"/>
                    </w:rPr>
                    <w:t>）</w:t>
                  </w:r>
                  <w:r>
                    <w:rPr>
                      <w:rFonts w:cs="Times New Roman"/>
                      <w:szCs w:val="21"/>
                    </w:rPr>
                    <w:t>产物</w:t>
                  </w:r>
                  <w:r>
                    <w:rPr>
                      <w:rFonts w:hint="eastAsia" w:cs="Times New Roman"/>
                      <w:szCs w:val="21"/>
                    </w:rPr>
                    <w:t>：</w:t>
                  </w:r>
                  <w:r>
                    <w:rPr>
                      <w:rFonts w:cs="Times New Roman"/>
                      <w:szCs w:val="21"/>
                    </w:rPr>
                    <w:t>氯化氢。</w:t>
                  </w:r>
                  <w:r>
                    <w:rPr>
                      <w:rFonts w:hint="eastAsia" w:cs="Times New Roman"/>
                      <w:szCs w:val="21"/>
                    </w:rPr>
                    <w:t>腐蚀性很强。</w:t>
                  </w:r>
                </w:p>
              </w:tc>
              <w:tc>
                <w:tcPr>
                  <w:tcW w:w="690" w:type="pct"/>
                  <w:noWrap w:val="0"/>
                  <w:vAlign w:val="center"/>
                </w:tcPr>
                <w:p>
                  <w:pPr>
                    <w:jc w:val="center"/>
                    <w:rPr>
                      <w:rFonts w:cs="Times New Roman"/>
                      <w:szCs w:val="21"/>
                    </w:rPr>
                  </w:pPr>
                  <w:r>
                    <w:rPr>
                      <w:rFonts w:hint="eastAsia" w:cs="Times New Roman"/>
                      <w:bCs/>
                      <w:szCs w:val="21"/>
                    </w:rPr>
                    <w:t>二氧化氯</w:t>
                  </w:r>
                  <w:r>
                    <w:rPr>
                      <w:rFonts w:hint="eastAsia"/>
                      <w:szCs w:val="21"/>
                    </w:rPr>
                    <w:t>吸入人体能严重中毒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7" w:type="pct"/>
                  <w:noWrap w:val="0"/>
                  <w:vAlign w:val="center"/>
                </w:tcPr>
                <w:p>
                  <w:pPr>
                    <w:jc w:val="center"/>
                    <w:rPr>
                      <w:rFonts w:hint="eastAsia" w:cs="Times New Roman"/>
                      <w:szCs w:val="21"/>
                    </w:rPr>
                  </w:pPr>
                  <w:r>
                    <w:rPr>
                      <w:rFonts w:hint="eastAsia" w:cs="Times New Roman"/>
                      <w:szCs w:val="21"/>
                    </w:rPr>
                    <w:t>高锰酸钾</w:t>
                  </w:r>
                </w:p>
              </w:tc>
              <w:tc>
                <w:tcPr>
                  <w:tcW w:w="596" w:type="pct"/>
                  <w:noWrap w:val="0"/>
                  <w:vAlign w:val="center"/>
                </w:tcPr>
                <w:p>
                  <w:pPr>
                    <w:jc w:val="center"/>
                    <w:rPr>
                      <w:rFonts w:cs="Times New Roman"/>
                      <w:szCs w:val="21"/>
                    </w:rPr>
                  </w:pPr>
                  <w:r>
                    <w:rPr>
                      <w:rFonts w:hint="eastAsia" w:cs="Times New Roman"/>
                      <w:kern w:val="0"/>
                      <w:szCs w:val="21"/>
                    </w:rPr>
                    <w:t>KMnO</w:t>
                  </w:r>
                  <w:r>
                    <w:rPr>
                      <w:rFonts w:hint="eastAsia" w:cs="Times New Roman"/>
                      <w:kern w:val="0"/>
                      <w:szCs w:val="21"/>
                      <w:vertAlign w:val="subscript"/>
                    </w:rPr>
                    <w:t>4</w:t>
                  </w:r>
                </w:p>
              </w:tc>
              <w:tc>
                <w:tcPr>
                  <w:tcW w:w="2026" w:type="pct"/>
                  <w:noWrap w:val="0"/>
                  <w:vAlign w:val="center"/>
                </w:tcPr>
                <w:p>
                  <w:pPr>
                    <w:jc w:val="center"/>
                    <w:rPr>
                      <w:rFonts w:hint="eastAsia"/>
                      <w:szCs w:val="21"/>
                    </w:rPr>
                  </w:pPr>
                  <w:r>
                    <w:rPr>
                      <w:rFonts w:hint="eastAsia" w:cs="Times New Roman"/>
                      <w:kern w:val="0"/>
                      <w:szCs w:val="21"/>
                    </w:rPr>
                    <w:t>为黑紫色结晶，带蓝色的金属光泽，无臭，与某些有机物或易氧化物接触，易发生爆炸，溶于水、碱液，微溶于甲醇、丙酮、硫酸。在化学品生产中，广泛用作氧化剂。</w:t>
                  </w:r>
                </w:p>
              </w:tc>
              <w:tc>
                <w:tcPr>
                  <w:tcW w:w="1278" w:type="pct"/>
                  <w:noWrap w:val="0"/>
                  <w:vAlign w:val="center"/>
                </w:tcPr>
                <w:p>
                  <w:pPr>
                    <w:jc w:val="center"/>
                    <w:rPr>
                      <w:rFonts w:cs="Times New Roman"/>
                      <w:szCs w:val="21"/>
                    </w:rPr>
                  </w:pPr>
                  <w:r>
                    <w:rPr>
                      <w:rFonts w:cs="Times New Roman"/>
                      <w:szCs w:val="21"/>
                    </w:rPr>
                    <w:t>具有强氧化性。</w:t>
                  </w:r>
                  <w:r>
                    <w:rPr>
                      <w:rFonts w:hint="eastAsia" w:cs="Times New Roman"/>
                      <w:kern w:val="0"/>
                      <w:szCs w:val="21"/>
                    </w:rPr>
                    <w:t>与某些有机物或易氧化物接触，易发生爆炸。</w:t>
                  </w:r>
                </w:p>
              </w:tc>
              <w:tc>
                <w:tcPr>
                  <w:tcW w:w="690" w:type="pct"/>
                  <w:noWrap w:val="0"/>
                  <w:vAlign w:val="center"/>
                </w:tcPr>
                <w:p>
                  <w:pPr>
                    <w:jc w:val="center"/>
                    <w:rPr>
                      <w:rFonts w:hint="eastAsia" w:cs="Times New Roman"/>
                      <w:bCs/>
                      <w:szCs w:val="21"/>
                    </w:rPr>
                  </w:pPr>
                  <w:r>
                    <w:rPr>
                      <w:rFonts w:hint="eastAsia" w:cs="Times New Roman"/>
                      <w:bCs/>
                      <w:szCs w:val="21"/>
                    </w:rPr>
                    <w:t>高锰酸钾有毒，且有一定的腐蚀性。吸入后可引起呼吸道损害。</w:t>
                  </w:r>
                </w:p>
              </w:tc>
            </w:tr>
          </w:tbl>
          <w:p>
            <w:pPr>
              <w:spacing w:line="276" w:lineRule="auto"/>
              <w:ind w:firstLine="422" w:firstLineChars="200"/>
              <w:rPr>
                <w:rFonts w:hint="eastAsia"/>
                <w:b/>
                <w:bCs/>
                <w:szCs w:val="21"/>
              </w:rPr>
            </w:pPr>
            <w:r>
              <w:rPr>
                <w:rFonts w:hint="eastAsia"/>
                <w:b/>
                <w:bCs/>
                <w:szCs w:val="21"/>
              </w:rPr>
              <w:t>②生产系统危险性识别</w:t>
            </w:r>
          </w:p>
          <w:p>
            <w:pPr>
              <w:spacing w:line="276" w:lineRule="auto"/>
              <w:ind w:firstLine="420" w:firstLineChars="200"/>
              <w:rPr>
                <w:rFonts w:hint="eastAsia"/>
                <w:szCs w:val="21"/>
              </w:rPr>
            </w:pPr>
            <w:r>
              <w:rPr>
                <w:rFonts w:hint="eastAsia"/>
                <w:szCs w:val="21"/>
              </w:rPr>
              <w:t>1）贮存过程风险识别</w:t>
            </w:r>
          </w:p>
          <w:p>
            <w:pPr>
              <w:spacing w:line="276" w:lineRule="auto"/>
              <w:ind w:firstLine="420" w:firstLineChars="200"/>
              <w:rPr>
                <w:szCs w:val="21"/>
              </w:rPr>
            </w:pPr>
            <w:r>
              <w:rPr>
                <w:rFonts w:hint="eastAsia"/>
                <w:szCs w:val="21"/>
              </w:rPr>
              <w:t>原材料（高锰酸钾、复合氯酸钠、复合硫酸氢钠等）、危险废物柴油等在贮存过程中会若发生渗漏，随地表径流流至土壤和地表水环境，会污染周边水体及地下水，必须做好加氯加药间、应急加药间、柴油发电机房等原料储存区的防渗和渗滤液的收集，防止渗漏的废物进入地下污染环境；活性炭粉末储存间若粉尘浓度偏高，遇明火易发生爆炸。</w:t>
            </w:r>
          </w:p>
          <w:p>
            <w:pPr>
              <w:spacing w:line="276" w:lineRule="auto"/>
              <w:ind w:firstLine="420" w:firstLineChars="200"/>
              <w:rPr>
                <w:rFonts w:hint="eastAsia"/>
                <w:szCs w:val="21"/>
              </w:rPr>
            </w:pPr>
            <w:r>
              <w:rPr>
                <w:rFonts w:hint="eastAsia"/>
                <w:szCs w:val="21"/>
              </w:rPr>
              <w:t>2）生产设备风险识别</w:t>
            </w:r>
          </w:p>
          <w:p>
            <w:pPr>
              <w:spacing w:line="276" w:lineRule="auto"/>
              <w:ind w:firstLine="420" w:firstLineChars="200"/>
              <w:rPr>
                <w:rFonts w:hint="eastAsia"/>
                <w:szCs w:val="21"/>
              </w:rPr>
            </w:pPr>
            <w:r>
              <w:rPr>
                <w:rFonts w:hint="eastAsia"/>
                <w:szCs w:val="21"/>
              </w:rPr>
              <w:t>运营期主要风险源于贮存的二氧化氯泄漏，泄漏触发因素主要包括：a.发生器破损导致泄漏；b.自然因素，如地震、雷击等；c.生产人员的安全卫生知识缺乏，违章操作或操作不规范导致的泄漏。</w:t>
            </w:r>
          </w:p>
          <w:p>
            <w:pPr>
              <w:spacing w:line="276" w:lineRule="auto"/>
              <w:ind w:firstLine="420" w:firstLineChars="200"/>
              <w:rPr>
                <w:rFonts w:hint="eastAsia"/>
                <w:szCs w:val="21"/>
              </w:rPr>
            </w:pPr>
            <w:r>
              <w:rPr>
                <w:rFonts w:hint="eastAsia"/>
                <w:szCs w:val="21"/>
              </w:rPr>
              <w:t>3）运输过程风险识别</w:t>
            </w:r>
          </w:p>
          <w:p>
            <w:pPr>
              <w:spacing w:line="276" w:lineRule="auto"/>
              <w:ind w:firstLine="420" w:firstLineChars="200"/>
              <w:rPr>
                <w:rFonts w:hint="eastAsia"/>
                <w:szCs w:val="21"/>
              </w:rPr>
            </w:pPr>
            <w:r>
              <w:rPr>
                <w:rFonts w:hint="eastAsia"/>
                <w:szCs w:val="21"/>
              </w:rPr>
              <w:t>项目高锰酸钾、复合氯酸钠、复合硫酸氢钠需经公路进行运输，在装卸、运输可能由于碰撞、震动、挤压等，或因操作不当、重装重卸、容器多次回收利用，强度下降，垫圈失落没有拧紧等原因，造成泄漏，甚至引起污染环境事故。同时在运输途中，由于意外各种原因，可能汽车翻车等，造成高锰酸钾、复合氯酸钠、复合硫酸氢钠抛至水体，造成重大事故。因此，危险物质在运输过程中存在一定环境风险。</w:t>
            </w:r>
          </w:p>
          <w:p>
            <w:pPr>
              <w:spacing w:line="276" w:lineRule="auto"/>
              <w:ind w:firstLine="420" w:firstLineChars="200"/>
              <w:rPr>
                <w:rFonts w:hint="eastAsia"/>
                <w:szCs w:val="21"/>
              </w:rPr>
            </w:pPr>
            <w:r>
              <w:rPr>
                <w:rFonts w:hint="eastAsia"/>
                <w:szCs w:val="21"/>
              </w:rPr>
              <w:t>此外，项目输水管道存在破裂、断裂风险，原因主要有两个方面，一是自然因素，即地震、气候变化等；二是人为因素，即选材、施工、防腐、检修、操作以及管沟的回填土没有按规范要求进行以及后续建设项目施工损坏管道等。</w:t>
            </w:r>
          </w:p>
          <w:p>
            <w:pPr>
              <w:spacing w:line="276" w:lineRule="auto"/>
              <w:ind w:firstLine="422" w:firstLineChars="200"/>
              <w:rPr>
                <w:rFonts w:hint="eastAsia"/>
                <w:b/>
                <w:bCs/>
                <w:szCs w:val="21"/>
              </w:rPr>
            </w:pPr>
            <w:r>
              <w:rPr>
                <w:rFonts w:hint="eastAsia"/>
                <w:b/>
                <w:bCs/>
                <w:szCs w:val="21"/>
              </w:rPr>
              <w:t>（5）环境风险分析</w:t>
            </w:r>
          </w:p>
          <w:p>
            <w:pPr>
              <w:spacing w:line="276" w:lineRule="auto"/>
              <w:ind w:firstLine="420" w:firstLineChars="200"/>
              <w:rPr>
                <w:rFonts w:hint="eastAsia"/>
                <w:szCs w:val="21"/>
              </w:rPr>
            </w:pPr>
            <w:r>
              <w:rPr>
                <w:rFonts w:hint="eastAsia"/>
                <w:szCs w:val="21"/>
              </w:rPr>
              <w:t>①环境风险类型</w:t>
            </w:r>
          </w:p>
          <w:p>
            <w:pPr>
              <w:spacing w:line="276" w:lineRule="auto"/>
              <w:ind w:firstLine="420" w:firstLineChars="200"/>
              <w:rPr>
                <w:rFonts w:hint="eastAsia"/>
                <w:szCs w:val="21"/>
              </w:rPr>
            </w:pPr>
            <w:r>
              <w:rPr>
                <w:rFonts w:hint="eastAsia"/>
                <w:szCs w:val="21"/>
              </w:rPr>
              <w:t>根据项目建设特点，运营期环境风险类型主要包括：二氧化氯、高锰酸钾溶液、复合氯酸钠、复合硫酸氢钠、危险废物柴油泄漏引发的环境污染事故。</w:t>
            </w:r>
          </w:p>
          <w:p>
            <w:pPr>
              <w:spacing w:line="276" w:lineRule="auto"/>
              <w:ind w:firstLine="420" w:firstLineChars="200"/>
              <w:rPr>
                <w:rFonts w:hint="eastAsia"/>
                <w:szCs w:val="21"/>
              </w:rPr>
            </w:pPr>
            <w:r>
              <w:rPr>
                <w:rFonts w:hint="eastAsia"/>
                <w:szCs w:val="21"/>
              </w:rPr>
              <w:t>②危险物质向环境转移的途径识别</w:t>
            </w:r>
          </w:p>
          <w:p>
            <w:pPr>
              <w:spacing w:line="276" w:lineRule="auto"/>
              <w:ind w:firstLine="420" w:firstLineChars="200"/>
              <w:rPr>
                <w:rFonts w:hint="eastAsia"/>
                <w:szCs w:val="21"/>
              </w:rPr>
            </w:pPr>
            <w:r>
              <w:rPr>
                <w:rFonts w:hint="eastAsia"/>
                <w:szCs w:val="21"/>
              </w:rPr>
              <w:t>根据物质及生产系统危险性识别结果，结合运营期环境风险类型，分析得出危险物质向环境转移的可能途径如下：</w:t>
            </w:r>
          </w:p>
          <w:p>
            <w:pPr>
              <w:spacing w:line="276" w:lineRule="auto"/>
              <w:ind w:firstLine="420" w:firstLineChars="200"/>
              <w:rPr>
                <w:rFonts w:hint="eastAsia"/>
                <w:szCs w:val="21"/>
              </w:rPr>
            </w:pPr>
            <w:r>
              <w:rPr>
                <w:rFonts w:hint="eastAsia"/>
                <w:szCs w:val="21"/>
              </w:rPr>
              <w:t>a.二氧化氯发生器、高锰酸钾投加装置、复合氯酸钠储罐、复合硫酸氢钠储罐和柴油贮罐破损、裂缝造成有害物质泄漏，通过地表径流或雨水管道进入地表水环境，此外还可能通过垂直渗透进入地下水环境或土壤环境。</w:t>
            </w:r>
          </w:p>
          <w:p>
            <w:pPr>
              <w:spacing w:line="276" w:lineRule="auto"/>
              <w:ind w:firstLine="420" w:firstLineChars="200"/>
              <w:rPr>
                <w:szCs w:val="21"/>
              </w:rPr>
            </w:pPr>
            <w:r>
              <w:rPr>
                <w:rFonts w:hint="eastAsia"/>
                <w:szCs w:val="21"/>
              </w:rPr>
              <w:t>b.生产过程中因通风不好，噪声活性炭粉尘浓度增高，遇明火发生火灾、爆炸，在灭火过程中事故消防废水通过地表径流或雨水管道进入地表水环境。</w:t>
            </w:r>
          </w:p>
          <w:p>
            <w:pPr>
              <w:spacing w:line="276" w:lineRule="auto"/>
              <w:ind w:firstLine="420" w:firstLineChars="200"/>
              <w:rPr>
                <w:rFonts w:hint="eastAsia"/>
                <w:szCs w:val="21"/>
              </w:rPr>
            </w:pPr>
            <w:r>
              <w:rPr>
                <w:rFonts w:hint="eastAsia"/>
                <w:szCs w:val="21"/>
              </w:rPr>
              <w:t>c.生产过程中因管理不规范、操作不当等造成一般性火灾事故产生次生污染物进入大气环境，在灭火过程中事故消防废水通过地表径流或雨水管道进入地表水环境。</w:t>
            </w:r>
          </w:p>
          <w:p>
            <w:pPr>
              <w:spacing w:line="276" w:lineRule="auto"/>
              <w:ind w:firstLine="420" w:firstLineChars="200"/>
              <w:rPr>
                <w:rFonts w:hint="eastAsia"/>
                <w:szCs w:val="21"/>
              </w:rPr>
            </w:pPr>
            <w:r>
              <w:rPr>
                <w:rFonts w:hint="eastAsia"/>
                <w:szCs w:val="21"/>
              </w:rPr>
              <w:t>综上所述，本项目环境风险类型、风险源分布及影响途径见下表：</w:t>
            </w:r>
          </w:p>
          <w:p>
            <w:pPr>
              <w:spacing w:line="276" w:lineRule="auto"/>
              <w:jc w:val="center"/>
              <w:rPr>
                <w:rFonts w:hint="eastAsia"/>
                <w:b/>
                <w:bCs/>
                <w:szCs w:val="21"/>
              </w:rPr>
            </w:pPr>
            <w:r>
              <w:rPr>
                <w:rFonts w:hint="eastAsia"/>
                <w:b/>
                <w:bCs/>
                <w:szCs w:val="21"/>
              </w:rPr>
              <w:t>表4-19    环境风险类型、风险源分布及影响途径表</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175"/>
              <w:gridCol w:w="1175"/>
              <w:gridCol w:w="1176"/>
              <w:gridCol w:w="3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7" w:type="pct"/>
                  <w:noWrap w:val="0"/>
                  <w:vAlign w:val="center"/>
                </w:tcPr>
                <w:p>
                  <w:pPr>
                    <w:jc w:val="center"/>
                    <w:rPr>
                      <w:rFonts w:cs="Calibri"/>
                      <w:b/>
                      <w:bCs/>
                      <w:szCs w:val="21"/>
                    </w:rPr>
                  </w:pPr>
                  <w:r>
                    <w:rPr>
                      <w:rFonts w:hint="eastAsia" w:cs="Calibri"/>
                      <w:b/>
                      <w:bCs/>
                      <w:szCs w:val="21"/>
                    </w:rPr>
                    <w:t>风险类型</w:t>
                  </w:r>
                </w:p>
              </w:tc>
              <w:tc>
                <w:tcPr>
                  <w:tcW w:w="677" w:type="pct"/>
                  <w:noWrap w:val="0"/>
                  <w:vAlign w:val="center"/>
                </w:tcPr>
                <w:p>
                  <w:pPr>
                    <w:jc w:val="center"/>
                    <w:rPr>
                      <w:rFonts w:cs="Calibri"/>
                      <w:b/>
                      <w:bCs/>
                      <w:szCs w:val="21"/>
                    </w:rPr>
                  </w:pPr>
                  <w:r>
                    <w:rPr>
                      <w:rFonts w:cs="Calibri"/>
                      <w:b/>
                      <w:bCs/>
                      <w:szCs w:val="21"/>
                    </w:rPr>
                    <w:t>风险源</w:t>
                  </w:r>
                </w:p>
              </w:tc>
              <w:tc>
                <w:tcPr>
                  <w:tcW w:w="677" w:type="pct"/>
                  <w:noWrap w:val="0"/>
                  <w:vAlign w:val="center"/>
                </w:tcPr>
                <w:p>
                  <w:pPr>
                    <w:jc w:val="center"/>
                    <w:rPr>
                      <w:rFonts w:cs="Calibri"/>
                      <w:b/>
                      <w:bCs/>
                      <w:szCs w:val="21"/>
                    </w:rPr>
                  </w:pPr>
                  <w:r>
                    <w:rPr>
                      <w:rFonts w:cs="Calibri"/>
                      <w:b/>
                      <w:bCs/>
                      <w:szCs w:val="21"/>
                    </w:rPr>
                    <w:t>危险单元</w:t>
                  </w:r>
                </w:p>
              </w:tc>
              <w:tc>
                <w:tcPr>
                  <w:tcW w:w="678" w:type="pct"/>
                  <w:noWrap w:val="0"/>
                  <w:vAlign w:val="center"/>
                </w:tcPr>
                <w:p>
                  <w:pPr>
                    <w:jc w:val="center"/>
                    <w:rPr>
                      <w:rFonts w:cs="Calibri"/>
                      <w:b/>
                      <w:bCs/>
                      <w:szCs w:val="21"/>
                    </w:rPr>
                  </w:pPr>
                  <w:r>
                    <w:rPr>
                      <w:rFonts w:cs="Calibri"/>
                      <w:b/>
                      <w:bCs/>
                      <w:szCs w:val="21"/>
                    </w:rPr>
                    <w:t>危险物质</w:t>
                  </w:r>
                </w:p>
              </w:tc>
              <w:tc>
                <w:tcPr>
                  <w:tcW w:w="2287" w:type="pct"/>
                  <w:noWrap w:val="0"/>
                  <w:vAlign w:val="center"/>
                </w:tcPr>
                <w:p>
                  <w:pPr>
                    <w:jc w:val="center"/>
                    <w:rPr>
                      <w:rFonts w:cs="Calibri"/>
                      <w:b/>
                      <w:bCs/>
                      <w:szCs w:val="21"/>
                    </w:rPr>
                  </w:pPr>
                  <w:r>
                    <w:rPr>
                      <w:rFonts w:cs="Calibri"/>
                      <w:b/>
                      <w:bCs/>
                      <w:szCs w:val="21"/>
                    </w:rPr>
                    <w:t>影响途径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7" w:type="pct"/>
                  <w:noWrap w:val="0"/>
                  <w:vAlign w:val="center"/>
                </w:tcPr>
                <w:p>
                  <w:pPr>
                    <w:jc w:val="center"/>
                    <w:rPr>
                      <w:rFonts w:cs="Calibri"/>
                      <w:szCs w:val="21"/>
                    </w:rPr>
                  </w:pPr>
                  <w:r>
                    <w:rPr>
                      <w:rFonts w:hint="eastAsia"/>
                      <w:szCs w:val="21"/>
                    </w:rPr>
                    <w:t>二氧化氯、高锰酸钾溶液、复合氯酸钠、复合硫酸氢钠、危险物质柴油泄漏</w:t>
                  </w:r>
                </w:p>
              </w:tc>
              <w:tc>
                <w:tcPr>
                  <w:tcW w:w="677" w:type="pct"/>
                  <w:noWrap w:val="0"/>
                  <w:vAlign w:val="center"/>
                </w:tcPr>
                <w:p>
                  <w:pPr>
                    <w:jc w:val="center"/>
                    <w:rPr>
                      <w:rFonts w:cs="Calibri"/>
                      <w:szCs w:val="21"/>
                    </w:rPr>
                  </w:pPr>
                  <w:r>
                    <w:rPr>
                      <w:rFonts w:hint="eastAsia"/>
                      <w:szCs w:val="21"/>
                    </w:rPr>
                    <w:t>二氧化氯发生器、高锰酸钾投加装置、复合氯酸钠储罐、复合硫酸氢钠储罐</w:t>
                  </w:r>
                  <w:r>
                    <w:rPr>
                      <w:rFonts w:hint="eastAsia" w:cs="Calibri"/>
                      <w:szCs w:val="21"/>
                    </w:rPr>
                    <w:t>、柴油贮罐</w:t>
                  </w:r>
                </w:p>
              </w:tc>
              <w:tc>
                <w:tcPr>
                  <w:tcW w:w="677" w:type="pct"/>
                  <w:noWrap w:val="0"/>
                  <w:vAlign w:val="center"/>
                </w:tcPr>
                <w:p>
                  <w:pPr>
                    <w:jc w:val="center"/>
                    <w:rPr>
                      <w:rFonts w:cs="Calibri"/>
                      <w:szCs w:val="21"/>
                    </w:rPr>
                  </w:pPr>
                  <w:r>
                    <w:rPr>
                      <w:rFonts w:hint="eastAsia" w:cs="Calibri"/>
                      <w:szCs w:val="21"/>
                    </w:rPr>
                    <w:t>应急加药间、加氯加药间、柴油发电机房</w:t>
                  </w:r>
                </w:p>
              </w:tc>
              <w:tc>
                <w:tcPr>
                  <w:tcW w:w="678" w:type="pct"/>
                  <w:noWrap w:val="0"/>
                  <w:vAlign w:val="center"/>
                </w:tcPr>
                <w:p>
                  <w:pPr>
                    <w:jc w:val="center"/>
                    <w:rPr>
                      <w:rFonts w:cs="Calibri"/>
                      <w:szCs w:val="21"/>
                    </w:rPr>
                  </w:pPr>
                  <w:r>
                    <w:rPr>
                      <w:rFonts w:hint="eastAsia"/>
                      <w:szCs w:val="21"/>
                    </w:rPr>
                    <w:t>二氧化氯、高锰酸钾、复合氯酸钠、复合硫酸氢钠、柴油</w:t>
                  </w:r>
                </w:p>
              </w:tc>
              <w:tc>
                <w:tcPr>
                  <w:tcW w:w="2287" w:type="pct"/>
                  <w:noWrap w:val="0"/>
                  <w:vAlign w:val="center"/>
                </w:tcPr>
                <w:p>
                  <w:pPr>
                    <w:rPr>
                      <w:rFonts w:cs="Calibri"/>
                      <w:szCs w:val="21"/>
                    </w:rPr>
                  </w:pPr>
                  <w:r>
                    <w:rPr>
                      <w:rFonts w:hint="eastAsia" w:cs="Calibri"/>
                      <w:szCs w:val="21"/>
                    </w:rPr>
                    <w:t>地表水环境：</w:t>
                  </w:r>
                  <w:r>
                    <w:rPr>
                      <w:rFonts w:hint="eastAsia"/>
                      <w:szCs w:val="21"/>
                    </w:rPr>
                    <w:t>二氧化氯、高锰酸钾溶液、复合氯酸钠、复合硫酸氢钠、危险废物</w:t>
                  </w:r>
                  <w:r>
                    <w:rPr>
                      <w:rFonts w:hint="eastAsia" w:cs="Calibri"/>
                      <w:szCs w:val="21"/>
                    </w:rPr>
                    <w:t>泄漏通过地表径流或雨水管道进入地表水环境；</w:t>
                  </w:r>
                </w:p>
                <w:p>
                  <w:pPr>
                    <w:rPr>
                      <w:rFonts w:cs="Calibri"/>
                      <w:szCs w:val="21"/>
                    </w:rPr>
                  </w:pPr>
                  <w:r>
                    <w:rPr>
                      <w:rFonts w:cs="Calibri"/>
                      <w:szCs w:val="21"/>
                    </w:rPr>
                    <w:t>地下水环境或土壤环境</w:t>
                  </w:r>
                  <w:r>
                    <w:rPr>
                      <w:rFonts w:hint="eastAsia" w:cs="Calibri"/>
                      <w:szCs w:val="21"/>
                    </w:rPr>
                    <w:t>：</w:t>
                  </w:r>
                  <w:r>
                    <w:rPr>
                      <w:rFonts w:hint="eastAsia"/>
                      <w:szCs w:val="21"/>
                    </w:rPr>
                    <w:t>二氧化氯、高锰酸钾溶液、复合氯酸钠、复合硫酸氢钠、危险废物</w:t>
                  </w:r>
                  <w:r>
                    <w:rPr>
                      <w:rFonts w:hint="eastAsia" w:cs="Calibri"/>
                      <w:szCs w:val="21"/>
                    </w:rPr>
                    <w:t>泄漏通过垂直渗透进入地下水环境或土壤环境。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7" w:type="pct"/>
                  <w:noWrap w:val="0"/>
                  <w:vAlign w:val="center"/>
                </w:tcPr>
                <w:p>
                  <w:pPr>
                    <w:jc w:val="center"/>
                    <w:rPr>
                      <w:rFonts w:hint="eastAsia"/>
                      <w:szCs w:val="21"/>
                    </w:rPr>
                  </w:pPr>
                  <w:r>
                    <w:rPr>
                      <w:rFonts w:hint="eastAsia"/>
                      <w:szCs w:val="21"/>
                    </w:rPr>
                    <w:t>活性炭粉尘浓度增高</w:t>
                  </w:r>
                </w:p>
              </w:tc>
              <w:tc>
                <w:tcPr>
                  <w:tcW w:w="677" w:type="pct"/>
                  <w:noWrap w:val="0"/>
                  <w:vAlign w:val="center"/>
                </w:tcPr>
                <w:p>
                  <w:pPr>
                    <w:jc w:val="center"/>
                    <w:rPr>
                      <w:szCs w:val="21"/>
                    </w:rPr>
                  </w:pPr>
                  <w:r>
                    <w:rPr>
                      <w:rFonts w:hint="eastAsia"/>
                      <w:szCs w:val="21"/>
                    </w:rPr>
                    <w:t>活性炭储存区</w:t>
                  </w:r>
                </w:p>
              </w:tc>
              <w:tc>
                <w:tcPr>
                  <w:tcW w:w="677" w:type="pct"/>
                  <w:noWrap w:val="0"/>
                  <w:vAlign w:val="center"/>
                </w:tcPr>
                <w:p>
                  <w:pPr>
                    <w:jc w:val="center"/>
                    <w:rPr>
                      <w:rFonts w:hint="eastAsia" w:cs="Calibri"/>
                      <w:szCs w:val="21"/>
                    </w:rPr>
                  </w:pPr>
                  <w:r>
                    <w:rPr>
                      <w:rFonts w:hint="eastAsia" w:cs="Calibri"/>
                      <w:szCs w:val="21"/>
                    </w:rPr>
                    <w:t>应急加药间</w:t>
                  </w:r>
                </w:p>
              </w:tc>
              <w:tc>
                <w:tcPr>
                  <w:tcW w:w="678" w:type="pct"/>
                  <w:noWrap w:val="0"/>
                  <w:vAlign w:val="center"/>
                </w:tcPr>
                <w:p>
                  <w:pPr>
                    <w:jc w:val="center"/>
                    <w:rPr>
                      <w:rFonts w:hint="eastAsia"/>
                      <w:szCs w:val="21"/>
                    </w:rPr>
                  </w:pPr>
                  <w:r>
                    <w:rPr>
                      <w:rFonts w:hint="eastAsia"/>
                      <w:szCs w:val="21"/>
                    </w:rPr>
                    <w:t>活性炭粉尘</w:t>
                  </w:r>
                </w:p>
              </w:tc>
              <w:tc>
                <w:tcPr>
                  <w:tcW w:w="2287" w:type="pct"/>
                  <w:noWrap w:val="0"/>
                  <w:vAlign w:val="center"/>
                </w:tcPr>
                <w:p>
                  <w:pPr>
                    <w:rPr>
                      <w:rFonts w:cs="Calibri"/>
                      <w:szCs w:val="21"/>
                    </w:rPr>
                  </w:pPr>
                  <w:r>
                    <w:rPr>
                      <w:rFonts w:hint="eastAsia" w:cs="Calibri"/>
                      <w:szCs w:val="21"/>
                    </w:rPr>
                    <w:t>地表水环境：火灾消防过程废水通过地表径流或雨水管网排入地表水环境</w:t>
                  </w:r>
                </w:p>
              </w:tc>
            </w:tr>
          </w:tbl>
          <w:p>
            <w:pPr>
              <w:spacing w:line="276" w:lineRule="auto"/>
              <w:ind w:firstLine="422" w:firstLineChars="200"/>
              <w:rPr>
                <w:rFonts w:hint="eastAsia"/>
                <w:b/>
                <w:bCs/>
                <w:szCs w:val="21"/>
              </w:rPr>
            </w:pPr>
            <w:r>
              <w:rPr>
                <w:rFonts w:hint="eastAsia"/>
                <w:b/>
                <w:bCs/>
                <w:szCs w:val="21"/>
              </w:rPr>
              <w:t>（6）环境风险防范措施</w:t>
            </w:r>
          </w:p>
          <w:p>
            <w:pPr>
              <w:spacing w:line="276" w:lineRule="auto"/>
              <w:ind w:firstLine="422" w:firstLineChars="200"/>
              <w:rPr>
                <w:rFonts w:hint="eastAsia"/>
                <w:b/>
                <w:bCs/>
                <w:szCs w:val="21"/>
              </w:rPr>
            </w:pPr>
            <w:r>
              <w:rPr>
                <w:rFonts w:hint="eastAsia"/>
                <w:b/>
                <w:bCs/>
                <w:szCs w:val="21"/>
              </w:rPr>
              <w:t>①贮存过程风险防范措施</w:t>
            </w:r>
          </w:p>
          <w:p>
            <w:pPr>
              <w:spacing w:line="276" w:lineRule="auto"/>
              <w:ind w:firstLine="420" w:firstLineChars="200"/>
              <w:rPr>
                <w:szCs w:val="21"/>
              </w:rPr>
            </w:pPr>
            <w:r>
              <w:rPr>
                <w:rFonts w:hint="eastAsia"/>
                <w:szCs w:val="21"/>
              </w:rPr>
              <w:t>柴油发电机房、加氯加药间、应急加药间应采取重点防渗措施，其中复合氯酸钠储罐区、复合硫酸氢钠储罐区设置防渗围堰（约1.5m），围堰采用不渗透的材料做防渗处理，</w:t>
            </w:r>
            <w:r>
              <w:rPr>
                <w:rFonts w:hint="eastAsia" w:cs="Times New Roman"/>
                <w:szCs w:val="21"/>
              </w:rPr>
              <w:t>并设置泄露收集沟和泄露收集坑</w:t>
            </w:r>
            <w:r>
              <w:rPr>
                <w:rFonts w:hint="eastAsia"/>
                <w:szCs w:val="21"/>
              </w:rPr>
              <w:t>。一旦发生泄漏，不要直接接触泄漏物，在确保安全情况下堵漏。发生小量的泄漏，用砂土或其它惰性材料吸收，然后收集运至危险废物处理场所处置。发生大量泄漏，应及时将围堰里物质的抽取到安全不易泄漏的收集器内，回收或运至危险废物处理场所处置。</w:t>
            </w:r>
            <w:r>
              <w:rPr>
                <w:rFonts w:hint="eastAsia" w:cs="Times New Roman"/>
                <w:szCs w:val="21"/>
              </w:rPr>
              <w:t>活性炭储存间设置有</w:t>
            </w:r>
            <w:r>
              <w:rPr>
                <w:rFonts w:cs="Times New Roman"/>
                <w:szCs w:val="21"/>
              </w:rPr>
              <w:t>粉尘检测仪</w:t>
            </w:r>
            <w:r>
              <w:rPr>
                <w:rFonts w:hint="eastAsia" w:cs="Times New Roman"/>
                <w:szCs w:val="21"/>
              </w:rPr>
              <w:t>及报警装置，并加强通风。</w:t>
            </w:r>
          </w:p>
          <w:p>
            <w:pPr>
              <w:spacing w:line="276" w:lineRule="auto"/>
              <w:ind w:firstLine="422" w:firstLineChars="200"/>
              <w:rPr>
                <w:rFonts w:hint="eastAsia"/>
                <w:b/>
                <w:bCs/>
                <w:szCs w:val="21"/>
              </w:rPr>
            </w:pPr>
            <w:r>
              <w:rPr>
                <w:rFonts w:hint="eastAsia"/>
                <w:b/>
                <w:bCs/>
                <w:szCs w:val="21"/>
              </w:rPr>
              <w:t>②操作使用过程风险防范措施</w:t>
            </w:r>
          </w:p>
          <w:p>
            <w:pPr>
              <w:spacing w:line="276" w:lineRule="auto"/>
              <w:ind w:firstLine="420" w:firstLineChars="200"/>
              <w:rPr>
                <w:rFonts w:hint="eastAsia"/>
                <w:szCs w:val="21"/>
              </w:rPr>
            </w:pPr>
            <w:r>
              <w:rPr>
                <w:rFonts w:hint="eastAsia"/>
                <w:szCs w:val="21"/>
              </w:rPr>
              <w:t>采用密闭真空加氯设备，加强通风。操作人员必须经过专门培训，严格遵守操作规程。操作人员佩戴自吸过滤式防毒面具（半面罩），戴化学安全防护眼镜，穿防毒物渗透工作服，戴橡胶耐油手套，配备相应品种和数量的消防器材及泄漏应急处理设备。</w:t>
            </w:r>
          </w:p>
          <w:p>
            <w:pPr>
              <w:spacing w:line="276" w:lineRule="auto"/>
              <w:ind w:firstLine="420" w:firstLineChars="200"/>
              <w:rPr>
                <w:rFonts w:hint="eastAsia"/>
                <w:szCs w:val="21"/>
              </w:rPr>
            </w:pPr>
            <w:r>
              <w:rPr>
                <w:rFonts w:hint="eastAsia"/>
                <w:szCs w:val="21"/>
              </w:rPr>
              <w:t>加氯加药间设置有</w:t>
            </w:r>
            <w:r>
              <w:rPr>
                <w:rFonts w:cs="Times New Roman"/>
                <w:szCs w:val="21"/>
              </w:rPr>
              <w:t>余二氧化氧在线检测仪</w:t>
            </w:r>
            <w:r>
              <w:rPr>
                <w:rFonts w:hint="eastAsia" w:cs="Times New Roman"/>
                <w:szCs w:val="21"/>
              </w:rPr>
              <w:t>、</w:t>
            </w:r>
            <w:r>
              <w:rPr>
                <w:rFonts w:cs="Times New Roman"/>
                <w:szCs w:val="21"/>
              </w:rPr>
              <w:t>漏氯监测报警仪</w:t>
            </w:r>
            <w:r>
              <w:rPr>
                <w:rFonts w:hint="eastAsia" w:cs="Times New Roman"/>
                <w:szCs w:val="21"/>
              </w:rPr>
              <w:t>及</w:t>
            </w:r>
            <w:r>
              <w:rPr>
                <w:rFonts w:hint="eastAsia"/>
                <w:szCs w:val="21"/>
              </w:rPr>
              <w:t>报警装置，避免氯气等易燃气体泄露遇明火引发爆炸，在生产工艺上安装自动灭火控制装置；加强加药间内通排风。</w:t>
            </w:r>
          </w:p>
          <w:p>
            <w:pPr>
              <w:spacing w:line="276" w:lineRule="auto"/>
              <w:ind w:firstLine="422" w:firstLineChars="200"/>
              <w:rPr>
                <w:rFonts w:hint="eastAsia"/>
                <w:b/>
                <w:bCs/>
                <w:szCs w:val="21"/>
              </w:rPr>
            </w:pPr>
            <w:r>
              <w:rPr>
                <w:rFonts w:hint="eastAsia"/>
                <w:b/>
                <w:bCs/>
                <w:szCs w:val="21"/>
              </w:rPr>
              <w:t>③危险化学品运输过程风险防范措施</w:t>
            </w:r>
          </w:p>
          <w:p>
            <w:pPr>
              <w:spacing w:line="276" w:lineRule="auto"/>
              <w:ind w:firstLine="420" w:firstLineChars="200"/>
              <w:rPr>
                <w:rFonts w:hint="eastAsia"/>
                <w:szCs w:val="21"/>
              </w:rPr>
            </w:pPr>
            <w:r>
              <w:rPr>
                <w:rFonts w:hint="eastAsia"/>
                <w:szCs w:val="21"/>
              </w:rPr>
              <w:t>a.应选择具有运送危险品相应资质的单位进行运送，并督促提醒其按照四川省有关道路运输管理办法严格执行、做到安全运输。</w:t>
            </w:r>
          </w:p>
          <w:p>
            <w:pPr>
              <w:spacing w:line="276" w:lineRule="auto"/>
              <w:ind w:firstLine="420" w:firstLineChars="200"/>
              <w:rPr>
                <w:rFonts w:hint="eastAsia"/>
                <w:szCs w:val="21"/>
              </w:rPr>
            </w:pPr>
            <w:r>
              <w:rPr>
                <w:rFonts w:hint="eastAsia"/>
                <w:szCs w:val="21"/>
              </w:rPr>
              <w:t>b.用于危险化学品运输的容器，必须依照《危险化学品安全管理条例》的规定，由专业生产企业定点生产，并经检测、检验合格方可使用。运输过程中要确保容器不泄露、不倒塌、不坠落、不损坏。</w:t>
            </w:r>
          </w:p>
          <w:p>
            <w:pPr>
              <w:spacing w:line="276" w:lineRule="auto"/>
              <w:ind w:firstLine="420" w:firstLineChars="200"/>
              <w:rPr>
                <w:rFonts w:hint="eastAsia"/>
                <w:szCs w:val="21"/>
              </w:rPr>
            </w:pPr>
            <w:r>
              <w:rPr>
                <w:rFonts w:hint="eastAsia"/>
                <w:szCs w:val="21"/>
              </w:rPr>
              <w:t>c.对危险品的运输过程进行安全性规划，并派专人进行运输中的安全管理与监督。运输途中应防暴晒、雨淋，防高温。公路运输时要按规定路线行驶，勿在居民区和人口稠密的地区停留。</w:t>
            </w:r>
          </w:p>
          <w:p>
            <w:pPr>
              <w:spacing w:line="276" w:lineRule="auto"/>
              <w:ind w:firstLine="420" w:firstLineChars="200"/>
              <w:rPr>
                <w:rFonts w:hint="eastAsia"/>
                <w:szCs w:val="21"/>
              </w:rPr>
            </w:pPr>
            <w:r>
              <w:rPr>
                <w:rFonts w:hint="eastAsia"/>
                <w:szCs w:val="21"/>
              </w:rPr>
              <w:t>d.制定事故处理机制，并对相关人员进行培训，配备相关措施。在运输工具上配有一定的急救设施和全身防护服。</w:t>
            </w:r>
          </w:p>
          <w:p>
            <w:pPr>
              <w:spacing w:line="276" w:lineRule="auto"/>
              <w:ind w:firstLine="422" w:firstLineChars="200"/>
              <w:rPr>
                <w:rFonts w:hint="eastAsia"/>
                <w:b/>
                <w:bCs/>
                <w:szCs w:val="21"/>
              </w:rPr>
            </w:pPr>
            <w:r>
              <w:rPr>
                <w:rFonts w:hint="eastAsia"/>
                <w:b/>
                <w:bCs/>
                <w:szCs w:val="21"/>
              </w:rPr>
              <w:t>④危险废物运输过程风险防范措施</w:t>
            </w:r>
          </w:p>
          <w:p>
            <w:pPr>
              <w:spacing w:line="276" w:lineRule="auto"/>
              <w:ind w:firstLine="420" w:firstLineChars="200"/>
              <w:rPr>
                <w:rFonts w:hint="eastAsia"/>
                <w:szCs w:val="21"/>
              </w:rPr>
            </w:pPr>
            <w:r>
              <w:rPr>
                <w:rFonts w:hint="eastAsia"/>
                <w:szCs w:val="21"/>
              </w:rPr>
              <w:t>本项目危废必须由危废处置单位负责运输。运输时，必须配备押运人员。运输过程不得超载、超装。运输路线必须严格按照有关部门批准的路线运输，不得进入危废运输车辆禁止通行的区域。运输过程中若发生被盗、丢失、流散、泄漏等情况，处置单位及押运人员必须立即向公安部报告，并采取一切可能的警示措施。一旦发生危废泄漏事故，建设单位和危废处置单位都应积极协助有关部门采取必要的安全措施，减少事故损失。针对事故对人体、动植物、土壤、水源、空气造成的现实危害和可能产生的危害，应迅速采取封闭、隔离、洗消等措施，并对事故造成的危害进行监测、处置，直至符合国家环境保护标准。</w:t>
            </w:r>
          </w:p>
          <w:p>
            <w:pPr>
              <w:spacing w:line="276" w:lineRule="auto"/>
              <w:ind w:firstLine="422" w:firstLineChars="200"/>
              <w:rPr>
                <w:rFonts w:hint="eastAsia"/>
                <w:b/>
                <w:bCs/>
                <w:szCs w:val="21"/>
              </w:rPr>
            </w:pPr>
            <w:r>
              <w:rPr>
                <w:rFonts w:hint="eastAsia"/>
                <w:b/>
                <w:bCs/>
                <w:szCs w:val="21"/>
              </w:rPr>
              <w:t>⑤火灾风险防范措施</w:t>
            </w:r>
          </w:p>
          <w:p>
            <w:pPr>
              <w:spacing w:line="276" w:lineRule="auto"/>
              <w:ind w:firstLine="420" w:firstLineChars="200"/>
              <w:rPr>
                <w:rFonts w:hint="eastAsia"/>
                <w:szCs w:val="21"/>
              </w:rPr>
            </w:pPr>
            <w:r>
              <w:rPr>
                <w:rFonts w:hint="eastAsia"/>
                <w:szCs w:val="21"/>
              </w:rPr>
              <w:t>a.消防通道和建筑物耐火等级应满足消防要求。</w:t>
            </w:r>
          </w:p>
          <w:p>
            <w:pPr>
              <w:spacing w:line="276" w:lineRule="auto"/>
              <w:ind w:firstLine="420" w:firstLineChars="200"/>
              <w:rPr>
                <w:rFonts w:hint="eastAsia"/>
                <w:szCs w:val="21"/>
              </w:rPr>
            </w:pPr>
            <w:r>
              <w:rPr>
                <w:rFonts w:hint="eastAsia"/>
                <w:szCs w:val="21"/>
              </w:rPr>
              <w:t>b.按照《建筑灭火器配置设计规范》（GBJ140-90）的规定，应配置相应的灭火器类型（干粉灭火器等）与数量，并在火灾危险场所设置报警装置；严禁区内有明火出现。</w:t>
            </w:r>
          </w:p>
          <w:p>
            <w:pPr>
              <w:spacing w:line="276" w:lineRule="auto"/>
              <w:ind w:firstLine="420" w:firstLineChars="200"/>
              <w:rPr>
                <w:rFonts w:hint="eastAsia"/>
                <w:szCs w:val="21"/>
              </w:rPr>
            </w:pPr>
            <w:r>
              <w:rPr>
                <w:rFonts w:hint="eastAsia"/>
                <w:szCs w:val="21"/>
              </w:rPr>
              <w:t>c.严格执行防火、防爆、防雷击、防毒害等各项要求。</w:t>
            </w:r>
          </w:p>
          <w:p>
            <w:pPr>
              <w:spacing w:line="276" w:lineRule="auto"/>
              <w:ind w:firstLine="420" w:firstLineChars="200"/>
              <w:rPr>
                <w:rFonts w:hint="eastAsia"/>
                <w:szCs w:val="21"/>
              </w:rPr>
            </w:pPr>
            <w:r>
              <w:rPr>
                <w:rFonts w:hint="eastAsia"/>
                <w:szCs w:val="21"/>
              </w:rPr>
              <w:t>d.加强公司职工的教育培训，实行上岗证制度，增强职工风险意识，提高事故自救能力，制定和强化各种安全管理、安全生产的规程，减少人为风险事故（如误操作）的发生。</w:t>
            </w:r>
          </w:p>
          <w:p>
            <w:pPr>
              <w:spacing w:line="276" w:lineRule="auto"/>
              <w:ind w:firstLine="420" w:firstLineChars="200"/>
              <w:rPr>
                <w:rFonts w:hint="eastAsia"/>
                <w:szCs w:val="21"/>
              </w:rPr>
            </w:pPr>
            <w:r>
              <w:rPr>
                <w:rFonts w:hint="eastAsia"/>
                <w:szCs w:val="21"/>
              </w:rPr>
              <w:t>e.加强管理，防止因管理不善而导致火灾，每天对贮存设施设备进行全面检查，防止因为设备故障发生泄漏而引起火灾。</w:t>
            </w:r>
          </w:p>
          <w:p>
            <w:pPr>
              <w:spacing w:line="276" w:lineRule="auto"/>
              <w:ind w:firstLine="420" w:firstLineChars="200"/>
              <w:rPr>
                <w:rFonts w:hint="eastAsia"/>
                <w:szCs w:val="21"/>
              </w:rPr>
            </w:pPr>
            <w:r>
              <w:rPr>
                <w:rFonts w:hint="eastAsia"/>
                <w:szCs w:val="21"/>
              </w:rPr>
              <w:t>f.防止静电起火：防止静电灾害可以采用的措施有：a.接地：使物体与大地之间构成电气泄漏电路，将产生在物体上的静电泄于大地，防止物体贮存静电；b.工作人员应该穿上防静电工作服；c.防止流动带电：管道输送溶剂时，流速越快，产生的静电越多。为防止高速流动带电，应该对流速作出限制；d.维持湿度：保持现场湿度大于60%，有利于静电的释放。</w:t>
            </w:r>
          </w:p>
          <w:p>
            <w:pPr>
              <w:spacing w:line="276" w:lineRule="auto"/>
              <w:ind w:firstLine="422" w:firstLineChars="200"/>
              <w:rPr>
                <w:rFonts w:hint="eastAsia"/>
                <w:b/>
                <w:bCs/>
                <w:szCs w:val="21"/>
              </w:rPr>
            </w:pPr>
            <w:r>
              <w:rPr>
                <w:rFonts w:hint="eastAsia"/>
                <w:b/>
                <w:bCs/>
                <w:szCs w:val="21"/>
              </w:rPr>
              <w:t>⑥风险应急措施</w:t>
            </w:r>
          </w:p>
          <w:p>
            <w:pPr>
              <w:spacing w:line="276" w:lineRule="auto"/>
              <w:ind w:firstLine="420" w:firstLineChars="200"/>
              <w:rPr>
                <w:rFonts w:hint="eastAsia"/>
                <w:szCs w:val="21"/>
              </w:rPr>
            </w:pPr>
            <w:r>
              <w:rPr>
                <w:rFonts w:hint="eastAsia"/>
                <w:szCs w:val="21"/>
              </w:rPr>
              <w:t>1）一旦发生突发性事故立即发出警报。</w:t>
            </w:r>
          </w:p>
          <w:p>
            <w:pPr>
              <w:spacing w:line="276" w:lineRule="auto"/>
              <w:ind w:firstLine="420" w:firstLineChars="200"/>
              <w:rPr>
                <w:rFonts w:hint="eastAsia"/>
                <w:szCs w:val="21"/>
              </w:rPr>
            </w:pPr>
            <w:r>
              <w:rPr>
                <w:rFonts w:hint="eastAsia"/>
                <w:szCs w:val="21"/>
              </w:rPr>
              <w:t>2）事故发生迅速查明事故源点、外泄部位和原因，采取措施控制事故发展。</w:t>
            </w:r>
          </w:p>
          <w:p>
            <w:pPr>
              <w:spacing w:line="276" w:lineRule="auto"/>
              <w:ind w:firstLine="420" w:firstLineChars="200"/>
              <w:rPr>
                <w:rFonts w:hint="eastAsia"/>
                <w:szCs w:val="21"/>
              </w:rPr>
            </w:pPr>
            <w:r>
              <w:rPr>
                <w:rFonts w:hint="eastAsia"/>
                <w:szCs w:val="21"/>
              </w:rPr>
              <w:t>3）泄漏时，现场负责人应立即组织抢修，撤离无关人员，抢救中毒者。抢修、救护人员必须佩戴防护面罩。</w:t>
            </w:r>
          </w:p>
          <w:p>
            <w:pPr>
              <w:spacing w:line="276" w:lineRule="auto"/>
              <w:ind w:firstLine="420" w:firstLineChars="200"/>
              <w:rPr>
                <w:rFonts w:hint="eastAsia"/>
                <w:szCs w:val="21"/>
              </w:rPr>
            </w:pPr>
            <w:r>
              <w:rPr>
                <w:rFonts w:hint="eastAsia"/>
                <w:szCs w:val="21"/>
              </w:rPr>
              <w:t>4）发现漏气应立即关闭漏气阀门，立即停止发生器运行，并及时检修。</w:t>
            </w:r>
          </w:p>
          <w:p>
            <w:pPr>
              <w:spacing w:line="276" w:lineRule="auto"/>
              <w:ind w:firstLine="420" w:firstLineChars="200"/>
              <w:rPr>
                <w:rFonts w:hint="eastAsia"/>
                <w:szCs w:val="21"/>
              </w:rPr>
            </w:pPr>
            <w:r>
              <w:rPr>
                <w:rFonts w:hint="eastAsia"/>
                <w:szCs w:val="21"/>
              </w:rPr>
              <w:t>5）设立专职安全员岗位，负责生产一线安全工作的日常监督巡查；专职安全人员必须经过安全生产管理部门组织的职业培训，并取得注册安员资格。</w:t>
            </w:r>
          </w:p>
          <w:p>
            <w:pPr>
              <w:spacing w:line="276" w:lineRule="auto"/>
              <w:ind w:firstLine="420" w:firstLineChars="200"/>
              <w:rPr>
                <w:rFonts w:hint="eastAsia"/>
                <w:szCs w:val="21"/>
              </w:rPr>
            </w:pPr>
            <w:r>
              <w:rPr>
                <w:rFonts w:hint="eastAsia"/>
                <w:szCs w:val="21"/>
              </w:rPr>
              <w:t>6）用于原辅材料贮存工具的容器必须依照《危险化学品管理条例》要求由专业生产企业定点生产，并经检测、检验合格，方可使用。容器必须定期送相应的质检部门检查，运输过程中封口严密，确保贮运原辅材料的容器在贮运过程中不因温度、湿度、压力的变化发生任何渗漏。</w:t>
            </w:r>
          </w:p>
          <w:p>
            <w:pPr>
              <w:spacing w:line="276" w:lineRule="auto"/>
              <w:ind w:firstLine="422" w:firstLineChars="200"/>
              <w:rPr>
                <w:rFonts w:hint="eastAsia"/>
                <w:b/>
                <w:bCs/>
                <w:szCs w:val="21"/>
              </w:rPr>
            </w:pPr>
            <w:r>
              <w:rPr>
                <w:rFonts w:hint="eastAsia"/>
                <w:b/>
                <w:bCs/>
                <w:szCs w:val="21"/>
              </w:rPr>
              <w:t>⑦风险事故应急预案</w:t>
            </w:r>
          </w:p>
          <w:p>
            <w:pPr>
              <w:spacing w:line="276" w:lineRule="auto"/>
              <w:ind w:firstLine="420" w:firstLineChars="200"/>
              <w:rPr>
                <w:rFonts w:hint="eastAsia"/>
                <w:szCs w:val="21"/>
              </w:rPr>
            </w:pPr>
            <w:r>
              <w:rPr>
                <w:rFonts w:hint="eastAsia"/>
                <w:szCs w:val="21"/>
              </w:rPr>
              <w:t>为保证企业及人民生命财产安全，防止突发性重大环境事故发生，或在发生事故时能迅速有序地开展救援工作，尽最大努力减少事故的危害和损失。根据《工作场所安全使用化学品规定》和《化学事故应急救援管理办法》的规定，企业必须制定化学事故应急救援预案和实施细则，并组织专业队伍学习和演练，防患于未然，以便应急救援工作的顺利开展。制订应急预案的原则如下：</w:t>
            </w:r>
          </w:p>
          <w:p>
            <w:pPr>
              <w:spacing w:line="276" w:lineRule="auto"/>
              <w:ind w:firstLine="420" w:firstLineChars="200"/>
              <w:rPr>
                <w:rFonts w:hint="eastAsia"/>
                <w:szCs w:val="21"/>
              </w:rPr>
            </w:pPr>
            <w:r>
              <w:rPr>
                <w:rFonts w:hint="eastAsia"/>
                <w:szCs w:val="21"/>
              </w:rPr>
              <w:t>1）确定救援组织、队伍和联络方式；</w:t>
            </w:r>
          </w:p>
          <w:p>
            <w:pPr>
              <w:spacing w:line="276" w:lineRule="auto"/>
              <w:ind w:firstLine="420" w:firstLineChars="200"/>
              <w:rPr>
                <w:rFonts w:hint="eastAsia"/>
                <w:szCs w:val="21"/>
              </w:rPr>
            </w:pPr>
            <w:r>
              <w:rPr>
                <w:rFonts w:hint="eastAsia"/>
                <w:szCs w:val="21"/>
              </w:rPr>
              <w:t>2）制定事故类型、等级和相应的应急响应程序；</w:t>
            </w:r>
          </w:p>
          <w:p>
            <w:pPr>
              <w:spacing w:line="276" w:lineRule="auto"/>
              <w:ind w:firstLine="420" w:firstLineChars="200"/>
              <w:rPr>
                <w:rFonts w:hint="eastAsia"/>
                <w:szCs w:val="21"/>
              </w:rPr>
            </w:pPr>
            <w:r>
              <w:rPr>
                <w:rFonts w:hint="eastAsia"/>
                <w:szCs w:val="21"/>
              </w:rPr>
              <w:t>3）配备必要的救灾防毒器具及防护用品；</w:t>
            </w:r>
          </w:p>
          <w:p>
            <w:pPr>
              <w:spacing w:line="276" w:lineRule="auto"/>
              <w:ind w:firstLine="420" w:firstLineChars="200"/>
              <w:rPr>
                <w:rFonts w:hint="eastAsia"/>
                <w:szCs w:val="21"/>
              </w:rPr>
            </w:pPr>
            <w:r>
              <w:rPr>
                <w:rFonts w:hint="eastAsia"/>
                <w:szCs w:val="21"/>
              </w:rPr>
              <w:t>4）对生产系统制定应急状态切断终止或自动报警连锁保护程序；</w:t>
            </w:r>
          </w:p>
          <w:p>
            <w:pPr>
              <w:spacing w:line="276" w:lineRule="auto"/>
              <w:ind w:firstLine="420" w:firstLineChars="200"/>
              <w:rPr>
                <w:rFonts w:hint="eastAsia"/>
                <w:szCs w:val="21"/>
              </w:rPr>
            </w:pPr>
            <w:r>
              <w:rPr>
                <w:rFonts w:hint="eastAsia"/>
                <w:szCs w:val="21"/>
              </w:rPr>
              <w:t>5）岗位培训和演习，设置事故应急学习手册及报告、记录和评估；</w:t>
            </w:r>
          </w:p>
          <w:p>
            <w:pPr>
              <w:spacing w:line="276" w:lineRule="auto"/>
              <w:ind w:firstLine="420" w:firstLineChars="200"/>
              <w:rPr>
                <w:rFonts w:hint="eastAsia"/>
                <w:szCs w:val="21"/>
              </w:rPr>
            </w:pPr>
            <w:r>
              <w:rPr>
                <w:rFonts w:hint="eastAsia"/>
                <w:szCs w:val="21"/>
              </w:rPr>
              <w:t>6）制定区域防灾救援方案，厂外受影响人群的疏散、撤离方案，与当地政府、消防、环保和医疗救助等部门加强联系，以便风险事故发生时得到及时救援。</w:t>
            </w:r>
          </w:p>
          <w:p>
            <w:pPr>
              <w:spacing w:line="276" w:lineRule="auto"/>
              <w:ind w:firstLine="420" w:firstLineChars="200"/>
              <w:rPr>
                <w:rFonts w:hint="eastAsia"/>
                <w:szCs w:val="21"/>
              </w:rPr>
            </w:pPr>
            <w:r>
              <w:rPr>
                <w:rFonts w:hint="eastAsia"/>
                <w:szCs w:val="21"/>
              </w:rPr>
              <w:t>企业在制定环境风险应急预案时，还应包括表4-20所示内容。</w:t>
            </w:r>
          </w:p>
          <w:p>
            <w:pPr>
              <w:spacing w:line="276" w:lineRule="auto"/>
              <w:jc w:val="center"/>
              <w:rPr>
                <w:rFonts w:hint="eastAsia"/>
                <w:b/>
                <w:bCs/>
                <w:szCs w:val="21"/>
              </w:rPr>
            </w:pPr>
            <w:r>
              <w:rPr>
                <w:rFonts w:hint="eastAsia"/>
                <w:b/>
                <w:bCs/>
                <w:szCs w:val="21"/>
              </w:rPr>
              <w:t>表4-20     应急预案内容</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279"/>
              <w:gridCol w:w="5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jc w:val="center"/>
                    <w:rPr>
                      <w:rFonts w:cs="Times New Roman"/>
                      <w:b/>
                      <w:szCs w:val="21"/>
                    </w:rPr>
                  </w:pPr>
                  <w:r>
                    <w:rPr>
                      <w:rFonts w:cs="Times New Roman"/>
                      <w:b/>
                      <w:szCs w:val="21"/>
                    </w:rPr>
                    <w:t>序号</w:t>
                  </w:r>
                </w:p>
              </w:tc>
              <w:tc>
                <w:tcPr>
                  <w:tcW w:w="1314" w:type="pct"/>
                  <w:noWrap w:val="0"/>
                  <w:vAlign w:val="center"/>
                </w:tcPr>
                <w:p>
                  <w:pPr>
                    <w:jc w:val="center"/>
                    <w:rPr>
                      <w:rFonts w:cs="Times New Roman"/>
                      <w:b/>
                      <w:szCs w:val="21"/>
                    </w:rPr>
                  </w:pPr>
                  <w:r>
                    <w:rPr>
                      <w:rFonts w:cs="Times New Roman"/>
                      <w:b/>
                      <w:szCs w:val="21"/>
                    </w:rPr>
                    <w:t>项目</w:t>
                  </w:r>
                </w:p>
              </w:tc>
              <w:tc>
                <w:tcPr>
                  <w:tcW w:w="3289" w:type="pct"/>
                  <w:noWrap w:val="0"/>
                  <w:vAlign w:val="center"/>
                </w:tcPr>
                <w:p>
                  <w:pPr>
                    <w:jc w:val="center"/>
                    <w:rPr>
                      <w:rFonts w:cs="Times New Roman"/>
                      <w:b/>
                      <w:szCs w:val="21"/>
                    </w:rPr>
                  </w:pPr>
                  <w:r>
                    <w:rPr>
                      <w:rFonts w:cs="Times New Roman"/>
                      <w:b/>
                      <w:szCs w:val="21"/>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jc w:val="center"/>
                    <w:rPr>
                      <w:rFonts w:cs="Times New Roman"/>
                      <w:szCs w:val="21"/>
                    </w:rPr>
                  </w:pPr>
                  <w:r>
                    <w:rPr>
                      <w:rFonts w:cs="Times New Roman"/>
                      <w:szCs w:val="21"/>
                    </w:rPr>
                    <w:t>1</w:t>
                  </w:r>
                </w:p>
              </w:tc>
              <w:tc>
                <w:tcPr>
                  <w:tcW w:w="1314" w:type="pct"/>
                  <w:noWrap w:val="0"/>
                  <w:vAlign w:val="center"/>
                </w:tcPr>
                <w:p>
                  <w:pPr>
                    <w:rPr>
                      <w:rFonts w:cs="Times New Roman"/>
                      <w:szCs w:val="21"/>
                    </w:rPr>
                  </w:pPr>
                  <w:r>
                    <w:rPr>
                      <w:rFonts w:cs="Times New Roman"/>
                      <w:szCs w:val="21"/>
                    </w:rPr>
                    <w:t>应急计划区</w:t>
                  </w:r>
                </w:p>
              </w:tc>
              <w:tc>
                <w:tcPr>
                  <w:tcW w:w="3289" w:type="pct"/>
                  <w:noWrap w:val="0"/>
                  <w:vAlign w:val="center"/>
                </w:tcPr>
                <w:p>
                  <w:pPr>
                    <w:rPr>
                      <w:rFonts w:cs="Times New Roman"/>
                      <w:szCs w:val="21"/>
                    </w:rPr>
                  </w:pPr>
                  <w:r>
                    <w:rPr>
                      <w:rFonts w:cs="Times New Roman"/>
                      <w:szCs w:val="21"/>
                    </w:rPr>
                    <w:t>危险目标：</w:t>
                  </w:r>
                  <w:r>
                    <w:rPr>
                      <w:rFonts w:hint="eastAsia" w:cs="Times New Roman"/>
                      <w:szCs w:val="21"/>
                    </w:rPr>
                    <w:t>柴油发电机房</w:t>
                  </w:r>
                  <w:r>
                    <w:rPr>
                      <w:rFonts w:cs="Times New Roman"/>
                      <w:szCs w:val="21"/>
                    </w:rPr>
                    <w:t>、</w:t>
                  </w:r>
                  <w:r>
                    <w:rPr>
                      <w:rFonts w:hint="eastAsia" w:cs="Times New Roman"/>
                      <w:szCs w:val="21"/>
                    </w:rPr>
                    <w:t>贮罐区</w:t>
                  </w:r>
                  <w:r>
                    <w:rPr>
                      <w:rFonts w:cs="Times New Roman"/>
                      <w:szCs w:val="21"/>
                    </w:rPr>
                    <w:t>、环境保护目标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jc w:val="center"/>
                    <w:rPr>
                      <w:rFonts w:cs="Times New Roman"/>
                      <w:szCs w:val="21"/>
                    </w:rPr>
                  </w:pPr>
                  <w:r>
                    <w:rPr>
                      <w:rFonts w:cs="Times New Roman"/>
                      <w:szCs w:val="21"/>
                    </w:rPr>
                    <w:t>2</w:t>
                  </w:r>
                </w:p>
              </w:tc>
              <w:tc>
                <w:tcPr>
                  <w:tcW w:w="1314" w:type="pct"/>
                  <w:noWrap w:val="0"/>
                  <w:vAlign w:val="center"/>
                </w:tcPr>
                <w:p>
                  <w:pPr>
                    <w:rPr>
                      <w:rFonts w:cs="Times New Roman"/>
                      <w:szCs w:val="21"/>
                    </w:rPr>
                  </w:pPr>
                  <w:r>
                    <w:rPr>
                      <w:rFonts w:cs="Times New Roman"/>
                      <w:szCs w:val="21"/>
                    </w:rPr>
                    <w:t>应急组织机构、人员</w:t>
                  </w:r>
                </w:p>
              </w:tc>
              <w:tc>
                <w:tcPr>
                  <w:tcW w:w="3289" w:type="pct"/>
                  <w:noWrap w:val="0"/>
                  <w:vAlign w:val="center"/>
                </w:tcPr>
                <w:p>
                  <w:pPr>
                    <w:rPr>
                      <w:rFonts w:cs="Times New Roman"/>
                      <w:szCs w:val="21"/>
                    </w:rPr>
                  </w:pPr>
                  <w:r>
                    <w:rPr>
                      <w:rFonts w:cs="Times New Roman"/>
                      <w:szCs w:val="21"/>
                    </w:rPr>
                    <w:t>工厂、地区应急组织机构、人员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jc w:val="center"/>
                    <w:rPr>
                      <w:rFonts w:cs="Times New Roman"/>
                      <w:szCs w:val="21"/>
                    </w:rPr>
                  </w:pPr>
                  <w:r>
                    <w:rPr>
                      <w:rFonts w:cs="Times New Roman"/>
                      <w:szCs w:val="21"/>
                    </w:rPr>
                    <w:t>3</w:t>
                  </w:r>
                </w:p>
              </w:tc>
              <w:tc>
                <w:tcPr>
                  <w:tcW w:w="1314" w:type="pct"/>
                  <w:noWrap w:val="0"/>
                  <w:vAlign w:val="center"/>
                </w:tcPr>
                <w:p>
                  <w:pPr>
                    <w:rPr>
                      <w:rFonts w:cs="Times New Roman"/>
                      <w:szCs w:val="21"/>
                    </w:rPr>
                  </w:pPr>
                  <w:r>
                    <w:rPr>
                      <w:rFonts w:cs="Times New Roman"/>
                      <w:szCs w:val="21"/>
                    </w:rPr>
                    <w:t>预案分级响应条件</w:t>
                  </w:r>
                </w:p>
              </w:tc>
              <w:tc>
                <w:tcPr>
                  <w:tcW w:w="3289" w:type="pct"/>
                  <w:noWrap w:val="0"/>
                  <w:vAlign w:val="center"/>
                </w:tcPr>
                <w:p>
                  <w:pPr>
                    <w:rPr>
                      <w:rFonts w:cs="Times New Roman"/>
                      <w:szCs w:val="21"/>
                    </w:rPr>
                  </w:pPr>
                  <w:r>
                    <w:rPr>
                      <w:rFonts w:cs="Times New Roman"/>
                      <w:szCs w:val="21"/>
                    </w:rP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jc w:val="center"/>
                    <w:rPr>
                      <w:rFonts w:cs="Times New Roman"/>
                      <w:szCs w:val="21"/>
                    </w:rPr>
                  </w:pPr>
                  <w:r>
                    <w:rPr>
                      <w:rFonts w:cs="Times New Roman"/>
                      <w:szCs w:val="21"/>
                    </w:rPr>
                    <w:t>4</w:t>
                  </w:r>
                </w:p>
              </w:tc>
              <w:tc>
                <w:tcPr>
                  <w:tcW w:w="1314" w:type="pct"/>
                  <w:noWrap w:val="0"/>
                  <w:vAlign w:val="center"/>
                </w:tcPr>
                <w:p>
                  <w:pPr>
                    <w:rPr>
                      <w:rFonts w:cs="Times New Roman"/>
                      <w:szCs w:val="21"/>
                    </w:rPr>
                  </w:pPr>
                  <w:r>
                    <w:rPr>
                      <w:rFonts w:cs="Times New Roman"/>
                      <w:szCs w:val="21"/>
                    </w:rPr>
                    <w:t>应急救援保障</w:t>
                  </w:r>
                </w:p>
              </w:tc>
              <w:tc>
                <w:tcPr>
                  <w:tcW w:w="3289" w:type="pct"/>
                  <w:noWrap w:val="0"/>
                  <w:vAlign w:val="center"/>
                </w:tcPr>
                <w:p>
                  <w:pPr>
                    <w:rPr>
                      <w:rFonts w:cs="Times New Roman"/>
                      <w:szCs w:val="21"/>
                    </w:rPr>
                  </w:pPr>
                  <w:r>
                    <w:rPr>
                      <w:rFonts w:cs="Times New Roman"/>
                      <w:szCs w:val="21"/>
                    </w:rPr>
                    <w:t>应急设施、设备及器材等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jc w:val="center"/>
                    <w:rPr>
                      <w:rFonts w:cs="Times New Roman"/>
                      <w:szCs w:val="21"/>
                    </w:rPr>
                  </w:pPr>
                  <w:r>
                    <w:rPr>
                      <w:rFonts w:cs="Times New Roman"/>
                      <w:szCs w:val="21"/>
                    </w:rPr>
                    <w:t>5</w:t>
                  </w:r>
                </w:p>
              </w:tc>
              <w:tc>
                <w:tcPr>
                  <w:tcW w:w="1314" w:type="pct"/>
                  <w:noWrap w:val="0"/>
                  <w:vAlign w:val="center"/>
                </w:tcPr>
                <w:p>
                  <w:pPr>
                    <w:rPr>
                      <w:rFonts w:cs="Times New Roman"/>
                      <w:szCs w:val="21"/>
                    </w:rPr>
                  </w:pPr>
                  <w:r>
                    <w:rPr>
                      <w:rFonts w:cs="Times New Roman"/>
                      <w:szCs w:val="21"/>
                    </w:rPr>
                    <w:t>报警、通讯联络方式</w:t>
                  </w:r>
                </w:p>
              </w:tc>
              <w:tc>
                <w:tcPr>
                  <w:tcW w:w="3289" w:type="pct"/>
                  <w:noWrap w:val="0"/>
                  <w:vAlign w:val="center"/>
                </w:tcPr>
                <w:p>
                  <w:pPr>
                    <w:rPr>
                      <w:rFonts w:cs="Times New Roman"/>
                      <w:szCs w:val="21"/>
                    </w:rPr>
                  </w:pPr>
                  <w:r>
                    <w:rPr>
                      <w:rFonts w:cs="Times New Roman"/>
                      <w:szCs w:val="21"/>
                    </w:rPr>
                    <w:t>规定应急状态下的报警通讯方式、通知方式和交通保障、管制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jc w:val="center"/>
                    <w:rPr>
                      <w:rFonts w:cs="Times New Roman"/>
                      <w:szCs w:val="21"/>
                    </w:rPr>
                  </w:pPr>
                  <w:r>
                    <w:rPr>
                      <w:rFonts w:cs="Times New Roman"/>
                      <w:szCs w:val="21"/>
                    </w:rPr>
                    <w:t>6</w:t>
                  </w:r>
                </w:p>
              </w:tc>
              <w:tc>
                <w:tcPr>
                  <w:tcW w:w="1314" w:type="pct"/>
                  <w:noWrap w:val="0"/>
                  <w:vAlign w:val="center"/>
                </w:tcPr>
                <w:p>
                  <w:pPr>
                    <w:rPr>
                      <w:rFonts w:cs="Times New Roman"/>
                      <w:szCs w:val="21"/>
                    </w:rPr>
                  </w:pPr>
                  <w:r>
                    <w:rPr>
                      <w:rFonts w:cs="Times New Roman"/>
                      <w:szCs w:val="21"/>
                    </w:rPr>
                    <w:t>应急环境监测、抢险、救援及控制措施</w:t>
                  </w:r>
                </w:p>
              </w:tc>
              <w:tc>
                <w:tcPr>
                  <w:tcW w:w="3289" w:type="pct"/>
                  <w:noWrap w:val="0"/>
                  <w:vAlign w:val="center"/>
                </w:tcPr>
                <w:p>
                  <w:pPr>
                    <w:rPr>
                      <w:rFonts w:cs="Times New Roman"/>
                      <w:szCs w:val="21"/>
                    </w:rPr>
                  </w:pPr>
                  <w:r>
                    <w:rPr>
                      <w:rFonts w:cs="Times New Roman"/>
                      <w:szCs w:val="21"/>
                    </w:rPr>
                    <w:t>由专业队伍负责对事故现场进行侦察监测，对事故性质、参数与后果进行评估，为指挥部门提供决策依据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jc w:val="center"/>
                    <w:rPr>
                      <w:rFonts w:cs="Times New Roman"/>
                      <w:szCs w:val="21"/>
                    </w:rPr>
                  </w:pPr>
                  <w:r>
                    <w:rPr>
                      <w:rFonts w:cs="Times New Roman"/>
                      <w:szCs w:val="21"/>
                    </w:rPr>
                    <w:t>7</w:t>
                  </w:r>
                </w:p>
              </w:tc>
              <w:tc>
                <w:tcPr>
                  <w:tcW w:w="1314" w:type="pct"/>
                  <w:noWrap w:val="0"/>
                  <w:vAlign w:val="center"/>
                </w:tcPr>
                <w:p>
                  <w:pPr>
                    <w:rPr>
                      <w:rFonts w:cs="Times New Roman"/>
                      <w:szCs w:val="21"/>
                    </w:rPr>
                  </w:pPr>
                  <w:r>
                    <w:rPr>
                      <w:rFonts w:cs="Times New Roman"/>
                      <w:szCs w:val="21"/>
                    </w:rPr>
                    <w:t>应急检测、防护措施、清除</w:t>
                  </w:r>
                  <w:r>
                    <w:rPr>
                      <w:rFonts w:hint="eastAsia" w:cs="Times New Roman"/>
                      <w:szCs w:val="21"/>
                      <w:lang w:eastAsia="zh-CN"/>
                    </w:rPr>
                    <w:t>泄漏</w:t>
                  </w:r>
                  <w:r>
                    <w:rPr>
                      <w:rFonts w:cs="Times New Roman"/>
                      <w:szCs w:val="21"/>
                    </w:rPr>
                    <w:t>措施和器材</w:t>
                  </w:r>
                </w:p>
              </w:tc>
              <w:tc>
                <w:tcPr>
                  <w:tcW w:w="3289" w:type="pct"/>
                  <w:noWrap w:val="0"/>
                  <w:vAlign w:val="center"/>
                </w:tcPr>
                <w:p>
                  <w:pPr>
                    <w:rPr>
                      <w:rFonts w:cs="Times New Roman"/>
                      <w:szCs w:val="21"/>
                    </w:rPr>
                  </w:pPr>
                  <w:r>
                    <w:rPr>
                      <w:rFonts w:cs="Times New Roman"/>
                      <w:szCs w:val="21"/>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jc w:val="center"/>
                    <w:rPr>
                      <w:rFonts w:cs="Times New Roman"/>
                      <w:szCs w:val="21"/>
                    </w:rPr>
                  </w:pPr>
                  <w:r>
                    <w:rPr>
                      <w:rFonts w:cs="Times New Roman"/>
                      <w:szCs w:val="21"/>
                    </w:rPr>
                    <w:t>8</w:t>
                  </w:r>
                </w:p>
              </w:tc>
              <w:tc>
                <w:tcPr>
                  <w:tcW w:w="1314" w:type="pct"/>
                  <w:noWrap w:val="0"/>
                  <w:vAlign w:val="center"/>
                </w:tcPr>
                <w:p>
                  <w:pPr>
                    <w:rPr>
                      <w:rFonts w:cs="Times New Roman"/>
                      <w:szCs w:val="21"/>
                    </w:rPr>
                  </w:pPr>
                  <w:r>
                    <w:rPr>
                      <w:rFonts w:cs="Times New Roman"/>
                      <w:szCs w:val="21"/>
                    </w:rPr>
                    <w:t>人员紧急撤离、疏散、应急剂量控制、撤离组织计划</w:t>
                  </w:r>
                </w:p>
              </w:tc>
              <w:tc>
                <w:tcPr>
                  <w:tcW w:w="3289" w:type="pct"/>
                  <w:noWrap w:val="0"/>
                  <w:vAlign w:val="center"/>
                </w:tcPr>
                <w:p>
                  <w:pPr>
                    <w:rPr>
                      <w:rFonts w:cs="Times New Roman"/>
                      <w:szCs w:val="21"/>
                    </w:rPr>
                  </w:pPr>
                  <w:r>
                    <w:rPr>
                      <w:rFonts w:cs="Times New Roman"/>
                      <w:szCs w:val="21"/>
                    </w:rPr>
                    <w:t>事故现场、工厂临近区、受事故影响的区域人员及公众对毒物应急剂量控制规定，撤离组织计划及救护，医疗救护与公众健康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jc w:val="center"/>
                    <w:rPr>
                      <w:rFonts w:cs="Times New Roman"/>
                      <w:szCs w:val="21"/>
                    </w:rPr>
                  </w:pPr>
                  <w:r>
                    <w:rPr>
                      <w:rFonts w:cs="Times New Roman"/>
                      <w:szCs w:val="21"/>
                    </w:rPr>
                    <w:t>9</w:t>
                  </w:r>
                </w:p>
              </w:tc>
              <w:tc>
                <w:tcPr>
                  <w:tcW w:w="1314" w:type="pct"/>
                  <w:noWrap w:val="0"/>
                  <w:vAlign w:val="center"/>
                </w:tcPr>
                <w:p>
                  <w:pPr>
                    <w:rPr>
                      <w:rFonts w:cs="Times New Roman"/>
                      <w:szCs w:val="21"/>
                    </w:rPr>
                  </w:pPr>
                  <w:r>
                    <w:rPr>
                      <w:rFonts w:cs="Times New Roman"/>
                      <w:szCs w:val="21"/>
                    </w:rPr>
                    <w:t>事故应急救援关闭程序与恢复措施</w:t>
                  </w:r>
                </w:p>
              </w:tc>
              <w:tc>
                <w:tcPr>
                  <w:tcW w:w="3289" w:type="pct"/>
                  <w:noWrap w:val="0"/>
                  <w:vAlign w:val="center"/>
                </w:tcPr>
                <w:p>
                  <w:pPr>
                    <w:rPr>
                      <w:rFonts w:cs="Times New Roman"/>
                      <w:szCs w:val="21"/>
                    </w:rPr>
                  </w:pPr>
                  <w:r>
                    <w:rPr>
                      <w:rFonts w:cs="Times New Roman"/>
                      <w:szCs w:val="21"/>
                    </w:rPr>
                    <w:t>规定应急状态终止程序；事故现场善后处理，恢复措施；邻近区域解除事故警戒及善后恢复措施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jc w:val="center"/>
                    <w:rPr>
                      <w:rFonts w:cs="Times New Roman"/>
                      <w:szCs w:val="21"/>
                    </w:rPr>
                  </w:pPr>
                  <w:r>
                    <w:rPr>
                      <w:rFonts w:cs="Times New Roman"/>
                      <w:szCs w:val="21"/>
                    </w:rPr>
                    <w:t>10</w:t>
                  </w:r>
                </w:p>
              </w:tc>
              <w:tc>
                <w:tcPr>
                  <w:tcW w:w="1314" w:type="pct"/>
                  <w:noWrap w:val="0"/>
                  <w:vAlign w:val="center"/>
                </w:tcPr>
                <w:p>
                  <w:pPr>
                    <w:rPr>
                      <w:rFonts w:cs="Times New Roman"/>
                      <w:szCs w:val="21"/>
                    </w:rPr>
                  </w:pPr>
                  <w:r>
                    <w:rPr>
                      <w:rFonts w:cs="Times New Roman"/>
                      <w:szCs w:val="21"/>
                    </w:rPr>
                    <w:t>应急培训计划</w:t>
                  </w:r>
                </w:p>
              </w:tc>
              <w:tc>
                <w:tcPr>
                  <w:tcW w:w="3289" w:type="pct"/>
                  <w:noWrap w:val="0"/>
                  <w:vAlign w:val="center"/>
                </w:tcPr>
                <w:p>
                  <w:pPr>
                    <w:rPr>
                      <w:rFonts w:cs="Times New Roman"/>
                      <w:szCs w:val="21"/>
                    </w:rPr>
                  </w:pPr>
                  <w:r>
                    <w:rPr>
                      <w:rFonts w:cs="Times New Roman"/>
                      <w:szCs w:val="21"/>
                    </w:rPr>
                    <w:t>应急计划制定后，平时安排人员培训与演练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jc w:val="center"/>
                    <w:rPr>
                      <w:rFonts w:cs="Times New Roman"/>
                      <w:szCs w:val="21"/>
                    </w:rPr>
                  </w:pPr>
                  <w:r>
                    <w:rPr>
                      <w:rFonts w:cs="Times New Roman"/>
                      <w:szCs w:val="21"/>
                    </w:rPr>
                    <w:t>11</w:t>
                  </w:r>
                </w:p>
              </w:tc>
              <w:tc>
                <w:tcPr>
                  <w:tcW w:w="1314" w:type="pct"/>
                  <w:noWrap w:val="0"/>
                  <w:vAlign w:val="center"/>
                </w:tcPr>
                <w:p>
                  <w:pPr>
                    <w:rPr>
                      <w:rFonts w:cs="Times New Roman"/>
                      <w:szCs w:val="21"/>
                    </w:rPr>
                  </w:pPr>
                  <w:r>
                    <w:rPr>
                      <w:rFonts w:cs="Times New Roman"/>
                      <w:szCs w:val="21"/>
                    </w:rPr>
                    <w:t>公众教育和信息</w:t>
                  </w:r>
                </w:p>
              </w:tc>
              <w:tc>
                <w:tcPr>
                  <w:tcW w:w="3289" w:type="pct"/>
                  <w:noWrap w:val="0"/>
                  <w:vAlign w:val="center"/>
                </w:tcPr>
                <w:p>
                  <w:pPr>
                    <w:rPr>
                      <w:rFonts w:cs="Times New Roman"/>
                      <w:szCs w:val="21"/>
                    </w:rPr>
                  </w:pPr>
                  <w:r>
                    <w:rPr>
                      <w:rFonts w:cs="Times New Roman"/>
                      <w:szCs w:val="21"/>
                    </w:rPr>
                    <w:t>对工厂邻近地区展开公众教育、培训和发布有关信息</w:t>
                  </w:r>
                </w:p>
              </w:tc>
            </w:tr>
          </w:tbl>
          <w:p>
            <w:pPr>
              <w:spacing w:line="276" w:lineRule="auto"/>
              <w:ind w:firstLine="316" w:firstLineChars="150"/>
              <w:rPr>
                <w:b/>
                <w:szCs w:val="21"/>
              </w:rPr>
            </w:pPr>
            <w:r>
              <w:rPr>
                <w:rFonts w:hint="eastAsia"/>
                <w:b/>
                <w:szCs w:val="21"/>
              </w:rPr>
              <w:t>（7）环境风险分析结论</w:t>
            </w:r>
          </w:p>
          <w:p>
            <w:pPr>
              <w:spacing w:line="276" w:lineRule="auto"/>
              <w:ind w:firstLine="420" w:firstLineChars="200"/>
              <w:rPr>
                <w:szCs w:val="21"/>
              </w:rPr>
            </w:pPr>
            <w:r>
              <w:rPr>
                <w:rFonts w:hint="eastAsia"/>
                <w:szCs w:val="21"/>
              </w:rPr>
              <w:t>本项目环境风险简单分析内容见表</w:t>
            </w:r>
            <w:r>
              <w:rPr>
                <w:szCs w:val="21"/>
              </w:rPr>
              <w:t>4</w:t>
            </w:r>
            <w:r>
              <w:rPr>
                <w:rFonts w:hint="eastAsia"/>
                <w:szCs w:val="21"/>
              </w:rPr>
              <w:t>-21。</w:t>
            </w:r>
          </w:p>
          <w:p>
            <w:pPr>
              <w:spacing w:line="276" w:lineRule="auto"/>
              <w:jc w:val="center"/>
              <w:rPr>
                <w:rFonts w:hint="eastAsia"/>
                <w:b/>
                <w:bCs/>
                <w:szCs w:val="21"/>
              </w:rPr>
            </w:pPr>
            <w:r>
              <w:rPr>
                <w:rFonts w:hint="eastAsia"/>
                <w:b/>
                <w:bCs/>
                <w:szCs w:val="21"/>
              </w:rPr>
              <w:t>表4-21  建设项目环境风险简单分析内容表</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1452"/>
              <w:gridCol w:w="1700"/>
              <w:gridCol w:w="1575"/>
              <w:gridCol w:w="15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noWrap w:val="0"/>
                  <w:vAlign w:val="center"/>
                </w:tcPr>
                <w:p>
                  <w:pPr>
                    <w:jc w:val="center"/>
                    <w:rPr>
                      <w:rFonts w:cs="Times New Roman"/>
                      <w:sz w:val="18"/>
                      <w:szCs w:val="18"/>
                    </w:rPr>
                  </w:pPr>
                  <w:r>
                    <w:rPr>
                      <w:rFonts w:cs="Times New Roman"/>
                      <w:sz w:val="18"/>
                      <w:szCs w:val="18"/>
                    </w:rPr>
                    <w:t>建设项目名称</w:t>
                  </w:r>
                </w:p>
              </w:tc>
              <w:tc>
                <w:tcPr>
                  <w:tcW w:w="3634" w:type="pct"/>
                  <w:gridSpan w:val="4"/>
                  <w:noWrap w:val="0"/>
                  <w:vAlign w:val="center"/>
                </w:tcPr>
                <w:p>
                  <w:pPr>
                    <w:jc w:val="center"/>
                    <w:rPr>
                      <w:rFonts w:hint="eastAsia" w:cs="Times New Roman"/>
                      <w:sz w:val="18"/>
                      <w:szCs w:val="18"/>
                    </w:rPr>
                  </w:pPr>
                  <w:r>
                    <w:rPr>
                      <w:rFonts w:hint="eastAsia" w:cs="Times New Roman"/>
                      <w:sz w:val="18"/>
                      <w:szCs w:val="18"/>
                    </w:rPr>
                    <w:t>达州市莲花湖水厂一期二阶段及配套管网工程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noWrap w:val="0"/>
                  <w:vAlign w:val="center"/>
                </w:tcPr>
                <w:p>
                  <w:pPr>
                    <w:jc w:val="center"/>
                    <w:rPr>
                      <w:rFonts w:cs="Times New Roman"/>
                      <w:sz w:val="18"/>
                      <w:szCs w:val="18"/>
                    </w:rPr>
                  </w:pPr>
                  <w:r>
                    <w:rPr>
                      <w:rFonts w:cs="Times New Roman"/>
                      <w:sz w:val="18"/>
                      <w:szCs w:val="18"/>
                    </w:rPr>
                    <w:t>建设地点</w:t>
                  </w:r>
                </w:p>
              </w:tc>
              <w:tc>
                <w:tcPr>
                  <w:tcW w:w="837" w:type="pct"/>
                  <w:noWrap w:val="0"/>
                  <w:vAlign w:val="center"/>
                </w:tcPr>
                <w:p>
                  <w:pPr>
                    <w:jc w:val="center"/>
                    <w:rPr>
                      <w:rFonts w:cs="Times New Roman"/>
                      <w:sz w:val="18"/>
                      <w:szCs w:val="18"/>
                    </w:rPr>
                  </w:pPr>
                  <w:r>
                    <w:rPr>
                      <w:rFonts w:cs="Times New Roman"/>
                      <w:sz w:val="18"/>
                      <w:szCs w:val="18"/>
                    </w:rPr>
                    <w:t>四川省</w:t>
                  </w:r>
                </w:p>
              </w:tc>
              <w:tc>
                <w:tcPr>
                  <w:tcW w:w="980" w:type="pct"/>
                  <w:noWrap w:val="0"/>
                  <w:vAlign w:val="center"/>
                </w:tcPr>
                <w:p>
                  <w:pPr>
                    <w:jc w:val="center"/>
                    <w:rPr>
                      <w:rFonts w:cs="Times New Roman"/>
                      <w:sz w:val="18"/>
                      <w:szCs w:val="18"/>
                    </w:rPr>
                  </w:pPr>
                  <w:r>
                    <w:rPr>
                      <w:rFonts w:cs="Times New Roman"/>
                      <w:sz w:val="18"/>
                      <w:szCs w:val="18"/>
                    </w:rPr>
                    <w:t>达州市</w:t>
                  </w:r>
                </w:p>
              </w:tc>
              <w:tc>
                <w:tcPr>
                  <w:tcW w:w="908" w:type="pct"/>
                  <w:noWrap w:val="0"/>
                  <w:vAlign w:val="center"/>
                </w:tcPr>
                <w:p>
                  <w:pPr>
                    <w:jc w:val="center"/>
                    <w:rPr>
                      <w:rFonts w:hint="eastAsia" w:cs="Times New Roman"/>
                      <w:sz w:val="18"/>
                      <w:szCs w:val="18"/>
                    </w:rPr>
                  </w:pPr>
                  <w:r>
                    <w:rPr>
                      <w:rFonts w:hint="eastAsia" w:cs="Times New Roman"/>
                      <w:sz w:val="18"/>
                      <w:szCs w:val="18"/>
                    </w:rPr>
                    <w:t>通川区</w:t>
                  </w:r>
                </w:p>
              </w:tc>
              <w:tc>
                <w:tcPr>
                  <w:tcW w:w="907" w:type="pct"/>
                  <w:noWrap w:val="0"/>
                  <w:vAlign w:val="center"/>
                </w:tcPr>
                <w:p>
                  <w:pPr>
                    <w:jc w:val="center"/>
                    <w:rPr>
                      <w:rFonts w:hint="eastAsia" w:cs="Times New Roman"/>
                      <w:sz w:val="18"/>
                      <w:szCs w:val="18"/>
                    </w:rPr>
                  </w:pPr>
                  <w:r>
                    <w:rPr>
                      <w:rFonts w:hint="eastAsia" w:cs="Times New Roman"/>
                      <w:sz w:val="18"/>
                      <w:szCs w:val="18"/>
                    </w:rPr>
                    <w:t>邱家店社区、</w:t>
                  </w:r>
                </w:p>
                <w:p>
                  <w:pPr>
                    <w:jc w:val="center"/>
                    <w:rPr>
                      <w:rFonts w:cs="Times New Roman"/>
                      <w:sz w:val="18"/>
                      <w:szCs w:val="18"/>
                    </w:rPr>
                  </w:pPr>
                  <w:r>
                    <w:rPr>
                      <w:rFonts w:hint="eastAsia" w:cs="Times New Roman"/>
                      <w:sz w:val="18"/>
                      <w:szCs w:val="18"/>
                    </w:rPr>
                    <w:t>新酢坊社区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noWrap w:val="0"/>
                  <w:vAlign w:val="center"/>
                </w:tcPr>
                <w:p>
                  <w:pPr>
                    <w:jc w:val="center"/>
                    <w:rPr>
                      <w:rFonts w:cs="Times New Roman"/>
                      <w:sz w:val="18"/>
                      <w:szCs w:val="18"/>
                    </w:rPr>
                  </w:pPr>
                  <w:r>
                    <w:rPr>
                      <w:rFonts w:cs="Times New Roman"/>
                      <w:sz w:val="18"/>
                      <w:szCs w:val="18"/>
                    </w:rPr>
                    <w:t>地理坐标</w:t>
                  </w:r>
                </w:p>
              </w:tc>
              <w:tc>
                <w:tcPr>
                  <w:tcW w:w="837" w:type="pct"/>
                  <w:noWrap w:val="0"/>
                  <w:vAlign w:val="center"/>
                </w:tcPr>
                <w:p>
                  <w:pPr>
                    <w:jc w:val="center"/>
                    <w:rPr>
                      <w:rFonts w:cs="Times New Roman"/>
                      <w:sz w:val="18"/>
                      <w:szCs w:val="18"/>
                    </w:rPr>
                  </w:pPr>
                  <w:r>
                    <w:rPr>
                      <w:rFonts w:cs="Times New Roman"/>
                      <w:sz w:val="18"/>
                      <w:szCs w:val="18"/>
                    </w:rPr>
                    <w:t>经度</w:t>
                  </w:r>
                </w:p>
              </w:tc>
              <w:tc>
                <w:tcPr>
                  <w:tcW w:w="980" w:type="pct"/>
                  <w:noWrap w:val="0"/>
                  <w:vAlign w:val="center"/>
                </w:tcPr>
                <w:p>
                  <w:pPr>
                    <w:jc w:val="center"/>
                    <w:rPr>
                      <w:rFonts w:cs="Times New Roman"/>
                      <w:sz w:val="18"/>
                      <w:szCs w:val="18"/>
                    </w:rPr>
                  </w:pPr>
                  <w:r>
                    <w:rPr>
                      <w:rFonts w:cs="Times New Roman"/>
                      <w:sz w:val="18"/>
                      <w:szCs w:val="18"/>
                    </w:rPr>
                    <w:t>108°</w:t>
                  </w:r>
                  <w:r>
                    <w:rPr>
                      <w:rFonts w:hint="eastAsia" w:cs="Times New Roman"/>
                      <w:sz w:val="18"/>
                      <w:szCs w:val="18"/>
                    </w:rPr>
                    <w:t>28</w:t>
                  </w:r>
                  <w:r>
                    <w:rPr>
                      <w:rFonts w:cs="Times New Roman"/>
                      <w:sz w:val="18"/>
                      <w:szCs w:val="18"/>
                    </w:rPr>
                    <w:t>′</w:t>
                  </w:r>
                  <w:r>
                    <w:rPr>
                      <w:rFonts w:hint="eastAsia" w:cs="Times New Roman"/>
                      <w:sz w:val="18"/>
                      <w:szCs w:val="18"/>
                    </w:rPr>
                    <w:t>23.5478</w:t>
                  </w:r>
                  <w:r>
                    <w:rPr>
                      <w:rFonts w:cs="Times New Roman"/>
                      <w:sz w:val="18"/>
                      <w:szCs w:val="18"/>
                    </w:rPr>
                    <w:t>″</w:t>
                  </w:r>
                </w:p>
              </w:tc>
              <w:tc>
                <w:tcPr>
                  <w:tcW w:w="908" w:type="pct"/>
                  <w:noWrap w:val="0"/>
                  <w:vAlign w:val="center"/>
                </w:tcPr>
                <w:p>
                  <w:pPr>
                    <w:jc w:val="center"/>
                    <w:rPr>
                      <w:rFonts w:cs="Times New Roman"/>
                      <w:sz w:val="18"/>
                      <w:szCs w:val="18"/>
                    </w:rPr>
                  </w:pPr>
                  <w:r>
                    <w:rPr>
                      <w:rFonts w:cs="Times New Roman"/>
                      <w:sz w:val="18"/>
                      <w:szCs w:val="18"/>
                    </w:rPr>
                    <w:t>纬度</w:t>
                  </w:r>
                </w:p>
              </w:tc>
              <w:tc>
                <w:tcPr>
                  <w:tcW w:w="907" w:type="pct"/>
                  <w:noWrap w:val="0"/>
                  <w:vAlign w:val="center"/>
                </w:tcPr>
                <w:p>
                  <w:pPr>
                    <w:jc w:val="center"/>
                    <w:rPr>
                      <w:rFonts w:cs="Times New Roman"/>
                      <w:sz w:val="18"/>
                      <w:szCs w:val="18"/>
                    </w:rPr>
                  </w:pPr>
                  <w:r>
                    <w:rPr>
                      <w:rFonts w:cs="Times New Roman"/>
                      <w:sz w:val="18"/>
                      <w:szCs w:val="18"/>
                    </w:rPr>
                    <w:t>31°</w:t>
                  </w:r>
                  <w:r>
                    <w:rPr>
                      <w:rFonts w:hint="eastAsia" w:cs="Times New Roman"/>
                      <w:sz w:val="18"/>
                      <w:szCs w:val="18"/>
                    </w:rPr>
                    <w:t>1</w:t>
                  </w:r>
                  <w:r>
                    <w:rPr>
                      <w:rFonts w:cs="Times New Roman"/>
                      <w:sz w:val="18"/>
                      <w:szCs w:val="18"/>
                    </w:rPr>
                    <w:t>5′</w:t>
                  </w:r>
                  <w:r>
                    <w:rPr>
                      <w:rFonts w:hint="eastAsia" w:cs="Times New Roman"/>
                      <w:sz w:val="18"/>
                      <w:szCs w:val="18"/>
                    </w:rPr>
                    <w:t>0.3047</w:t>
                  </w:r>
                  <w:r>
                    <w:rPr>
                      <w:rFonts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noWrap w:val="0"/>
                  <w:vAlign w:val="center"/>
                </w:tcPr>
                <w:p>
                  <w:pPr>
                    <w:jc w:val="center"/>
                    <w:rPr>
                      <w:rFonts w:cs="Times New Roman"/>
                      <w:sz w:val="18"/>
                      <w:szCs w:val="18"/>
                    </w:rPr>
                  </w:pPr>
                  <w:r>
                    <w:rPr>
                      <w:rFonts w:cs="Times New Roman"/>
                      <w:sz w:val="18"/>
                      <w:szCs w:val="18"/>
                    </w:rPr>
                    <w:t>主要危险物质及分布</w:t>
                  </w:r>
                </w:p>
              </w:tc>
              <w:tc>
                <w:tcPr>
                  <w:tcW w:w="3634" w:type="pct"/>
                  <w:gridSpan w:val="4"/>
                  <w:noWrap w:val="0"/>
                  <w:vAlign w:val="center"/>
                </w:tcPr>
                <w:p>
                  <w:pPr>
                    <w:rPr>
                      <w:rFonts w:cs="Times New Roman"/>
                      <w:sz w:val="18"/>
                      <w:szCs w:val="18"/>
                    </w:rPr>
                  </w:pPr>
                  <w:r>
                    <w:rPr>
                      <w:rFonts w:hint="eastAsia" w:cs="Times New Roman"/>
                      <w:sz w:val="18"/>
                      <w:szCs w:val="18"/>
                    </w:rPr>
                    <w:t>加氯加药间</w:t>
                  </w:r>
                  <w:r>
                    <w:rPr>
                      <w:rFonts w:cs="Times New Roman"/>
                      <w:sz w:val="18"/>
                      <w:szCs w:val="18"/>
                    </w:rPr>
                    <w:t>：复合氯酸钠</w:t>
                  </w:r>
                  <w:r>
                    <w:rPr>
                      <w:rFonts w:hint="eastAsia" w:cs="Times New Roman"/>
                      <w:sz w:val="18"/>
                      <w:szCs w:val="18"/>
                    </w:rPr>
                    <w:t>、</w:t>
                  </w:r>
                  <w:r>
                    <w:rPr>
                      <w:rFonts w:cs="Times New Roman"/>
                      <w:sz w:val="18"/>
                      <w:szCs w:val="18"/>
                    </w:rPr>
                    <w:t>复合硫酸钠</w:t>
                  </w:r>
                  <w:r>
                    <w:rPr>
                      <w:rFonts w:hint="eastAsia" w:cs="Times New Roman"/>
                      <w:sz w:val="18"/>
                      <w:szCs w:val="18"/>
                    </w:rPr>
                    <w:t>、</w:t>
                  </w:r>
                  <w:r>
                    <w:rPr>
                      <w:rFonts w:cs="Times New Roman"/>
                      <w:sz w:val="18"/>
                      <w:szCs w:val="18"/>
                    </w:rPr>
                    <w:t>二氧化氯</w:t>
                  </w:r>
                </w:p>
                <w:p>
                  <w:pPr>
                    <w:rPr>
                      <w:rFonts w:cs="Times New Roman"/>
                      <w:sz w:val="18"/>
                      <w:szCs w:val="18"/>
                    </w:rPr>
                  </w:pPr>
                  <w:r>
                    <w:rPr>
                      <w:rFonts w:hint="eastAsia" w:cs="Times New Roman"/>
                      <w:sz w:val="18"/>
                      <w:szCs w:val="18"/>
                    </w:rPr>
                    <w:t>应急加药间：高锰酸钾、活性炭粉末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noWrap w:val="0"/>
                  <w:vAlign w:val="center"/>
                </w:tcPr>
                <w:p>
                  <w:pPr>
                    <w:jc w:val="center"/>
                    <w:rPr>
                      <w:rFonts w:cs="Times New Roman"/>
                      <w:sz w:val="18"/>
                      <w:szCs w:val="18"/>
                    </w:rPr>
                  </w:pPr>
                  <w:r>
                    <w:rPr>
                      <w:rFonts w:cs="Times New Roman"/>
                      <w:sz w:val="18"/>
                      <w:szCs w:val="18"/>
                    </w:rPr>
                    <w:t>环境影响途径及危害后果</w:t>
                  </w:r>
                </w:p>
                <w:p>
                  <w:pPr>
                    <w:jc w:val="center"/>
                    <w:rPr>
                      <w:rFonts w:cs="Times New Roman"/>
                      <w:sz w:val="18"/>
                      <w:szCs w:val="18"/>
                    </w:rPr>
                  </w:pPr>
                  <w:r>
                    <w:rPr>
                      <w:rFonts w:cs="Times New Roman"/>
                      <w:sz w:val="18"/>
                      <w:szCs w:val="18"/>
                    </w:rPr>
                    <w:t>（大气、地表水、地下水等）</w:t>
                  </w:r>
                </w:p>
              </w:tc>
              <w:tc>
                <w:tcPr>
                  <w:tcW w:w="3634" w:type="pct"/>
                  <w:gridSpan w:val="4"/>
                  <w:noWrap w:val="0"/>
                  <w:vAlign w:val="center"/>
                </w:tcPr>
                <w:p>
                  <w:pPr>
                    <w:rPr>
                      <w:rFonts w:cs="Times New Roman"/>
                      <w:sz w:val="18"/>
                      <w:szCs w:val="18"/>
                    </w:rPr>
                  </w:pPr>
                  <w:r>
                    <w:rPr>
                      <w:rFonts w:cs="Times New Roman"/>
                      <w:sz w:val="18"/>
                      <w:szCs w:val="18"/>
                    </w:rPr>
                    <w:t>地表水环境：二氧化氯、高锰酸钾溶液、复合氯酸钠、复合硫酸氢钠泄漏通过地表径流或雨水管道进入地表水环境，火灾消防过程废水通过地表径流或雨水管网排入地表水环境；</w:t>
                  </w:r>
                </w:p>
                <w:p>
                  <w:pPr>
                    <w:rPr>
                      <w:rFonts w:hint="eastAsia" w:cs="Times New Roman"/>
                      <w:sz w:val="18"/>
                      <w:szCs w:val="18"/>
                    </w:rPr>
                  </w:pPr>
                  <w:r>
                    <w:rPr>
                      <w:rFonts w:cs="Times New Roman"/>
                      <w:sz w:val="18"/>
                      <w:szCs w:val="18"/>
                    </w:rPr>
                    <w:t>地下水环境或土壤环境：二氧化氯、高锰酸钾溶液、复合氯酸钠、复合硫酸氢钠泄漏通过垂直渗透进入地下水环境或土壤环境。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noWrap w:val="0"/>
                  <w:vAlign w:val="center"/>
                </w:tcPr>
                <w:p>
                  <w:pPr>
                    <w:jc w:val="center"/>
                    <w:rPr>
                      <w:rFonts w:cs="Times New Roman"/>
                      <w:sz w:val="18"/>
                      <w:szCs w:val="18"/>
                    </w:rPr>
                  </w:pPr>
                  <w:r>
                    <w:rPr>
                      <w:rFonts w:cs="Times New Roman"/>
                      <w:sz w:val="18"/>
                      <w:szCs w:val="18"/>
                    </w:rPr>
                    <w:t>风险防范措施要求</w:t>
                  </w:r>
                </w:p>
              </w:tc>
              <w:tc>
                <w:tcPr>
                  <w:tcW w:w="3634" w:type="pct"/>
                  <w:gridSpan w:val="4"/>
                  <w:noWrap w:val="0"/>
                  <w:vAlign w:val="center"/>
                </w:tcPr>
                <w:p>
                  <w:pPr>
                    <w:rPr>
                      <w:rFonts w:cs="Times New Roman"/>
                      <w:sz w:val="18"/>
                      <w:szCs w:val="18"/>
                    </w:rPr>
                  </w:pPr>
                  <w:r>
                    <w:rPr>
                      <w:rFonts w:cs="Times New Roman"/>
                      <w:sz w:val="18"/>
                      <w:szCs w:val="18"/>
                    </w:rPr>
                    <w:t>①加氯加药间、应急加药间应采取重点防渗措施，其中复合氯酸钠储罐区、复合硫酸氢钠储罐区设置防渗围堰（约1.5m），围堰采用不渗透的材料做防渗处理，并设置泄露收集沟和泄露收集坑；</w:t>
                  </w:r>
                </w:p>
                <w:p>
                  <w:pPr>
                    <w:rPr>
                      <w:rFonts w:cs="Times New Roman"/>
                      <w:sz w:val="18"/>
                      <w:szCs w:val="18"/>
                    </w:rPr>
                  </w:pPr>
                  <w:r>
                    <w:rPr>
                      <w:rFonts w:cs="Times New Roman"/>
                      <w:sz w:val="18"/>
                      <w:szCs w:val="18"/>
                    </w:rPr>
                    <w:t>②严格落实消防设计规范，设置警示标识，配备相应数量灭火器，开展员工安全培训；</w:t>
                  </w:r>
                </w:p>
                <w:p>
                  <w:pPr>
                    <w:rPr>
                      <w:rFonts w:hint="eastAsia" w:cs="Times New Roman"/>
                      <w:sz w:val="18"/>
                      <w:szCs w:val="18"/>
                    </w:rPr>
                  </w:pPr>
                  <w:r>
                    <w:rPr>
                      <w:rFonts w:cs="Times New Roman"/>
                      <w:sz w:val="18"/>
                      <w:szCs w:val="18"/>
                    </w:rPr>
                    <w:t>③设置在线自动监测网与预警系统；委托第三方单位定期检测水厂进、出水质；</w:t>
                  </w:r>
                </w:p>
                <w:p>
                  <w:pPr>
                    <w:rPr>
                      <w:rFonts w:cs="Times New Roman"/>
                      <w:sz w:val="18"/>
                      <w:szCs w:val="18"/>
                    </w:rPr>
                  </w:pPr>
                  <w:r>
                    <w:rPr>
                      <w:rFonts w:cs="Times New Roman"/>
                      <w:sz w:val="18"/>
                      <w:szCs w:val="18"/>
                    </w:rPr>
                    <w:t>④严格规范化操作、建立必要的预备系统或设备、制定事故及时处理计划、编制应急预案。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noWrap w:val="0"/>
                  <w:vAlign w:val="center"/>
                </w:tcPr>
                <w:p>
                  <w:pPr>
                    <w:rPr>
                      <w:rFonts w:cs="Times New Roman"/>
                      <w:sz w:val="18"/>
                      <w:szCs w:val="18"/>
                    </w:rPr>
                  </w:pPr>
                  <w:r>
                    <w:rPr>
                      <w:rFonts w:cs="Times New Roman"/>
                      <w:sz w:val="18"/>
                      <w:szCs w:val="18"/>
                    </w:rPr>
                    <w:t>填表说明（列出项目相关信息及评价说明）：</w:t>
                  </w:r>
                </w:p>
                <w:p>
                  <w:pPr>
                    <w:ind w:firstLine="360" w:firstLineChars="200"/>
                    <w:rPr>
                      <w:rFonts w:cs="Times New Roman"/>
                      <w:sz w:val="18"/>
                      <w:szCs w:val="18"/>
                    </w:rPr>
                  </w:pPr>
                  <w:r>
                    <w:rPr>
                      <w:rFonts w:cs="Times New Roman"/>
                      <w:sz w:val="18"/>
                      <w:szCs w:val="18"/>
                    </w:rPr>
                    <w:t>本项目主要危险物质为二氧化氯、高锰酸钾溶液、复合氯酸钠、复合硫酸氢钠，分布在</w:t>
                  </w:r>
                  <w:r>
                    <w:rPr>
                      <w:rFonts w:hint="eastAsia" w:cs="Times New Roman"/>
                      <w:sz w:val="18"/>
                      <w:szCs w:val="18"/>
                    </w:rPr>
                    <w:t>加氯加药间、应急加药间</w:t>
                  </w:r>
                  <w:r>
                    <w:rPr>
                      <w:rFonts w:cs="Times New Roman"/>
                      <w:sz w:val="18"/>
                      <w:szCs w:val="18"/>
                    </w:rPr>
                    <w:t>，项目环境风险潜势为I，评价等级为简单分析，在落实环评提出的风险防范措施后环境风险可控。</w:t>
                  </w:r>
                </w:p>
              </w:tc>
            </w:tr>
          </w:tbl>
          <w:p>
            <w:pPr>
              <w:spacing w:line="276" w:lineRule="auto"/>
              <w:ind w:firstLine="480"/>
              <w:rPr>
                <w:rFonts w:hint="eastAsia" w:cs="Calibri"/>
                <w:szCs w:val="21"/>
              </w:rPr>
            </w:pPr>
          </w:p>
          <w:p>
            <w:pPr>
              <w:spacing w:line="276" w:lineRule="auto"/>
              <w:ind w:firstLine="480"/>
              <w:rPr>
                <w:rFonts w:hint="eastAsia" w:cs="Calibri"/>
                <w:szCs w:val="21"/>
              </w:rPr>
            </w:pPr>
            <w:r>
              <w:rPr>
                <w:rFonts w:hint="eastAsia" w:cs="Calibri"/>
                <w:szCs w:val="21"/>
              </w:rPr>
              <w:t>综上所述，本项目环境风险潜势为I，营运期落实本报告提出的各项措施、建立和落实各项风险预警防范措施和事故应急计划，杜绝重大安全事故和重大环境污染事故的发生，可使项目建成后风险水平处于可接受程度。</w:t>
            </w:r>
          </w:p>
          <w:p>
            <w:pPr>
              <w:spacing w:line="276" w:lineRule="auto"/>
              <w:rPr>
                <w:color w:val="FF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top"/>
          </w:tcPr>
          <w:p>
            <w:pPr>
              <w:spacing w:line="276" w:lineRule="auto"/>
              <w:jc w:val="center"/>
              <w:rPr>
                <w:szCs w:val="21"/>
              </w:rPr>
            </w:pPr>
            <w:r>
              <w:rPr>
                <w:rFonts w:hint="eastAsia" w:cs="Times New Roman"/>
                <w:szCs w:val="21"/>
              </w:rPr>
              <w:t>环保投资</w:t>
            </w:r>
          </w:p>
        </w:tc>
        <w:tc>
          <w:tcPr>
            <w:tcW w:w="8888" w:type="dxa"/>
            <w:noWrap w:val="0"/>
            <w:vAlign w:val="top"/>
          </w:tcPr>
          <w:p>
            <w:pPr>
              <w:spacing w:line="276" w:lineRule="auto"/>
              <w:ind w:firstLine="420" w:firstLineChars="200"/>
              <w:rPr>
                <w:rFonts w:hint="eastAsia"/>
                <w:szCs w:val="21"/>
              </w:rPr>
            </w:pPr>
            <w:r>
              <w:rPr>
                <w:rFonts w:hint="eastAsia"/>
                <w:szCs w:val="21"/>
              </w:rPr>
              <w:t>本项目总投资</w:t>
            </w:r>
            <w:r>
              <w:rPr>
                <w:rFonts w:cs="Times New Roman"/>
                <w:szCs w:val="21"/>
              </w:rPr>
              <w:t>62064</w:t>
            </w:r>
            <w:r>
              <w:rPr>
                <w:rFonts w:hint="eastAsia"/>
                <w:szCs w:val="21"/>
              </w:rPr>
              <w:t>万元，环保投资约</w:t>
            </w:r>
            <w:r>
              <w:rPr>
                <w:rFonts w:hint="eastAsia" w:cs="Times New Roman"/>
                <w:szCs w:val="21"/>
              </w:rPr>
              <w:t>277.50</w:t>
            </w:r>
            <w:r>
              <w:rPr>
                <w:rFonts w:hint="eastAsia"/>
                <w:szCs w:val="21"/>
              </w:rPr>
              <w:t>万元，占总投资的0.45%，主要环保措施及投资估算见表</w:t>
            </w:r>
            <w:r>
              <w:rPr>
                <w:szCs w:val="21"/>
              </w:rPr>
              <w:t>4</w:t>
            </w:r>
            <w:r>
              <w:rPr>
                <w:rFonts w:hint="eastAsia"/>
                <w:szCs w:val="21"/>
              </w:rPr>
              <w:t>-22。</w:t>
            </w:r>
          </w:p>
          <w:p>
            <w:pPr>
              <w:spacing w:line="276" w:lineRule="auto"/>
              <w:jc w:val="center"/>
              <w:rPr>
                <w:rFonts w:hint="eastAsia"/>
                <w:b/>
                <w:bCs/>
                <w:szCs w:val="21"/>
              </w:rPr>
            </w:pPr>
            <w:r>
              <w:rPr>
                <w:rFonts w:hint="eastAsia"/>
                <w:b/>
                <w:bCs/>
                <w:szCs w:val="21"/>
              </w:rPr>
              <w:t>表4-22：项目环保投资估算一览表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992"/>
              <w:gridCol w:w="5288"/>
              <w:gridCol w:w="12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noWrap w:val="0"/>
                  <w:vAlign w:val="center"/>
                </w:tcPr>
                <w:p>
                  <w:pPr>
                    <w:jc w:val="center"/>
                    <w:rPr>
                      <w:rFonts w:cs="Times New Roman"/>
                      <w:b/>
                      <w:bCs/>
                      <w:szCs w:val="21"/>
                    </w:rPr>
                  </w:pPr>
                  <w:r>
                    <w:rPr>
                      <w:rFonts w:cs="Times New Roman"/>
                      <w:b/>
                      <w:bCs/>
                      <w:szCs w:val="21"/>
                    </w:rPr>
                    <w:t>项目</w:t>
                  </w:r>
                </w:p>
              </w:tc>
              <w:tc>
                <w:tcPr>
                  <w:tcW w:w="3622" w:type="pct"/>
                  <w:gridSpan w:val="2"/>
                  <w:noWrap w:val="0"/>
                  <w:vAlign w:val="center"/>
                </w:tcPr>
                <w:p>
                  <w:pPr>
                    <w:jc w:val="center"/>
                    <w:rPr>
                      <w:rFonts w:cs="Times New Roman"/>
                      <w:b/>
                      <w:bCs/>
                      <w:szCs w:val="21"/>
                    </w:rPr>
                  </w:pPr>
                  <w:r>
                    <w:rPr>
                      <w:rFonts w:cs="Times New Roman"/>
                      <w:b/>
                      <w:bCs/>
                      <w:szCs w:val="21"/>
                    </w:rPr>
                    <w:t>内容</w:t>
                  </w:r>
                </w:p>
              </w:tc>
              <w:tc>
                <w:tcPr>
                  <w:tcW w:w="748" w:type="pct"/>
                  <w:noWrap w:val="0"/>
                  <w:vAlign w:val="center"/>
                </w:tcPr>
                <w:p>
                  <w:pPr>
                    <w:jc w:val="center"/>
                    <w:rPr>
                      <w:rFonts w:cs="Times New Roman"/>
                      <w:b/>
                      <w:bCs/>
                      <w:szCs w:val="21"/>
                    </w:rPr>
                  </w:pPr>
                  <w:r>
                    <w:rPr>
                      <w:rFonts w:cs="Times New Roman"/>
                      <w:b/>
                      <w:bCs/>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30" w:type="pct"/>
                  <w:vMerge w:val="restart"/>
                  <w:noWrap w:val="0"/>
                  <w:vAlign w:val="center"/>
                </w:tcPr>
                <w:p>
                  <w:pPr>
                    <w:jc w:val="center"/>
                    <w:rPr>
                      <w:rFonts w:hint="eastAsia" w:cs="Times New Roman"/>
                      <w:szCs w:val="21"/>
                    </w:rPr>
                  </w:pPr>
                  <w:r>
                    <w:rPr>
                      <w:rFonts w:cs="Times New Roman"/>
                      <w:szCs w:val="21"/>
                    </w:rPr>
                    <w:t>废气</w:t>
                  </w:r>
                </w:p>
                <w:p>
                  <w:pPr>
                    <w:jc w:val="center"/>
                    <w:rPr>
                      <w:rFonts w:cs="Times New Roman"/>
                      <w:szCs w:val="21"/>
                    </w:rPr>
                  </w:pPr>
                  <w:r>
                    <w:rPr>
                      <w:rFonts w:cs="Times New Roman"/>
                      <w:szCs w:val="21"/>
                    </w:rPr>
                    <w:t>治理</w:t>
                  </w:r>
                </w:p>
              </w:tc>
              <w:tc>
                <w:tcPr>
                  <w:tcW w:w="572" w:type="pct"/>
                  <w:noWrap w:val="0"/>
                  <w:vAlign w:val="center"/>
                </w:tcPr>
                <w:p>
                  <w:pPr>
                    <w:jc w:val="center"/>
                    <w:rPr>
                      <w:rFonts w:cs="Times New Roman"/>
                      <w:szCs w:val="21"/>
                    </w:rPr>
                  </w:pPr>
                  <w:r>
                    <w:rPr>
                      <w:rFonts w:cs="Times New Roman"/>
                      <w:szCs w:val="21"/>
                    </w:rPr>
                    <w:t>施工期</w:t>
                  </w:r>
                </w:p>
              </w:tc>
              <w:tc>
                <w:tcPr>
                  <w:tcW w:w="3050" w:type="pct"/>
                  <w:noWrap w:val="0"/>
                  <w:vAlign w:val="center"/>
                </w:tcPr>
                <w:p>
                  <w:pPr>
                    <w:pStyle w:val="52"/>
                    <w:ind w:firstLine="0" w:firstLineChars="0"/>
                    <w:jc w:val="left"/>
                    <w:rPr>
                      <w:rFonts w:eastAsia="宋体"/>
                      <w:sz w:val="21"/>
                    </w:rPr>
                  </w:pPr>
                  <w:r>
                    <w:rPr>
                      <w:rFonts w:hint="eastAsia" w:eastAsia="宋体"/>
                      <w:sz w:val="21"/>
                    </w:rPr>
                    <w:t>净水厂施工现场设不低于2.5m高封闭围挡、设置雾状喷淋，主要道路硬化、设高压冲洗设施、车辆密闭运输</w:t>
                  </w:r>
                  <w:r>
                    <w:rPr>
                      <w:bCs/>
                      <w:sz w:val="21"/>
                      <w:lang w:bidi="ar"/>
                    </w:rPr>
                    <w:t>、及时清扫路面尘土、对裸露地面</w:t>
                  </w:r>
                  <w:r>
                    <w:rPr>
                      <w:rFonts w:hint="eastAsia" w:eastAsia="宋体"/>
                      <w:bCs/>
                      <w:sz w:val="21"/>
                      <w:lang w:bidi="ar"/>
                    </w:rPr>
                    <w:t>临时堆场</w:t>
                  </w:r>
                  <w:r>
                    <w:rPr>
                      <w:bCs/>
                      <w:sz w:val="21"/>
                      <w:lang w:bidi="ar"/>
                    </w:rPr>
                    <w:t>覆盖防尘布或防尘网等</w:t>
                  </w:r>
                </w:p>
              </w:tc>
              <w:tc>
                <w:tcPr>
                  <w:tcW w:w="748" w:type="pct"/>
                  <w:noWrap w:val="0"/>
                  <w:vAlign w:val="center"/>
                </w:tcPr>
                <w:p>
                  <w:pPr>
                    <w:jc w:val="center"/>
                    <w:rPr>
                      <w:rFonts w:cs="Times New Roman"/>
                      <w:szCs w:val="21"/>
                    </w:rPr>
                  </w:pPr>
                  <w:r>
                    <w:rPr>
                      <w:rFonts w:hint="eastAsia" w:cs="Times New Roman"/>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vMerge w:val="continue"/>
                  <w:noWrap w:val="0"/>
                  <w:vAlign w:val="center"/>
                </w:tcPr>
                <w:p>
                  <w:pPr>
                    <w:jc w:val="center"/>
                    <w:rPr>
                      <w:rFonts w:cs="Times New Roman"/>
                      <w:color w:val="FF00FF"/>
                      <w:szCs w:val="21"/>
                    </w:rPr>
                  </w:pPr>
                </w:p>
              </w:tc>
              <w:tc>
                <w:tcPr>
                  <w:tcW w:w="572" w:type="pct"/>
                  <w:vMerge w:val="restart"/>
                  <w:noWrap w:val="0"/>
                  <w:vAlign w:val="center"/>
                </w:tcPr>
                <w:p>
                  <w:pPr>
                    <w:jc w:val="center"/>
                    <w:rPr>
                      <w:rFonts w:cs="Times New Roman"/>
                      <w:szCs w:val="21"/>
                    </w:rPr>
                  </w:pPr>
                  <w:r>
                    <w:rPr>
                      <w:rFonts w:cs="Times New Roman"/>
                      <w:szCs w:val="21"/>
                    </w:rPr>
                    <w:t>营运期</w:t>
                  </w:r>
                </w:p>
              </w:tc>
              <w:tc>
                <w:tcPr>
                  <w:tcW w:w="3050" w:type="pct"/>
                  <w:noWrap w:val="0"/>
                  <w:vAlign w:val="center"/>
                </w:tcPr>
                <w:p>
                  <w:pPr>
                    <w:rPr>
                      <w:rFonts w:hint="eastAsia" w:cs="Times New Roman"/>
                      <w:szCs w:val="21"/>
                    </w:rPr>
                  </w:pPr>
                  <w:r>
                    <w:rPr>
                      <w:rFonts w:hint="eastAsia" w:cs="Times New Roman"/>
                      <w:szCs w:val="21"/>
                      <w:lang w:bidi="ar"/>
                    </w:rPr>
                    <w:t>食堂油烟：</w:t>
                  </w:r>
                  <w:r>
                    <w:rPr>
                      <w:rFonts w:cs="Times New Roman"/>
                      <w:szCs w:val="21"/>
                      <w:lang w:bidi="ar"/>
                    </w:rPr>
                    <w:t>安装1</w:t>
                  </w:r>
                  <w:r>
                    <w:rPr>
                      <w:rFonts w:hint="eastAsia" w:cs="Times New Roman"/>
                      <w:szCs w:val="21"/>
                      <w:lang w:bidi="ar"/>
                    </w:rPr>
                    <w:t>台油烟净化器</w:t>
                  </w:r>
                  <w:r>
                    <w:rPr>
                      <w:rFonts w:cs="Times New Roman"/>
                      <w:bCs/>
                      <w:szCs w:val="21"/>
                    </w:rPr>
                    <w:t>处理食堂油烟</w:t>
                  </w:r>
                  <w:r>
                    <w:rPr>
                      <w:rFonts w:hint="eastAsia" w:cs="Times New Roman"/>
                      <w:bCs/>
                      <w:szCs w:val="21"/>
                    </w:rPr>
                    <w:t>，废气引至楼顶排放</w:t>
                  </w:r>
                </w:p>
              </w:tc>
              <w:tc>
                <w:tcPr>
                  <w:tcW w:w="748" w:type="pct"/>
                  <w:noWrap w:val="0"/>
                  <w:vAlign w:val="center"/>
                </w:tcPr>
                <w:p>
                  <w:pPr>
                    <w:jc w:val="center"/>
                    <w:rPr>
                      <w:rFonts w:cs="Times New Roman"/>
                      <w:szCs w:val="21"/>
                    </w:rPr>
                  </w:pPr>
                  <w:r>
                    <w:rPr>
                      <w:rFonts w:hint="eastAsia" w:cs="Times New Roman"/>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vMerge w:val="continue"/>
                  <w:noWrap w:val="0"/>
                  <w:vAlign w:val="center"/>
                </w:tcPr>
                <w:p>
                  <w:pPr>
                    <w:jc w:val="center"/>
                    <w:rPr>
                      <w:rFonts w:cs="Times New Roman"/>
                      <w:color w:val="FF00FF"/>
                      <w:szCs w:val="21"/>
                    </w:rPr>
                  </w:pPr>
                </w:p>
              </w:tc>
              <w:tc>
                <w:tcPr>
                  <w:tcW w:w="572" w:type="pct"/>
                  <w:vMerge w:val="continue"/>
                  <w:noWrap w:val="0"/>
                  <w:vAlign w:val="center"/>
                </w:tcPr>
                <w:p>
                  <w:pPr>
                    <w:jc w:val="center"/>
                    <w:rPr>
                      <w:rFonts w:cs="Times New Roman"/>
                      <w:color w:val="FF00FF"/>
                      <w:szCs w:val="21"/>
                    </w:rPr>
                  </w:pPr>
                </w:p>
              </w:tc>
              <w:tc>
                <w:tcPr>
                  <w:tcW w:w="3050" w:type="pct"/>
                  <w:noWrap w:val="0"/>
                  <w:vAlign w:val="center"/>
                </w:tcPr>
                <w:p>
                  <w:pPr>
                    <w:rPr>
                      <w:rFonts w:hint="eastAsia" w:cs="Times New Roman"/>
                      <w:szCs w:val="21"/>
                    </w:rPr>
                  </w:pPr>
                  <w:r>
                    <w:rPr>
                      <w:rFonts w:hint="eastAsia" w:cs="Times New Roman"/>
                      <w:szCs w:val="21"/>
                      <w:lang w:bidi="ar"/>
                    </w:rPr>
                    <w:t>柴油发电机：</w:t>
                  </w:r>
                  <w:r>
                    <w:rPr>
                      <w:rFonts w:hint="eastAsia" w:cs="Times New Roman"/>
                      <w:bCs/>
                      <w:szCs w:val="21"/>
                    </w:rPr>
                    <w:t>废气引至楼顶排放</w:t>
                  </w:r>
                </w:p>
              </w:tc>
              <w:tc>
                <w:tcPr>
                  <w:tcW w:w="748" w:type="pct"/>
                  <w:noWrap w:val="0"/>
                  <w:vAlign w:val="center"/>
                </w:tcPr>
                <w:p>
                  <w:pPr>
                    <w:jc w:val="center"/>
                    <w:rPr>
                      <w:rFonts w:cs="Times New Roman"/>
                      <w:szCs w:val="21"/>
                    </w:rPr>
                  </w:pPr>
                  <w:r>
                    <w:rPr>
                      <w:rFonts w:hint="eastAsia" w:cs="Times New Roman"/>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vMerge w:val="restart"/>
                  <w:noWrap w:val="0"/>
                  <w:vAlign w:val="center"/>
                </w:tcPr>
                <w:p>
                  <w:pPr>
                    <w:jc w:val="center"/>
                    <w:rPr>
                      <w:rFonts w:hint="eastAsia" w:cs="Times New Roman"/>
                      <w:szCs w:val="21"/>
                    </w:rPr>
                  </w:pPr>
                  <w:r>
                    <w:rPr>
                      <w:rFonts w:cs="Times New Roman"/>
                      <w:szCs w:val="21"/>
                    </w:rPr>
                    <w:t>废水</w:t>
                  </w:r>
                </w:p>
                <w:p>
                  <w:pPr>
                    <w:jc w:val="center"/>
                    <w:rPr>
                      <w:rFonts w:cs="Times New Roman"/>
                      <w:szCs w:val="21"/>
                    </w:rPr>
                  </w:pPr>
                  <w:r>
                    <w:rPr>
                      <w:rFonts w:cs="Times New Roman"/>
                      <w:szCs w:val="21"/>
                    </w:rPr>
                    <w:t>治理</w:t>
                  </w:r>
                </w:p>
              </w:tc>
              <w:tc>
                <w:tcPr>
                  <w:tcW w:w="572" w:type="pct"/>
                  <w:vMerge w:val="restart"/>
                  <w:noWrap w:val="0"/>
                  <w:vAlign w:val="center"/>
                </w:tcPr>
                <w:p>
                  <w:pPr>
                    <w:jc w:val="center"/>
                    <w:rPr>
                      <w:rFonts w:cs="Times New Roman"/>
                      <w:szCs w:val="21"/>
                    </w:rPr>
                  </w:pPr>
                  <w:r>
                    <w:rPr>
                      <w:rFonts w:cs="Times New Roman"/>
                      <w:szCs w:val="21"/>
                    </w:rPr>
                    <w:t>施工期</w:t>
                  </w:r>
                </w:p>
              </w:tc>
              <w:tc>
                <w:tcPr>
                  <w:tcW w:w="3050" w:type="pct"/>
                  <w:noWrap w:val="0"/>
                  <w:vAlign w:val="center"/>
                </w:tcPr>
                <w:p>
                  <w:pPr>
                    <w:jc w:val="center"/>
                    <w:rPr>
                      <w:rFonts w:cs="Times New Roman"/>
                      <w:szCs w:val="21"/>
                    </w:rPr>
                  </w:pPr>
                  <w:r>
                    <w:rPr>
                      <w:rFonts w:cs="Times New Roman"/>
                      <w:szCs w:val="21"/>
                    </w:rPr>
                    <w:t>生活污水依托</w:t>
                  </w:r>
                  <w:r>
                    <w:rPr>
                      <w:rFonts w:hint="eastAsia" w:cs="Times New Roman"/>
                      <w:szCs w:val="21"/>
                    </w:rPr>
                    <w:t>周</w:t>
                  </w:r>
                  <w:r>
                    <w:rPr>
                      <w:rFonts w:cs="Times New Roman"/>
                      <w:szCs w:val="21"/>
                    </w:rPr>
                    <w:t>现有的污水处理设施进行处理</w:t>
                  </w:r>
                </w:p>
              </w:tc>
              <w:tc>
                <w:tcPr>
                  <w:tcW w:w="748" w:type="pct"/>
                  <w:noWrap w:val="0"/>
                  <w:vAlign w:val="center"/>
                </w:tcPr>
                <w:p>
                  <w:pPr>
                    <w:jc w:val="center"/>
                    <w:rPr>
                      <w:rFonts w:cs="Times New Roman"/>
                      <w:szCs w:val="21"/>
                    </w:rPr>
                  </w:pPr>
                  <w:r>
                    <w:rPr>
                      <w:rFonts w:hint="eastAsia"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vMerge w:val="continue"/>
                  <w:noWrap w:val="0"/>
                  <w:vAlign w:val="center"/>
                </w:tcPr>
                <w:p>
                  <w:pPr>
                    <w:jc w:val="center"/>
                    <w:rPr>
                      <w:rFonts w:cs="Times New Roman"/>
                      <w:szCs w:val="21"/>
                    </w:rPr>
                  </w:pPr>
                </w:p>
              </w:tc>
              <w:tc>
                <w:tcPr>
                  <w:tcW w:w="572" w:type="pct"/>
                  <w:vMerge w:val="continue"/>
                  <w:noWrap w:val="0"/>
                  <w:vAlign w:val="center"/>
                </w:tcPr>
                <w:p>
                  <w:pPr>
                    <w:jc w:val="center"/>
                    <w:rPr>
                      <w:rFonts w:cs="Times New Roman"/>
                      <w:szCs w:val="21"/>
                    </w:rPr>
                  </w:pPr>
                </w:p>
              </w:tc>
              <w:tc>
                <w:tcPr>
                  <w:tcW w:w="3050" w:type="pct"/>
                  <w:noWrap w:val="0"/>
                  <w:vAlign w:val="center"/>
                </w:tcPr>
                <w:p>
                  <w:pPr>
                    <w:jc w:val="center"/>
                    <w:rPr>
                      <w:rFonts w:cs="Times New Roman"/>
                      <w:szCs w:val="21"/>
                    </w:rPr>
                  </w:pPr>
                  <w:r>
                    <w:rPr>
                      <w:rFonts w:cs="Times New Roman"/>
                      <w:szCs w:val="21"/>
                    </w:rPr>
                    <w:t>设沉淀池设施及配套排水沟</w:t>
                  </w:r>
                </w:p>
              </w:tc>
              <w:tc>
                <w:tcPr>
                  <w:tcW w:w="748" w:type="pct"/>
                  <w:noWrap w:val="0"/>
                  <w:vAlign w:val="center"/>
                </w:tcPr>
                <w:p>
                  <w:pPr>
                    <w:jc w:val="center"/>
                    <w:rPr>
                      <w:rFonts w:cs="Times New Roman"/>
                      <w:szCs w:val="21"/>
                    </w:rPr>
                  </w:pPr>
                  <w:r>
                    <w:rPr>
                      <w:rFonts w:hint="eastAsia" w:cs="Times New Roman"/>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vMerge w:val="continue"/>
                  <w:noWrap w:val="0"/>
                  <w:vAlign w:val="center"/>
                </w:tcPr>
                <w:p>
                  <w:pPr>
                    <w:jc w:val="center"/>
                    <w:rPr>
                      <w:rFonts w:cs="Times New Roman"/>
                      <w:szCs w:val="21"/>
                    </w:rPr>
                  </w:pPr>
                </w:p>
              </w:tc>
              <w:tc>
                <w:tcPr>
                  <w:tcW w:w="572" w:type="pct"/>
                  <w:vMerge w:val="restart"/>
                  <w:noWrap w:val="0"/>
                  <w:vAlign w:val="center"/>
                </w:tcPr>
                <w:p>
                  <w:pPr>
                    <w:jc w:val="center"/>
                    <w:rPr>
                      <w:rFonts w:cs="Times New Roman"/>
                      <w:szCs w:val="21"/>
                    </w:rPr>
                  </w:pPr>
                  <w:r>
                    <w:rPr>
                      <w:rFonts w:cs="Times New Roman"/>
                      <w:szCs w:val="21"/>
                    </w:rPr>
                    <w:t>营运期</w:t>
                  </w:r>
                </w:p>
              </w:tc>
              <w:tc>
                <w:tcPr>
                  <w:tcW w:w="3050" w:type="pct"/>
                  <w:noWrap w:val="0"/>
                  <w:vAlign w:val="center"/>
                </w:tcPr>
                <w:p>
                  <w:pPr>
                    <w:pStyle w:val="52"/>
                    <w:ind w:firstLine="0" w:firstLineChars="0"/>
                    <w:jc w:val="left"/>
                    <w:rPr>
                      <w:rFonts w:eastAsia="宋体"/>
                      <w:sz w:val="21"/>
                    </w:rPr>
                  </w:pPr>
                  <w:r>
                    <w:rPr>
                      <w:rFonts w:hint="eastAsia" w:eastAsia="宋体"/>
                      <w:sz w:val="21"/>
                    </w:rPr>
                    <w:t>本项目生产过程滤池反冲洗水回流至配水井回用，不外排；污泥压滤液排入市政污水管网引至达州市污水处理厂处理</w:t>
                  </w:r>
                </w:p>
              </w:tc>
              <w:tc>
                <w:tcPr>
                  <w:tcW w:w="748" w:type="pct"/>
                  <w:noWrap w:val="0"/>
                  <w:vAlign w:val="center"/>
                </w:tcPr>
                <w:p>
                  <w:pPr>
                    <w:jc w:val="center"/>
                    <w:rPr>
                      <w:rFonts w:cs="Times New Roman"/>
                      <w:szCs w:val="21"/>
                    </w:rPr>
                  </w:pPr>
                  <w:r>
                    <w:rPr>
                      <w:rFonts w:hint="eastAsia" w:cs="Times New Roman"/>
                      <w:szCs w:val="21"/>
                    </w:rPr>
                    <w:t>计入主体投资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vMerge w:val="continue"/>
                  <w:noWrap w:val="0"/>
                  <w:vAlign w:val="center"/>
                </w:tcPr>
                <w:p>
                  <w:pPr>
                    <w:jc w:val="center"/>
                    <w:rPr>
                      <w:rFonts w:cs="Times New Roman"/>
                      <w:color w:val="FF00FF"/>
                      <w:szCs w:val="21"/>
                    </w:rPr>
                  </w:pPr>
                </w:p>
              </w:tc>
              <w:tc>
                <w:tcPr>
                  <w:tcW w:w="572" w:type="pct"/>
                  <w:vMerge w:val="continue"/>
                  <w:noWrap w:val="0"/>
                  <w:vAlign w:val="center"/>
                </w:tcPr>
                <w:p>
                  <w:pPr>
                    <w:jc w:val="center"/>
                    <w:rPr>
                      <w:rFonts w:cs="Times New Roman"/>
                      <w:color w:val="FF00FF"/>
                      <w:szCs w:val="21"/>
                    </w:rPr>
                  </w:pPr>
                </w:p>
              </w:tc>
              <w:tc>
                <w:tcPr>
                  <w:tcW w:w="3050" w:type="pct"/>
                  <w:noWrap w:val="0"/>
                  <w:vAlign w:val="center"/>
                </w:tcPr>
                <w:p>
                  <w:pPr>
                    <w:pStyle w:val="52"/>
                    <w:ind w:firstLine="0" w:firstLineChars="0"/>
                    <w:rPr>
                      <w:rFonts w:eastAsia="宋体"/>
                      <w:sz w:val="21"/>
                    </w:rPr>
                  </w:pPr>
                  <w:r>
                    <w:rPr>
                      <w:rFonts w:eastAsia="宋体"/>
                      <w:sz w:val="21"/>
                    </w:rPr>
                    <w:t>生活污水：设1个</w:t>
                  </w:r>
                  <w:r>
                    <w:rPr>
                      <w:rFonts w:hint="eastAsia" w:eastAsia="宋体"/>
                      <w:sz w:val="21"/>
                    </w:rPr>
                    <w:t>化粪池</w:t>
                  </w:r>
                  <w:r>
                    <w:rPr>
                      <w:rFonts w:eastAsia="宋体"/>
                      <w:sz w:val="21"/>
                    </w:rPr>
                    <w:t>（容积</w:t>
                  </w:r>
                  <w:r>
                    <w:rPr>
                      <w:rFonts w:hint="eastAsia" w:eastAsia="宋体"/>
                      <w:sz w:val="21"/>
                    </w:rPr>
                    <w:t>20</w:t>
                  </w:r>
                  <w:r>
                    <w:rPr>
                      <w:rFonts w:eastAsia="宋体"/>
                      <w:sz w:val="21"/>
                    </w:rPr>
                    <w:t>m</w:t>
                  </w:r>
                  <w:r>
                    <w:rPr>
                      <w:rFonts w:eastAsia="宋体"/>
                      <w:sz w:val="21"/>
                      <w:vertAlign w:val="superscript"/>
                    </w:rPr>
                    <w:t>3</w:t>
                  </w:r>
                  <w:r>
                    <w:rPr>
                      <w:rFonts w:eastAsia="宋体"/>
                      <w:sz w:val="21"/>
                    </w:rPr>
                    <w:t>）</w:t>
                  </w:r>
                  <w:r>
                    <w:rPr>
                      <w:rFonts w:hint="eastAsia" w:eastAsia="宋体"/>
                      <w:sz w:val="21"/>
                    </w:rPr>
                    <w:t>，食堂废水经隔油池</w:t>
                  </w:r>
                  <w:r>
                    <w:rPr>
                      <w:rFonts w:eastAsia="宋体"/>
                      <w:sz w:val="21"/>
                    </w:rPr>
                    <w:t>（容积</w:t>
                  </w:r>
                  <w:r>
                    <w:rPr>
                      <w:rFonts w:hint="eastAsia" w:eastAsia="宋体"/>
                      <w:sz w:val="21"/>
                    </w:rPr>
                    <w:t>10</w:t>
                  </w:r>
                  <w:r>
                    <w:rPr>
                      <w:rFonts w:eastAsia="宋体"/>
                      <w:sz w:val="21"/>
                    </w:rPr>
                    <w:t>m</w:t>
                  </w:r>
                  <w:r>
                    <w:rPr>
                      <w:rFonts w:eastAsia="宋体"/>
                      <w:sz w:val="21"/>
                      <w:vertAlign w:val="superscript"/>
                    </w:rPr>
                    <w:t>3</w:t>
                  </w:r>
                  <w:r>
                    <w:rPr>
                      <w:rFonts w:eastAsia="宋体"/>
                      <w:sz w:val="21"/>
                    </w:rPr>
                    <w:t>）</w:t>
                  </w:r>
                  <w:r>
                    <w:rPr>
                      <w:rFonts w:hint="eastAsia" w:eastAsia="宋体"/>
                      <w:sz w:val="21"/>
                    </w:rPr>
                    <w:t>处理后同生活污水一同进入化粪池</w:t>
                  </w:r>
                </w:p>
              </w:tc>
              <w:tc>
                <w:tcPr>
                  <w:tcW w:w="748" w:type="pct"/>
                  <w:noWrap w:val="0"/>
                  <w:vAlign w:val="center"/>
                </w:tcPr>
                <w:p>
                  <w:pPr>
                    <w:jc w:val="center"/>
                    <w:rPr>
                      <w:rFonts w:cs="Times New Roman"/>
                      <w:szCs w:val="21"/>
                    </w:rPr>
                  </w:pPr>
                  <w:r>
                    <w:rPr>
                      <w:rFonts w:hint="eastAsia" w:cs="Times New Roman"/>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vMerge w:val="restart"/>
                  <w:noWrap w:val="0"/>
                  <w:vAlign w:val="center"/>
                </w:tcPr>
                <w:p>
                  <w:pPr>
                    <w:jc w:val="center"/>
                    <w:rPr>
                      <w:rFonts w:hint="eastAsia" w:cs="Times New Roman"/>
                      <w:szCs w:val="21"/>
                    </w:rPr>
                  </w:pPr>
                  <w:r>
                    <w:rPr>
                      <w:rFonts w:cs="Times New Roman"/>
                      <w:szCs w:val="21"/>
                    </w:rPr>
                    <w:t>噪声</w:t>
                  </w:r>
                </w:p>
                <w:p>
                  <w:pPr>
                    <w:jc w:val="center"/>
                    <w:rPr>
                      <w:rFonts w:cs="Times New Roman"/>
                      <w:szCs w:val="21"/>
                    </w:rPr>
                  </w:pPr>
                  <w:r>
                    <w:rPr>
                      <w:rFonts w:cs="Times New Roman"/>
                      <w:szCs w:val="21"/>
                    </w:rPr>
                    <w:t>治理</w:t>
                  </w:r>
                </w:p>
              </w:tc>
              <w:tc>
                <w:tcPr>
                  <w:tcW w:w="572" w:type="pct"/>
                  <w:noWrap w:val="0"/>
                  <w:vAlign w:val="center"/>
                </w:tcPr>
                <w:p>
                  <w:pPr>
                    <w:jc w:val="center"/>
                    <w:rPr>
                      <w:rFonts w:cs="Times New Roman"/>
                      <w:szCs w:val="21"/>
                    </w:rPr>
                  </w:pPr>
                  <w:r>
                    <w:rPr>
                      <w:rFonts w:cs="Times New Roman"/>
                      <w:szCs w:val="21"/>
                    </w:rPr>
                    <w:t>施工期</w:t>
                  </w:r>
                </w:p>
              </w:tc>
              <w:tc>
                <w:tcPr>
                  <w:tcW w:w="3050" w:type="pct"/>
                  <w:noWrap w:val="0"/>
                  <w:vAlign w:val="center"/>
                </w:tcPr>
                <w:p>
                  <w:pPr>
                    <w:pStyle w:val="52"/>
                    <w:ind w:firstLine="0" w:firstLineChars="0"/>
                    <w:jc w:val="both"/>
                    <w:rPr>
                      <w:rFonts w:eastAsia="宋体"/>
                      <w:sz w:val="21"/>
                    </w:rPr>
                  </w:pPr>
                  <w:r>
                    <w:rPr>
                      <w:rFonts w:eastAsia="宋体"/>
                      <w:sz w:val="21"/>
                    </w:rPr>
                    <w:t>选低噪声设备，合理安排施工时间，文明施工，合理布置施工平面，车辆限速、禁鸣等</w:t>
                  </w:r>
                </w:p>
              </w:tc>
              <w:tc>
                <w:tcPr>
                  <w:tcW w:w="748" w:type="pct"/>
                  <w:noWrap w:val="0"/>
                  <w:vAlign w:val="center"/>
                </w:tcPr>
                <w:p>
                  <w:pPr>
                    <w:jc w:val="center"/>
                    <w:rPr>
                      <w:rFonts w:cs="Times New Roman"/>
                      <w:szCs w:val="21"/>
                    </w:rPr>
                  </w:pPr>
                  <w:r>
                    <w:rPr>
                      <w:rFonts w:hint="eastAsia" w:cs="Times New Roman"/>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vMerge w:val="continue"/>
                  <w:noWrap w:val="0"/>
                  <w:vAlign w:val="center"/>
                </w:tcPr>
                <w:p>
                  <w:pPr>
                    <w:jc w:val="center"/>
                    <w:rPr>
                      <w:rFonts w:cs="Times New Roman"/>
                      <w:color w:val="FF00FF"/>
                      <w:szCs w:val="21"/>
                    </w:rPr>
                  </w:pPr>
                </w:p>
              </w:tc>
              <w:tc>
                <w:tcPr>
                  <w:tcW w:w="572" w:type="pct"/>
                  <w:noWrap w:val="0"/>
                  <w:vAlign w:val="center"/>
                </w:tcPr>
                <w:p>
                  <w:pPr>
                    <w:jc w:val="center"/>
                    <w:rPr>
                      <w:rFonts w:cs="Times New Roman"/>
                      <w:szCs w:val="21"/>
                    </w:rPr>
                  </w:pPr>
                  <w:r>
                    <w:rPr>
                      <w:rFonts w:cs="Times New Roman"/>
                      <w:szCs w:val="21"/>
                    </w:rPr>
                    <w:t>营运期</w:t>
                  </w:r>
                </w:p>
              </w:tc>
              <w:tc>
                <w:tcPr>
                  <w:tcW w:w="3050" w:type="pct"/>
                  <w:noWrap w:val="0"/>
                  <w:vAlign w:val="center"/>
                </w:tcPr>
                <w:p>
                  <w:pPr>
                    <w:rPr>
                      <w:rFonts w:cs="Times New Roman"/>
                      <w:szCs w:val="21"/>
                    </w:rPr>
                  </w:pPr>
                  <w:r>
                    <w:rPr>
                      <w:rFonts w:hint="eastAsia" w:cs="Times New Roman"/>
                      <w:szCs w:val="21"/>
                    </w:rPr>
                    <w:t>选用低噪声设备；各类污水泵采用潜水泵，噪声源位于液面以下；高噪声设备置于单独的房间内，安装设备基础减震器，供水泵房设置吸声隔声材料降噪</w:t>
                  </w:r>
                </w:p>
              </w:tc>
              <w:tc>
                <w:tcPr>
                  <w:tcW w:w="748" w:type="pct"/>
                  <w:noWrap w:val="0"/>
                  <w:vAlign w:val="center"/>
                </w:tcPr>
                <w:p>
                  <w:pPr>
                    <w:jc w:val="center"/>
                    <w:rPr>
                      <w:rFonts w:cs="Times New Roman"/>
                      <w:szCs w:val="21"/>
                    </w:rPr>
                  </w:pPr>
                  <w:r>
                    <w:rPr>
                      <w:rFonts w:hint="eastAsia" w:cs="Times New Roman"/>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vMerge w:val="restart"/>
                  <w:noWrap w:val="0"/>
                  <w:vAlign w:val="center"/>
                </w:tcPr>
                <w:p>
                  <w:pPr>
                    <w:jc w:val="center"/>
                    <w:rPr>
                      <w:rFonts w:hint="eastAsia" w:cs="Times New Roman"/>
                      <w:szCs w:val="21"/>
                    </w:rPr>
                  </w:pPr>
                  <w:r>
                    <w:rPr>
                      <w:rFonts w:cs="Times New Roman"/>
                      <w:szCs w:val="21"/>
                    </w:rPr>
                    <w:t>固体</w:t>
                  </w:r>
                </w:p>
                <w:p>
                  <w:pPr>
                    <w:jc w:val="center"/>
                    <w:rPr>
                      <w:rFonts w:cs="Times New Roman"/>
                      <w:szCs w:val="21"/>
                    </w:rPr>
                  </w:pPr>
                  <w:r>
                    <w:rPr>
                      <w:rFonts w:cs="Times New Roman"/>
                      <w:szCs w:val="21"/>
                    </w:rPr>
                    <w:t>废物</w:t>
                  </w:r>
                </w:p>
              </w:tc>
              <w:tc>
                <w:tcPr>
                  <w:tcW w:w="572" w:type="pct"/>
                  <w:noWrap w:val="0"/>
                  <w:vAlign w:val="center"/>
                </w:tcPr>
                <w:p>
                  <w:pPr>
                    <w:jc w:val="center"/>
                    <w:rPr>
                      <w:rFonts w:cs="Times New Roman"/>
                      <w:szCs w:val="21"/>
                    </w:rPr>
                  </w:pPr>
                  <w:r>
                    <w:rPr>
                      <w:rFonts w:cs="Times New Roman"/>
                      <w:szCs w:val="21"/>
                    </w:rPr>
                    <w:t>施工期</w:t>
                  </w:r>
                </w:p>
              </w:tc>
              <w:tc>
                <w:tcPr>
                  <w:tcW w:w="3050" w:type="pct"/>
                  <w:noWrap w:val="0"/>
                  <w:vAlign w:val="center"/>
                </w:tcPr>
                <w:p>
                  <w:pPr>
                    <w:rPr>
                      <w:rFonts w:cs="Times New Roman"/>
                      <w:szCs w:val="21"/>
                    </w:rPr>
                  </w:pPr>
                  <w:r>
                    <w:rPr>
                      <w:rFonts w:cs="Times New Roman"/>
                      <w:szCs w:val="21"/>
                    </w:rPr>
                    <w:t>开挖土石方及时回填、覆土，弃渣运至政府指定弃渣场；建筑垃圾分类处理，不能回收的运至建筑垃圾处置场；生活垃圾</w:t>
                  </w:r>
                  <w:r>
                    <w:rPr>
                      <w:rFonts w:hint="eastAsia" w:cs="Times New Roman"/>
                      <w:szCs w:val="21"/>
                    </w:rPr>
                    <w:t>等</w:t>
                  </w:r>
                  <w:r>
                    <w:rPr>
                      <w:rFonts w:cs="Times New Roman"/>
                      <w:szCs w:val="21"/>
                    </w:rPr>
                    <w:t>由环卫部门统一处理</w:t>
                  </w:r>
                </w:p>
              </w:tc>
              <w:tc>
                <w:tcPr>
                  <w:tcW w:w="748" w:type="pct"/>
                  <w:noWrap w:val="0"/>
                  <w:vAlign w:val="center"/>
                </w:tcPr>
                <w:p>
                  <w:pPr>
                    <w:jc w:val="center"/>
                    <w:rPr>
                      <w:rFonts w:cs="Times New Roman"/>
                      <w:szCs w:val="21"/>
                    </w:rPr>
                  </w:pPr>
                  <w:r>
                    <w:rPr>
                      <w:rFonts w:hint="eastAsia" w:cs="Times New Roman"/>
                      <w:szCs w:val="21"/>
                    </w:rPr>
                    <w:t>50</w:t>
                  </w:r>
                  <w:r>
                    <w:rPr>
                      <w:rFonts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0" w:type="pct"/>
                  <w:vMerge w:val="continue"/>
                  <w:noWrap w:val="0"/>
                  <w:vAlign w:val="center"/>
                </w:tcPr>
                <w:p>
                  <w:pPr>
                    <w:jc w:val="center"/>
                    <w:rPr>
                      <w:rFonts w:cs="Times New Roman"/>
                      <w:color w:val="FF00FF"/>
                      <w:szCs w:val="21"/>
                    </w:rPr>
                  </w:pPr>
                </w:p>
              </w:tc>
              <w:tc>
                <w:tcPr>
                  <w:tcW w:w="572" w:type="pct"/>
                  <w:noWrap w:val="0"/>
                  <w:vAlign w:val="center"/>
                </w:tcPr>
                <w:p>
                  <w:pPr>
                    <w:jc w:val="center"/>
                    <w:rPr>
                      <w:rFonts w:cs="Times New Roman"/>
                      <w:szCs w:val="21"/>
                    </w:rPr>
                  </w:pPr>
                  <w:r>
                    <w:rPr>
                      <w:rFonts w:cs="Times New Roman"/>
                      <w:szCs w:val="21"/>
                    </w:rPr>
                    <w:t>营运期</w:t>
                  </w:r>
                </w:p>
              </w:tc>
              <w:tc>
                <w:tcPr>
                  <w:tcW w:w="3050" w:type="pct"/>
                  <w:noWrap w:val="0"/>
                  <w:vAlign w:val="center"/>
                </w:tcPr>
                <w:p>
                  <w:pPr>
                    <w:rPr>
                      <w:rFonts w:cs="Times New Roman"/>
                      <w:szCs w:val="21"/>
                    </w:rPr>
                  </w:pPr>
                  <w:r>
                    <w:rPr>
                      <w:rFonts w:cs="Times New Roman"/>
                      <w:szCs w:val="21"/>
                    </w:rPr>
                    <w:t>生活垃圾经袋装收集后定期交由环卫部门统一清运；</w:t>
                  </w:r>
                  <w:r>
                    <w:rPr>
                      <w:rFonts w:hint="eastAsia" w:cs="Times New Roman"/>
                      <w:szCs w:val="21"/>
                    </w:rPr>
                    <w:t>餐厨垃圾</w:t>
                  </w:r>
                  <w:r>
                    <w:rPr>
                      <w:rFonts w:hint="eastAsia"/>
                      <w:szCs w:val="21"/>
                    </w:rPr>
                    <w:t>委托有合法手续的餐厨垃圾处置单位进行处置；脱水泥饼定期运往达州市建筑垃圾填埋场处理；V型滤池废填料交由厂商回收处理；废包装材料定期交由废品收购站回收。</w:t>
                  </w:r>
                </w:p>
              </w:tc>
              <w:tc>
                <w:tcPr>
                  <w:tcW w:w="748" w:type="pct"/>
                  <w:noWrap w:val="0"/>
                  <w:vAlign w:val="center"/>
                </w:tcPr>
                <w:p>
                  <w:pPr>
                    <w:jc w:val="center"/>
                    <w:rPr>
                      <w:rFonts w:cs="Times New Roman"/>
                      <w:szCs w:val="21"/>
                    </w:rPr>
                  </w:pPr>
                  <w:r>
                    <w:rPr>
                      <w:rFonts w:hint="eastAsia" w:cs="Times New Roman"/>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noWrap w:val="0"/>
                  <w:vAlign w:val="center"/>
                </w:tcPr>
                <w:p>
                  <w:pPr>
                    <w:jc w:val="center"/>
                    <w:rPr>
                      <w:rFonts w:cs="Times New Roman"/>
                      <w:szCs w:val="21"/>
                    </w:rPr>
                  </w:pPr>
                  <w:r>
                    <w:rPr>
                      <w:rFonts w:hint="eastAsia" w:cs="Times New Roman"/>
                      <w:szCs w:val="21"/>
                    </w:rPr>
                    <w:t>地下水</w:t>
                  </w:r>
                </w:p>
              </w:tc>
              <w:tc>
                <w:tcPr>
                  <w:tcW w:w="3622" w:type="pct"/>
                  <w:gridSpan w:val="2"/>
                  <w:noWrap w:val="0"/>
                  <w:vAlign w:val="center"/>
                </w:tcPr>
                <w:p>
                  <w:pPr>
                    <w:rPr>
                      <w:rFonts w:cs="Times New Roman"/>
                      <w:szCs w:val="21"/>
                    </w:rPr>
                  </w:pPr>
                  <w:r>
                    <w:rPr>
                      <w:rFonts w:hint="eastAsia" w:cs="Times New Roman"/>
                      <w:szCs w:val="21"/>
                    </w:rPr>
                    <w:t>分区防渗措施：</w:t>
                  </w:r>
                  <w:r>
                    <w:rPr>
                      <w:rFonts w:cs="Times New Roman"/>
                      <w:szCs w:val="21"/>
                    </w:rPr>
                    <w:t>重点防渗区采用</w:t>
                  </w:r>
                  <w:r>
                    <w:rPr>
                      <w:rFonts w:hint="eastAsia"/>
                      <w:szCs w:val="21"/>
                    </w:rPr>
                    <w:t>防渗混凝土+2mm厚HDPE防渗层进行防渗、防腐处理</w:t>
                  </w:r>
                  <w:r>
                    <w:rPr>
                      <w:rFonts w:cs="Times New Roman"/>
                      <w:szCs w:val="21"/>
                    </w:rPr>
                    <w:t>，一般防渗区采用C30防渗混凝土+黏土防渗层，简单防渗区采取</w:t>
                  </w:r>
                  <w:r>
                    <w:rPr>
                      <w:rFonts w:hint="eastAsia" w:cs="Times New Roman"/>
                      <w:szCs w:val="21"/>
                    </w:rPr>
                    <w:t>混凝土</w:t>
                  </w:r>
                  <w:r>
                    <w:rPr>
                      <w:rFonts w:cs="Times New Roman"/>
                      <w:szCs w:val="21"/>
                    </w:rPr>
                    <w:t>地面硬化</w:t>
                  </w:r>
                </w:p>
              </w:tc>
              <w:tc>
                <w:tcPr>
                  <w:tcW w:w="748" w:type="pct"/>
                  <w:noWrap w:val="0"/>
                  <w:vAlign w:val="center"/>
                </w:tcPr>
                <w:p>
                  <w:pPr>
                    <w:jc w:val="center"/>
                    <w:rPr>
                      <w:rFonts w:cs="Times New Roman"/>
                      <w:szCs w:val="21"/>
                    </w:rPr>
                  </w:pPr>
                  <w:r>
                    <w:rPr>
                      <w:rFonts w:hint="eastAsia" w:cs="Times New Roman"/>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noWrap w:val="0"/>
                  <w:vAlign w:val="center"/>
                </w:tcPr>
                <w:p>
                  <w:pPr>
                    <w:jc w:val="center"/>
                    <w:rPr>
                      <w:rFonts w:cs="Times New Roman"/>
                      <w:szCs w:val="21"/>
                    </w:rPr>
                  </w:pPr>
                  <w:r>
                    <w:rPr>
                      <w:rFonts w:cs="Times New Roman"/>
                      <w:szCs w:val="21"/>
                    </w:rPr>
                    <w:t>环境风险</w:t>
                  </w:r>
                </w:p>
              </w:tc>
              <w:tc>
                <w:tcPr>
                  <w:tcW w:w="3622" w:type="pct"/>
                  <w:gridSpan w:val="2"/>
                  <w:noWrap w:val="0"/>
                  <w:vAlign w:val="center"/>
                </w:tcPr>
                <w:p>
                  <w:pPr>
                    <w:rPr>
                      <w:rFonts w:hint="eastAsia" w:cs="Times New Roman"/>
                      <w:szCs w:val="21"/>
                    </w:rPr>
                  </w:pPr>
                  <w:r>
                    <w:rPr>
                      <w:rFonts w:hint="eastAsia" w:cs="Times New Roman"/>
                      <w:szCs w:val="21"/>
                    </w:rPr>
                    <w:t>柴油发电机房、加氯加药间、应急加药间采取重点防渗，且复合氯酸钠储罐和复合硫酸钠储罐设置1.5m围堰，并设置泄露收集沟和泄露收集坑</w:t>
                  </w:r>
                  <w:r>
                    <w:rPr>
                      <w:rFonts w:hint="eastAsia"/>
                      <w:szCs w:val="21"/>
                    </w:rPr>
                    <w:t>，在厂区配备相应数量灭火器；委托第三方单位定期检测水厂进、出水质；制定环境风险应急预案</w:t>
                  </w:r>
                </w:p>
              </w:tc>
              <w:tc>
                <w:tcPr>
                  <w:tcW w:w="748" w:type="pct"/>
                  <w:noWrap w:val="0"/>
                  <w:vAlign w:val="center"/>
                </w:tcPr>
                <w:p>
                  <w:pPr>
                    <w:jc w:val="center"/>
                    <w:rPr>
                      <w:rFonts w:cs="Times New Roman"/>
                      <w:szCs w:val="21"/>
                    </w:rPr>
                  </w:pPr>
                  <w:r>
                    <w:rPr>
                      <w:rFonts w:hint="eastAsia" w:cs="Times New Roman"/>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noWrap w:val="0"/>
                  <w:vAlign w:val="center"/>
                </w:tcPr>
                <w:p>
                  <w:pPr>
                    <w:jc w:val="center"/>
                    <w:rPr>
                      <w:rFonts w:cs="Times New Roman"/>
                      <w:szCs w:val="21"/>
                    </w:rPr>
                  </w:pPr>
                  <w:r>
                    <w:rPr>
                      <w:rFonts w:hint="eastAsia" w:cs="Times New Roman"/>
                      <w:szCs w:val="21"/>
                    </w:rPr>
                    <w:t>生态保护</w:t>
                  </w:r>
                </w:p>
              </w:tc>
              <w:tc>
                <w:tcPr>
                  <w:tcW w:w="3622" w:type="pct"/>
                  <w:gridSpan w:val="2"/>
                  <w:noWrap w:val="0"/>
                  <w:vAlign w:val="center"/>
                </w:tcPr>
                <w:p>
                  <w:pPr>
                    <w:rPr>
                      <w:rFonts w:cs="Times New Roman"/>
                      <w:szCs w:val="21"/>
                    </w:rPr>
                  </w:pPr>
                  <w:r>
                    <w:rPr>
                      <w:rFonts w:hint="eastAsia" w:cs="Times New Roman"/>
                      <w:szCs w:val="21"/>
                    </w:rPr>
                    <w:t>妥善处理施工期产生的各类污染物，防止对重点地段的生态环境造成较大的污染；做好植被恢复。</w:t>
                  </w:r>
                </w:p>
              </w:tc>
              <w:tc>
                <w:tcPr>
                  <w:tcW w:w="748" w:type="pct"/>
                  <w:noWrap w:val="0"/>
                  <w:vAlign w:val="center"/>
                </w:tcPr>
                <w:p>
                  <w:pPr>
                    <w:jc w:val="center"/>
                    <w:rPr>
                      <w:rFonts w:cs="Times New Roman"/>
                      <w:szCs w:val="21"/>
                    </w:rPr>
                  </w:pPr>
                  <w:r>
                    <w:rPr>
                      <w:rFonts w:hint="eastAsia" w:cs="Times New Roman"/>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noWrap w:val="0"/>
                  <w:vAlign w:val="center"/>
                </w:tcPr>
                <w:p>
                  <w:pPr>
                    <w:pStyle w:val="52"/>
                    <w:ind w:firstLine="0" w:firstLineChars="0"/>
                    <w:rPr>
                      <w:rFonts w:eastAsia="宋体"/>
                      <w:sz w:val="21"/>
                    </w:rPr>
                  </w:pPr>
                  <w:r>
                    <w:rPr>
                      <w:rFonts w:eastAsia="宋体"/>
                      <w:sz w:val="21"/>
                    </w:rPr>
                    <w:t>环境监测</w:t>
                  </w:r>
                </w:p>
              </w:tc>
              <w:tc>
                <w:tcPr>
                  <w:tcW w:w="3622" w:type="pct"/>
                  <w:gridSpan w:val="2"/>
                  <w:noWrap w:val="0"/>
                  <w:vAlign w:val="center"/>
                </w:tcPr>
                <w:p>
                  <w:pPr>
                    <w:jc w:val="center"/>
                    <w:rPr>
                      <w:rFonts w:cs="Times New Roman"/>
                      <w:szCs w:val="21"/>
                    </w:rPr>
                  </w:pPr>
                  <w:r>
                    <w:rPr>
                      <w:rFonts w:cs="Times New Roman"/>
                      <w:szCs w:val="21"/>
                    </w:rPr>
                    <w:t>制定自行监测方案，定期开展污染源监测</w:t>
                  </w:r>
                </w:p>
              </w:tc>
              <w:tc>
                <w:tcPr>
                  <w:tcW w:w="748" w:type="pct"/>
                  <w:noWrap w:val="0"/>
                  <w:vAlign w:val="center"/>
                </w:tcPr>
                <w:p>
                  <w:pPr>
                    <w:jc w:val="center"/>
                    <w:rPr>
                      <w:rFonts w:cs="Times New Roman"/>
                      <w:szCs w:val="21"/>
                    </w:rPr>
                  </w:pPr>
                  <w:r>
                    <w:rPr>
                      <w:rFonts w:hint="eastAsia" w:cs="Times New Roman"/>
                      <w:szCs w:val="21"/>
                    </w:rPr>
                    <w:t>5</w:t>
                  </w:r>
                  <w:r>
                    <w:rPr>
                      <w:rFonts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noWrap w:val="0"/>
                  <w:vAlign w:val="center"/>
                </w:tcPr>
                <w:p>
                  <w:pPr>
                    <w:jc w:val="center"/>
                    <w:rPr>
                      <w:rFonts w:cs="Times New Roman"/>
                      <w:szCs w:val="21"/>
                    </w:rPr>
                  </w:pPr>
                  <w:r>
                    <w:rPr>
                      <w:rFonts w:cs="Times New Roman"/>
                      <w:szCs w:val="21"/>
                    </w:rPr>
                    <w:t>合计</w:t>
                  </w:r>
                </w:p>
              </w:tc>
              <w:tc>
                <w:tcPr>
                  <w:tcW w:w="3622" w:type="pct"/>
                  <w:gridSpan w:val="2"/>
                  <w:noWrap w:val="0"/>
                  <w:vAlign w:val="center"/>
                </w:tcPr>
                <w:p>
                  <w:pPr>
                    <w:jc w:val="center"/>
                    <w:rPr>
                      <w:rFonts w:cs="Times New Roman"/>
                      <w:szCs w:val="21"/>
                    </w:rPr>
                  </w:pPr>
                  <w:r>
                    <w:rPr>
                      <w:rFonts w:cs="Times New Roman"/>
                      <w:szCs w:val="21"/>
                    </w:rPr>
                    <w:t>/</w:t>
                  </w:r>
                </w:p>
              </w:tc>
              <w:tc>
                <w:tcPr>
                  <w:tcW w:w="748" w:type="pct"/>
                  <w:noWrap w:val="0"/>
                  <w:vAlign w:val="center"/>
                </w:tcPr>
                <w:p>
                  <w:pPr>
                    <w:jc w:val="center"/>
                    <w:rPr>
                      <w:rFonts w:cs="Times New Roman"/>
                      <w:szCs w:val="21"/>
                    </w:rPr>
                  </w:pPr>
                  <w:r>
                    <w:rPr>
                      <w:rFonts w:hint="eastAsia" w:cs="Times New Roman"/>
                      <w:szCs w:val="21"/>
                    </w:rPr>
                    <w:t>277.50</w:t>
                  </w:r>
                </w:p>
              </w:tc>
            </w:tr>
          </w:tbl>
          <w:p>
            <w:pPr>
              <w:spacing w:line="276" w:lineRule="auto"/>
              <w:ind w:firstLine="480"/>
              <w:rPr>
                <w:rFonts w:hint="eastAsia" w:cs="Calibri"/>
                <w:color w:val="FF00FF"/>
                <w:szCs w:val="21"/>
              </w:rPr>
            </w:pPr>
          </w:p>
          <w:p>
            <w:pPr>
              <w:spacing w:line="276" w:lineRule="auto"/>
              <w:ind w:firstLine="480"/>
              <w:rPr>
                <w:rFonts w:hint="eastAsia" w:cs="Calibri"/>
                <w:color w:val="FF00FF"/>
                <w:szCs w:val="21"/>
              </w:rPr>
            </w:pPr>
          </w:p>
          <w:p>
            <w:pPr>
              <w:spacing w:line="276" w:lineRule="auto"/>
              <w:ind w:firstLine="480"/>
              <w:rPr>
                <w:rFonts w:hint="eastAsia" w:cs="Calibri"/>
                <w:color w:val="FF00FF"/>
                <w:szCs w:val="21"/>
              </w:rPr>
            </w:pPr>
          </w:p>
          <w:p>
            <w:pPr>
              <w:spacing w:line="276" w:lineRule="auto"/>
              <w:ind w:firstLine="480"/>
              <w:rPr>
                <w:rFonts w:hint="eastAsia" w:cs="Calibri"/>
                <w:color w:val="FF00FF"/>
                <w:szCs w:val="21"/>
              </w:rPr>
            </w:pPr>
          </w:p>
          <w:p>
            <w:pPr>
              <w:spacing w:line="276" w:lineRule="auto"/>
              <w:ind w:firstLine="480"/>
              <w:rPr>
                <w:rFonts w:hint="eastAsia" w:cs="Calibri"/>
                <w:color w:val="FF00FF"/>
                <w:szCs w:val="21"/>
              </w:rPr>
            </w:pPr>
          </w:p>
          <w:p>
            <w:pPr>
              <w:spacing w:line="276" w:lineRule="auto"/>
              <w:ind w:firstLine="480"/>
              <w:rPr>
                <w:rFonts w:hint="eastAsia" w:cs="Calibri"/>
                <w:color w:val="FF00FF"/>
                <w:szCs w:val="21"/>
              </w:rPr>
            </w:pPr>
          </w:p>
          <w:p>
            <w:pPr>
              <w:spacing w:line="276" w:lineRule="auto"/>
              <w:ind w:firstLine="480"/>
              <w:rPr>
                <w:rFonts w:hint="eastAsia" w:cs="Calibri"/>
                <w:color w:val="FF00FF"/>
                <w:szCs w:val="21"/>
              </w:rPr>
            </w:pPr>
          </w:p>
          <w:p>
            <w:pPr>
              <w:spacing w:line="276" w:lineRule="auto"/>
              <w:ind w:firstLine="480"/>
              <w:rPr>
                <w:rFonts w:hint="eastAsia" w:cs="Calibri"/>
                <w:color w:val="FF00FF"/>
                <w:szCs w:val="21"/>
              </w:rPr>
            </w:pPr>
          </w:p>
          <w:p>
            <w:pPr>
              <w:spacing w:line="276" w:lineRule="auto"/>
              <w:ind w:firstLine="480"/>
              <w:rPr>
                <w:rFonts w:hint="eastAsia" w:cs="Calibri"/>
                <w:color w:val="FF00FF"/>
                <w:szCs w:val="21"/>
              </w:rPr>
            </w:pPr>
          </w:p>
          <w:p>
            <w:pPr>
              <w:spacing w:line="276" w:lineRule="auto"/>
              <w:rPr>
                <w:color w:val="FF00FF"/>
                <w:szCs w:val="21"/>
              </w:rPr>
            </w:pPr>
          </w:p>
        </w:tc>
      </w:tr>
    </w:tbl>
    <w:p>
      <w:pPr>
        <w:spacing w:line="276" w:lineRule="auto"/>
        <w:ind w:firstLine="420" w:firstLineChars="200"/>
        <w:rPr>
          <w:color w:val="FF00FF"/>
          <w:szCs w:val="21"/>
        </w:rPr>
      </w:pPr>
    </w:p>
    <w:p>
      <w:pPr>
        <w:ind w:firstLine="420" w:firstLineChars="200"/>
        <w:rPr>
          <w:rFonts w:hint="eastAsia"/>
          <w:color w:val="FF00FF"/>
          <w:szCs w:val="21"/>
        </w:rPr>
        <w:sectPr>
          <w:pgSz w:w="11906" w:h="16838"/>
          <w:pgMar w:top="1134" w:right="1418" w:bottom="1134" w:left="1134" w:header="851" w:footer="992" w:gutter="0"/>
          <w:cols w:space="720" w:num="1"/>
          <w:docGrid w:type="lines" w:linePitch="312" w:charSpace="0"/>
        </w:sectPr>
      </w:pPr>
    </w:p>
    <w:p>
      <w:pPr>
        <w:pStyle w:val="60"/>
        <w:jc w:val="center"/>
        <w:rPr>
          <w:rFonts w:ascii="黑体" w:hAnsi="黑体" w:eastAsia="黑体"/>
          <w:b w:val="0"/>
          <w:sz w:val="30"/>
          <w:szCs w:val="30"/>
        </w:rPr>
      </w:pPr>
      <w:r>
        <w:rPr>
          <w:rFonts w:hint="eastAsia" w:ascii="黑体" w:hAnsi="黑体" w:eastAsia="黑体"/>
          <w:b/>
          <w:sz w:val="30"/>
          <w:szCs w:val="30"/>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394335</wp:posOffset>
                </wp:positionV>
                <wp:extent cx="875030" cy="463550"/>
                <wp:effectExtent l="2540" t="4445" r="17780" b="8255"/>
                <wp:wrapNone/>
                <wp:docPr id="45" name="直接连接符 45"/>
                <wp:cNvGraphicFramePr/>
                <a:graphic xmlns:a="http://schemas.openxmlformats.org/drawingml/2006/main">
                  <a:graphicData uri="http://schemas.microsoft.com/office/word/2010/wordprocessingShape">
                    <wps:wsp>
                      <wps:cNvCnPr/>
                      <wps:spPr>
                        <a:xfrm>
                          <a:off x="0" y="0"/>
                          <a:ext cx="875030" cy="46355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1.15pt;margin-top:31.05pt;height:36.5pt;width:68.9pt;z-index:251659264;mso-width-relative:page;mso-height-relative:page;" filled="f" stroked="t" coordsize="21600,21600" o:gfxdata="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J0JSdcAAAAJ&#10;AQAADwAAAAAAAAABACAAAAAiAAAAZHJzL2Rvd25yZXYueG1sUEsBAhQAFAAAAAgAh07iQH6OoGzk&#10;AQAArgMAAA4AAAAAAAAAAQAgAAAAJgEAAGRycy9lMm9Eb2MueG1sUEsFBgAAAAAGAAYAWQEAAHwF&#10;AAAAAA==&#10;">
                <v:fill on="f" focussize="0,0"/>
                <v:stroke color="#000000" joinstyle="round"/>
                <v:imagedata o:title=""/>
                <o:lock v:ext="edit" aspectratio="f"/>
              </v:line>
            </w:pict>
          </mc:Fallback>
        </mc:AlternateContent>
      </w:r>
      <w:r>
        <w:rPr>
          <w:rFonts w:hint="eastAsia" w:ascii="黑体" w:hAnsi="黑体" w:eastAsia="黑体"/>
          <w:b w:val="0"/>
          <w:sz w:val="30"/>
          <w:szCs w:val="30"/>
        </w:rPr>
        <w:t>五、环境保护措施监督检查清单</w:t>
      </w:r>
    </w:p>
    <w:tbl>
      <w:tblPr>
        <w:tblStyle w:val="26"/>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62"/>
        <w:gridCol w:w="1716"/>
        <w:gridCol w:w="1059"/>
        <w:gridCol w:w="3316"/>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noWrap w:val="0"/>
            <w:vAlign w:val="center"/>
          </w:tcPr>
          <w:p>
            <w:pPr>
              <w:spacing w:line="276" w:lineRule="auto"/>
              <w:jc w:val="right"/>
              <w:rPr>
                <w:rFonts w:cs="Times New Roman"/>
                <w:b/>
                <w:bCs/>
                <w:szCs w:val="21"/>
              </w:rPr>
            </w:pPr>
            <w:r>
              <w:rPr>
                <w:rFonts w:cs="Times New Roman"/>
                <w:b/>
                <w:bCs/>
                <w:szCs w:val="21"/>
              </w:rPr>
              <w:t>内容</w:t>
            </w:r>
          </w:p>
          <w:p>
            <w:pPr>
              <w:spacing w:line="276" w:lineRule="auto"/>
              <w:rPr>
                <w:rFonts w:cs="Times New Roman"/>
                <w:b/>
                <w:bCs/>
                <w:szCs w:val="21"/>
              </w:rPr>
            </w:pPr>
            <w:r>
              <w:rPr>
                <w:rFonts w:hint="eastAsia" w:cs="Times New Roman"/>
                <w:b/>
                <w:bCs/>
                <w:szCs w:val="21"/>
              </w:rPr>
              <w:t>要素</w:t>
            </w:r>
          </w:p>
        </w:tc>
        <w:tc>
          <w:tcPr>
            <w:tcW w:w="1716" w:type="dxa"/>
            <w:noWrap w:val="0"/>
            <w:vAlign w:val="center"/>
          </w:tcPr>
          <w:p>
            <w:pPr>
              <w:spacing w:line="276" w:lineRule="auto"/>
              <w:jc w:val="center"/>
              <w:rPr>
                <w:rFonts w:cs="Times New Roman"/>
                <w:b/>
                <w:bCs/>
                <w:szCs w:val="21"/>
              </w:rPr>
            </w:pPr>
            <w:r>
              <w:rPr>
                <w:rFonts w:cs="Times New Roman"/>
                <w:b/>
                <w:bCs/>
                <w:szCs w:val="21"/>
              </w:rPr>
              <w:t>排放口</w:t>
            </w:r>
            <w:r>
              <w:rPr>
                <w:rFonts w:hint="eastAsia" w:cs="Times New Roman"/>
                <w:b/>
                <w:bCs/>
                <w:szCs w:val="21"/>
              </w:rPr>
              <w:t>（</w:t>
            </w:r>
            <w:r>
              <w:rPr>
                <w:rFonts w:cs="Times New Roman"/>
                <w:b/>
                <w:bCs/>
                <w:szCs w:val="21"/>
              </w:rPr>
              <w:t>编号</w:t>
            </w:r>
            <w:r>
              <w:rPr>
                <w:rFonts w:hint="eastAsia" w:cs="Times New Roman"/>
                <w:b/>
                <w:bCs/>
                <w:szCs w:val="21"/>
              </w:rPr>
              <w:t>、</w:t>
            </w:r>
            <w:r>
              <w:rPr>
                <w:rFonts w:cs="Times New Roman"/>
                <w:b/>
                <w:bCs/>
                <w:szCs w:val="21"/>
              </w:rPr>
              <w:t>名称</w:t>
            </w:r>
            <w:r>
              <w:rPr>
                <w:rFonts w:hint="eastAsia" w:cs="Times New Roman"/>
                <w:b/>
                <w:bCs/>
                <w:szCs w:val="21"/>
              </w:rPr>
              <w:t>）/污染源</w:t>
            </w:r>
          </w:p>
        </w:tc>
        <w:tc>
          <w:tcPr>
            <w:tcW w:w="1059" w:type="dxa"/>
            <w:noWrap w:val="0"/>
            <w:vAlign w:val="center"/>
          </w:tcPr>
          <w:p>
            <w:pPr>
              <w:spacing w:line="276" w:lineRule="auto"/>
              <w:jc w:val="center"/>
              <w:rPr>
                <w:rFonts w:cs="Times New Roman"/>
                <w:b/>
                <w:bCs/>
                <w:szCs w:val="21"/>
              </w:rPr>
            </w:pPr>
            <w:r>
              <w:rPr>
                <w:rFonts w:cs="Times New Roman"/>
                <w:b/>
                <w:bCs/>
                <w:szCs w:val="21"/>
              </w:rPr>
              <w:t>污染物项目</w:t>
            </w:r>
          </w:p>
        </w:tc>
        <w:tc>
          <w:tcPr>
            <w:tcW w:w="3316" w:type="dxa"/>
            <w:noWrap w:val="0"/>
            <w:vAlign w:val="center"/>
          </w:tcPr>
          <w:p>
            <w:pPr>
              <w:spacing w:line="276" w:lineRule="auto"/>
              <w:jc w:val="center"/>
              <w:rPr>
                <w:rFonts w:cs="Times New Roman"/>
                <w:b/>
                <w:bCs/>
                <w:szCs w:val="21"/>
              </w:rPr>
            </w:pPr>
            <w:r>
              <w:rPr>
                <w:rFonts w:cs="Times New Roman"/>
                <w:b/>
                <w:bCs/>
                <w:szCs w:val="21"/>
              </w:rPr>
              <w:t>环境保护措施</w:t>
            </w:r>
          </w:p>
        </w:tc>
        <w:tc>
          <w:tcPr>
            <w:tcW w:w="1896" w:type="dxa"/>
            <w:noWrap w:val="0"/>
            <w:vAlign w:val="center"/>
          </w:tcPr>
          <w:p>
            <w:pPr>
              <w:spacing w:line="276" w:lineRule="auto"/>
              <w:jc w:val="center"/>
              <w:rPr>
                <w:rFonts w:cs="Times New Roman"/>
                <w:b/>
                <w:bCs/>
                <w:szCs w:val="21"/>
              </w:rPr>
            </w:pPr>
            <w:r>
              <w:rPr>
                <w:rFonts w:hint="eastAsia" w:cs="Times New Roman"/>
                <w:b/>
                <w:bCs/>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restart"/>
            <w:noWrap w:val="0"/>
            <w:vAlign w:val="center"/>
          </w:tcPr>
          <w:p>
            <w:pPr>
              <w:spacing w:line="276" w:lineRule="auto"/>
              <w:jc w:val="center"/>
              <w:rPr>
                <w:rFonts w:cs="Times New Roman"/>
                <w:szCs w:val="21"/>
              </w:rPr>
            </w:pPr>
            <w:r>
              <w:rPr>
                <w:rFonts w:cs="Times New Roman"/>
                <w:szCs w:val="21"/>
              </w:rPr>
              <w:t>大气环境</w:t>
            </w:r>
          </w:p>
        </w:tc>
        <w:tc>
          <w:tcPr>
            <w:tcW w:w="1716" w:type="dxa"/>
            <w:noWrap w:val="0"/>
            <w:vAlign w:val="center"/>
          </w:tcPr>
          <w:p>
            <w:pPr>
              <w:tabs>
                <w:tab w:val="left" w:pos="993"/>
                <w:tab w:val="left" w:pos="1134"/>
              </w:tabs>
              <w:jc w:val="center"/>
              <w:rPr>
                <w:rFonts w:cs="Times New Roman"/>
                <w:bCs/>
                <w:szCs w:val="21"/>
              </w:rPr>
            </w:pPr>
            <w:r>
              <w:rPr>
                <w:rFonts w:cs="Times New Roman"/>
                <w:bCs/>
                <w:szCs w:val="21"/>
              </w:rPr>
              <w:t>食堂油烟</w:t>
            </w:r>
          </w:p>
        </w:tc>
        <w:tc>
          <w:tcPr>
            <w:tcW w:w="1059" w:type="dxa"/>
            <w:noWrap w:val="0"/>
            <w:vAlign w:val="center"/>
          </w:tcPr>
          <w:p>
            <w:pPr>
              <w:jc w:val="center"/>
              <w:rPr>
                <w:rFonts w:cs="Times New Roman"/>
                <w:szCs w:val="21"/>
              </w:rPr>
            </w:pPr>
            <w:r>
              <w:rPr>
                <w:rFonts w:hint="eastAsia"/>
                <w:szCs w:val="21"/>
              </w:rPr>
              <w:t>油烟</w:t>
            </w:r>
          </w:p>
        </w:tc>
        <w:tc>
          <w:tcPr>
            <w:tcW w:w="3316" w:type="dxa"/>
            <w:noWrap w:val="0"/>
            <w:vAlign w:val="center"/>
          </w:tcPr>
          <w:p>
            <w:pPr>
              <w:tabs>
                <w:tab w:val="left" w:pos="993"/>
                <w:tab w:val="left" w:pos="1134"/>
              </w:tabs>
              <w:jc w:val="center"/>
              <w:rPr>
                <w:rFonts w:cs="Times New Roman"/>
                <w:bCs/>
                <w:szCs w:val="21"/>
              </w:rPr>
            </w:pPr>
            <w:r>
              <w:rPr>
                <w:rFonts w:cs="Times New Roman"/>
                <w:szCs w:val="21"/>
                <w:lang w:bidi="ar"/>
              </w:rPr>
              <w:t>安装1套</w:t>
            </w:r>
            <w:r>
              <w:rPr>
                <w:rFonts w:hint="eastAsia" w:cs="Times New Roman"/>
                <w:szCs w:val="21"/>
                <w:lang w:bidi="ar"/>
              </w:rPr>
              <w:t>油烟净化器</w:t>
            </w:r>
            <w:r>
              <w:rPr>
                <w:rFonts w:cs="Times New Roman"/>
                <w:bCs/>
                <w:szCs w:val="21"/>
              </w:rPr>
              <w:t>处理食堂油烟</w:t>
            </w:r>
            <w:r>
              <w:rPr>
                <w:rFonts w:hint="eastAsia" w:cs="Times New Roman"/>
                <w:bCs/>
                <w:szCs w:val="21"/>
              </w:rPr>
              <w:t>，处理后，废气引至楼顶排放</w:t>
            </w:r>
          </w:p>
        </w:tc>
        <w:tc>
          <w:tcPr>
            <w:tcW w:w="1896" w:type="dxa"/>
            <w:noWrap w:val="0"/>
            <w:vAlign w:val="center"/>
          </w:tcPr>
          <w:p>
            <w:pPr>
              <w:spacing w:line="276" w:lineRule="auto"/>
              <w:jc w:val="center"/>
              <w:rPr>
                <w:rFonts w:cs="Times New Roman"/>
                <w:szCs w:val="21"/>
              </w:rPr>
            </w:pPr>
            <w:r>
              <w:rPr>
                <w:rFonts w:hint="eastAsia" w:cs="Times New Roman"/>
                <w:szCs w:val="21"/>
              </w:rPr>
              <w:t>《饮食业油烟排放标准》（GB18483-2001）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continue"/>
            <w:noWrap w:val="0"/>
            <w:vAlign w:val="center"/>
          </w:tcPr>
          <w:p>
            <w:pPr>
              <w:spacing w:line="276" w:lineRule="auto"/>
              <w:jc w:val="center"/>
              <w:rPr>
                <w:rFonts w:cs="Times New Roman"/>
                <w:color w:val="FF00FF"/>
                <w:szCs w:val="21"/>
              </w:rPr>
            </w:pPr>
          </w:p>
        </w:tc>
        <w:tc>
          <w:tcPr>
            <w:tcW w:w="1716" w:type="dxa"/>
            <w:noWrap w:val="0"/>
            <w:vAlign w:val="center"/>
          </w:tcPr>
          <w:p>
            <w:pPr>
              <w:tabs>
                <w:tab w:val="left" w:pos="993"/>
                <w:tab w:val="left" w:pos="1134"/>
              </w:tabs>
              <w:jc w:val="center"/>
              <w:rPr>
                <w:rFonts w:cs="Times New Roman"/>
                <w:bCs/>
                <w:szCs w:val="21"/>
              </w:rPr>
            </w:pPr>
            <w:r>
              <w:rPr>
                <w:rFonts w:hint="eastAsia" w:cs="Times New Roman"/>
                <w:szCs w:val="21"/>
                <w:lang w:bidi="ar"/>
              </w:rPr>
              <w:t>柴油发电机尾气</w:t>
            </w:r>
          </w:p>
        </w:tc>
        <w:tc>
          <w:tcPr>
            <w:tcW w:w="1059" w:type="dxa"/>
            <w:noWrap w:val="0"/>
            <w:vAlign w:val="center"/>
          </w:tcPr>
          <w:p>
            <w:pPr>
              <w:jc w:val="center"/>
              <w:rPr>
                <w:szCs w:val="21"/>
              </w:rPr>
            </w:pPr>
            <w:r>
              <w:rPr>
                <w:rFonts w:hint="eastAsia" w:cs="Times New Roman"/>
                <w:szCs w:val="21"/>
              </w:rPr>
              <w:t>SO</w:t>
            </w:r>
            <w:r>
              <w:rPr>
                <w:rFonts w:hint="eastAsia" w:cs="Times New Roman"/>
                <w:szCs w:val="21"/>
                <w:vertAlign w:val="subscript"/>
              </w:rPr>
              <w:t>2</w:t>
            </w:r>
            <w:r>
              <w:rPr>
                <w:rFonts w:hint="eastAsia" w:cs="Times New Roman"/>
                <w:szCs w:val="21"/>
              </w:rPr>
              <w:t>、NO</w:t>
            </w:r>
            <w:r>
              <w:rPr>
                <w:rFonts w:hint="eastAsia" w:cs="Times New Roman"/>
                <w:szCs w:val="21"/>
                <w:vertAlign w:val="subscript"/>
              </w:rPr>
              <w:t>x</w:t>
            </w:r>
            <w:r>
              <w:rPr>
                <w:rFonts w:hint="eastAsia" w:cs="Times New Roman"/>
                <w:szCs w:val="21"/>
              </w:rPr>
              <w:t>、烟尘</w:t>
            </w:r>
          </w:p>
        </w:tc>
        <w:tc>
          <w:tcPr>
            <w:tcW w:w="3316" w:type="dxa"/>
            <w:noWrap w:val="0"/>
            <w:vAlign w:val="center"/>
          </w:tcPr>
          <w:p>
            <w:pPr>
              <w:jc w:val="center"/>
              <w:rPr>
                <w:rFonts w:hint="eastAsia" w:cs="Times New Roman"/>
                <w:szCs w:val="21"/>
              </w:rPr>
            </w:pPr>
            <w:r>
              <w:rPr>
                <w:rFonts w:hint="eastAsia" w:cs="Times New Roman"/>
                <w:bCs/>
                <w:szCs w:val="21"/>
              </w:rPr>
              <w:t>废气引至楼顶排放</w:t>
            </w:r>
          </w:p>
          <w:p>
            <w:pPr>
              <w:tabs>
                <w:tab w:val="left" w:pos="993"/>
                <w:tab w:val="left" w:pos="1134"/>
              </w:tabs>
              <w:jc w:val="center"/>
              <w:rPr>
                <w:rFonts w:cs="Times New Roman"/>
                <w:szCs w:val="21"/>
                <w:lang w:bidi="ar"/>
              </w:rPr>
            </w:pPr>
          </w:p>
        </w:tc>
        <w:tc>
          <w:tcPr>
            <w:tcW w:w="1896" w:type="dxa"/>
            <w:noWrap w:val="0"/>
            <w:vAlign w:val="center"/>
          </w:tcPr>
          <w:p>
            <w:pPr>
              <w:spacing w:line="276" w:lineRule="auto"/>
              <w:jc w:val="center"/>
              <w:rPr>
                <w:rFonts w:hint="eastAsia" w:cs="Times New Roman"/>
                <w:szCs w:val="21"/>
              </w:rPr>
            </w:pPr>
            <w:r>
              <w:rPr>
                <w:rFonts w:hint="eastAsia" w:cs="Times New Roman"/>
                <w:szCs w:val="21"/>
              </w:rPr>
              <w:t>《大气污染物综合排放标准》（GB 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5" w:hRule="atLeast"/>
          <w:jc w:val="center"/>
        </w:trPr>
        <w:tc>
          <w:tcPr>
            <w:tcW w:w="1362" w:type="dxa"/>
            <w:vMerge w:val="restart"/>
            <w:noWrap w:val="0"/>
            <w:vAlign w:val="center"/>
          </w:tcPr>
          <w:p>
            <w:pPr>
              <w:spacing w:line="276" w:lineRule="auto"/>
              <w:jc w:val="center"/>
              <w:rPr>
                <w:rFonts w:hint="eastAsia" w:cs="Times New Roman"/>
                <w:szCs w:val="21"/>
              </w:rPr>
            </w:pPr>
            <w:r>
              <w:rPr>
                <w:rFonts w:cs="Times New Roman"/>
                <w:szCs w:val="21"/>
              </w:rPr>
              <w:t>地表水</w:t>
            </w:r>
          </w:p>
          <w:p>
            <w:pPr>
              <w:spacing w:line="276" w:lineRule="auto"/>
              <w:jc w:val="center"/>
              <w:rPr>
                <w:rFonts w:cs="Times New Roman"/>
                <w:szCs w:val="21"/>
              </w:rPr>
            </w:pPr>
            <w:r>
              <w:rPr>
                <w:rFonts w:cs="Times New Roman"/>
                <w:szCs w:val="21"/>
              </w:rPr>
              <w:t>环境</w:t>
            </w:r>
          </w:p>
        </w:tc>
        <w:tc>
          <w:tcPr>
            <w:tcW w:w="1716" w:type="dxa"/>
            <w:noWrap w:val="0"/>
            <w:vAlign w:val="center"/>
          </w:tcPr>
          <w:p>
            <w:pPr>
              <w:tabs>
                <w:tab w:val="left" w:pos="993"/>
                <w:tab w:val="left" w:pos="1134"/>
              </w:tabs>
              <w:jc w:val="center"/>
              <w:rPr>
                <w:rFonts w:cs="Times New Roman"/>
                <w:bCs/>
                <w:szCs w:val="21"/>
              </w:rPr>
            </w:pPr>
            <w:r>
              <w:rPr>
                <w:rFonts w:hint="eastAsia" w:cs="Times New Roman"/>
                <w:bCs/>
                <w:szCs w:val="21"/>
              </w:rPr>
              <w:t>生活污水</w:t>
            </w:r>
          </w:p>
        </w:tc>
        <w:tc>
          <w:tcPr>
            <w:tcW w:w="1059" w:type="dxa"/>
            <w:vMerge w:val="restart"/>
            <w:noWrap w:val="0"/>
            <w:vAlign w:val="center"/>
          </w:tcPr>
          <w:p>
            <w:pPr>
              <w:spacing w:line="276" w:lineRule="auto"/>
              <w:jc w:val="center"/>
              <w:rPr>
                <w:rFonts w:cs="Times New Roman"/>
                <w:szCs w:val="21"/>
              </w:rPr>
            </w:pPr>
            <w:r>
              <w:rPr>
                <w:szCs w:val="21"/>
              </w:rPr>
              <w:t>pH、COD、BOD</w:t>
            </w:r>
            <w:r>
              <w:rPr>
                <w:szCs w:val="21"/>
                <w:vertAlign w:val="subscript"/>
              </w:rPr>
              <w:t>5</w:t>
            </w:r>
            <w:r>
              <w:rPr>
                <w:szCs w:val="21"/>
              </w:rPr>
              <w:t>、NH</w:t>
            </w:r>
            <w:r>
              <w:rPr>
                <w:szCs w:val="21"/>
                <w:vertAlign w:val="subscript"/>
              </w:rPr>
              <w:t>3</w:t>
            </w:r>
            <w:r>
              <w:rPr>
                <w:szCs w:val="21"/>
              </w:rPr>
              <w:t>-N</w:t>
            </w:r>
            <w:r>
              <w:rPr>
                <w:rFonts w:hint="eastAsia"/>
                <w:szCs w:val="21"/>
              </w:rPr>
              <w:t>、动植物油</w:t>
            </w:r>
          </w:p>
        </w:tc>
        <w:tc>
          <w:tcPr>
            <w:tcW w:w="3316" w:type="dxa"/>
            <w:vMerge w:val="restart"/>
            <w:noWrap w:val="0"/>
            <w:vAlign w:val="center"/>
          </w:tcPr>
          <w:p>
            <w:pPr>
              <w:spacing w:line="276" w:lineRule="auto"/>
              <w:jc w:val="center"/>
              <w:rPr>
                <w:rFonts w:cs="Times New Roman"/>
                <w:szCs w:val="21"/>
              </w:rPr>
            </w:pPr>
            <w:r>
              <w:rPr>
                <w:rFonts w:hint="eastAsia" w:cs="Times New Roman"/>
                <w:bCs/>
                <w:szCs w:val="21"/>
              </w:rPr>
              <w:t>食堂废水经隔油池（容积约10m</w:t>
            </w:r>
            <w:r>
              <w:rPr>
                <w:rFonts w:hint="eastAsia" w:cs="Times New Roman"/>
                <w:bCs/>
                <w:szCs w:val="21"/>
                <w:vertAlign w:val="superscript"/>
              </w:rPr>
              <w:t>3</w:t>
            </w:r>
            <w:r>
              <w:rPr>
                <w:rFonts w:hint="eastAsia" w:cs="Times New Roman"/>
                <w:bCs/>
                <w:szCs w:val="21"/>
              </w:rPr>
              <w:t>）处理后同生活污水一同进入化粪池（容积约20m</w:t>
            </w:r>
            <w:r>
              <w:rPr>
                <w:rFonts w:hint="eastAsia" w:cs="Times New Roman"/>
                <w:bCs/>
                <w:szCs w:val="21"/>
                <w:vertAlign w:val="superscript"/>
              </w:rPr>
              <w:t>3</w:t>
            </w:r>
            <w:r>
              <w:rPr>
                <w:rFonts w:hint="eastAsia" w:cs="Times New Roman"/>
                <w:bCs/>
                <w:szCs w:val="21"/>
              </w:rPr>
              <w:t>）</w:t>
            </w:r>
            <w:r>
              <w:rPr>
                <w:rFonts w:cs="Times New Roman"/>
                <w:szCs w:val="21"/>
              </w:rPr>
              <w:t>处理后</w:t>
            </w:r>
            <w:r>
              <w:rPr>
                <w:rFonts w:hint="eastAsia" w:cs="Times New Roman"/>
                <w:szCs w:val="21"/>
              </w:rPr>
              <w:t>，排入市政管网进入达州市污水处理厂处理后排放</w:t>
            </w:r>
          </w:p>
        </w:tc>
        <w:tc>
          <w:tcPr>
            <w:tcW w:w="1896" w:type="dxa"/>
            <w:vMerge w:val="restart"/>
            <w:noWrap w:val="0"/>
            <w:vAlign w:val="center"/>
          </w:tcPr>
          <w:p>
            <w:pPr>
              <w:spacing w:line="276" w:lineRule="auto"/>
              <w:jc w:val="center"/>
              <w:rPr>
                <w:rFonts w:hint="eastAsia" w:cs="Times New Roman"/>
                <w:szCs w:val="21"/>
              </w:rPr>
            </w:pPr>
            <w:r>
              <w:rPr>
                <w:rFonts w:hint="eastAsia" w:cs="Times New Roman"/>
                <w:szCs w:val="21"/>
              </w:rPr>
              <w:t>《污水综合排放标准》（GB8978-1996）三级标准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continue"/>
            <w:noWrap w:val="0"/>
            <w:vAlign w:val="center"/>
          </w:tcPr>
          <w:p>
            <w:pPr>
              <w:spacing w:line="276" w:lineRule="auto"/>
              <w:jc w:val="center"/>
              <w:rPr>
                <w:rFonts w:cs="Times New Roman"/>
                <w:color w:val="FF00FF"/>
                <w:szCs w:val="21"/>
              </w:rPr>
            </w:pPr>
          </w:p>
        </w:tc>
        <w:tc>
          <w:tcPr>
            <w:tcW w:w="1716" w:type="dxa"/>
            <w:noWrap w:val="0"/>
            <w:vAlign w:val="center"/>
          </w:tcPr>
          <w:p>
            <w:pPr>
              <w:tabs>
                <w:tab w:val="left" w:pos="993"/>
                <w:tab w:val="left" w:pos="1134"/>
              </w:tabs>
              <w:jc w:val="center"/>
              <w:rPr>
                <w:rFonts w:cs="Times New Roman"/>
                <w:bCs/>
                <w:szCs w:val="21"/>
              </w:rPr>
            </w:pPr>
            <w:r>
              <w:rPr>
                <w:rFonts w:hint="eastAsia" w:cs="Times New Roman"/>
                <w:bCs/>
                <w:szCs w:val="21"/>
              </w:rPr>
              <w:t>食堂废水</w:t>
            </w:r>
          </w:p>
        </w:tc>
        <w:tc>
          <w:tcPr>
            <w:tcW w:w="1059" w:type="dxa"/>
            <w:vMerge w:val="continue"/>
            <w:noWrap w:val="0"/>
            <w:vAlign w:val="center"/>
          </w:tcPr>
          <w:p>
            <w:pPr>
              <w:spacing w:line="276" w:lineRule="auto"/>
              <w:jc w:val="center"/>
              <w:rPr>
                <w:rFonts w:cs="Times New Roman"/>
                <w:szCs w:val="21"/>
              </w:rPr>
            </w:pPr>
          </w:p>
        </w:tc>
        <w:tc>
          <w:tcPr>
            <w:tcW w:w="3316" w:type="dxa"/>
            <w:vMerge w:val="continue"/>
            <w:noWrap w:val="0"/>
            <w:vAlign w:val="center"/>
          </w:tcPr>
          <w:p>
            <w:pPr>
              <w:spacing w:line="276" w:lineRule="auto"/>
              <w:jc w:val="center"/>
              <w:rPr>
                <w:rFonts w:cs="Times New Roman"/>
                <w:szCs w:val="21"/>
              </w:rPr>
            </w:pPr>
          </w:p>
        </w:tc>
        <w:tc>
          <w:tcPr>
            <w:tcW w:w="1896" w:type="dxa"/>
            <w:vMerge w:val="continue"/>
            <w:noWrap w:val="0"/>
            <w:vAlign w:val="center"/>
          </w:tcPr>
          <w:p>
            <w:pPr>
              <w:spacing w:line="276" w:lineRule="auto"/>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continue"/>
            <w:noWrap w:val="0"/>
            <w:vAlign w:val="center"/>
          </w:tcPr>
          <w:p>
            <w:pPr>
              <w:spacing w:line="276" w:lineRule="auto"/>
              <w:jc w:val="center"/>
              <w:rPr>
                <w:rFonts w:cs="Times New Roman"/>
                <w:color w:val="FF00FF"/>
                <w:szCs w:val="21"/>
              </w:rPr>
            </w:pPr>
          </w:p>
        </w:tc>
        <w:tc>
          <w:tcPr>
            <w:tcW w:w="1716" w:type="dxa"/>
            <w:noWrap w:val="0"/>
            <w:vAlign w:val="center"/>
          </w:tcPr>
          <w:p>
            <w:pPr>
              <w:tabs>
                <w:tab w:val="left" w:pos="993"/>
                <w:tab w:val="left" w:pos="1134"/>
              </w:tabs>
              <w:jc w:val="center"/>
              <w:rPr>
                <w:rFonts w:hint="eastAsia" w:cs="Times New Roman"/>
                <w:bCs/>
                <w:szCs w:val="21"/>
              </w:rPr>
            </w:pPr>
            <w:r>
              <w:rPr>
                <w:rFonts w:hint="eastAsia" w:cs="Times New Roman"/>
                <w:bCs/>
                <w:szCs w:val="21"/>
              </w:rPr>
              <w:t>絮凝沉淀池排泥废水、V型滤池初滤水及反冲洗废水</w:t>
            </w:r>
          </w:p>
        </w:tc>
        <w:tc>
          <w:tcPr>
            <w:tcW w:w="1059" w:type="dxa"/>
            <w:noWrap w:val="0"/>
            <w:vAlign w:val="center"/>
          </w:tcPr>
          <w:p>
            <w:pPr>
              <w:spacing w:line="276" w:lineRule="auto"/>
              <w:jc w:val="center"/>
              <w:rPr>
                <w:rFonts w:cs="Times New Roman"/>
                <w:szCs w:val="21"/>
              </w:rPr>
            </w:pPr>
            <w:r>
              <w:rPr>
                <w:szCs w:val="21"/>
              </w:rPr>
              <w:t>COD</w:t>
            </w:r>
            <w:r>
              <w:rPr>
                <w:rFonts w:hint="eastAsia"/>
                <w:szCs w:val="21"/>
              </w:rPr>
              <w:t>、</w:t>
            </w:r>
            <w:r>
              <w:rPr>
                <w:szCs w:val="21"/>
              </w:rPr>
              <w:t>NH</w:t>
            </w:r>
            <w:r>
              <w:rPr>
                <w:szCs w:val="21"/>
                <w:vertAlign w:val="subscript"/>
              </w:rPr>
              <w:t>3</w:t>
            </w:r>
            <w:r>
              <w:rPr>
                <w:rFonts w:hint="eastAsia"/>
                <w:szCs w:val="21"/>
              </w:rPr>
              <w:t>-</w:t>
            </w:r>
            <w:r>
              <w:rPr>
                <w:szCs w:val="21"/>
              </w:rPr>
              <w:t>N</w:t>
            </w:r>
            <w:r>
              <w:rPr>
                <w:rFonts w:hint="eastAsia"/>
                <w:szCs w:val="21"/>
              </w:rPr>
              <w:t>、SS</w:t>
            </w:r>
          </w:p>
        </w:tc>
        <w:tc>
          <w:tcPr>
            <w:tcW w:w="3316" w:type="dxa"/>
            <w:noWrap w:val="0"/>
            <w:vAlign w:val="center"/>
          </w:tcPr>
          <w:p>
            <w:pPr>
              <w:tabs>
                <w:tab w:val="left" w:pos="993"/>
                <w:tab w:val="left" w:pos="1134"/>
              </w:tabs>
              <w:jc w:val="center"/>
              <w:rPr>
                <w:rFonts w:cs="Times New Roman"/>
                <w:bCs/>
                <w:szCs w:val="21"/>
              </w:rPr>
            </w:pPr>
            <w:r>
              <w:rPr>
                <w:rFonts w:hint="eastAsia"/>
                <w:szCs w:val="21"/>
              </w:rPr>
              <w:t>V型滤池初滤水、反冲洗废水进入回收水池，回收废水经提升泵回流至水厂配水井回用于自来水生产。</w:t>
            </w:r>
          </w:p>
        </w:tc>
        <w:tc>
          <w:tcPr>
            <w:tcW w:w="1896" w:type="dxa"/>
            <w:noWrap w:val="0"/>
            <w:vAlign w:val="center"/>
          </w:tcPr>
          <w:p>
            <w:pPr>
              <w:spacing w:line="276" w:lineRule="auto"/>
              <w:jc w:val="center"/>
              <w:rPr>
                <w:rFonts w:cs="Times New Roman"/>
                <w:szCs w:val="21"/>
              </w:rPr>
            </w:pP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continue"/>
            <w:noWrap w:val="0"/>
            <w:vAlign w:val="center"/>
          </w:tcPr>
          <w:p>
            <w:pPr>
              <w:spacing w:line="276" w:lineRule="auto"/>
              <w:jc w:val="center"/>
              <w:rPr>
                <w:rFonts w:cs="Times New Roman"/>
                <w:color w:val="FF00FF"/>
                <w:szCs w:val="21"/>
              </w:rPr>
            </w:pPr>
          </w:p>
        </w:tc>
        <w:tc>
          <w:tcPr>
            <w:tcW w:w="1716" w:type="dxa"/>
            <w:noWrap w:val="0"/>
            <w:vAlign w:val="center"/>
          </w:tcPr>
          <w:p>
            <w:pPr>
              <w:tabs>
                <w:tab w:val="left" w:pos="993"/>
                <w:tab w:val="left" w:pos="1134"/>
              </w:tabs>
              <w:jc w:val="center"/>
              <w:rPr>
                <w:rFonts w:hint="eastAsia" w:cs="Times New Roman"/>
                <w:bCs/>
                <w:szCs w:val="21"/>
              </w:rPr>
            </w:pPr>
            <w:r>
              <w:rPr>
                <w:rFonts w:hint="eastAsia" w:cs="Times New Roman"/>
                <w:bCs/>
                <w:szCs w:val="21"/>
              </w:rPr>
              <w:t>污泥浓缩池废水</w:t>
            </w:r>
          </w:p>
        </w:tc>
        <w:tc>
          <w:tcPr>
            <w:tcW w:w="1059" w:type="dxa"/>
            <w:noWrap w:val="0"/>
            <w:vAlign w:val="center"/>
          </w:tcPr>
          <w:p>
            <w:pPr>
              <w:spacing w:line="276" w:lineRule="auto"/>
              <w:jc w:val="center"/>
              <w:rPr>
                <w:rFonts w:cs="Times New Roman"/>
                <w:szCs w:val="21"/>
              </w:rPr>
            </w:pPr>
            <w:r>
              <w:rPr>
                <w:szCs w:val="21"/>
              </w:rPr>
              <w:t>COD</w:t>
            </w:r>
            <w:r>
              <w:rPr>
                <w:rFonts w:hint="eastAsia"/>
                <w:szCs w:val="21"/>
              </w:rPr>
              <w:t>、</w:t>
            </w:r>
            <w:r>
              <w:rPr>
                <w:szCs w:val="21"/>
              </w:rPr>
              <w:t>NH</w:t>
            </w:r>
            <w:r>
              <w:rPr>
                <w:szCs w:val="21"/>
                <w:vertAlign w:val="subscript"/>
              </w:rPr>
              <w:t>3</w:t>
            </w:r>
            <w:r>
              <w:rPr>
                <w:rFonts w:hint="eastAsia"/>
                <w:szCs w:val="21"/>
              </w:rPr>
              <w:t>-</w:t>
            </w:r>
            <w:r>
              <w:rPr>
                <w:szCs w:val="21"/>
              </w:rPr>
              <w:t>N</w:t>
            </w:r>
            <w:r>
              <w:rPr>
                <w:rFonts w:hint="eastAsia"/>
                <w:szCs w:val="21"/>
              </w:rPr>
              <w:t>、SS</w:t>
            </w:r>
          </w:p>
        </w:tc>
        <w:tc>
          <w:tcPr>
            <w:tcW w:w="3316" w:type="dxa"/>
            <w:noWrap w:val="0"/>
            <w:vAlign w:val="center"/>
          </w:tcPr>
          <w:p>
            <w:pPr>
              <w:tabs>
                <w:tab w:val="left" w:pos="993"/>
                <w:tab w:val="left" w:pos="1134"/>
              </w:tabs>
              <w:jc w:val="center"/>
              <w:rPr>
                <w:rFonts w:hint="eastAsia"/>
                <w:szCs w:val="21"/>
              </w:rPr>
            </w:pPr>
            <w:r>
              <w:rPr>
                <w:rFonts w:hint="eastAsia"/>
                <w:szCs w:val="21"/>
              </w:rPr>
              <w:t>污泥脱水滤液经市政管网排入污水处理厂处理。</w:t>
            </w:r>
          </w:p>
        </w:tc>
        <w:tc>
          <w:tcPr>
            <w:tcW w:w="1896" w:type="dxa"/>
            <w:noWrap w:val="0"/>
            <w:vAlign w:val="center"/>
          </w:tcPr>
          <w:p>
            <w:pPr>
              <w:spacing w:line="276" w:lineRule="auto"/>
              <w:jc w:val="center"/>
              <w:rPr>
                <w:rFonts w:hint="eastAsia" w:cs="Times New Roman"/>
                <w:szCs w:val="21"/>
              </w:rPr>
            </w:pPr>
            <w:r>
              <w:rPr>
                <w:rFonts w:hint="eastAsia" w:cs="Times New Roman"/>
                <w:szCs w:val="21"/>
              </w:rPr>
              <w:t>《污水综合排放标准》（GB8978-1996）三级标准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noWrap w:val="0"/>
            <w:vAlign w:val="center"/>
          </w:tcPr>
          <w:p>
            <w:pPr>
              <w:spacing w:line="276" w:lineRule="auto"/>
              <w:jc w:val="center"/>
              <w:rPr>
                <w:rFonts w:cs="Times New Roman"/>
                <w:szCs w:val="21"/>
              </w:rPr>
            </w:pPr>
            <w:r>
              <w:rPr>
                <w:rFonts w:cs="Times New Roman"/>
                <w:szCs w:val="21"/>
              </w:rPr>
              <w:t>声环境</w:t>
            </w:r>
          </w:p>
        </w:tc>
        <w:tc>
          <w:tcPr>
            <w:tcW w:w="1716" w:type="dxa"/>
            <w:noWrap w:val="0"/>
            <w:vAlign w:val="center"/>
          </w:tcPr>
          <w:p>
            <w:pPr>
              <w:spacing w:line="276" w:lineRule="auto"/>
              <w:jc w:val="center"/>
              <w:rPr>
                <w:rFonts w:cs="Times New Roman"/>
                <w:szCs w:val="21"/>
              </w:rPr>
            </w:pPr>
            <w:r>
              <w:rPr>
                <w:rFonts w:cs="Times New Roman"/>
                <w:szCs w:val="21"/>
              </w:rPr>
              <w:t>设备噪声</w:t>
            </w:r>
          </w:p>
        </w:tc>
        <w:tc>
          <w:tcPr>
            <w:tcW w:w="1059" w:type="dxa"/>
            <w:noWrap w:val="0"/>
            <w:vAlign w:val="center"/>
          </w:tcPr>
          <w:p>
            <w:pPr>
              <w:spacing w:line="276" w:lineRule="auto"/>
              <w:jc w:val="center"/>
              <w:rPr>
                <w:rFonts w:cs="Times New Roman"/>
                <w:szCs w:val="21"/>
              </w:rPr>
            </w:pPr>
            <w:r>
              <w:rPr>
                <w:rFonts w:cs="Times New Roman"/>
                <w:szCs w:val="21"/>
              </w:rPr>
              <w:t>噪声</w:t>
            </w:r>
          </w:p>
        </w:tc>
        <w:tc>
          <w:tcPr>
            <w:tcW w:w="3316" w:type="dxa"/>
            <w:noWrap w:val="0"/>
            <w:vAlign w:val="center"/>
          </w:tcPr>
          <w:p>
            <w:pPr>
              <w:spacing w:line="276" w:lineRule="auto"/>
              <w:rPr>
                <w:rFonts w:cs="Times New Roman"/>
                <w:szCs w:val="21"/>
              </w:rPr>
            </w:pPr>
            <w:r>
              <w:rPr>
                <w:rFonts w:hint="eastAsia" w:cs="Times New Roman"/>
                <w:szCs w:val="21"/>
              </w:rPr>
              <w:t>选用低噪声设备；各类污水泵采用潜水泵，噪声源位于液面以下；高噪声设备置于单独的房间内，安装设备基础减震器，供水泵房设置吸声隔声材料降噪</w:t>
            </w:r>
          </w:p>
        </w:tc>
        <w:tc>
          <w:tcPr>
            <w:tcW w:w="1896" w:type="dxa"/>
            <w:noWrap w:val="0"/>
            <w:vAlign w:val="center"/>
          </w:tcPr>
          <w:p>
            <w:pPr>
              <w:spacing w:line="276" w:lineRule="auto"/>
              <w:jc w:val="center"/>
              <w:rPr>
                <w:rFonts w:cs="Times New Roman"/>
                <w:szCs w:val="21"/>
              </w:rPr>
            </w:pPr>
            <w:r>
              <w:rPr>
                <w:rFonts w:hint="eastAsia" w:cs="Times New Roman"/>
                <w:szCs w:val="21"/>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noWrap w:val="0"/>
            <w:vAlign w:val="center"/>
          </w:tcPr>
          <w:p>
            <w:pPr>
              <w:spacing w:line="276" w:lineRule="auto"/>
              <w:jc w:val="center"/>
              <w:rPr>
                <w:rFonts w:cs="Times New Roman"/>
                <w:szCs w:val="21"/>
              </w:rPr>
            </w:pPr>
            <w:r>
              <w:rPr>
                <w:rFonts w:hint="eastAsia" w:cs="Times New Roman"/>
                <w:szCs w:val="21"/>
              </w:rPr>
              <w:t>电磁辐射</w:t>
            </w:r>
          </w:p>
        </w:tc>
        <w:tc>
          <w:tcPr>
            <w:tcW w:w="1716" w:type="dxa"/>
            <w:noWrap w:val="0"/>
            <w:vAlign w:val="center"/>
          </w:tcPr>
          <w:p>
            <w:pPr>
              <w:spacing w:line="276" w:lineRule="auto"/>
              <w:jc w:val="center"/>
              <w:rPr>
                <w:rFonts w:cs="Times New Roman"/>
                <w:szCs w:val="21"/>
              </w:rPr>
            </w:pPr>
            <w:r>
              <w:rPr>
                <w:rFonts w:hint="eastAsia" w:cs="Times New Roman"/>
                <w:szCs w:val="21"/>
              </w:rPr>
              <w:t>/</w:t>
            </w:r>
          </w:p>
        </w:tc>
        <w:tc>
          <w:tcPr>
            <w:tcW w:w="1059" w:type="dxa"/>
            <w:noWrap w:val="0"/>
            <w:vAlign w:val="center"/>
          </w:tcPr>
          <w:p>
            <w:pPr>
              <w:spacing w:line="276" w:lineRule="auto"/>
              <w:jc w:val="center"/>
              <w:rPr>
                <w:rFonts w:cs="Times New Roman"/>
                <w:szCs w:val="21"/>
              </w:rPr>
            </w:pPr>
            <w:r>
              <w:rPr>
                <w:rFonts w:hint="eastAsia" w:cs="Times New Roman"/>
                <w:szCs w:val="21"/>
              </w:rPr>
              <w:t>/</w:t>
            </w:r>
          </w:p>
        </w:tc>
        <w:tc>
          <w:tcPr>
            <w:tcW w:w="3316" w:type="dxa"/>
            <w:noWrap w:val="0"/>
            <w:vAlign w:val="center"/>
          </w:tcPr>
          <w:p>
            <w:pPr>
              <w:spacing w:line="276" w:lineRule="auto"/>
              <w:jc w:val="center"/>
              <w:rPr>
                <w:rFonts w:cs="Times New Roman"/>
                <w:szCs w:val="21"/>
              </w:rPr>
            </w:pPr>
            <w:r>
              <w:rPr>
                <w:rFonts w:hint="eastAsia" w:cs="Times New Roman"/>
                <w:szCs w:val="21"/>
              </w:rPr>
              <w:t>/</w:t>
            </w:r>
          </w:p>
        </w:tc>
        <w:tc>
          <w:tcPr>
            <w:tcW w:w="1896" w:type="dxa"/>
            <w:noWrap w:val="0"/>
            <w:vAlign w:val="center"/>
          </w:tcPr>
          <w:p>
            <w:pPr>
              <w:spacing w:line="276" w:lineRule="auto"/>
              <w:jc w:val="center"/>
              <w:rPr>
                <w:rFonts w:cs="Times New Roman"/>
                <w:szCs w:val="21"/>
              </w:rPr>
            </w:pP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noWrap w:val="0"/>
            <w:vAlign w:val="center"/>
          </w:tcPr>
          <w:p>
            <w:pPr>
              <w:spacing w:line="276" w:lineRule="auto"/>
              <w:jc w:val="center"/>
              <w:rPr>
                <w:rFonts w:cs="Times New Roman"/>
                <w:szCs w:val="21"/>
              </w:rPr>
            </w:pPr>
            <w:r>
              <w:rPr>
                <w:rFonts w:hint="eastAsia" w:cs="Times New Roman"/>
                <w:szCs w:val="21"/>
              </w:rPr>
              <w:t>固体废物</w:t>
            </w:r>
          </w:p>
        </w:tc>
        <w:tc>
          <w:tcPr>
            <w:tcW w:w="7987" w:type="dxa"/>
            <w:gridSpan w:val="4"/>
            <w:noWrap w:val="0"/>
            <w:vAlign w:val="center"/>
          </w:tcPr>
          <w:p>
            <w:pPr>
              <w:spacing w:line="276" w:lineRule="auto"/>
              <w:ind w:firstLine="420" w:firstLineChars="200"/>
              <w:rPr>
                <w:rFonts w:cs="Times New Roman"/>
                <w:szCs w:val="21"/>
              </w:rPr>
            </w:pPr>
            <w:r>
              <w:rPr>
                <w:rFonts w:hint="eastAsia" w:cs="Times New Roman"/>
                <w:szCs w:val="21"/>
              </w:rPr>
              <w:t>生活垃圾经袋装收集后定期交由环卫部门统一清运；餐厨垃圾委托有合法手续的餐厨垃圾处置单位进行处置；脱水泥饼定期运往达州市建筑垃圾填埋场处理；V型滤池废填料交由厂商回收处理；废包装材料定期交由废品收购站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noWrap w:val="0"/>
            <w:vAlign w:val="center"/>
          </w:tcPr>
          <w:p>
            <w:pPr>
              <w:spacing w:line="276" w:lineRule="auto"/>
              <w:jc w:val="center"/>
              <w:rPr>
                <w:rFonts w:cs="Times New Roman"/>
                <w:szCs w:val="21"/>
              </w:rPr>
            </w:pPr>
            <w:r>
              <w:rPr>
                <w:rFonts w:hint="eastAsia" w:cs="Times New Roman"/>
                <w:szCs w:val="21"/>
              </w:rPr>
              <w:t>土壤及地下水污染防治措施</w:t>
            </w:r>
          </w:p>
        </w:tc>
        <w:tc>
          <w:tcPr>
            <w:tcW w:w="7987" w:type="dxa"/>
            <w:gridSpan w:val="4"/>
            <w:noWrap w:val="0"/>
            <w:vAlign w:val="center"/>
          </w:tcPr>
          <w:p>
            <w:pPr>
              <w:spacing w:line="276" w:lineRule="auto"/>
              <w:ind w:firstLine="420" w:firstLineChars="200"/>
              <w:rPr>
                <w:rFonts w:cs="Times New Roman"/>
                <w:szCs w:val="21"/>
              </w:rPr>
            </w:pPr>
            <w:r>
              <w:rPr>
                <w:rFonts w:hint="eastAsia" w:cs="Times New Roman"/>
                <w:szCs w:val="21"/>
              </w:rPr>
              <w:t>重点防渗区（加氯加药间、应急加药间）</w:t>
            </w:r>
            <w:r>
              <w:t>采用</w:t>
            </w:r>
            <w:r>
              <w:rPr>
                <w:rFonts w:hint="eastAsia"/>
                <w:szCs w:val="21"/>
              </w:rPr>
              <w:t>防渗混凝土+2mm厚HDPE防渗层进行防渗、防腐处理</w:t>
            </w:r>
            <w:r>
              <w:rPr>
                <w:rFonts w:hint="eastAsia" w:cs="Times New Roman"/>
                <w:szCs w:val="21"/>
              </w:rPr>
              <w:t>，一般防渗区（反冲洗及回流泵房、回收水池</w:t>
            </w:r>
            <w:r>
              <w:rPr>
                <w:rFonts w:cs="Times New Roman"/>
                <w:szCs w:val="21"/>
              </w:rPr>
              <w:t>、</w:t>
            </w:r>
            <w:r>
              <w:rPr>
                <w:rFonts w:hint="eastAsia" w:cs="Times New Roman"/>
                <w:szCs w:val="21"/>
              </w:rPr>
              <w:t>排泥浓缩贮泥池、</w:t>
            </w:r>
            <w:r>
              <w:rPr>
                <w:rFonts w:cs="Times New Roman"/>
                <w:szCs w:val="21"/>
              </w:rPr>
              <w:t>污泥脱水机房（含污泥暂存间）、</w:t>
            </w:r>
            <w:r>
              <w:rPr>
                <w:rFonts w:hint="eastAsia" w:cs="Times New Roman"/>
                <w:szCs w:val="21"/>
              </w:rPr>
              <w:t>净水</w:t>
            </w:r>
            <w:r>
              <w:rPr>
                <w:rFonts w:cs="Times New Roman"/>
                <w:szCs w:val="21"/>
              </w:rPr>
              <w:t>区</w:t>
            </w:r>
            <w:r>
              <w:rPr>
                <w:rFonts w:hint="eastAsia" w:cs="Times New Roman"/>
                <w:szCs w:val="21"/>
              </w:rPr>
              <w:t>、</w:t>
            </w:r>
            <w:r>
              <w:rPr>
                <w:rFonts w:cs="Times New Roman"/>
                <w:szCs w:val="21"/>
              </w:rPr>
              <w:t>化粪池</w:t>
            </w:r>
            <w:r>
              <w:rPr>
                <w:rFonts w:cs="Times New Roman"/>
                <w:szCs w:val="21"/>
                <w:lang w:bidi="ar"/>
              </w:rPr>
              <w:t>等</w:t>
            </w:r>
            <w:r>
              <w:rPr>
                <w:rFonts w:hint="eastAsia" w:cs="Times New Roman"/>
                <w:szCs w:val="21"/>
              </w:rPr>
              <w:t>）采用</w:t>
            </w:r>
            <w:r>
              <w:rPr>
                <w:rFonts w:cs="Times New Roman"/>
                <w:szCs w:val="21"/>
                <w:lang w:bidi="ar"/>
              </w:rPr>
              <w:t>25cmC30</w:t>
            </w:r>
            <w:r>
              <w:rPr>
                <w:rFonts w:hint="eastAsia" w:cs="Times New Roman"/>
                <w:szCs w:val="21"/>
              </w:rPr>
              <w:t>防渗混凝土+黏土防渗层，简单防渗区（</w:t>
            </w:r>
            <w:r>
              <w:rPr>
                <w:rFonts w:cs="Times New Roman"/>
                <w:szCs w:val="21"/>
              </w:rPr>
              <w:t>门卫室、综合楼、厂区道路</w:t>
            </w:r>
            <w:r>
              <w:rPr>
                <w:szCs w:val="21"/>
              </w:rPr>
              <w:t>及除重点、一般防渗区以外的区域</w:t>
            </w:r>
            <w:r>
              <w:rPr>
                <w:rFonts w:hint="eastAsia" w:cs="Times New Roman"/>
                <w:szCs w:val="21"/>
              </w:rPr>
              <w:t>）采取混凝土地面硬化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noWrap w:val="0"/>
            <w:vAlign w:val="center"/>
          </w:tcPr>
          <w:p>
            <w:pPr>
              <w:spacing w:line="276" w:lineRule="auto"/>
              <w:jc w:val="center"/>
              <w:rPr>
                <w:rFonts w:hint="eastAsia" w:cs="Times New Roman"/>
                <w:szCs w:val="21"/>
              </w:rPr>
            </w:pPr>
            <w:r>
              <w:rPr>
                <w:rFonts w:hint="eastAsia" w:cs="Times New Roman"/>
                <w:szCs w:val="21"/>
              </w:rPr>
              <w:t>生态保护</w:t>
            </w:r>
          </w:p>
          <w:p>
            <w:pPr>
              <w:spacing w:line="276" w:lineRule="auto"/>
              <w:jc w:val="center"/>
              <w:rPr>
                <w:rFonts w:cs="Times New Roman"/>
                <w:szCs w:val="21"/>
              </w:rPr>
            </w:pPr>
            <w:r>
              <w:rPr>
                <w:rFonts w:hint="eastAsia" w:cs="Times New Roman"/>
                <w:szCs w:val="21"/>
              </w:rPr>
              <w:t>措施</w:t>
            </w:r>
          </w:p>
        </w:tc>
        <w:tc>
          <w:tcPr>
            <w:tcW w:w="7987" w:type="dxa"/>
            <w:gridSpan w:val="4"/>
            <w:noWrap w:val="0"/>
            <w:vAlign w:val="center"/>
          </w:tcPr>
          <w:p>
            <w:pPr>
              <w:spacing w:line="276" w:lineRule="auto"/>
              <w:jc w:val="left"/>
              <w:rPr>
                <w:rFonts w:hint="eastAsia" w:cs="Times New Roman"/>
                <w:szCs w:val="21"/>
              </w:rPr>
            </w:pPr>
            <w:r>
              <w:rPr>
                <w:rFonts w:hint="eastAsia" w:cs="Times New Roman"/>
                <w:szCs w:val="21"/>
              </w:rPr>
              <w:t>①严格按照《中华人民共和国水土保持法》等有关法律法规以及当地有关部门的要求进行施工。</w:t>
            </w:r>
          </w:p>
          <w:p>
            <w:pPr>
              <w:spacing w:line="276" w:lineRule="auto"/>
              <w:jc w:val="left"/>
              <w:rPr>
                <w:rFonts w:hint="eastAsia" w:cs="Times New Roman"/>
                <w:szCs w:val="21"/>
              </w:rPr>
            </w:pPr>
            <w:r>
              <w:rPr>
                <w:rFonts w:hint="eastAsia" w:cs="Times New Roman"/>
                <w:szCs w:val="21"/>
              </w:rPr>
              <w:t>②严格遵守环保法律法规，加强施工人员环保意识；科学合理的安排施工进度与时序，严格控制开挖施工作业面。</w:t>
            </w:r>
          </w:p>
          <w:p>
            <w:pPr>
              <w:spacing w:line="276" w:lineRule="auto"/>
              <w:jc w:val="left"/>
              <w:rPr>
                <w:rFonts w:hint="eastAsia" w:cs="Times New Roman"/>
                <w:szCs w:val="21"/>
              </w:rPr>
            </w:pPr>
            <w:r>
              <w:rPr>
                <w:rFonts w:hint="eastAsia" w:cs="Times New Roman"/>
                <w:szCs w:val="21"/>
              </w:rPr>
              <w:t>③严格控制施工作业范围，合理安排施工进度，减少施工裸露面的暴露时间。</w:t>
            </w:r>
          </w:p>
          <w:p>
            <w:pPr>
              <w:spacing w:line="276" w:lineRule="auto"/>
              <w:jc w:val="left"/>
              <w:rPr>
                <w:rFonts w:hint="eastAsia" w:cs="Times New Roman"/>
                <w:szCs w:val="21"/>
              </w:rPr>
            </w:pPr>
            <w:r>
              <w:rPr>
                <w:rFonts w:hint="eastAsia" w:cs="Times New Roman"/>
                <w:szCs w:val="21"/>
              </w:rPr>
              <w:t>④为防止雨水、地表径流对堆料场和渣（土）体的冲刷，应对临时堆土、裸土采取覆盖、拦挡措施，避免雨水冲刷造成水土流失。</w:t>
            </w:r>
          </w:p>
          <w:p>
            <w:pPr>
              <w:spacing w:line="276" w:lineRule="auto"/>
              <w:jc w:val="left"/>
              <w:rPr>
                <w:rFonts w:hint="eastAsia" w:cs="Times New Roman"/>
                <w:szCs w:val="21"/>
              </w:rPr>
            </w:pPr>
            <w:r>
              <w:rPr>
                <w:rFonts w:hint="eastAsia" w:cs="Times New Roman"/>
                <w:szCs w:val="21"/>
              </w:rPr>
              <w:t>⑤避免雨季进行挖填方作业，土石方及时回填，回填后及时夯实覆土，弃方及时清运。</w:t>
            </w:r>
          </w:p>
          <w:p>
            <w:pPr>
              <w:spacing w:line="276" w:lineRule="auto"/>
              <w:jc w:val="left"/>
              <w:rPr>
                <w:rFonts w:hint="eastAsia" w:cs="Times New Roman"/>
                <w:szCs w:val="21"/>
              </w:rPr>
            </w:pPr>
            <w:r>
              <w:rPr>
                <w:rFonts w:hint="eastAsia" w:cs="Times New Roman"/>
                <w:szCs w:val="21"/>
              </w:rPr>
              <w:t>⑥施工完成后，做好施工迹地的恢复工作。</w:t>
            </w:r>
          </w:p>
          <w:p>
            <w:pPr>
              <w:spacing w:line="276" w:lineRule="auto"/>
              <w:jc w:val="left"/>
              <w:rPr>
                <w:rFonts w:hint="eastAsia" w:cs="Times New Roman"/>
                <w:szCs w:val="21"/>
              </w:rPr>
            </w:pPr>
            <w:r>
              <w:rPr>
                <w:rFonts w:hint="eastAsia" w:cs="Times New Roman"/>
                <w:szCs w:val="21"/>
              </w:rPr>
              <w:t>⑦在施工区周围建排水沟，防止雨水冲刷场地，并在排水沟出口设沉淀池，使雨水经沉淀池沉清后回用，尽力减少施工期水土流失。</w:t>
            </w:r>
          </w:p>
          <w:p>
            <w:pPr>
              <w:spacing w:line="276" w:lineRule="auto"/>
              <w:jc w:val="left"/>
              <w:rPr>
                <w:rFonts w:hint="eastAsia" w:cs="Times New Roman"/>
                <w:szCs w:val="21"/>
              </w:rPr>
            </w:pPr>
            <w:r>
              <w:rPr>
                <w:rFonts w:hint="eastAsia" w:cs="Times New Roman"/>
                <w:szCs w:val="21"/>
              </w:rPr>
              <w:t>⑧做好表层土剥离、暂存工作，施工结束后及时进行回铺表土、撒草绿化等，所选草种应具有抗逆性强、保土性好、生长快的特点，最大限度保护和恢复植被。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noWrap w:val="0"/>
            <w:vAlign w:val="center"/>
          </w:tcPr>
          <w:p>
            <w:pPr>
              <w:spacing w:line="276" w:lineRule="auto"/>
              <w:jc w:val="center"/>
              <w:rPr>
                <w:rFonts w:cs="Times New Roman"/>
                <w:szCs w:val="21"/>
              </w:rPr>
            </w:pPr>
            <w:r>
              <w:rPr>
                <w:rFonts w:hint="eastAsia" w:cs="Times New Roman"/>
                <w:szCs w:val="21"/>
              </w:rPr>
              <w:t>环境风险</w:t>
            </w:r>
          </w:p>
          <w:p>
            <w:pPr>
              <w:spacing w:line="276" w:lineRule="auto"/>
              <w:jc w:val="center"/>
              <w:rPr>
                <w:rFonts w:cs="Times New Roman"/>
                <w:szCs w:val="21"/>
              </w:rPr>
            </w:pPr>
            <w:r>
              <w:rPr>
                <w:rFonts w:hint="eastAsia" w:cs="Times New Roman"/>
                <w:szCs w:val="21"/>
              </w:rPr>
              <w:t>防范措施</w:t>
            </w:r>
          </w:p>
        </w:tc>
        <w:tc>
          <w:tcPr>
            <w:tcW w:w="7987" w:type="dxa"/>
            <w:gridSpan w:val="4"/>
            <w:noWrap w:val="0"/>
            <w:vAlign w:val="center"/>
          </w:tcPr>
          <w:p>
            <w:pPr>
              <w:spacing w:line="276" w:lineRule="auto"/>
              <w:ind w:firstLine="420" w:firstLineChars="200"/>
              <w:rPr>
                <w:rFonts w:cs="Times New Roman"/>
                <w:szCs w:val="21"/>
              </w:rPr>
            </w:pPr>
            <w:r>
              <w:rPr>
                <w:rFonts w:hint="eastAsia" w:cs="Times New Roman"/>
                <w:szCs w:val="21"/>
              </w:rPr>
              <w:t>柴油发电机房、加氯加药间、应急加药间采取重点防渗，且复合氯酸钠储罐和复合硫酸钠储罐设置1.5m围堰，并设置泄露收集沟和泄露收集坑，在厂区配备相应数量灭火器；委托第三方单位定期检测水厂进、出水质；制定环境风险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62" w:type="dxa"/>
            <w:noWrap w:val="0"/>
            <w:vAlign w:val="center"/>
          </w:tcPr>
          <w:p>
            <w:pPr>
              <w:spacing w:line="276" w:lineRule="auto"/>
              <w:jc w:val="center"/>
              <w:rPr>
                <w:rFonts w:cs="Times New Roman"/>
                <w:szCs w:val="21"/>
              </w:rPr>
            </w:pPr>
            <w:r>
              <w:rPr>
                <w:rFonts w:hint="eastAsia" w:cs="Times New Roman"/>
                <w:szCs w:val="21"/>
              </w:rPr>
              <w:t>其他环境</w:t>
            </w:r>
          </w:p>
          <w:p>
            <w:pPr>
              <w:spacing w:line="276" w:lineRule="auto"/>
              <w:jc w:val="center"/>
              <w:rPr>
                <w:rFonts w:cs="Times New Roman"/>
                <w:szCs w:val="21"/>
              </w:rPr>
            </w:pPr>
            <w:r>
              <w:rPr>
                <w:rFonts w:hint="eastAsia" w:cs="Times New Roman"/>
                <w:szCs w:val="21"/>
              </w:rPr>
              <w:t>管理要求</w:t>
            </w:r>
          </w:p>
        </w:tc>
        <w:tc>
          <w:tcPr>
            <w:tcW w:w="7987" w:type="dxa"/>
            <w:gridSpan w:val="4"/>
            <w:noWrap w:val="0"/>
            <w:vAlign w:val="center"/>
          </w:tcPr>
          <w:p>
            <w:pPr>
              <w:spacing w:line="276" w:lineRule="auto"/>
              <w:ind w:firstLine="422" w:firstLineChars="200"/>
              <w:rPr>
                <w:rFonts w:hint="eastAsia" w:cs="Times New Roman"/>
                <w:b/>
                <w:bCs/>
                <w:szCs w:val="21"/>
              </w:rPr>
            </w:pPr>
            <w:r>
              <w:rPr>
                <w:rFonts w:hint="eastAsia" w:cs="Times New Roman"/>
                <w:b/>
                <w:bCs/>
                <w:szCs w:val="21"/>
              </w:rPr>
              <w:t>1、竣工环境保护验收</w:t>
            </w:r>
          </w:p>
          <w:p>
            <w:pPr>
              <w:spacing w:line="276" w:lineRule="auto"/>
              <w:ind w:firstLine="420" w:firstLineChars="200"/>
              <w:rPr>
                <w:rFonts w:hint="eastAsia" w:cs="Times New Roman"/>
                <w:szCs w:val="21"/>
              </w:rPr>
            </w:pPr>
            <w:r>
              <w:rPr>
                <w:rFonts w:hint="eastAsia" w:cs="Times New Roman"/>
                <w:szCs w:val="21"/>
              </w:rPr>
              <w:t>根据《建设项目竣工环境保护验收暂行办法》（国环规环评〔2017〕4号）文件，建设单位作为项目竣工环保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项目配套建设的环保设施经验收合格，方可投入生产或使用。</w:t>
            </w:r>
          </w:p>
          <w:p>
            <w:pPr>
              <w:spacing w:line="276" w:lineRule="auto"/>
              <w:ind w:firstLine="422" w:firstLineChars="200"/>
              <w:rPr>
                <w:rFonts w:hint="eastAsia" w:cs="Times New Roman"/>
                <w:b/>
                <w:bCs/>
                <w:szCs w:val="21"/>
              </w:rPr>
            </w:pPr>
            <w:r>
              <w:rPr>
                <w:rFonts w:hint="eastAsia" w:cs="Times New Roman"/>
                <w:b/>
                <w:bCs/>
                <w:szCs w:val="21"/>
              </w:rPr>
              <w:t>2、排污许可</w:t>
            </w:r>
          </w:p>
          <w:p>
            <w:pPr>
              <w:spacing w:line="276" w:lineRule="auto"/>
              <w:ind w:firstLine="420" w:firstLineChars="200"/>
              <w:rPr>
                <w:rFonts w:hint="eastAsia" w:cs="Times New Roman"/>
                <w:szCs w:val="21"/>
              </w:rPr>
            </w:pPr>
            <w:r>
              <w:rPr>
                <w:rFonts w:hint="eastAsia" w:cs="Times New Roman"/>
                <w:szCs w:val="21"/>
              </w:rPr>
              <w:t>根据《固定污染源排污许可分类管理名录（2019 年版）》，项目属于“四十一、水的生产和供应业-46-自来水生产和供应461 其他”，为登记管理范畴，应在启动生产设施或者在实际排污之前参照《排污许可证申请与核发技术规范总则》（HJ942-2018）相关要求申请排污许可。本项目建成后，须依照名录要求办理排污许可登记回执，依证排污。</w:t>
            </w:r>
          </w:p>
          <w:p>
            <w:pPr>
              <w:spacing w:line="276" w:lineRule="auto"/>
              <w:ind w:firstLine="420" w:firstLineChars="200"/>
              <w:rPr>
                <w:rFonts w:hint="eastAsia" w:cs="Times New Roman"/>
                <w:szCs w:val="21"/>
              </w:rPr>
            </w:pPr>
            <w:r>
              <w:rPr>
                <w:rFonts w:hint="eastAsia" w:cs="Times New Roman"/>
                <w:szCs w:val="21"/>
              </w:rPr>
              <w:t>3、项目建成后应及时完成环境风险应急预案编制并备案。</w:t>
            </w:r>
          </w:p>
          <w:p>
            <w:pPr>
              <w:spacing w:line="276" w:lineRule="auto"/>
              <w:ind w:firstLine="420" w:firstLineChars="200"/>
              <w:rPr>
                <w:rFonts w:hint="eastAsia" w:cs="Times New Roman"/>
                <w:color w:val="FF00FF"/>
                <w:szCs w:val="21"/>
              </w:rPr>
            </w:pPr>
          </w:p>
          <w:p>
            <w:pPr>
              <w:spacing w:line="276" w:lineRule="auto"/>
              <w:ind w:firstLine="420" w:firstLineChars="200"/>
              <w:rPr>
                <w:rFonts w:hint="eastAsia" w:cs="Times New Roman"/>
                <w:color w:val="FF00FF"/>
                <w:szCs w:val="21"/>
              </w:rPr>
            </w:pPr>
          </w:p>
          <w:p>
            <w:pPr>
              <w:spacing w:line="276" w:lineRule="auto"/>
              <w:ind w:firstLine="420" w:firstLineChars="200"/>
              <w:rPr>
                <w:rFonts w:hint="eastAsia" w:cs="Times New Roman"/>
                <w:color w:val="FF00FF"/>
                <w:szCs w:val="21"/>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spacing w:line="276" w:lineRule="auto"/>
              <w:ind w:firstLine="420" w:firstLineChars="200"/>
              <w:rPr>
                <w:rFonts w:hint="eastAsia" w:cs="Times New Roman"/>
                <w:color w:val="FF00FF"/>
                <w:szCs w:val="21"/>
              </w:rPr>
            </w:pPr>
          </w:p>
          <w:p>
            <w:pPr>
              <w:spacing w:line="276" w:lineRule="auto"/>
              <w:ind w:firstLine="420" w:firstLineChars="200"/>
              <w:rPr>
                <w:rFonts w:cs="Times New Roman"/>
                <w:color w:val="FF00FF"/>
                <w:szCs w:val="21"/>
              </w:rPr>
            </w:pPr>
          </w:p>
        </w:tc>
      </w:tr>
    </w:tbl>
    <w:p>
      <w:pPr>
        <w:spacing w:line="360" w:lineRule="auto"/>
        <w:rPr>
          <w:b/>
          <w:color w:val="FF00FF"/>
          <w:sz w:val="28"/>
          <w:szCs w:val="28"/>
        </w:rPr>
        <w:sectPr>
          <w:pgSz w:w="11906" w:h="16838"/>
          <w:pgMar w:top="1134" w:right="1134" w:bottom="1134" w:left="1418" w:header="851" w:footer="992" w:gutter="0"/>
          <w:cols w:space="720" w:num="1"/>
          <w:docGrid w:type="lines" w:linePitch="312" w:charSpace="0"/>
        </w:sectPr>
      </w:pPr>
    </w:p>
    <w:p>
      <w:pPr>
        <w:pStyle w:val="60"/>
        <w:jc w:val="center"/>
        <w:rPr>
          <w:rFonts w:ascii="黑体" w:hAnsi="黑体" w:eastAsia="黑体"/>
          <w:b w:val="0"/>
          <w:sz w:val="30"/>
          <w:szCs w:val="30"/>
        </w:rPr>
      </w:pPr>
      <w:r>
        <w:rPr>
          <w:rFonts w:hint="eastAsia" w:ascii="黑体" w:hAnsi="黑体" w:eastAsia="黑体"/>
          <w:b w:val="0"/>
          <w:sz w:val="30"/>
          <w:szCs w:val="30"/>
        </w:rPr>
        <w:t>六、结论</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3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44" w:type="dxa"/>
            <w:noWrap w:val="0"/>
            <w:vAlign w:val="top"/>
          </w:tcPr>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360" w:lineRule="auto"/>
              <w:ind w:firstLine="422" w:firstLineChars="200"/>
              <w:rPr>
                <w:rFonts w:hint="eastAsia" w:cs="Times New Roman"/>
                <w:b/>
                <w:szCs w:val="21"/>
              </w:rPr>
            </w:pPr>
            <w:r>
              <w:rPr>
                <w:rFonts w:hint="eastAsia" w:cs="Times New Roman"/>
                <w:b/>
                <w:szCs w:val="21"/>
              </w:rPr>
              <w:t>综上所述，本项目为自来水生产和供应工程，项目建设符合国家方产业政策，选址符合规划要求，总平面布置及选址合理可行，满足环保要求。对于运营过程中产生的各类污染物，建设单位应认真落实本环评提出的污染防治措施，加强环保设施的运行管理和维护，建立和完善厂内环保机构和规范环保管理制度，保证各类污染物达标排放。在上述前提条件下，项目的建设不会使当地水环境、大气环境、声环境现状发生明显改变，属于当地环境可接受程度。</w:t>
            </w:r>
          </w:p>
          <w:p>
            <w:pPr>
              <w:spacing w:line="360" w:lineRule="auto"/>
              <w:ind w:firstLine="422" w:firstLineChars="200"/>
              <w:rPr>
                <w:rFonts w:cs="Times New Roman"/>
                <w:b/>
                <w:szCs w:val="21"/>
              </w:rPr>
            </w:pPr>
            <w:r>
              <w:rPr>
                <w:rFonts w:hint="eastAsia" w:cs="Times New Roman"/>
                <w:b/>
                <w:szCs w:val="21"/>
              </w:rPr>
              <w:t>因此，从环境保护角度考虑，该项目的建设是可行的。</w:t>
            </w:r>
          </w:p>
          <w:p>
            <w:pPr>
              <w:spacing w:line="276" w:lineRule="auto"/>
              <w:ind w:firstLine="420" w:firstLineChars="200"/>
              <w:rPr>
                <w:rFonts w:cs="Times New Roman"/>
                <w:szCs w:val="21"/>
              </w:rPr>
            </w:pPr>
          </w:p>
          <w:p>
            <w:pPr>
              <w:spacing w:line="276" w:lineRule="auto"/>
              <w:ind w:firstLine="420" w:firstLineChars="200"/>
              <w:rPr>
                <w:rFonts w:cs="Times New Roman"/>
                <w:szCs w:val="21"/>
              </w:rPr>
            </w:pPr>
          </w:p>
          <w:p>
            <w:pPr>
              <w:spacing w:line="276" w:lineRule="auto"/>
              <w:ind w:firstLine="420" w:firstLineChars="200"/>
              <w:rPr>
                <w:rFonts w:cs="Times New Roman"/>
                <w:szCs w:val="21"/>
              </w:rPr>
            </w:pPr>
          </w:p>
          <w:p>
            <w:pPr>
              <w:spacing w:line="276" w:lineRule="auto"/>
              <w:ind w:firstLine="420" w:firstLineChars="200"/>
              <w:rPr>
                <w:rFonts w:cs="Times New Roman"/>
                <w:szCs w:val="21"/>
              </w:rPr>
            </w:pPr>
          </w:p>
          <w:p>
            <w:pPr>
              <w:spacing w:line="276" w:lineRule="auto"/>
              <w:ind w:firstLine="420" w:firstLineChars="200"/>
              <w:rPr>
                <w:rFonts w:cs="Times New Roman"/>
                <w:szCs w:val="21"/>
              </w:rPr>
            </w:pPr>
          </w:p>
          <w:p>
            <w:pPr>
              <w:spacing w:line="276" w:lineRule="auto"/>
              <w:ind w:firstLine="420" w:firstLineChars="200"/>
              <w:rPr>
                <w:rFonts w:cs="Times New Roman"/>
                <w:szCs w:val="21"/>
              </w:rPr>
            </w:pPr>
          </w:p>
          <w:p>
            <w:pPr>
              <w:spacing w:line="276" w:lineRule="auto"/>
              <w:ind w:firstLine="420" w:firstLineChars="200"/>
              <w:rPr>
                <w:rFonts w:hint="eastAsia" w:cs="Times New Roman"/>
                <w:szCs w:val="21"/>
              </w:rPr>
            </w:pPr>
          </w:p>
          <w:p>
            <w:pPr>
              <w:pStyle w:val="2"/>
              <w:rPr>
                <w:rFonts w:hint="eastAsia"/>
              </w:rPr>
            </w:pPr>
          </w:p>
          <w:p>
            <w:pPr>
              <w:rPr>
                <w:rFonts w:hint="eastAsia"/>
              </w:rPr>
            </w:pPr>
          </w:p>
          <w:p>
            <w:pPr>
              <w:spacing w:line="276" w:lineRule="auto"/>
              <w:ind w:firstLine="420" w:firstLineChars="200"/>
              <w:rPr>
                <w:rFonts w:cs="Times New Roman"/>
                <w:szCs w:val="21"/>
              </w:rPr>
            </w:pPr>
          </w:p>
          <w:p>
            <w:pPr>
              <w:spacing w:line="276" w:lineRule="auto"/>
              <w:ind w:firstLine="420" w:firstLineChars="200"/>
              <w:rPr>
                <w:rFonts w:cs="Times New Roman"/>
                <w:szCs w:val="21"/>
              </w:rPr>
            </w:pPr>
          </w:p>
          <w:p>
            <w:pPr>
              <w:spacing w:line="276" w:lineRule="auto"/>
              <w:ind w:firstLine="420" w:firstLineChars="200"/>
              <w:rPr>
                <w:rFonts w:cs="Times New Roman"/>
                <w:szCs w:val="21"/>
              </w:rPr>
            </w:pPr>
          </w:p>
          <w:p>
            <w:pPr>
              <w:spacing w:line="276" w:lineRule="auto"/>
              <w:ind w:firstLine="420" w:firstLineChars="200"/>
              <w:rPr>
                <w:rFonts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hint="eastAsia" w:cs="Times New Roman"/>
                <w:szCs w:val="21"/>
              </w:rPr>
            </w:pPr>
          </w:p>
          <w:p>
            <w:pPr>
              <w:spacing w:line="276" w:lineRule="auto"/>
              <w:ind w:firstLine="420" w:firstLineChars="200"/>
              <w:rPr>
                <w:rFonts w:cs="Times New Roman"/>
                <w:szCs w:val="21"/>
              </w:rPr>
            </w:pPr>
          </w:p>
          <w:p>
            <w:pPr>
              <w:spacing w:line="276" w:lineRule="auto"/>
              <w:ind w:firstLine="420" w:firstLineChars="200"/>
              <w:rPr>
                <w:rFonts w:cs="Times New Roman"/>
                <w:szCs w:val="21"/>
              </w:rPr>
            </w:pPr>
          </w:p>
          <w:p>
            <w:pPr>
              <w:spacing w:line="276" w:lineRule="auto"/>
              <w:ind w:firstLine="420" w:firstLineChars="200"/>
              <w:rPr>
                <w:rFonts w:cs="Times New Roman"/>
                <w:szCs w:val="21"/>
              </w:rPr>
            </w:pPr>
          </w:p>
          <w:p>
            <w:pPr>
              <w:spacing w:line="276" w:lineRule="auto"/>
              <w:ind w:firstLine="420" w:firstLineChars="200"/>
              <w:rPr>
                <w:rFonts w:cs="Times New Roman"/>
                <w:szCs w:val="21"/>
              </w:rPr>
            </w:pPr>
          </w:p>
        </w:tc>
      </w:tr>
    </w:tbl>
    <w:p>
      <w:pPr>
        <w:rPr>
          <w:rFonts w:ascii="宋体" w:hAnsi="宋体"/>
          <w:color w:val="FF00FF"/>
          <w:sz w:val="24"/>
          <w:szCs w:val="24"/>
        </w:rPr>
        <w:sectPr>
          <w:pgSz w:w="11906" w:h="16838"/>
          <w:pgMar w:top="1134" w:right="1134" w:bottom="1134" w:left="1418" w:header="851" w:footer="992" w:gutter="0"/>
          <w:cols w:space="720" w:num="1"/>
          <w:docGrid w:type="lines" w:linePitch="312" w:charSpace="0"/>
        </w:sectPr>
      </w:pPr>
    </w:p>
    <w:p>
      <w:pPr>
        <w:pStyle w:val="60"/>
        <w:spacing w:line="240" w:lineRule="auto"/>
        <w:rPr>
          <w:rFonts w:hint="eastAsia" w:ascii="黑体" w:hAnsi="黑体" w:eastAsia="黑体"/>
          <w:b w:val="0"/>
          <w:sz w:val="30"/>
          <w:szCs w:val="30"/>
        </w:rPr>
      </w:pPr>
    </w:p>
    <w:p>
      <w:pPr>
        <w:pStyle w:val="60"/>
        <w:spacing w:line="240" w:lineRule="auto"/>
        <w:rPr>
          <w:rFonts w:ascii="黑体" w:hAnsi="黑体" w:eastAsia="黑体"/>
          <w:b w:val="0"/>
          <w:sz w:val="30"/>
          <w:szCs w:val="30"/>
        </w:rPr>
      </w:pPr>
      <w:r>
        <w:rPr>
          <w:rFonts w:hint="eastAsia" w:ascii="黑体" w:hAnsi="黑体" w:eastAsia="黑体"/>
          <w:b w:val="0"/>
          <w:sz w:val="30"/>
          <w:szCs w:val="30"/>
        </w:rPr>
        <w:t>附表</w:t>
      </w:r>
    </w:p>
    <w:p>
      <w:pPr>
        <w:jc w:val="center"/>
        <w:rPr>
          <w:rFonts w:ascii="方正小标宋_GBK" w:hAnsi="宋体" w:eastAsia="方正小标宋_GBK"/>
          <w:sz w:val="36"/>
          <w:szCs w:val="36"/>
        </w:rPr>
      </w:pPr>
      <w:r>
        <w:rPr>
          <w:rFonts w:hint="eastAsia" w:ascii="方正小标宋_GBK" w:hAnsi="宋体" w:eastAsia="方正小标宋_GBK"/>
          <w:sz w:val="36"/>
          <w:szCs w:val="36"/>
        </w:rPr>
        <w:t>建设项目污染物排放量汇总表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959"/>
        <w:gridCol w:w="1781"/>
        <w:gridCol w:w="1777"/>
        <w:gridCol w:w="1781"/>
        <w:gridCol w:w="1782"/>
        <w:gridCol w:w="1654"/>
        <w:gridCol w:w="1911"/>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tl2br w:val="single" w:color="auto" w:sz="4" w:space="0"/>
            </w:tcBorders>
            <w:noWrap w:val="0"/>
            <w:vAlign w:val="center"/>
          </w:tcPr>
          <w:p>
            <w:pPr>
              <w:spacing w:line="276" w:lineRule="auto"/>
              <w:jc w:val="right"/>
              <w:rPr>
                <w:rFonts w:cs="Times New Roman"/>
                <w:szCs w:val="21"/>
              </w:rPr>
            </w:pPr>
            <w:r>
              <w:rPr>
                <w:rFonts w:cs="Times New Roman"/>
                <w:szCs w:val="21"/>
              </w:rPr>
              <w:t>项目</w:t>
            </w:r>
          </w:p>
          <w:p>
            <w:pPr>
              <w:spacing w:line="276" w:lineRule="auto"/>
              <w:rPr>
                <w:rFonts w:cs="Times New Roman"/>
                <w:szCs w:val="21"/>
              </w:rPr>
            </w:pPr>
            <w:r>
              <w:rPr>
                <w:rFonts w:cs="Times New Roman"/>
                <w:szCs w:val="21"/>
              </w:rPr>
              <w:t>分类</w:t>
            </w:r>
          </w:p>
        </w:tc>
        <w:tc>
          <w:tcPr>
            <w:tcW w:w="1959" w:type="dxa"/>
            <w:noWrap w:val="0"/>
            <w:vAlign w:val="center"/>
          </w:tcPr>
          <w:p>
            <w:pPr>
              <w:spacing w:line="276" w:lineRule="auto"/>
              <w:jc w:val="center"/>
              <w:rPr>
                <w:rFonts w:cs="Times New Roman"/>
                <w:szCs w:val="21"/>
              </w:rPr>
            </w:pPr>
            <w:r>
              <w:rPr>
                <w:rFonts w:cs="Times New Roman"/>
                <w:szCs w:val="21"/>
              </w:rPr>
              <w:t>污染物名称</w:t>
            </w:r>
          </w:p>
        </w:tc>
        <w:tc>
          <w:tcPr>
            <w:tcW w:w="1781" w:type="dxa"/>
            <w:noWrap w:val="0"/>
            <w:vAlign w:val="center"/>
          </w:tcPr>
          <w:p>
            <w:pPr>
              <w:spacing w:line="276" w:lineRule="auto"/>
              <w:jc w:val="center"/>
              <w:rPr>
                <w:rFonts w:cs="Times New Roman"/>
                <w:szCs w:val="21"/>
              </w:rPr>
            </w:pPr>
            <w:r>
              <w:rPr>
                <w:rFonts w:cs="Times New Roman"/>
                <w:szCs w:val="21"/>
              </w:rPr>
              <w:t>现有工程</w:t>
            </w:r>
          </w:p>
          <w:p>
            <w:pPr>
              <w:spacing w:line="276" w:lineRule="auto"/>
              <w:jc w:val="center"/>
              <w:rPr>
                <w:rFonts w:cs="Times New Roman"/>
                <w:szCs w:val="21"/>
              </w:rPr>
            </w:pPr>
            <w:r>
              <w:rPr>
                <w:rFonts w:cs="Times New Roman"/>
                <w:szCs w:val="21"/>
              </w:rPr>
              <w:t>排放量（固体废物产生量）</w:t>
            </w:r>
            <w:r>
              <w:rPr>
                <w:rFonts w:hint="eastAsia" w:ascii="宋体" w:hAnsi="宋体" w:cs="宋体"/>
                <w:szCs w:val="21"/>
              </w:rPr>
              <w:t>①</w:t>
            </w:r>
          </w:p>
        </w:tc>
        <w:tc>
          <w:tcPr>
            <w:tcW w:w="1777" w:type="dxa"/>
            <w:noWrap w:val="0"/>
            <w:vAlign w:val="center"/>
          </w:tcPr>
          <w:p>
            <w:pPr>
              <w:spacing w:line="276" w:lineRule="auto"/>
              <w:jc w:val="center"/>
              <w:rPr>
                <w:rFonts w:cs="Times New Roman"/>
                <w:szCs w:val="21"/>
              </w:rPr>
            </w:pPr>
            <w:r>
              <w:rPr>
                <w:rFonts w:cs="Times New Roman"/>
                <w:szCs w:val="21"/>
              </w:rPr>
              <w:t>现有工程</w:t>
            </w:r>
          </w:p>
          <w:p>
            <w:pPr>
              <w:spacing w:line="276" w:lineRule="auto"/>
              <w:jc w:val="center"/>
              <w:rPr>
                <w:rFonts w:cs="Times New Roman"/>
                <w:szCs w:val="21"/>
              </w:rPr>
            </w:pPr>
            <w:r>
              <w:rPr>
                <w:rFonts w:cs="Times New Roman"/>
                <w:szCs w:val="21"/>
              </w:rPr>
              <w:t>许可排放量</w:t>
            </w:r>
            <w:r>
              <w:rPr>
                <w:rFonts w:hint="eastAsia" w:ascii="宋体" w:hAnsi="宋体" w:cs="宋体"/>
                <w:szCs w:val="21"/>
              </w:rPr>
              <w:t>②</w:t>
            </w:r>
          </w:p>
        </w:tc>
        <w:tc>
          <w:tcPr>
            <w:tcW w:w="1781" w:type="dxa"/>
            <w:noWrap w:val="0"/>
            <w:vAlign w:val="center"/>
          </w:tcPr>
          <w:p>
            <w:pPr>
              <w:spacing w:line="276" w:lineRule="auto"/>
              <w:jc w:val="center"/>
              <w:rPr>
                <w:rFonts w:cs="Times New Roman"/>
                <w:szCs w:val="21"/>
              </w:rPr>
            </w:pPr>
            <w:r>
              <w:rPr>
                <w:rFonts w:cs="Times New Roman"/>
                <w:szCs w:val="21"/>
              </w:rPr>
              <w:t>在建工程</w:t>
            </w:r>
          </w:p>
          <w:p>
            <w:pPr>
              <w:spacing w:line="276" w:lineRule="auto"/>
              <w:jc w:val="center"/>
              <w:rPr>
                <w:rFonts w:cs="Times New Roman"/>
                <w:szCs w:val="21"/>
              </w:rPr>
            </w:pPr>
            <w:r>
              <w:rPr>
                <w:rFonts w:cs="Times New Roman"/>
                <w:szCs w:val="21"/>
              </w:rPr>
              <w:t>排放量（固体废物产生量）</w:t>
            </w:r>
            <w:r>
              <w:rPr>
                <w:rFonts w:hint="eastAsia" w:ascii="宋体" w:hAnsi="宋体" w:cs="宋体"/>
                <w:szCs w:val="21"/>
              </w:rPr>
              <w:t>③</w:t>
            </w:r>
          </w:p>
        </w:tc>
        <w:tc>
          <w:tcPr>
            <w:tcW w:w="1782" w:type="dxa"/>
            <w:noWrap w:val="0"/>
            <w:vAlign w:val="center"/>
          </w:tcPr>
          <w:p>
            <w:pPr>
              <w:spacing w:line="276" w:lineRule="auto"/>
              <w:jc w:val="center"/>
              <w:rPr>
                <w:rFonts w:cs="Times New Roman"/>
                <w:szCs w:val="21"/>
              </w:rPr>
            </w:pPr>
            <w:r>
              <w:rPr>
                <w:rFonts w:cs="Times New Roman"/>
                <w:szCs w:val="21"/>
              </w:rPr>
              <w:t>本项目</w:t>
            </w:r>
          </w:p>
          <w:p>
            <w:pPr>
              <w:spacing w:line="276" w:lineRule="auto"/>
              <w:jc w:val="center"/>
              <w:rPr>
                <w:rFonts w:cs="Times New Roman"/>
                <w:szCs w:val="21"/>
              </w:rPr>
            </w:pPr>
            <w:r>
              <w:rPr>
                <w:rFonts w:cs="Times New Roman"/>
                <w:szCs w:val="21"/>
              </w:rPr>
              <w:t>排放量（固体废物产生量）</w:t>
            </w:r>
            <w:r>
              <w:rPr>
                <w:rFonts w:hint="eastAsia" w:ascii="宋体" w:hAnsi="宋体" w:cs="宋体"/>
                <w:szCs w:val="21"/>
              </w:rPr>
              <w:t>④</w:t>
            </w:r>
          </w:p>
        </w:tc>
        <w:tc>
          <w:tcPr>
            <w:tcW w:w="1654" w:type="dxa"/>
            <w:noWrap w:val="0"/>
            <w:vAlign w:val="center"/>
          </w:tcPr>
          <w:p>
            <w:pPr>
              <w:spacing w:line="276" w:lineRule="auto"/>
              <w:jc w:val="center"/>
              <w:rPr>
                <w:rFonts w:cs="Times New Roman"/>
                <w:szCs w:val="21"/>
              </w:rPr>
            </w:pPr>
            <w:r>
              <w:rPr>
                <w:rFonts w:cs="Times New Roman"/>
                <w:szCs w:val="21"/>
              </w:rPr>
              <w:t>以新带老削减量（新建项目不填）</w:t>
            </w:r>
            <w:r>
              <w:rPr>
                <w:rFonts w:hint="eastAsia" w:ascii="宋体" w:hAnsi="宋体" w:cs="宋体"/>
                <w:szCs w:val="21"/>
              </w:rPr>
              <w:t>⑤</w:t>
            </w:r>
          </w:p>
        </w:tc>
        <w:tc>
          <w:tcPr>
            <w:tcW w:w="1911" w:type="dxa"/>
            <w:noWrap w:val="0"/>
            <w:vAlign w:val="center"/>
          </w:tcPr>
          <w:p>
            <w:pPr>
              <w:spacing w:line="276" w:lineRule="auto"/>
              <w:jc w:val="center"/>
              <w:rPr>
                <w:rFonts w:cs="Times New Roman"/>
                <w:szCs w:val="21"/>
              </w:rPr>
            </w:pPr>
            <w:r>
              <w:rPr>
                <w:rFonts w:cs="Times New Roman"/>
                <w:szCs w:val="21"/>
              </w:rPr>
              <w:t>本项目建成后</w:t>
            </w:r>
          </w:p>
          <w:p>
            <w:pPr>
              <w:spacing w:line="276" w:lineRule="auto"/>
              <w:rPr>
                <w:rFonts w:cs="Times New Roman"/>
                <w:szCs w:val="21"/>
              </w:rPr>
            </w:pPr>
            <w:r>
              <w:rPr>
                <w:rFonts w:cs="Times New Roman"/>
                <w:szCs w:val="21"/>
              </w:rPr>
              <w:t>全厂排放量（固体废物产生量）</w:t>
            </w:r>
            <w:r>
              <w:rPr>
                <w:rFonts w:hint="eastAsia" w:ascii="宋体" w:hAnsi="宋体" w:cs="宋体"/>
                <w:szCs w:val="21"/>
              </w:rPr>
              <w:t>⑥</w:t>
            </w:r>
          </w:p>
        </w:tc>
        <w:tc>
          <w:tcPr>
            <w:tcW w:w="1017" w:type="dxa"/>
            <w:noWrap w:val="0"/>
            <w:vAlign w:val="center"/>
          </w:tcPr>
          <w:p>
            <w:pPr>
              <w:spacing w:line="276" w:lineRule="auto"/>
              <w:jc w:val="center"/>
              <w:rPr>
                <w:rFonts w:cs="Times New Roman"/>
                <w:szCs w:val="21"/>
              </w:rPr>
            </w:pPr>
            <w:r>
              <w:rPr>
                <w:rFonts w:cs="Times New Roman"/>
                <w:szCs w:val="21"/>
              </w:rPr>
              <w:t>变化量</w:t>
            </w:r>
          </w:p>
          <w:p>
            <w:pPr>
              <w:spacing w:line="276" w:lineRule="auto"/>
              <w:jc w:val="center"/>
              <w:rPr>
                <w:rFonts w:cs="Times New Roman"/>
                <w:szCs w:val="21"/>
              </w:rPr>
            </w:pPr>
            <w:r>
              <w:rPr>
                <w:rFonts w:hint="eastAsia" w:ascii="宋体" w:hAnsi="宋体" w:cs="宋体"/>
                <w:szCs w:val="21"/>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Merge w:val="restart"/>
            <w:noWrap w:val="0"/>
            <w:vAlign w:val="center"/>
          </w:tcPr>
          <w:p>
            <w:pPr>
              <w:spacing w:line="276" w:lineRule="auto"/>
              <w:jc w:val="center"/>
              <w:rPr>
                <w:rFonts w:cs="Times New Roman"/>
                <w:szCs w:val="21"/>
              </w:rPr>
            </w:pPr>
            <w:r>
              <w:rPr>
                <w:rFonts w:cs="Times New Roman"/>
                <w:szCs w:val="21"/>
              </w:rPr>
              <w:t>废气</w:t>
            </w:r>
          </w:p>
        </w:tc>
        <w:tc>
          <w:tcPr>
            <w:tcW w:w="1959" w:type="dxa"/>
            <w:noWrap w:val="0"/>
            <w:vAlign w:val="center"/>
          </w:tcPr>
          <w:p>
            <w:pPr>
              <w:spacing w:line="276" w:lineRule="auto"/>
              <w:jc w:val="center"/>
              <w:rPr>
                <w:rFonts w:cs="Times New Roman"/>
                <w:szCs w:val="21"/>
              </w:rPr>
            </w:pPr>
            <w:r>
              <w:rPr>
                <w:rFonts w:cs="Times New Roman"/>
                <w:szCs w:val="21"/>
              </w:rPr>
              <w:t>颗粒物</w:t>
            </w:r>
          </w:p>
        </w:tc>
        <w:tc>
          <w:tcPr>
            <w:tcW w:w="1781" w:type="dxa"/>
            <w:noWrap w:val="0"/>
            <w:vAlign w:val="center"/>
          </w:tcPr>
          <w:p>
            <w:pPr>
              <w:spacing w:line="276" w:lineRule="auto"/>
              <w:jc w:val="center"/>
              <w:rPr>
                <w:rFonts w:cs="Times New Roman"/>
                <w:szCs w:val="21"/>
              </w:rPr>
            </w:pPr>
            <w:r>
              <w:rPr>
                <w:rFonts w:hint="eastAsia" w:cs="Times New Roman"/>
                <w:szCs w:val="21"/>
              </w:rPr>
              <w:t>0</w:t>
            </w:r>
          </w:p>
        </w:tc>
        <w:tc>
          <w:tcPr>
            <w:tcW w:w="1777" w:type="dxa"/>
            <w:noWrap w:val="0"/>
            <w:vAlign w:val="center"/>
          </w:tcPr>
          <w:p>
            <w:pPr>
              <w:spacing w:line="276" w:lineRule="auto"/>
              <w:jc w:val="center"/>
              <w:rPr>
                <w:rFonts w:cs="Times New Roman"/>
                <w:szCs w:val="21"/>
              </w:rPr>
            </w:pPr>
            <w:r>
              <w:rPr>
                <w:rFonts w:hint="eastAsia" w:cs="Times New Roman"/>
                <w:szCs w:val="21"/>
              </w:rPr>
              <w:t>0</w:t>
            </w:r>
          </w:p>
        </w:tc>
        <w:tc>
          <w:tcPr>
            <w:tcW w:w="1781" w:type="dxa"/>
            <w:noWrap w:val="0"/>
            <w:vAlign w:val="center"/>
          </w:tcPr>
          <w:p>
            <w:pPr>
              <w:spacing w:line="276" w:lineRule="auto"/>
              <w:jc w:val="center"/>
              <w:rPr>
                <w:rFonts w:cs="Times New Roman"/>
                <w:szCs w:val="21"/>
              </w:rPr>
            </w:pPr>
            <w:r>
              <w:rPr>
                <w:rFonts w:hint="eastAsia" w:cs="Times New Roman"/>
                <w:szCs w:val="21"/>
              </w:rPr>
              <w:t>0</w:t>
            </w:r>
          </w:p>
        </w:tc>
        <w:tc>
          <w:tcPr>
            <w:tcW w:w="1782" w:type="dxa"/>
            <w:noWrap w:val="0"/>
            <w:vAlign w:val="center"/>
          </w:tcPr>
          <w:p>
            <w:pPr>
              <w:spacing w:line="276" w:lineRule="auto"/>
              <w:jc w:val="center"/>
              <w:rPr>
                <w:rFonts w:hint="eastAsia" w:cs="Times New Roman"/>
                <w:szCs w:val="21"/>
              </w:rPr>
            </w:pPr>
            <w:r>
              <w:rPr>
                <w:rFonts w:hint="eastAsia" w:cs="Times New Roman"/>
                <w:szCs w:val="21"/>
              </w:rPr>
              <w:t>0.00523</w:t>
            </w:r>
          </w:p>
        </w:tc>
        <w:tc>
          <w:tcPr>
            <w:tcW w:w="1654" w:type="dxa"/>
            <w:noWrap w:val="0"/>
            <w:vAlign w:val="center"/>
          </w:tcPr>
          <w:p>
            <w:pPr>
              <w:spacing w:line="276" w:lineRule="auto"/>
              <w:jc w:val="center"/>
              <w:rPr>
                <w:rFonts w:cs="Times New Roman"/>
                <w:szCs w:val="21"/>
              </w:rPr>
            </w:pPr>
            <w:r>
              <w:rPr>
                <w:rFonts w:hint="eastAsia" w:cs="Times New Roman"/>
                <w:szCs w:val="21"/>
              </w:rPr>
              <w:t>0</w:t>
            </w:r>
          </w:p>
        </w:tc>
        <w:tc>
          <w:tcPr>
            <w:tcW w:w="1911" w:type="dxa"/>
            <w:noWrap w:val="0"/>
            <w:vAlign w:val="center"/>
          </w:tcPr>
          <w:p>
            <w:pPr>
              <w:spacing w:line="276" w:lineRule="auto"/>
              <w:jc w:val="center"/>
              <w:rPr>
                <w:rFonts w:hint="eastAsia" w:cs="Times New Roman"/>
                <w:szCs w:val="21"/>
              </w:rPr>
            </w:pPr>
            <w:r>
              <w:rPr>
                <w:rFonts w:hint="eastAsia" w:cs="Times New Roman"/>
                <w:szCs w:val="21"/>
              </w:rPr>
              <w:t>0.00523</w:t>
            </w:r>
          </w:p>
        </w:tc>
        <w:tc>
          <w:tcPr>
            <w:tcW w:w="1017" w:type="dxa"/>
            <w:noWrap w:val="0"/>
            <w:vAlign w:val="center"/>
          </w:tcPr>
          <w:p>
            <w:pPr>
              <w:spacing w:line="276" w:lineRule="auto"/>
              <w:jc w:val="center"/>
              <w:rPr>
                <w:rFonts w:hint="eastAsia" w:cs="Times New Roman"/>
                <w:szCs w:val="21"/>
              </w:rPr>
            </w:pPr>
            <w:r>
              <w:rPr>
                <w:rFonts w:hint="eastAsia" w:cs="Times New Roman"/>
                <w:szCs w:val="21"/>
              </w:rPr>
              <w:t>+0.00523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Merge w:val="continue"/>
            <w:noWrap w:val="0"/>
            <w:vAlign w:val="center"/>
          </w:tcPr>
          <w:p>
            <w:pPr>
              <w:spacing w:line="276" w:lineRule="auto"/>
              <w:jc w:val="center"/>
              <w:rPr>
                <w:rFonts w:cs="Times New Roman"/>
                <w:szCs w:val="21"/>
              </w:rPr>
            </w:pPr>
          </w:p>
        </w:tc>
        <w:tc>
          <w:tcPr>
            <w:tcW w:w="1959" w:type="dxa"/>
            <w:noWrap w:val="0"/>
            <w:vAlign w:val="center"/>
          </w:tcPr>
          <w:p>
            <w:pPr>
              <w:spacing w:line="276" w:lineRule="auto"/>
              <w:jc w:val="center"/>
              <w:rPr>
                <w:rFonts w:hint="eastAsia" w:cs="Times New Roman"/>
                <w:szCs w:val="21"/>
              </w:rPr>
            </w:pPr>
            <w:r>
              <w:rPr>
                <w:rFonts w:hint="eastAsia" w:cs="Times New Roman"/>
                <w:szCs w:val="21"/>
              </w:rPr>
              <w:t>二氧化硫</w:t>
            </w:r>
          </w:p>
        </w:tc>
        <w:tc>
          <w:tcPr>
            <w:tcW w:w="1781" w:type="dxa"/>
            <w:noWrap w:val="0"/>
            <w:vAlign w:val="center"/>
          </w:tcPr>
          <w:p>
            <w:pPr>
              <w:spacing w:line="276" w:lineRule="auto"/>
              <w:jc w:val="center"/>
              <w:rPr>
                <w:rFonts w:cs="Times New Roman"/>
                <w:szCs w:val="21"/>
              </w:rPr>
            </w:pPr>
            <w:r>
              <w:rPr>
                <w:rFonts w:hint="eastAsia" w:cs="Times New Roman"/>
                <w:szCs w:val="21"/>
              </w:rPr>
              <w:t>0</w:t>
            </w:r>
          </w:p>
        </w:tc>
        <w:tc>
          <w:tcPr>
            <w:tcW w:w="1777" w:type="dxa"/>
            <w:noWrap w:val="0"/>
            <w:vAlign w:val="center"/>
          </w:tcPr>
          <w:p>
            <w:pPr>
              <w:spacing w:line="276" w:lineRule="auto"/>
              <w:jc w:val="center"/>
              <w:rPr>
                <w:rFonts w:cs="Times New Roman"/>
                <w:szCs w:val="21"/>
              </w:rPr>
            </w:pPr>
            <w:r>
              <w:rPr>
                <w:rFonts w:hint="eastAsia" w:cs="Times New Roman"/>
                <w:szCs w:val="21"/>
              </w:rPr>
              <w:t>0</w:t>
            </w:r>
          </w:p>
        </w:tc>
        <w:tc>
          <w:tcPr>
            <w:tcW w:w="1781" w:type="dxa"/>
            <w:noWrap w:val="0"/>
            <w:vAlign w:val="center"/>
          </w:tcPr>
          <w:p>
            <w:pPr>
              <w:spacing w:line="276" w:lineRule="auto"/>
              <w:jc w:val="center"/>
              <w:rPr>
                <w:rFonts w:cs="Times New Roman"/>
                <w:szCs w:val="21"/>
              </w:rPr>
            </w:pPr>
            <w:r>
              <w:rPr>
                <w:rFonts w:hint="eastAsia" w:cs="Times New Roman"/>
                <w:szCs w:val="21"/>
              </w:rPr>
              <w:t>0</w:t>
            </w:r>
          </w:p>
        </w:tc>
        <w:tc>
          <w:tcPr>
            <w:tcW w:w="1782" w:type="dxa"/>
            <w:noWrap w:val="0"/>
            <w:vAlign w:val="center"/>
          </w:tcPr>
          <w:p>
            <w:pPr>
              <w:spacing w:line="276" w:lineRule="auto"/>
              <w:jc w:val="center"/>
              <w:rPr>
                <w:rFonts w:hint="eastAsia" w:cs="Times New Roman"/>
                <w:szCs w:val="21"/>
              </w:rPr>
            </w:pPr>
            <w:r>
              <w:rPr>
                <w:rFonts w:hint="eastAsia" w:cs="Times New Roman"/>
                <w:szCs w:val="21"/>
              </w:rPr>
              <w:t>0.02932</w:t>
            </w:r>
          </w:p>
        </w:tc>
        <w:tc>
          <w:tcPr>
            <w:tcW w:w="1654" w:type="dxa"/>
            <w:noWrap w:val="0"/>
            <w:vAlign w:val="center"/>
          </w:tcPr>
          <w:p>
            <w:pPr>
              <w:spacing w:line="276" w:lineRule="auto"/>
              <w:jc w:val="center"/>
              <w:rPr>
                <w:rFonts w:cs="Times New Roman"/>
                <w:szCs w:val="21"/>
              </w:rPr>
            </w:pPr>
            <w:r>
              <w:rPr>
                <w:rFonts w:hint="eastAsia" w:cs="Times New Roman"/>
                <w:szCs w:val="21"/>
              </w:rPr>
              <w:t>0</w:t>
            </w:r>
          </w:p>
        </w:tc>
        <w:tc>
          <w:tcPr>
            <w:tcW w:w="1911" w:type="dxa"/>
            <w:noWrap w:val="0"/>
            <w:vAlign w:val="center"/>
          </w:tcPr>
          <w:p>
            <w:pPr>
              <w:spacing w:line="276" w:lineRule="auto"/>
              <w:jc w:val="center"/>
              <w:rPr>
                <w:rFonts w:hint="eastAsia" w:cs="Times New Roman"/>
                <w:szCs w:val="21"/>
              </w:rPr>
            </w:pPr>
            <w:r>
              <w:rPr>
                <w:rFonts w:hint="eastAsia" w:cs="Times New Roman"/>
                <w:szCs w:val="21"/>
              </w:rPr>
              <w:t>0.02932</w:t>
            </w:r>
          </w:p>
        </w:tc>
        <w:tc>
          <w:tcPr>
            <w:tcW w:w="1017" w:type="dxa"/>
            <w:noWrap w:val="0"/>
            <w:vAlign w:val="center"/>
          </w:tcPr>
          <w:p>
            <w:pPr>
              <w:spacing w:line="276" w:lineRule="auto"/>
              <w:jc w:val="center"/>
              <w:rPr>
                <w:rFonts w:hint="eastAsia" w:cs="Times New Roman"/>
                <w:szCs w:val="21"/>
              </w:rPr>
            </w:pPr>
            <w:r>
              <w:rPr>
                <w:rFonts w:hint="eastAsia" w:cs="Times New Roman"/>
                <w:szCs w:val="21"/>
              </w:rPr>
              <w:t>+0.02932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Merge w:val="continue"/>
            <w:noWrap w:val="0"/>
            <w:vAlign w:val="center"/>
          </w:tcPr>
          <w:p>
            <w:pPr>
              <w:spacing w:line="276" w:lineRule="auto"/>
              <w:jc w:val="center"/>
              <w:rPr>
                <w:rFonts w:cs="Times New Roman"/>
                <w:szCs w:val="21"/>
              </w:rPr>
            </w:pPr>
          </w:p>
        </w:tc>
        <w:tc>
          <w:tcPr>
            <w:tcW w:w="1959" w:type="dxa"/>
            <w:noWrap w:val="0"/>
            <w:vAlign w:val="center"/>
          </w:tcPr>
          <w:p>
            <w:pPr>
              <w:spacing w:line="276" w:lineRule="auto"/>
              <w:jc w:val="center"/>
              <w:rPr>
                <w:rFonts w:cs="Times New Roman"/>
                <w:szCs w:val="21"/>
              </w:rPr>
            </w:pPr>
            <w:r>
              <w:rPr>
                <w:rFonts w:hint="eastAsia" w:cs="Times New Roman"/>
                <w:szCs w:val="21"/>
              </w:rPr>
              <w:t>氮氧化物</w:t>
            </w:r>
          </w:p>
        </w:tc>
        <w:tc>
          <w:tcPr>
            <w:tcW w:w="1781" w:type="dxa"/>
            <w:noWrap w:val="0"/>
            <w:vAlign w:val="center"/>
          </w:tcPr>
          <w:p>
            <w:pPr>
              <w:spacing w:line="276" w:lineRule="auto"/>
              <w:jc w:val="center"/>
              <w:rPr>
                <w:rFonts w:cs="Times New Roman"/>
                <w:szCs w:val="21"/>
              </w:rPr>
            </w:pPr>
            <w:r>
              <w:rPr>
                <w:rFonts w:hint="eastAsia" w:cs="Times New Roman"/>
                <w:szCs w:val="21"/>
              </w:rPr>
              <w:t>0</w:t>
            </w:r>
          </w:p>
        </w:tc>
        <w:tc>
          <w:tcPr>
            <w:tcW w:w="1777" w:type="dxa"/>
            <w:noWrap w:val="0"/>
            <w:vAlign w:val="center"/>
          </w:tcPr>
          <w:p>
            <w:pPr>
              <w:spacing w:line="276" w:lineRule="auto"/>
              <w:jc w:val="center"/>
              <w:rPr>
                <w:rFonts w:cs="Times New Roman"/>
                <w:szCs w:val="21"/>
              </w:rPr>
            </w:pPr>
            <w:r>
              <w:rPr>
                <w:rFonts w:hint="eastAsia" w:cs="Times New Roman"/>
                <w:szCs w:val="21"/>
              </w:rPr>
              <w:t>0</w:t>
            </w:r>
          </w:p>
        </w:tc>
        <w:tc>
          <w:tcPr>
            <w:tcW w:w="1781" w:type="dxa"/>
            <w:noWrap w:val="0"/>
            <w:vAlign w:val="center"/>
          </w:tcPr>
          <w:p>
            <w:pPr>
              <w:spacing w:line="276" w:lineRule="auto"/>
              <w:jc w:val="center"/>
              <w:rPr>
                <w:rFonts w:cs="Times New Roman"/>
                <w:szCs w:val="21"/>
              </w:rPr>
            </w:pPr>
            <w:r>
              <w:rPr>
                <w:rFonts w:hint="eastAsia" w:cs="Times New Roman"/>
                <w:szCs w:val="21"/>
              </w:rPr>
              <w:t>0</w:t>
            </w:r>
          </w:p>
        </w:tc>
        <w:tc>
          <w:tcPr>
            <w:tcW w:w="1782" w:type="dxa"/>
            <w:noWrap w:val="0"/>
            <w:vAlign w:val="center"/>
          </w:tcPr>
          <w:p>
            <w:pPr>
              <w:spacing w:line="276" w:lineRule="auto"/>
              <w:jc w:val="center"/>
              <w:rPr>
                <w:rFonts w:hint="eastAsia" w:cs="Times New Roman"/>
                <w:szCs w:val="21"/>
              </w:rPr>
            </w:pPr>
            <w:r>
              <w:rPr>
                <w:rFonts w:hint="eastAsia" w:cs="Times New Roman"/>
                <w:szCs w:val="21"/>
              </w:rPr>
              <w:t>0.01876</w:t>
            </w:r>
          </w:p>
        </w:tc>
        <w:tc>
          <w:tcPr>
            <w:tcW w:w="1654" w:type="dxa"/>
            <w:noWrap w:val="0"/>
            <w:vAlign w:val="center"/>
          </w:tcPr>
          <w:p>
            <w:pPr>
              <w:spacing w:line="276" w:lineRule="auto"/>
              <w:jc w:val="center"/>
              <w:rPr>
                <w:rFonts w:cs="Times New Roman"/>
                <w:szCs w:val="21"/>
              </w:rPr>
            </w:pPr>
            <w:r>
              <w:rPr>
                <w:rFonts w:hint="eastAsia" w:cs="Times New Roman"/>
                <w:szCs w:val="21"/>
              </w:rPr>
              <w:t>0</w:t>
            </w:r>
          </w:p>
        </w:tc>
        <w:tc>
          <w:tcPr>
            <w:tcW w:w="1911" w:type="dxa"/>
            <w:noWrap w:val="0"/>
            <w:vAlign w:val="center"/>
          </w:tcPr>
          <w:p>
            <w:pPr>
              <w:spacing w:line="276" w:lineRule="auto"/>
              <w:jc w:val="center"/>
              <w:rPr>
                <w:rFonts w:hint="eastAsia" w:cs="Times New Roman"/>
                <w:szCs w:val="21"/>
              </w:rPr>
            </w:pPr>
            <w:r>
              <w:rPr>
                <w:rFonts w:hint="eastAsia" w:cs="Times New Roman"/>
                <w:szCs w:val="21"/>
              </w:rPr>
              <w:t>0.01876</w:t>
            </w:r>
          </w:p>
        </w:tc>
        <w:tc>
          <w:tcPr>
            <w:tcW w:w="1017" w:type="dxa"/>
            <w:noWrap w:val="0"/>
            <w:vAlign w:val="center"/>
          </w:tcPr>
          <w:p>
            <w:pPr>
              <w:spacing w:line="276" w:lineRule="auto"/>
              <w:jc w:val="center"/>
              <w:rPr>
                <w:rFonts w:hint="eastAsia" w:cs="Times New Roman"/>
                <w:szCs w:val="21"/>
              </w:rPr>
            </w:pPr>
            <w:r>
              <w:rPr>
                <w:rFonts w:hint="eastAsia" w:cs="Times New Roman"/>
                <w:szCs w:val="21"/>
              </w:rPr>
              <w:t>+0.01876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Merge w:val="continue"/>
            <w:noWrap w:val="0"/>
            <w:vAlign w:val="center"/>
          </w:tcPr>
          <w:p>
            <w:pPr>
              <w:spacing w:line="276" w:lineRule="auto"/>
              <w:jc w:val="center"/>
              <w:rPr>
                <w:rFonts w:cs="Times New Roman"/>
                <w:szCs w:val="21"/>
              </w:rPr>
            </w:pPr>
          </w:p>
        </w:tc>
        <w:tc>
          <w:tcPr>
            <w:tcW w:w="1959" w:type="dxa"/>
            <w:noWrap w:val="0"/>
            <w:vAlign w:val="center"/>
          </w:tcPr>
          <w:p>
            <w:pPr>
              <w:spacing w:line="276" w:lineRule="auto"/>
              <w:jc w:val="center"/>
              <w:rPr>
                <w:rFonts w:hint="eastAsia" w:cs="Times New Roman"/>
                <w:szCs w:val="21"/>
              </w:rPr>
            </w:pPr>
            <w:r>
              <w:rPr>
                <w:rFonts w:hint="eastAsia" w:cs="Times New Roman"/>
                <w:szCs w:val="21"/>
              </w:rPr>
              <w:t>油烟</w:t>
            </w:r>
          </w:p>
        </w:tc>
        <w:tc>
          <w:tcPr>
            <w:tcW w:w="1781" w:type="dxa"/>
            <w:noWrap w:val="0"/>
            <w:vAlign w:val="center"/>
          </w:tcPr>
          <w:p>
            <w:pPr>
              <w:spacing w:line="276" w:lineRule="auto"/>
              <w:jc w:val="center"/>
              <w:rPr>
                <w:rFonts w:hint="eastAsia" w:cs="Times New Roman"/>
                <w:szCs w:val="21"/>
              </w:rPr>
            </w:pPr>
            <w:r>
              <w:rPr>
                <w:rFonts w:hint="eastAsia" w:cs="Times New Roman"/>
                <w:szCs w:val="21"/>
              </w:rPr>
              <w:t>0</w:t>
            </w:r>
          </w:p>
        </w:tc>
        <w:tc>
          <w:tcPr>
            <w:tcW w:w="1777" w:type="dxa"/>
            <w:noWrap w:val="0"/>
            <w:vAlign w:val="center"/>
          </w:tcPr>
          <w:p>
            <w:pPr>
              <w:spacing w:line="276" w:lineRule="auto"/>
              <w:jc w:val="center"/>
              <w:rPr>
                <w:rFonts w:hint="eastAsia" w:cs="Times New Roman"/>
                <w:szCs w:val="21"/>
              </w:rPr>
            </w:pPr>
            <w:r>
              <w:rPr>
                <w:rFonts w:hint="eastAsia" w:cs="Times New Roman"/>
                <w:szCs w:val="21"/>
              </w:rPr>
              <w:t>0</w:t>
            </w:r>
          </w:p>
        </w:tc>
        <w:tc>
          <w:tcPr>
            <w:tcW w:w="1781" w:type="dxa"/>
            <w:noWrap w:val="0"/>
            <w:vAlign w:val="center"/>
          </w:tcPr>
          <w:p>
            <w:pPr>
              <w:spacing w:line="276" w:lineRule="auto"/>
              <w:jc w:val="center"/>
              <w:rPr>
                <w:rFonts w:hint="eastAsia" w:cs="Times New Roman"/>
                <w:szCs w:val="21"/>
              </w:rPr>
            </w:pPr>
            <w:r>
              <w:rPr>
                <w:rFonts w:hint="eastAsia" w:cs="Times New Roman"/>
                <w:szCs w:val="21"/>
              </w:rPr>
              <w:t>0</w:t>
            </w:r>
          </w:p>
        </w:tc>
        <w:tc>
          <w:tcPr>
            <w:tcW w:w="1782" w:type="dxa"/>
            <w:noWrap w:val="0"/>
            <w:vAlign w:val="center"/>
          </w:tcPr>
          <w:p>
            <w:pPr>
              <w:spacing w:line="276" w:lineRule="auto"/>
              <w:jc w:val="center"/>
              <w:rPr>
                <w:rFonts w:hint="eastAsia" w:cs="Times New Roman"/>
                <w:szCs w:val="21"/>
              </w:rPr>
            </w:pPr>
            <w:r>
              <w:rPr>
                <w:rFonts w:hint="eastAsia" w:cs="Times New Roman"/>
                <w:szCs w:val="21"/>
              </w:rPr>
              <w:t>0.0018</w:t>
            </w:r>
          </w:p>
        </w:tc>
        <w:tc>
          <w:tcPr>
            <w:tcW w:w="1654" w:type="dxa"/>
            <w:noWrap w:val="0"/>
            <w:vAlign w:val="center"/>
          </w:tcPr>
          <w:p>
            <w:pPr>
              <w:spacing w:line="276" w:lineRule="auto"/>
              <w:jc w:val="center"/>
              <w:rPr>
                <w:rFonts w:hint="eastAsia" w:cs="Times New Roman"/>
                <w:szCs w:val="21"/>
              </w:rPr>
            </w:pPr>
            <w:r>
              <w:rPr>
                <w:rFonts w:hint="eastAsia" w:cs="Times New Roman"/>
                <w:szCs w:val="21"/>
              </w:rPr>
              <w:t>0</w:t>
            </w:r>
          </w:p>
        </w:tc>
        <w:tc>
          <w:tcPr>
            <w:tcW w:w="1911" w:type="dxa"/>
            <w:noWrap w:val="0"/>
            <w:vAlign w:val="center"/>
          </w:tcPr>
          <w:p>
            <w:pPr>
              <w:spacing w:line="276" w:lineRule="auto"/>
              <w:jc w:val="center"/>
              <w:rPr>
                <w:rFonts w:hint="eastAsia" w:cs="Times New Roman"/>
                <w:szCs w:val="21"/>
              </w:rPr>
            </w:pPr>
            <w:r>
              <w:rPr>
                <w:rFonts w:hint="eastAsia" w:cs="Times New Roman"/>
                <w:szCs w:val="21"/>
              </w:rPr>
              <w:t>0.0018</w:t>
            </w:r>
          </w:p>
        </w:tc>
        <w:tc>
          <w:tcPr>
            <w:tcW w:w="1017" w:type="dxa"/>
            <w:noWrap w:val="0"/>
            <w:vAlign w:val="center"/>
          </w:tcPr>
          <w:p>
            <w:pPr>
              <w:spacing w:line="276" w:lineRule="auto"/>
              <w:jc w:val="center"/>
              <w:rPr>
                <w:rFonts w:hint="eastAsia" w:cs="Times New Roman"/>
                <w:szCs w:val="21"/>
              </w:rPr>
            </w:pPr>
            <w:r>
              <w:rPr>
                <w:rFonts w:hint="eastAsia" w:cs="Times New Roman"/>
                <w:szCs w:val="21"/>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Merge w:val="restart"/>
            <w:noWrap w:val="0"/>
            <w:vAlign w:val="center"/>
          </w:tcPr>
          <w:p>
            <w:pPr>
              <w:spacing w:line="276" w:lineRule="auto"/>
              <w:jc w:val="center"/>
              <w:rPr>
                <w:rFonts w:cs="Times New Roman"/>
                <w:szCs w:val="21"/>
              </w:rPr>
            </w:pPr>
            <w:r>
              <w:rPr>
                <w:rFonts w:cs="Times New Roman"/>
                <w:szCs w:val="21"/>
              </w:rPr>
              <w:t>废水</w:t>
            </w:r>
          </w:p>
        </w:tc>
        <w:tc>
          <w:tcPr>
            <w:tcW w:w="1959" w:type="dxa"/>
            <w:noWrap w:val="0"/>
            <w:vAlign w:val="center"/>
          </w:tcPr>
          <w:p>
            <w:pPr>
              <w:spacing w:line="276" w:lineRule="auto"/>
              <w:jc w:val="center"/>
              <w:rPr>
                <w:rFonts w:cs="Times New Roman"/>
                <w:szCs w:val="21"/>
              </w:rPr>
            </w:pPr>
            <w:r>
              <w:rPr>
                <w:rFonts w:cs="Times New Roman"/>
                <w:szCs w:val="21"/>
              </w:rPr>
              <w:t>COD</w:t>
            </w:r>
          </w:p>
        </w:tc>
        <w:tc>
          <w:tcPr>
            <w:tcW w:w="1781" w:type="dxa"/>
            <w:noWrap w:val="0"/>
            <w:vAlign w:val="center"/>
          </w:tcPr>
          <w:p>
            <w:pPr>
              <w:spacing w:line="276" w:lineRule="auto"/>
              <w:jc w:val="center"/>
              <w:rPr>
                <w:rFonts w:cs="Times New Roman"/>
                <w:szCs w:val="21"/>
              </w:rPr>
            </w:pPr>
            <w:r>
              <w:rPr>
                <w:rFonts w:hint="eastAsia" w:cs="Times New Roman"/>
                <w:szCs w:val="21"/>
              </w:rPr>
              <w:t>0</w:t>
            </w:r>
          </w:p>
        </w:tc>
        <w:tc>
          <w:tcPr>
            <w:tcW w:w="1777" w:type="dxa"/>
            <w:noWrap w:val="0"/>
            <w:vAlign w:val="center"/>
          </w:tcPr>
          <w:p>
            <w:pPr>
              <w:spacing w:line="276" w:lineRule="auto"/>
              <w:jc w:val="center"/>
              <w:rPr>
                <w:rFonts w:cs="Times New Roman"/>
                <w:szCs w:val="21"/>
              </w:rPr>
            </w:pPr>
            <w:r>
              <w:rPr>
                <w:rFonts w:hint="eastAsia" w:cs="Times New Roman"/>
                <w:szCs w:val="21"/>
              </w:rPr>
              <w:t>0</w:t>
            </w:r>
          </w:p>
        </w:tc>
        <w:tc>
          <w:tcPr>
            <w:tcW w:w="1781" w:type="dxa"/>
            <w:noWrap w:val="0"/>
            <w:vAlign w:val="center"/>
          </w:tcPr>
          <w:p>
            <w:pPr>
              <w:spacing w:line="276" w:lineRule="auto"/>
              <w:jc w:val="center"/>
              <w:rPr>
                <w:rFonts w:cs="Times New Roman"/>
                <w:szCs w:val="21"/>
              </w:rPr>
            </w:pPr>
            <w:r>
              <w:rPr>
                <w:rFonts w:hint="eastAsia" w:cs="Times New Roman"/>
                <w:szCs w:val="21"/>
              </w:rPr>
              <w:t>0</w:t>
            </w:r>
          </w:p>
        </w:tc>
        <w:tc>
          <w:tcPr>
            <w:tcW w:w="1782" w:type="dxa"/>
            <w:noWrap w:val="0"/>
            <w:vAlign w:val="center"/>
          </w:tcPr>
          <w:p>
            <w:pPr>
              <w:spacing w:line="276" w:lineRule="auto"/>
              <w:jc w:val="center"/>
              <w:rPr>
                <w:rFonts w:cs="Times New Roman"/>
                <w:szCs w:val="21"/>
              </w:rPr>
            </w:pPr>
            <w:r>
              <w:rPr>
                <w:rFonts w:hint="eastAsia" w:cs="Times New Roman"/>
                <w:szCs w:val="21"/>
              </w:rPr>
              <w:t>0</w:t>
            </w:r>
          </w:p>
        </w:tc>
        <w:tc>
          <w:tcPr>
            <w:tcW w:w="1654" w:type="dxa"/>
            <w:noWrap w:val="0"/>
            <w:vAlign w:val="center"/>
          </w:tcPr>
          <w:p>
            <w:pPr>
              <w:spacing w:line="276" w:lineRule="auto"/>
              <w:jc w:val="center"/>
              <w:rPr>
                <w:rFonts w:cs="Times New Roman"/>
                <w:szCs w:val="21"/>
              </w:rPr>
            </w:pPr>
            <w:r>
              <w:rPr>
                <w:rFonts w:hint="eastAsia" w:cs="Times New Roman"/>
                <w:szCs w:val="21"/>
              </w:rPr>
              <w:t>0</w:t>
            </w:r>
          </w:p>
        </w:tc>
        <w:tc>
          <w:tcPr>
            <w:tcW w:w="1911" w:type="dxa"/>
            <w:noWrap w:val="0"/>
            <w:vAlign w:val="center"/>
          </w:tcPr>
          <w:p>
            <w:pPr>
              <w:spacing w:line="276" w:lineRule="auto"/>
              <w:jc w:val="center"/>
              <w:rPr>
                <w:rFonts w:cs="Times New Roman"/>
                <w:szCs w:val="21"/>
              </w:rPr>
            </w:pPr>
            <w:r>
              <w:rPr>
                <w:rFonts w:hint="eastAsia" w:cs="Times New Roman"/>
                <w:szCs w:val="21"/>
              </w:rPr>
              <w:t>0</w:t>
            </w:r>
          </w:p>
        </w:tc>
        <w:tc>
          <w:tcPr>
            <w:tcW w:w="1017" w:type="dxa"/>
            <w:noWrap w:val="0"/>
            <w:vAlign w:val="center"/>
          </w:tcPr>
          <w:p>
            <w:pPr>
              <w:spacing w:line="276" w:lineRule="auto"/>
              <w:jc w:val="center"/>
              <w:rPr>
                <w:rFonts w:cs="Times New Roman"/>
                <w:szCs w:val="21"/>
              </w:rPr>
            </w:pPr>
            <w:r>
              <w:rPr>
                <w:rFonts w:hint="eastAsia"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Merge w:val="continue"/>
            <w:noWrap w:val="0"/>
            <w:vAlign w:val="center"/>
          </w:tcPr>
          <w:p>
            <w:pPr>
              <w:spacing w:line="276" w:lineRule="auto"/>
              <w:jc w:val="center"/>
              <w:rPr>
                <w:rFonts w:cs="Times New Roman"/>
                <w:szCs w:val="21"/>
              </w:rPr>
            </w:pPr>
          </w:p>
        </w:tc>
        <w:tc>
          <w:tcPr>
            <w:tcW w:w="1959" w:type="dxa"/>
            <w:noWrap w:val="0"/>
            <w:vAlign w:val="center"/>
          </w:tcPr>
          <w:p>
            <w:pPr>
              <w:spacing w:line="276" w:lineRule="auto"/>
              <w:jc w:val="center"/>
              <w:rPr>
                <w:rFonts w:cs="Times New Roman"/>
                <w:szCs w:val="21"/>
              </w:rPr>
            </w:pPr>
            <w:r>
              <w:rPr>
                <w:rFonts w:cs="Times New Roman"/>
                <w:szCs w:val="21"/>
              </w:rPr>
              <w:t>NH</w:t>
            </w:r>
            <w:r>
              <w:rPr>
                <w:rFonts w:cs="Times New Roman"/>
                <w:szCs w:val="21"/>
                <w:vertAlign w:val="subscript"/>
              </w:rPr>
              <w:t>3</w:t>
            </w:r>
            <w:r>
              <w:rPr>
                <w:rFonts w:hint="eastAsia" w:cs="Times New Roman"/>
                <w:szCs w:val="21"/>
              </w:rPr>
              <w:t>-</w:t>
            </w:r>
            <w:r>
              <w:rPr>
                <w:rFonts w:cs="Times New Roman"/>
                <w:szCs w:val="21"/>
              </w:rPr>
              <w:t>N</w:t>
            </w:r>
          </w:p>
        </w:tc>
        <w:tc>
          <w:tcPr>
            <w:tcW w:w="1781" w:type="dxa"/>
            <w:noWrap w:val="0"/>
            <w:vAlign w:val="center"/>
          </w:tcPr>
          <w:p>
            <w:pPr>
              <w:spacing w:line="276" w:lineRule="auto"/>
              <w:jc w:val="center"/>
              <w:rPr>
                <w:rFonts w:cs="Times New Roman"/>
                <w:szCs w:val="21"/>
              </w:rPr>
            </w:pPr>
            <w:r>
              <w:rPr>
                <w:rFonts w:hint="eastAsia" w:cs="Times New Roman"/>
                <w:szCs w:val="21"/>
              </w:rPr>
              <w:t>0</w:t>
            </w:r>
          </w:p>
        </w:tc>
        <w:tc>
          <w:tcPr>
            <w:tcW w:w="1777" w:type="dxa"/>
            <w:noWrap w:val="0"/>
            <w:vAlign w:val="center"/>
          </w:tcPr>
          <w:p>
            <w:pPr>
              <w:spacing w:line="276" w:lineRule="auto"/>
              <w:jc w:val="center"/>
              <w:rPr>
                <w:rFonts w:cs="Times New Roman"/>
                <w:szCs w:val="21"/>
              </w:rPr>
            </w:pPr>
            <w:r>
              <w:rPr>
                <w:rFonts w:hint="eastAsia" w:cs="Times New Roman"/>
                <w:szCs w:val="21"/>
              </w:rPr>
              <w:t>0</w:t>
            </w:r>
          </w:p>
        </w:tc>
        <w:tc>
          <w:tcPr>
            <w:tcW w:w="1781" w:type="dxa"/>
            <w:noWrap w:val="0"/>
            <w:vAlign w:val="center"/>
          </w:tcPr>
          <w:p>
            <w:pPr>
              <w:spacing w:line="276" w:lineRule="auto"/>
              <w:jc w:val="center"/>
              <w:rPr>
                <w:rFonts w:cs="Times New Roman"/>
                <w:szCs w:val="21"/>
              </w:rPr>
            </w:pPr>
            <w:r>
              <w:rPr>
                <w:rFonts w:hint="eastAsia" w:cs="Times New Roman"/>
                <w:szCs w:val="21"/>
              </w:rPr>
              <w:t>0</w:t>
            </w:r>
          </w:p>
        </w:tc>
        <w:tc>
          <w:tcPr>
            <w:tcW w:w="1782" w:type="dxa"/>
            <w:noWrap w:val="0"/>
            <w:vAlign w:val="center"/>
          </w:tcPr>
          <w:p>
            <w:pPr>
              <w:spacing w:line="276" w:lineRule="auto"/>
              <w:jc w:val="center"/>
              <w:rPr>
                <w:rFonts w:cs="Times New Roman"/>
                <w:szCs w:val="21"/>
              </w:rPr>
            </w:pPr>
            <w:r>
              <w:rPr>
                <w:rFonts w:hint="eastAsia" w:cs="Times New Roman"/>
                <w:szCs w:val="21"/>
              </w:rPr>
              <w:t>0</w:t>
            </w:r>
          </w:p>
        </w:tc>
        <w:tc>
          <w:tcPr>
            <w:tcW w:w="1654" w:type="dxa"/>
            <w:noWrap w:val="0"/>
            <w:vAlign w:val="center"/>
          </w:tcPr>
          <w:p>
            <w:pPr>
              <w:spacing w:line="276" w:lineRule="auto"/>
              <w:jc w:val="center"/>
              <w:rPr>
                <w:rFonts w:cs="Times New Roman"/>
                <w:szCs w:val="21"/>
              </w:rPr>
            </w:pPr>
            <w:r>
              <w:rPr>
                <w:rFonts w:hint="eastAsia" w:cs="Times New Roman"/>
                <w:szCs w:val="21"/>
              </w:rPr>
              <w:t>0</w:t>
            </w:r>
          </w:p>
        </w:tc>
        <w:tc>
          <w:tcPr>
            <w:tcW w:w="1911" w:type="dxa"/>
            <w:noWrap w:val="0"/>
            <w:vAlign w:val="center"/>
          </w:tcPr>
          <w:p>
            <w:pPr>
              <w:spacing w:line="276" w:lineRule="auto"/>
              <w:jc w:val="center"/>
              <w:rPr>
                <w:rFonts w:cs="Times New Roman"/>
                <w:szCs w:val="21"/>
              </w:rPr>
            </w:pPr>
            <w:r>
              <w:rPr>
                <w:rFonts w:hint="eastAsia" w:cs="Times New Roman"/>
                <w:szCs w:val="21"/>
              </w:rPr>
              <w:t>0</w:t>
            </w:r>
          </w:p>
        </w:tc>
        <w:tc>
          <w:tcPr>
            <w:tcW w:w="1017" w:type="dxa"/>
            <w:noWrap w:val="0"/>
            <w:vAlign w:val="center"/>
          </w:tcPr>
          <w:p>
            <w:pPr>
              <w:spacing w:line="276" w:lineRule="auto"/>
              <w:jc w:val="center"/>
              <w:rPr>
                <w:rFonts w:cs="Times New Roman"/>
                <w:szCs w:val="21"/>
              </w:rPr>
            </w:pPr>
            <w:r>
              <w:rPr>
                <w:rFonts w:hint="eastAsia"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Merge w:val="continue"/>
            <w:noWrap w:val="0"/>
            <w:vAlign w:val="center"/>
          </w:tcPr>
          <w:p>
            <w:pPr>
              <w:spacing w:line="276" w:lineRule="auto"/>
              <w:jc w:val="center"/>
              <w:rPr>
                <w:rFonts w:cs="Times New Roman"/>
                <w:szCs w:val="21"/>
              </w:rPr>
            </w:pPr>
          </w:p>
        </w:tc>
        <w:tc>
          <w:tcPr>
            <w:tcW w:w="1959" w:type="dxa"/>
            <w:noWrap w:val="0"/>
            <w:vAlign w:val="center"/>
          </w:tcPr>
          <w:p>
            <w:pPr>
              <w:spacing w:line="276" w:lineRule="auto"/>
              <w:jc w:val="center"/>
              <w:rPr>
                <w:rFonts w:cs="Times New Roman"/>
                <w:szCs w:val="21"/>
              </w:rPr>
            </w:pPr>
            <w:r>
              <w:rPr>
                <w:rFonts w:cs="Times New Roman"/>
                <w:szCs w:val="21"/>
              </w:rPr>
              <w:t>TP</w:t>
            </w:r>
          </w:p>
        </w:tc>
        <w:tc>
          <w:tcPr>
            <w:tcW w:w="1781" w:type="dxa"/>
            <w:noWrap w:val="0"/>
            <w:vAlign w:val="center"/>
          </w:tcPr>
          <w:p>
            <w:pPr>
              <w:spacing w:line="276" w:lineRule="auto"/>
              <w:jc w:val="center"/>
              <w:rPr>
                <w:rFonts w:cs="Times New Roman"/>
                <w:szCs w:val="21"/>
              </w:rPr>
            </w:pPr>
            <w:r>
              <w:rPr>
                <w:rFonts w:hint="eastAsia" w:cs="Times New Roman"/>
                <w:szCs w:val="21"/>
              </w:rPr>
              <w:t>0</w:t>
            </w:r>
          </w:p>
        </w:tc>
        <w:tc>
          <w:tcPr>
            <w:tcW w:w="1777" w:type="dxa"/>
            <w:noWrap w:val="0"/>
            <w:vAlign w:val="center"/>
          </w:tcPr>
          <w:p>
            <w:pPr>
              <w:spacing w:line="276" w:lineRule="auto"/>
              <w:jc w:val="center"/>
              <w:rPr>
                <w:rFonts w:cs="Times New Roman"/>
                <w:szCs w:val="21"/>
              </w:rPr>
            </w:pPr>
            <w:r>
              <w:rPr>
                <w:rFonts w:hint="eastAsia" w:cs="Times New Roman"/>
                <w:szCs w:val="21"/>
              </w:rPr>
              <w:t>0</w:t>
            </w:r>
          </w:p>
        </w:tc>
        <w:tc>
          <w:tcPr>
            <w:tcW w:w="1781" w:type="dxa"/>
            <w:noWrap w:val="0"/>
            <w:vAlign w:val="center"/>
          </w:tcPr>
          <w:p>
            <w:pPr>
              <w:spacing w:line="276" w:lineRule="auto"/>
              <w:jc w:val="center"/>
              <w:rPr>
                <w:rFonts w:cs="Times New Roman"/>
                <w:szCs w:val="21"/>
              </w:rPr>
            </w:pPr>
            <w:r>
              <w:rPr>
                <w:rFonts w:hint="eastAsia" w:cs="Times New Roman"/>
                <w:szCs w:val="21"/>
              </w:rPr>
              <w:t>0</w:t>
            </w:r>
          </w:p>
        </w:tc>
        <w:tc>
          <w:tcPr>
            <w:tcW w:w="1782" w:type="dxa"/>
            <w:noWrap w:val="0"/>
            <w:vAlign w:val="center"/>
          </w:tcPr>
          <w:p>
            <w:pPr>
              <w:spacing w:line="276" w:lineRule="auto"/>
              <w:jc w:val="center"/>
              <w:rPr>
                <w:rFonts w:cs="Times New Roman"/>
                <w:szCs w:val="21"/>
              </w:rPr>
            </w:pPr>
            <w:r>
              <w:rPr>
                <w:rFonts w:hint="eastAsia" w:cs="Times New Roman"/>
                <w:szCs w:val="21"/>
              </w:rPr>
              <w:t>0</w:t>
            </w:r>
          </w:p>
        </w:tc>
        <w:tc>
          <w:tcPr>
            <w:tcW w:w="1654" w:type="dxa"/>
            <w:noWrap w:val="0"/>
            <w:vAlign w:val="center"/>
          </w:tcPr>
          <w:p>
            <w:pPr>
              <w:spacing w:line="276" w:lineRule="auto"/>
              <w:jc w:val="center"/>
              <w:rPr>
                <w:rFonts w:cs="Times New Roman"/>
                <w:szCs w:val="21"/>
              </w:rPr>
            </w:pPr>
            <w:r>
              <w:rPr>
                <w:rFonts w:hint="eastAsia" w:cs="Times New Roman"/>
                <w:szCs w:val="21"/>
              </w:rPr>
              <w:t>0</w:t>
            </w:r>
          </w:p>
        </w:tc>
        <w:tc>
          <w:tcPr>
            <w:tcW w:w="1911" w:type="dxa"/>
            <w:noWrap w:val="0"/>
            <w:vAlign w:val="center"/>
          </w:tcPr>
          <w:p>
            <w:pPr>
              <w:spacing w:line="276" w:lineRule="auto"/>
              <w:jc w:val="center"/>
              <w:rPr>
                <w:rFonts w:cs="Times New Roman"/>
                <w:szCs w:val="21"/>
              </w:rPr>
            </w:pPr>
            <w:r>
              <w:rPr>
                <w:rFonts w:hint="eastAsia" w:cs="Times New Roman"/>
                <w:szCs w:val="21"/>
              </w:rPr>
              <w:t>0</w:t>
            </w:r>
          </w:p>
        </w:tc>
        <w:tc>
          <w:tcPr>
            <w:tcW w:w="1017" w:type="dxa"/>
            <w:noWrap w:val="0"/>
            <w:vAlign w:val="center"/>
          </w:tcPr>
          <w:p>
            <w:pPr>
              <w:spacing w:line="276" w:lineRule="auto"/>
              <w:jc w:val="center"/>
              <w:rPr>
                <w:rFonts w:cs="Times New Roman"/>
                <w:szCs w:val="21"/>
              </w:rPr>
            </w:pPr>
            <w:r>
              <w:rPr>
                <w:rFonts w:hint="eastAsia"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Merge w:val="restart"/>
            <w:noWrap w:val="0"/>
            <w:vAlign w:val="center"/>
          </w:tcPr>
          <w:p>
            <w:pPr>
              <w:spacing w:line="276" w:lineRule="auto"/>
              <w:jc w:val="center"/>
              <w:rPr>
                <w:rFonts w:cs="Times New Roman"/>
                <w:szCs w:val="21"/>
              </w:rPr>
            </w:pPr>
            <w:r>
              <w:rPr>
                <w:rFonts w:cs="Times New Roman"/>
                <w:szCs w:val="21"/>
              </w:rPr>
              <w:t>一般工业</w:t>
            </w:r>
          </w:p>
          <w:p>
            <w:pPr>
              <w:spacing w:line="276" w:lineRule="auto"/>
              <w:jc w:val="center"/>
              <w:rPr>
                <w:rFonts w:cs="Times New Roman"/>
                <w:szCs w:val="21"/>
              </w:rPr>
            </w:pPr>
            <w:r>
              <w:rPr>
                <w:rFonts w:cs="Times New Roman"/>
                <w:szCs w:val="21"/>
              </w:rPr>
              <w:t>固体废物</w:t>
            </w:r>
          </w:p>
        </w:tc>
        <w:tc>
          <w:tcPr>
            <w:tcW w:w="1959" w:type="dxa"/>
            <w:noWrap w:val="0"/>
            <w:vAlign w:val="center"/>
          </w:tcPr>
          <w:p>
            <w:pPr>
              <w:jc w:val="center"/>
              <w:rPr>
                <w:rFonts w:cs="Times New Roman"/>
                <w:szCs w:val="21"/>
              </w:rPr>
            </w:pPr>
            <w:r>
              <w:rPr>
                <w:rFonts w:hint="eastAsia"/>
                <w:szCs w:val="21"/>
              </w:rPr>
              <w:t>压滤污泥</w:t>
            </w:r>
          </w:p>
        </w:tc>
        <w:tc>
          <w:tcPr>
            <w:tcW w:w="1781" w:type="dxa"/>
            <w:noWrap w:val="0"/>
            <w:vAlign w:val="center"/>
          </w:tcPr>
          <w:p>
            <w:pPr>
              <w:jc w:val="center"/>
              <w:rPr>
                <w:szCs w:val="21"/>
              </w:rPr>
            </w:pPr>
            <w:r>
              <w:rPr>
                <w:rFonts w:hint="eastAsia" w:cs="Times New Roman"/>
                <w:szCs w:val="21"/>
              </w:rPr>
              <w:t>3650</w:t>
            </w:r>
          </w:p>
        </w:tc>
        <w:tc>
          <w:tcPr>
            <w:tcW w:w="1777" w:type="dxa"/>
            <w:noWrap w:val="0"/>
            <w:vAlign w:val="center"/>
          </w:tcPr>
          <w:p>
            <w:pPr>
              <w:spacing w:line="276" w:lineRule="auto"/>
              <w:jc w:val="center"/>
              <w:rPr>
                <w:rFonts w:cs="Times New Roman"/>
                <w:szCs w:val="21"/>
              </w:rPr>
            </w:pPr>
            <w:r>
              <w:rPr>
                <w:rFonts w:hint="eastAsia" w:cs="Times New Roman"/>
                <w:szCs w:val="21"/>
              </w:rPr>
              <w:t>3650</w:t>
            </w:r>
          </w:p>
        </w:tc>
        <w:tc>
          <w:tcPr>
            <w:tcW w:w="1781" w:type="dxa"/>
            <w:noWrap w:val="0"/>
            <w:vAlign w:val="center"/>
          </w:tcPr>
          <w:p>
            <w:pPr>
              <w:spacing w:line="276" w:lineRule="auto"/>
              <w:jc w:val="center"/>
              <w:rPr>
                <w:rFonts w:cs="Times New Roman"/>
                <w:szCs w:val="21"/>
              </w:rPr>
            </w:pPr>
            <w:r>
              <w:rPr>
                <w:rFonts w:hint="eastAsia" w:cs="Times New Roman"/>
                <w:szCs w:val="21"/>
              </w:rPr>
              <w:t>0</w:t>
            </w:r>
          </w:p>
        </w:tc>
        <w:tc>
          <w:tcPr>
            <w:tcW w:w="1782" w:type="dxa"/>
            <w:noWrap w:val="0"/>
            <w:vAlign w:val="center"/>
          </w:tcPr>
          <w:p>
            <w:pPr>
              <w:tabs>
                <w:tab w:val="left" w:pos="1134"/>
              </w:tabs>
              <w:jc w:val="center"/>
              <w:rPr>
                <w:szCs w:val="21"/>
              </w:rPr>
            </w:pPr>
            <w:r>
              <w:rPr>
                <w:rFonts w:hint="eastAsia"/>
                <w:szCs w:val="21"/>
              </w:rPr>
              <w:t>3650</w:t>
            </w:r>
          </w:p>
        </w:tc>
        <w:tc>
          <w:tcPr>
            <w:tcW w:w="1654" w:type="dxa"/>
            <w:noWrap w:val="0"/>
            <w:vAlign w:val="center"/>
          </w:tcPr>
          <w:p>
            <w:pPr>
              <w:spacing w:line="276" w:lineRule="auto"/>
              <w:jc w:val="center"/>
              <w:rPr>
                <w:rFonts w:cs="Times New Roman"/>
                <w:szCs w:val="21"/>
              </w:rPr>
            </w:pPr>
            <w:r>
              <w:rPr>
                <w:rFonts w:hint="eastAsia" w:cs="Times New Roman"/>
                <w:szCs w:val="21"/>
              </w:rPr>
              <w:t>0</w:t>
            </w:r>
          </w:p>
        </w:tc>
        <w:tc>
          <w:tcPr>
            <w:tcW w:w="1911" w:type="dxa"/>
            <w:noWrap w:val="0"/>
            <w:vAlign w:val="center"/>
          </w:tcPr>
          <w:p>
            <w:pPr>
              <w:tabs>
                <w:tab w:val="left" w:pos="1134"/>
              </w:tabs>
              <w:jc w:val="center"/>
              <w:rPr>
                <w:rFonts w:hint="eastAsia"/>
                <w:szCs w:val="21"/>
              </w:rPr>
            </w:pPr>
            <w:r>
              <w:rPr>
                <w:rFonts w:hint="eastAsia"/>
                <w:szCs w:val="21"/>
              </w:rPr>
              <w:t>7300</w:t>
            </w:r>
          </w:p>
        </w:tc>
        <w:tc>
          <w:tcPr>
            <w:tcW w:w="1017" w:type="dxa"/>
            <w:noWrap w:val="0"/>
            <w:vAlign w:val="center"/>
          </w:tcPr>
          <w:p>
            <w:pPr>
              <w:jc w:val="center"/>
              <w:rPr>
                <w:rFonts w:hint="eastAsia"/>
                <w:szCs w:val="21"/>
              </w:rPr>
            </w:pPr>
            <w:r>
              <w:rPr>
                <w:rFonts w:hint="eastAsia"/>
                <w:szCs w:val="21"/>
              </w:rPr>
              <w:t>+3650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Merge w:val="continue"/>
            <w:noWrap w:val="0"/>
            <w:vAlign w:val="center"/>
          </w:tcPr>
          <w:p>
            <w:pPr>
              <w:spacing w:line="276" w:lineRule="auto"/>
              <w:jc w:val="center"/>
              <w:rPr>
                <w:rFonts w:cs="Times New Roman"/>
                <w:szCs w:val="21"/>
              </w:rPr>
            </w:pPr>
          </w:p>
        </w:tc>
        <w:tc>
          <w:tcPr>
            <w:tcW w:w="1959" w:type="dxa"/>
            <w:noWrap w:val="0"/>
            <w:vAlign w:val="center"/>
          </w:tcPr>
          <w:p>
            <w:pPr>
              <w:jc w:val="center"/>
              <w:rPr>
                <w:rFonts w:cs="Times New Roman"/>
                <w:szCs w:val="21"/>
              </w:rPr>
            </w:pPr>
            <w:r>
              <w:rPr>
                <w:rFonts w:hint="eastAsia"/>
                <w:szCs w:val="21"/>
              </w:rPr>
              <w:t>废填料</w:t>
            </w:r>
          </w:p>
        </w:tc>
        <w:tc>
          <w:tcPr>
            <w:tcW w:w="1781" w:type="dxa"/>
            <w:noWrap w:val="0"/>
            <w:vAlign w:val="center"/>
          </w:tcPr>
          <w:p>
            <w:pPr>
              <w:jc w:val="center"/>
              <w:rPr>
                <w:szCs w:val="21"/>
              </w:rPr>
            </w:pPr>
            <w:r>
              <w:rPr>
                <w:rFonts w:hint="eastAsia" w:cs="Times New Roman"/>
                <w:szCs w:val="21"/>
              </w:rPr>
              <w:t>80</w:t>
            </w:r>
          </w:p>
        </w:tc>
        <w:tc>
          <w:tcPr>
            <w:tcW w:w="1777" w:type="dxa"/>
            <w:noWrap w:val="0"/>
            <w:vAlign w:val="center"/>
          </w:tcPr>
          <w:p>
            <w:pPr>
              <w:spacing w:line="276" w:lineRule="auto"/>
              <w:jc w:val="center"/>
              <w:rPr>
                <w:rFonts w:cs="Times New Roman"/>
                <w:szCs w:val="21"/>
              </w:rPr>
            </w:pPr>
            <w:r>
              <w:rPr>
                <w:rFonts w:hint="eastAsia" w:cs="Times New Roman"/>
                <w:szCs w:val="21"/>
              </w:rPr>
              <w:t>80</w:t>
            </w:r>
          </w:p>
        </w:tc>
        <w:tc>
          <w:tcPr>
            <w:tcW w:w="1781" w:type="dxa"/>
            <w:noWrap w:val="0"/>
            <w:vAlign w:val="center"/>
          </w:tcPr>
          <w:p>
            <w:pPr>
              <w:spacing w:line="276" w:lineRule="auto"/>
              <w:jc w:val="center"/>
              <w:rPr>
                <w:rFonts w:cs="Times New Roman"/>
                <w:szCs w:val="21"/>
              </w:rPr>
            </w:pPr>
            <w:r>
              <w:rPr>
                <w:rFonts w:hint="eastAsia" w:cs="Times New Roman"/>
                <w:szCs w:val="21"/>
              </w:rPr>
              <w:t>0</w:t>
            </w:r>
          </w:p>
        </w:tc>
        <w:tc>
          <w:tcPr>
            <w:tcW w:w="1782" w:type="dxa"/>
            <w:noWrap w:val="0"/>
            <w:vAlign w:val="center"/>
          </w:tcPr>
          <w:p>
            <w:pPr>
              <w:tabs>
                <w:tab w:val="left" w:pos="1134"/>
              </w:tabs>
              <w:jc w:val="center"/>
              <w:rPr>
                <w:szCs w:val="21"/>
              </w:rPr>
            </w:pPr>
            <w:r>
              <w:rPr>
                <w:rFonts w:hint="eastAsia"/>
                <w:szCs w:val="21"/>
              </w:rPr>
              <w:t>80</w:t>
            </w:r>
          </w:p>
        </w:tc>
        <w:tc>
          <w:tcPr>
            <w:tcW w:w="1654" w:type="dxa"/>
            <w:noWrap w:val="0"/>
            <w:vAlign w:val="center"/>
          </w:tcPr>
          <w:p>
            <w:pPr>
              <w:spacing w:line="276" w:lineRule="auto"/>
              <w:jc w:val="center"/>
              <w:rPr>
                <w:rFonts w:cs="Times New Roman"/>
                <w:szCs w:val="21"/>
              </w:rPr>
            </w:pPr>
            <w:r>
              <w:rPr>
                <w:rFonts w:hint="eastAsia" w:cs="Times New Roman"/>
                <w:szCs w:val="21"/>
              </w:rPr>
              <w:t>0</w:t>
            </w:r>
          </w:p>
        </w:tc>
        <w:tc>
          <w:tcPr>
            <w:tcW w:w="1911" w:type="dxa"/>
            <w:noWrap w:val="0"/>
            <w:vAlign w:val="center"/>
          </w:tcPr>
          <w:p>
            <w:pPr>
              <w:tabs>
                <w:tab w:val="left" w:pos="1134"/>
              </w:tabs>
              <w:jc w:val="center"/>
              <w:rPr>
                <w:rFonts w:hint="eastAsia"/>
                <w:szCs w:val="21"/>
              </w:rPr>
            </w:pPr>
            <w:r>
              <w:rPr>
                <w:rFonts w:hint="eastAsia"/>
                <w:szCs w:val="21"/>
              </w:rPr>
              <w:t>160</w:t>
            </w:r>
          </w:p>
        </w:tc>
        <w:tc>
          <w:tcPr>
            <w:tcW w:w="1017" w:type="dxa"/>
            <w:noWrap w:val="0"/>
            <w:vAlign w:val="center"/>
          </w:tcPr>
          <w:p>
            <w:pPr>
              <w:jc w:val="center"/>
              <w:rPr>
                <w:rFonts w:hint="eastAsia"/>
                <w:szCs w:val="21"/>
              </w:rPr>
            </w:pPr>
            <w:r>
              <w:rPr>
                <w:rFonts w:hint="eastAsia" w:cs="Times New Roman"/>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Merge w:val="continue"/>
            <w:noWrap w:val="0"/>
            <w:vAlign w:val="center"/>
          </w:tcPr>
          <w:p>
            <w:pPr>
              <w:spacing w:line="276" w:lineRule="auto"/>
              <w:jc w:val="center"/>
              <w:rPr>
                <w:rFonts w:cs="Times New Roman"/>
                <w:color w:val="FF00FF"/>
                <w:szCs w:val="21"/>
                <w:highlight w:val="yellow"/>
              </w:rPr>
            </w:pPr>
          </w:p>
        </w:tc>
        <w:tc>
          <w:tcPr>
            <w:tcW w:w="1959" w:type="dxa"/>
            <w:noWrap w:val="0"/>
            <w:vAlign w:val="center"/>
          </w:tcPr>
          <w:p>
            <w:pPr>
              <w:jc w:val="center"/>
              <w:rPr>
                <w:rFonts w:cs="Times New Roman"/>
                <w:szCs w:val="21"/>
              </w:rPr>
            </w:pPr>
            <w:r>
              <w:rPr>
                <w:rFonts w:hint="eastAsia"/>
                <w:szCs w:val="21"/>
              </w:rPr>
              <w:t>废包装材料</w:t>
            </w:r>
          </w:p>
        </w:tc>
        <w:tc>
          <w:tcPr>
            <w:tcW w:w="1781" w:type="dxa"/>
            <w:noWrap w:val="0"/>
            <w:vAlign w:val="center"/>
          </w:tcPr>
          <w:p>
            <w:pPr>
              <w:jc w:val="center"/>
              <w:rPr>
                <w:szCs w:val="21"/>
              </w:rPr>
            </w:pPr>
            <w:r>
              <w:rPr>
                <w:rFonts w:hint="eastAsia" w:cs="Times New Roman"/>
                <w:szCs w:val="21"/>
              </w:rPr>
              <w:t>0.5</w:t>
            </w:r>
          </w:p>
        </w:tc>
        <w:tc>
          <w:tcPr>
            <w:tcW w:w="1777" w:type="dxa"/>
            <w:noWrap w:val="0"/>
            <w:vAlign w:val="top"/>
          </w:tcPr>
          <w:p>
            <w:pPr>
              <w:spacing w:line="276" w:lineRule="auto"/>
              <w:jc w:val="center"/>
              <w:rPr>
                <w:rFonts w:cs="Times New Roman"/>
                <w:szCs w:val="21"/>
              </w:rPr>
            </w:pPr>
            <w:r>
              <w:rPr>
                <w:rFonts w:hint="eastAsia" w:cs="Times New Roman"/>
                <w:szCs w:val="21"/>
              </w:rPr>
              <w:t>0.5</w:t>
            </w:r>
          </w:p>
        </w:tc>
        <w:tc>
          <w:tcPr>
            <w:tcW w:w="1781" w:type="dxa"/>
            <w:noWrap w:val="0"/>
            <w:vAlign w:val="top"/>
          </w:tcPr>
          <w:p>
            <w:pPr>
              <w:spacing w:line="276" w:lineRule="auto"/>
              <w:jc w:val="center"/>
              <w:rPr>
                <w:rFonts w:cs="Times New Roman"/>
                <w:szCs w:val="21"/>
              </w:rPr>
            </w:pPr>
            <w:r>
              <w:rPr>
                <w:rFonts w:hint="eastAsia" w:cs="Times New Roman"/>
                <w:szCs w:val="21"/>
              </w:rPr>
              <w:t>0</w:t>
            </w:r>
          </w:p>
        </w:tc>
        <w:tc>
          <w:tcPr>
            <w:tcW w:w="1782" w:type="dxa"/>
            <w:noWrap w:val="0"/>
            <w:vAlign w:val="center"/>
          </w:tcPr>
          <w:p>
            <w:pPr>
              <w:tabs>
                <w:tab w:val="left" w:pos="1134"/>
              </w:tabs>
              <w:jc w:val="center"/>
              <w:rPr>
                <w:szCs w:val="21"/>
              </w:rPr>
            </w:pPr>
            <w:r>
              <w:rPr>
                <w:rFonts w:hint="eastAsia"/>
                <w:szCs w:val="21"/>
              </w:rPr>
              <w:t>0.5</w:t>
            </w:r>
          </w:p>
        </w:tc>
        <w:tc>
          <w:tcPr>
            <w:tcW w:w="1654" w:type="dxa"/>
            <w:noWrap w:val="0"/>
            <w:vAlign w:val="top"/>
          </w:tcPr>
          <w:p>
            <w:pPr>
              <w:spacing w:line="276" w:lineRule="auto"/>
              <w:jc w:val="center"/>
              <w:rPr>
                <w:rFonts w:cs="Times New Roman"/>
                <w:szCs w:val="21"/>
              </w:rPr>
            </w:pPr>
            <w:r>
              <w:rPr>
                <w:rFonts w:hint="eastAsia" w:cs="Times New Roman"/>
                <w:szCs w:val="21"/>
              </w:rPr>
              <w:t>0</w:t>
            </w:r>
          </w:p>
        </w:tc>
        <w:tc>
          <w:tcPr>
            <w:tcW w:w="1911" w:type="dxa"/>
            <w:noWrap w:val="0"/>
            <w:vAlign w:val="center"/>
          </w:tcPr>
          <w:p>
            <w:pPr>
              <w:tabs>
                <w:tab w:val="left" w:pos="1134"/>
              </w:tabs>
              <w:jc w:val="center"/>
              <w:rPr>
                <w:szCs w:val="21"/>
              </w:rPr>
            </w:pPr>
            <w:r>
              <w:rPr>
                <w:rFonts w:hint="eastAsia"/>
                <w:szCs w:val="21"/>
              </w:rPr>
              <w:t>1</w:t>
            </w:r>
          </w:p>
        </w:tc>
        <w:tc>
          <w:tcPr>
            <w:tcW w:w="1017" w:type="dxa"/>
            <w:noWrap w:val="0"/>
            <w:vAlign w:val="center"/>
          </w:tcPr>
          <w:p>
            <w:pPr>
              <w:jc w:val="center"/>
              <w:rPr>
                <w:rFonts w:hint="eastAsia"/>
                <w:szCs w:val="21"/>
              </w:rPr>
            </w:pPr>
            <w:r>
              <w:rPr>
                <w:rFonts w:hint="eastAsia" w:cs="Times New Roman"/>
                <w:szCs w:val="21"/>
              </w:rPr>
              <w:t>+0.5</w:t>
            </w:r>
          </w:p>
        </w:tc>
      </w:tr>
    </w:tbl>
    <w:p>
      <w:pPr>
        <w:ind w:firstLine="420" w:firstLineChars="200"/>
        <w:rPr>
          <w:rFonts w:ascii="宋体" w:hAnsi="宋体"/>
          <w:szCs w:val="21"/>
        </w:rPr>
      </w:pPr>
      <w:r>
        <w:rPr>
          <w:rFonts w:hint="eastAsia" w:ascii="宋体" w:hAnsi="宋体"/>
          <w:szCs w:val="21"/>
        </w:rPr>
        <w:t>注：⑥=①+③+④-⑤；⑦=⑥-①。</w:t>
      </w:r>
    </w:p>
    <w:sectPr>
      <w:pgSz w:w="16838" w:h="11906" w:orient="landscape"/>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新宋体-18030">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TTA2o00">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55</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49775"/>
    <w:multiLevelType w:val="singleLevel"/>
    <w:tmpl w:val="00249775"/>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VkMWUzYmEyNWQzMjc4OGY3MGUyYTE0Y2RjNjIyZDcifQ=="/>
  </w:docVars>
  <w:rsids>
    <w:rsidRoot w:val="00172A27"/>
    <w:rsid w:val="00000B5E"/>
    <w:rsid w:val="00000C0A"/>
    <w:rsid w:val="000013B3"/>
    <w:rsid w:val="000014A6"/>
    <w:rsid w:val="00001EBA"/>
    <w:rsid w:val="00001EF9"/>
    <w:rsid w:val="00001FDA"/>
    <w:rsid w:val="00002016"/>
    <w:rsid w:val="00002A6D"/>
    <w:rsid w:val="0000307F"/>
    <w:rsid w:val="00003162"/>
    <w:rsid w:val="0000340E"/>
    <w:rsid w:val="00003DC5"/>
    <w:rsid w:val="00004F41"/>
    <w:rsid w:val="00006771"/>
    <w:rsid w:val="00006ACA"/>
    <w:rsid w:val="00006D5B"/>
    <w:rsid w:val="00006F6D"/>
    <w:rsid w:val="0000727A"/>
    <w:rsid w:val="000103CE"/>
    <w:rsid w:val="00011144"/>
    <w:rsid w:val="00013A3F"/>
    <w:rsid w:val="00013AA6"/>
    <w:rsid w:val="0001444C"/>
    <w:rsid w:val="00014761"/>
    <w:rsid w:val="00014B28"/>
    <w:rsid w:val="00014F13"/>
    <w:rsid w:val="00014FBB"/>
    <w:rsid w:val="000152D4"/>
    <w:rsid w:val="0001552C"/>
    <w:rsid w:val="00016C99"/>
    <w:rsid w:val="00016D8D"/>
    <w:rsid w:val="00016E7B"/>
    <w:rsid w:val="00017226"/>
    <w:rsid w:val="00017D0D"/>
    <w:rsid w:val="000200E4"/>
    <w:rsid w:val="000207E9"/>
    <w:rsid w:val="0002275A"/>
    <w:rsid w:val="000233EA"/>
    <w:rsid w:val="0002340B"/>
    <w:rsid w:val="000235FB"/>
    <w:rsid w:val="00023FAA"/>
    <w:rsid w:val="00024259"/>
    <w:rsid w:val="000248BB"/>
    <w:rsid w:val="000249B1"/>
    <w:rsid w:val="00024B9E"/>
    <w:rsid w:val="0002546F"/>
    <w:rsid w:val="00025610"/>
    <w:rsid w:val="00025C55"/>
    <w:rsid w:val="00025C9E"/>
    <w:rsid w:val="00025EF3"/>
    <w:rsid w:val="0002610A"/>
    <w:rsid w:val="000307AB"/>
    <w:rsid w:val="00030FEB"/>
    <w:rsid w:val="00031C2C"/>
    <w:rsid w:val="00031C6B"/>
    <w:rsid w:val="00031D72"/>
    <w:rsid w:val="00032A60"/>
    <w:rsid w:val="00032AD1"/>
    <w:rsid w:val="00032EA5"/>
    <w:rsid w:val="0003462F"/>
    <w:rsid w:val="00034DCC"/>
    <w:rsid w:val="00034DDA"/>
    <w:rsid w:val="00035A93"/>
    <w:rsid w:val="00035AC5"/>
    <w:rsid w:val="00035EB5"/>
    <w:rsid w:val="000362C1"/>
    <w:rsid w:val="00036862"/>
    <w:rsid w:val="000372D9"/>
    <w:rsid w:val="000373DB"/>
    <w:rsid w:val="00037C5C"/>
    <w:rsid w:val="000405D9"/>
    <w:rsid w:val="00040855"/>
    <w:rsid w:val="00041452"/>
    <w:rsid w:val="00041755"/>
    <w:rsid w:val="0004272B"/>
    <w:rsid w:val="00043772"/>
    <w:rsid w:val="0004377D"/>
    <w:rsid w:val="000439DD"/>
    <w:rsid w:val="00043C77"/>
    <w:rsid w:val="000444A7"/>
    <w:rsid w:val="000447BD"/>
    <w:rsid w:val="00044D25"/>
    <w:rsid w:val="00044DA7"/>
    <w:rsid w:val="000452D7"/>
    <w:rsid w:val="00045304"/>
    <w:rsid w:val="00045FF0"/>
    <w:rsid w:val="0004673D"/>
    <w:rsid w:val="00046783"/>
    <w:rsid w:val="00046797"/>
    <w:rsid w:val="00050B9A"/>
    <w:rsid w:val="00050F56"/>
    <w:rsid w:val="00050FAC"/>
    <w:rsid w:val="00050FCF"/>
    <w:rsid w:val="0005183D"/>
    <w:rsid w:val="00051989"/>
    <w:rsid w:val="00051C97"/>
    <w:rsid w:val="00052EA2"/>
    <w:rsid w:val="00053455"/>
    <w:rsid w:val="00053EE1"/>
    <w:rsid w:val="000554A6"/>
    <w:rsid w:val="00056091"/>
    <w:rsid w:val="0005632A"/>
    <w:rsid w:val="0005647E"/>
    <w:rsid w:val="0005723F"/>
    <w:rsid w:val="000573CB"/>
    <w:rsid w:val="0005747E"/>
    <w:rsid w:val="00057875"/>
    <w:rsid w:val="00061654"/>
    <w:rsid w:val="000618D9"/>
    <w:rsid w:val="00061B80"/>
    <w:rsid w:val="00061DD9"/>
    <w:rsid w:val="000638BA"/>
    <w:rsid w:val="00063D11"/>
    <w:rsid w:val="00064172"/>
    <w:rsid w:val="00064956"/>
    <w:rsid w:val="000651E2"/>
    <w:rsid w:val="00065253"/>
    <w:rsid w:val="0006533B"/>
    <w:rsid w:val="0006592A"/>
    <w:rsid w:val="0006645C"/>
    <w:rsid w:val="000668A4"/>
    <w:rsid w:val="00066A37"/>
    <w:rsid w:val="00066D92"/>
    <w:rsid w:val="0006707D"/>
    <w:rsid w:val="00067A22"/>
    <w:rsid w:val="00070A81"/>
    <w:rsid w:val="00070FF0"/>
    <w:rsid w:val="00071368"/>
    <w:rsid w:val="00071779"/>
    <w:rsid w:val="00071BD7"/>
    <w:rsid w:val="000721B6"/>
    <w:rsid w:val="00072B19"/>
    <w:rsid w:val="00074010"/>
    <w:rsid w:val="0007412D"/>
    <w:rsid w:val="00074317"/>
    <w:rsid w:val="00074D4F"/>
    <w:rsid w:val="000758A2"/>
    <w:rsid w:val="000758E5"/>
    <w:rsid w:val="00075BF0"/>
    <w:rsid w:val="000760E6"/>
    <w:rsid w:val="00076299"/>
    <w:rsid w:val="00077478"/>
    <w:rsid w:val="00077534"/>
    <w:rsid w:val="00077A0F"/>
    <w:rsid w:val="000813EA"/>
    <w:rsid w:val="00081901"/>
    <w:rsid w:val="00082F8F"/>
    <w:rsid w:val="00083098"/>
    <w:rsid w:val="00083188"/>
    <w:rsid w:val="00083B97"/>
    <w:rsid w:val="000847F7"/>
    <w:rsid w:val="00084A07"/>
    <w:rsid w:val="00084D48"/>
    <w:rsid w:val="000858A9"/>
    <w:rsid w:val="00085BF9"/>
    <w:rsid w:val="00085F4C"/>
    <w:rsid w:val="000864A9"/>
    <w:rsid w:val="00086637"/>
    <w:rsid w:val="00087026"/>
    <w:rsid w:val="00087174"/>
    <w:rsid w:val="00087500"/>
    <w:rsid w:val="00087E8A"/>
    <w:rsid w:val="00090A19"/>
    <w:rsid w:val="000914ED"/>
    <w:rsid w:val="00091898"/>
    <w:rsid w:val="00091E77"/>
    <w:rsid w:val="00092799"/>
    <w:rsid w:val="000929DD"/>
    <w:rsid w:val="00093154"/>
    <w:rsid w:val="00093367"/>
    <w:rsid w:val="0009339C"/>
    <w:rsid w:val="0009484A"/>
    <w:rsid w:val="0009509A"/>
    <w:rsid w:val="000953CF"/>
    <w:rsid w:val="000956AF"/>
    <w:rsid w:val="0009630D"/>
    <w:rsid w:val="0009642A"/>
    <w:rsid w:val="000964DC"/>
    <w:rsid w:val="00096636"/>
    <w:rsid w:val="00096A4D"/>
    <w:rsid w:val="00097315"/>
    <w:rsid w:val="000979D8"/>
    <w:rsid w:val="000A02FB"/>
    <w:rsid w:val="000A06A1"/>
    <w:rsid w:val="000A0D5F"/>
    <w:rsid w:val="000A1588"/>
    <w:rsid w:val="000A1CCE"/>
    <w:rsid w:val="000A2382"/>
    <w:rsid w:val="000A24F4"/>
    <w:rsid w:val="000A3D08"/>
    <w:rsid w:val="000A4136"/>
    <w:rsid w:val="000A5070"/>
    <w:rsid w:val="000A5F41"/>
    <w:rsid w:val="000A6411"/>
    <w:rsid w:val="000A712F"/>
    <w:rsid w:val="000A72C8"/>
    <w:rsid w:val="000B0164"/>
    <w:rsid w:val="000B019A"/>
    <w:rsid w:val="000B0212"/>
    <w:rsid w:val="000B028B"/>
    <w:rsid w:val="000B08CA"/>
    <w:rsid w:val="000B2129"/>
    <w:rsid w:val="000B2138"/>
    <w:rsid w:val="000B2352"/>
    <w:rsid w:val="000B23A4"/>
    <w:rsid w:val="000B47B9"/>
    <w:rsid w:val="000B4CD9"/>
    <w:rsid w:val="000B55FF"/>
    <w:rsid w:val="000B5A9A"/>
    <w:rsid w:val="000B5F46"/>
    <w:rsid w:val="000B64AB"/>
    <w:rsid w:val="000B6672"/>
    <w:rsid w:val="000B6983"/>
    <w:rsid w:val="000B71D3"/>
    <w:rsid w:val="000B733C"/>
    <w:rsid w:val="000B75F0"/>
    <w:rsid w:val="000B77F7"/>
    <w:rsid w:val="000B79A0"/>
    <w:rsid w:val="000B7D4C"/>
    <w:rsid w:val="000C01C6"/>
    <w:rsid w:val="000C0211"/>
    <w:rsid w:val="000C032C"/>
    <w:rsid w:val="000C1B36"/>
    <w:rsid w:val="000C1C38"/>
    <w:rsid w:val="000C1CDA"/>
    <w:rsid w:val="000C23BE"/>
    <w:rsid w:val="000C247E"/>
    <w:rsid w:val="000C2E30"/>
    <w:rsid w:val="000C3326"/>
    <w:rsid w:val="000C37EB"/>
    <w:rsid w:val="000C4CD8"/>
    <w:rsid w:val="000C503D"/>
    <w:rsid w:val="000C5707"/>
    <w:rsid w:val="000C5B08"/>
    <w:rsid w:val="000C5F52"/>
    <w:rsid w:val="000C66FD"/>
    <w:rsid w:val="000C79F0"/>
    <w:rsid w:val="000C7E22"/>
    <w:rsid w:val="000C7FAC"/>
    <w:rsid w:val="000D02BF"/>
    <w:rsid w:val="000D0ADB"/>
    <w:rsid w:val="000D14C0"/>
    <w:rsid w:val="000D22ED"/>
    <w:rsid w:val="000D2AAA"/>
    <w:rsid w:val="000D2B5A"/>
    <w:rsid w:val="000D318F"/>
    <w:rsid w:val="000D321B"/>
    <w:rsid w:val="000D3928"/>
    <w:rsid w:val="000D3D34"/>
    <w:rsid w:val="000D46E2"/>
    <w:rsid w:val="000D4B06"/>
    <w:rsid w:val="000D4DE3"/>
    <w:rsid w:val="000D50C0"/>
    <w:rsid w:val="000D5606"/>
    <w:rsid w:val="000D58C2"/>
    <w:rsid w:val="000D5C5F"/>
    <w:rsid w:val="000D5D22"/>
    <w:rsid w:val="000D6E10"/>
    <w:rsid w:val="000D7AF7"/>
    <w:rsid w:val="000D7B34"/>
    <w:rsid w:val="000E0373"/>
    <w:rsid w:val="000E0CBE"/>
    <w:rsid w:val="000E0FFB"/>
    <w:rsid w:val="000E123F"/>
    <w:rsid w:val="000E2992"/>
    <w:rsid w:val="000E2B9F"/>
    <w:rsid w:val="000E2C20"/>
    <w:rsid w:val="000E354D"/>
    <w:rsid w:val="000E3687"/>
    <w:rsid w:val="000E4316"/>
    <w:rsid w:val="000E46F4"/>
    <w:rsid w:val="000E5BDA"/>
    <w:rsid w:val="000E6225"/>
    <w:rsid w:val="000E6C9F"/>
    <w:rsid w:val="000E7DAC"/>
    <w:rsid w:val="000F01A4"/>
    <w:rsid w:val="000F09DF"/>
    <w:rsid w:val="000F1398"/>
    <w:rsid w:val="000F2090"/>
    <w:rsid w:val="000F2AFB"/>
    <w:rsid w:val="000F2C6D"/>
    <w:rsid w:val="000F30A7"/>
    <w:rsid w:val="000F3CE6"/>
    <w:rsid w:val="000F3D8B"/>
    <w:rsid w:val="000F4022"/>
    <w:rsid w:val="000F456A"/>
    <w:rsid w:val="000F4D54"/>
    <w:rsid w:val="000F4DC7"/>
    <w:rsid w:val="000F5DE7"/>
    <w:rsid w:val="000F639A"/>
    <w:rsid w:val="000F768F"/>
    <w:rsid w:val="000F77FE"/>
    <w:rsid w:val="000F7CCB"/>
    <w:rsid w:val="000F7F88"/>
    <w:rsid w:val="00101C0A"/>
    <w:rsid w:val="00101D45"/>
    <w:rsid w:val="00101FE7"/>
    <w:rsid w:val="00102225"/>
    <w:rsid w:val="00102388"/>
    <w:rsid w:val="00103012"/>
    <w:rsid w:val="0010402E"/>
    <w:rsid w:val="001054EA"/>
    <w:rsid w:val="00106D98"/>
    <w:rsid w:val="00107266"/>
    <w:rsid w:val="00110740"/>
    <w:rsid w:val="00110ADB"/>
    <w:rsid w:val="00110CA2"/>
    <w:rsid w:val="00111B1E"/>
    <w:rsid w:val="00111FBC"/>
    <w:rsid w:val="001120AB"/>
    <w:rsid w:val="001121CB"/>
    <w:rsid w:val="00112CF4"/>
    <w:rsid w:val="00113608"/>
    <w:rsid w:val="001137C1"/>
    <w:rsid w:val="00113A75"/>
    <w:rsid w:val="00113B0F"/>
    <w:rsid w:val="00113C44"/>
    <w:rsid w:val="00113F84"/>
    <w:rsid w:val="00114063"/>
    <w:rsid w:val="00114D2C"/>
    <w:rsid w:val="001154A8"/>
    <w:rsid w:val="00115880"/>
    <w:rsid w:val="00115FD8"/>
    <w:rsid w:val="00116332"/>
    <w:rsid w:val="001166DA"/>
    <w:rsid w:val="0011686E"/>
    <w:rsid w:val="00116A23"/>
    <w:rsid w:val="00116C46"/>
    <w:rsid w:val="00116DB7"/>
    <w:rsid w:val="0011732D"/>
    <w:rsid w:val="001178BF"/>
    <w:rsid w:val="00117A17"/>
    <w:rsid w:val="001204CF"/>
    <w:rsid w:val="0012069F"/>
    <w:rsid w:val="001207E6"/>
    <w:rsid w:val="00120E1C"/>
    <w:rsid w:val="00120EDF"/>
    <w:rsid w:val="00120F59"/>
    <w:rsid w:val="001217A3"/>
    <w:rsid w:val="001217E4"/>
    <w:rsid w:val="00121958"/>
    <w:rsid w:val="00121A1C"/>
    <w:rsid w:val="001225F4"/>
    <w:rsid w:val="00122F8E"/>
    <w:rsid w:val="00123612"/>
    <w:rsid w:val="00123EEC"/>
    <w:rsid w:val="00124070"/>
    <w:rsid w:val="001243EB"/>
    <w:rsid w:val="001259AA"/>
    <w:rsid w:val="00125D9F"/>
    <w:rsid w:val="00125E98"/>
    <w:rsid w:val="0012661E"/>
    <w:rsid w:val="0012683C"/>
    <w:rsid w:val="00126F12"/>
    <w:rsid w:val="00127104"/>
    <w:rsid w:val="00127A86"/>
    <w:rsid w:val="00127C82"/>
    <w:rsid w:val="001305F7"/>
    <w:rsid w:val="00130AAF"/>
    <w:rsid w:val="00131463"/>
    <w:rsid w:val="00131BE7"/>
    <w:rsid w:val="0013238B"/>
    <w:rsid w:val="0013265F"/>
    <w:rsid w:val="00133F5D"/>
    <w:rsid w:val="00134977"/>
    <w:rsid w:val="00134F31"/>
    <w:rsid w:val="00135DC0"/>
    <w:rsid w:val="001366F9"/>
    <w:rsid w:val="001367D8"/>
    <w:rsid w:val="00137054"/>
    <w:rsid w:val="001378AA"/>
    <w:rsid w:val="001405DB"/>
    <w:rsid w:val="00140613"/>
    <w:rsid w:val="00141069"/>
    <w:rsid w:val="00141156"/>
    <w:rsid w:val="001419E8"/>
    <w:rsid w:val="00141A32"/>
    <w:rsid w:val="00142B4E"/>
    <w:rsid w:val="00142B71"/>
    <w:rsid w:val="00143010"/>
    <w:rsid w:val="001433E0"/>
    <w:rsid w:val="001436C6"/>
    <w:rsid w:val="0014480E"/>
    <w:rsid w:val="00145B98"/>
    <w:rsid w:val="0014630F"/>
    <w:rsid w:val="001466B1"/>
    <w:rsid w:val="00146E5E"/>
    <w:rsid w:val="001473EB"/>
    <w:rsid w:val="00147683"/>
    <w:rsid w:val="0014784F"/>
    <w:rsid w:val="0015035B"/>
    <w:rsid w:val="00150952"/>
    <w:rsid w:val="0015117B"/>
    <w:rsid w:val="00151185"/>
    <w:rsid w:val="001515B7"/>
    <w:rsid w:val="00151F0C"/>
    <w:rsid w:val="0015240B"/>
    <w:rsid w:val="001524BB"/>
    <w:rsid w:val="00152F00"/>
    <w:rsid w:val="0015377A"/>
    <w:rsid w:val="001545CA"/>
    <w:rsid w:val="001556AA"/>
    <w:rsid w:val="001556F6"/>
    <w:rsid w:val="00155B98"/>
    <w:rsid w:val="001569D3"/>
    <w:rsid w:val="00157513"/>
    <w:rsid w:val="001575F0"/>
    <w:rsid w:val="00157B75"/>
    <w:rsid w:val="0016016F"/>
    <w:rsid w:val="00160FBB"/>
    <w:rsid w:val="00161A8B"/>
    <w:rsid w:val="00162B9A"/>
    <w:rsid w:val="00162C48"/>
    <w:rsid w:val="00162E0F"/>
    <w:rsid w:val="0016321C"/>
    <w:rsid w:val="00163224"/>
    <w:rsid w:val="0016381D"/>
    <w:rsid w:val="00164B95"/>
    <w:rsid w:val="0016532E"/>
    <w:rsid w:val="00165E47"/>
    <w:rsid w:val="00165E59"/>
    <w:rsid w:val="00165EBA"/>
    <w:rsid w:val="00166183"/>
    <w:rsid w:val="001668A2"/>
    <w:rsid w:val="00167113"/>
    <w:rsid w:val="00167852"/>
    <w:rsid w:val="00167FF0"/>
    <w:rsid w:val="001701D4"/>
    <w:rsid w:val="00171122"/>
    <w:rsid w:val="00172388"/>
    <w:rsid w:val="00172630"/>
    <w:rsid w:val="0017263C"/>
    <w:rsid w:val="00172EDE"/>
    <w:rsid w:val="00173501"/>
    <w:rsid w:val="001739B2"/>
    <w:rsid w:val="001743BC"/>
    <w:rsid w:val="0017455C"/>
    <w:rsid w:val="00174BBE"/>
    <w:rsid w:val="00174C3E"/>
    <w:rsid w:val="0017583B"/>
    <w:rsid w:val="00175AF3"/>
    <w:rsid w:val="001761FF"/>
    <w:rsid w:val="00176356"/>
    <w:rsid w:val="00176491"/>
    <w:rsid w:val="00176BFF"/>
    <w:rsid w:val="00177391"/>
    <w:rsid w:val="0017764F"/>
    <w:rsid w:val="00177D64"/>
    <w:rsid w:val="001800A3"/>
    <w:rsid w:val="0018081D"/>
    <w:rsid w:val="00181612"/>
    <w:rsid w:val="001821AF"/>
    <w:rsid w:val="001827F7"/>
    <w:rsid w:val="00182CD4"/>
    <w:rsid w:val="0018493E"/>
    <w:rsid w:val="00184ADA"/>
    <w:rsid w:val="00184CD7"/>
    <w:rsid w:val="001850EF"/>
    <w:rsid w:val="00185663"/>
    <w:rsid w:val="00185FB1"/>
    <w:rsid w:val="001863D9"/>
    <w:rsid w:val="00186713"/>
    <w:rsid w:val="00190211"/>
    <w:rsid w:val="001907DB"/>
    <w:rsid w:val="00190C01"/>
    <w:rsid w:val="00191B1E"/>
    <w:rsid w:val="00191FE3"/>
    <w:rsid w:val="00192A98"/>
    <w:rsid w:val="00192B6C"/>
    <w:rsid w:val="00192DE0"/>
    <w:rsid w:val="00192ECE"/>
    <w:rsid w:val="0019307C"/>
    <w:rsid w:val="00193D19"/>
    <w:rsid w:val="001942CB"/>
    <w:rsid w:val="00194D46"/>
    <w:rsid w:val="00194FBD"/>
    <w:rsid w:val="001950E3"/>
    <w:rsid w:val="001961A6"/>
    <w:rsid w:val="0019636C"/>
    <w:rsid w:val="001963E4"/>
    <w:rsid w:val="001963F0"/>
    <w:rsid w:val="001965CF"/>
    <w:rsid w:val="00196F8D"/>
    <w:rsid w:val="00197573"/>
    <w:rsid w:val="0019760B"/>
    <w:rsid w:val="00197F59"/>
    <w:rsid w:val="001A0AE0"/>
    <w:rsid w:val="001A0FF0"/>
    <w:rsid w:val="001A1620"/>
    <w:rsid w:val="001A1644"/>
    <w:rsid w:val="001A1DAC"/>
    <w:rsid w:val="001A27C4"/>
    <w:rsid w:val="001A325E"/>
    <w:rsid w:val="001A4240"/>
    <w:rsid w:val="001A5316"/>
    <w:rsid w:val="001A5362"/>
    <w:rsid w:val="001A607D"/>
    <w:rsid w:val="001A6EDF"/>
    <w:rsid w:val="001A6F59"/>
    <w:rsid w:val="001A7C49"/>
    <w:rsid w:val="001A7E03"/>
    <w:rsid w:val="001A7F0C"/>
    <w:rsid w:val="001B00B7"/>
    <w:rsid w:val="001B077D"/>
    <w:rsid w:val="001B0E34"/>
    <w:rsid w:val="001B12B2"/>
    <w:rsid w:val="001B13D5"/>
    <w:rsid w:val="001B15E1"/>
    <w:rsid w:val="001B183E"/>
    <w:rsid w:val="001B1E5A"/>
    <w:rsid w:val="001B2801"/>
    <w:rsid w:val="001B2B05"/>
    <w:rsid w:val="001B2D20"/>
    <w:rsid w:val="001B3265"/>
    <w:rsid w:val="001B380D"/>
    <w:rsid w:val="001B3823"/>
    <w:rsid w:val="001B3BDB"/>
    <w:rsid w:val="001B3D47"/>
    <w:rsid w:val="001B3F78"/>
    <w:rsid w:val="001B430F"/>
    <w:rsid w:val="001B47FA"/>
    <w:rsid w:val="001B4F4F"/>
    <w:rsid w:val="001B50C3"/>
    <w:rsid w:val="001B5E2A"/>
    <w:rsid w:val="001B6F59"/>
    <w:rsid w:val="001B7209"/>
    <w:rsid w:val="001B7258"/>
    <w:rsid w:val="001B75BE"/>
    <w:rsid w:val="001B7A91"/>
    <w:rsid w:val="001B7EB1"/>
    <w:rsid w:val="001C12DF"/>
    <w:rsid w:val="001C1A19"/>
    <w:rsid w:val="001C1AF4"/>
    <w:rsid w:val="001C1DEC"/>
    <w:rsid w:val="001C2014"/>
    <w:rsid w:val="001C30B0"/>
    <w:rsid w:val="001C3302"/>
    <w:rsid w:val="001C39DD"/>
    <w:rsid w:val="001C3D1A"/>
    <w:rsid w:val="001C5180"/>
    <w:rsid w:val="001C5460"/>
    <w:rsid w:val="001C5980"/>
    <w:rsid w:val="001C606B"/>
    <w:rsid w:val="001C6610"/>
    <w:rsid w:val="001C6A78"/>
    <w:rsid w:val="001C6BEE"/>
    <w:rsid w:val="001D0237"/>
    <w:rsid w:val="001D0C8B"/>
    <w:rsid w:val="001D0DEF"/>
    <w:rsid w:val="001D1C14"/>
    <w:rsid w:val="001D1CDB"/>
    <w:rsid w:val="001D1F14"/>
    <w:rsid w:val="001D1F8C"/>
    <w:rsid w:val="001D2028"/>
    <w:rsid w:val="001D213A"/>
    <w:rsid w:val="001D260C"/>
    <w:rsid w:val="001D29ED"/>
    <w:rsid w:val="001D3C75"/>
    <w:rsid w:val="001D3D97"/>
    <w:rsid w:val="001D43CE"/>
    <w:rsid w:val="001D515D"/>
    <w:rsid w:val="001D560F"/>
    <w:rsid w:val="001D6BA0"/>
    <w:rsid w:val="001D7671"/>
    <w:rsid w:val="001D7B01"/>
    <w:rsid w:val="001D7E10"/>
    <w:rsid w:val="001D7FE1"/>
    <w:rsid w:val="001E0ADF"/>
    <w:rsid w:val="001E0EDD"/>
    <w:rsid w:val="001E10E1"/>
    <w:rsid w:val="001E114F"/>
    <w:rsid w:val="001E1EB8"/>
    <w:rsid w:val="001E2B35"/>
    <w:rsid w:val="001E2F0C"/>
    <w:rsid w:val="001E3DEF"/>
    <w:rsid w:val="001E3F64"/>
    <w:rsid w:val="001E4B3B"/>
    <w:rsid w:val="001E4BF7"/>
    <w:rsid w:val="001E50D0"/>
    <w:rsid w:val="001E564F"/>
    <w:rsid w:val="001E5927"/>
    <w:rsid w:val="001E5C38"/>
    <w:rsid w:val="001E5E27"/>
    <w:rsid w:val="001E6767"/>
    <w:rsid w:val="001E6B6C"/>
    <w:rsid w:val="001E70D5"/>
    <w:rsid w:val="001E7347"/>
    <w:rsid w:val="001F053E"/>
    <w:rsid w:val="001F1119"/>
    <w:rsid w:val="001F1864"/>
    <w:rsid w:val="001F259F"/>
    <w:rsid w:val="001F27AD"/>
    <w:rsid w:val="001F2AAA"/>
    <w:rsid w:val="001F3094"/>
    <w:rsid w:val="001F30F2"/>
    <w:rsid w:val="001F3617"/>
    <w:rsid w:val="001F3905"/>
    <w:rsid w:val="001F4003"/>
    <w:rsid w:val="001F4BFA"/>
    <w:rsid w:val="001F5082"/>
    <w:rsid w:val="001F520B"/>
    <w:rsid w:val="001F62A7"/>
    <w:rsid w:val="001F6326"/>
    <w:rsid w:val="001F6430"/>
    <w:rsid w:val="002000EC"/>
    <w:rsid w:val="0020045F"/>
    <w:rsid w:val="0020051D"/>
    <w:rsid w:val="00201289"/>
    <w:rsid w:val="00201362"/>
    <w:rsid w:val="00201B79"/>
    <w:rsid w:val="00201D17"/>
    <w:rsid w:val="00202513"/>
    <w:rsid w:val="002037BA"/>
    <w:rsid w:val="002037FD"/>
    <w:rsid w:val="00203CDC"/>
    <w:rsid w:val="00204283"/>
    <w:rsid w:val="002043D6"/>
    <w:rsid w:val="00204668"/>
    <w:rsid w:val="00204AA1"/>
    <w:rsid w:val="00204DA2"/>
    <w:rsid w:val="002063C4"/>
    <w:rsid w:val="002069CB"/>
    <w:rsid w:val="002074AB"/>
    <w:rsid w:val="00207D07"/>
    <w:rsid w:val="00207F5C"/>
    <w:rsid w:val="0021038B"/>
    <w:rsid w:val="00210815"/>
    <w:rsid w:val="0021090C"/>
    <w:rsid w:val="00210E1B"/>
    <w:rsid w:val="00211066"/>
    <w:rsid w:val="00211387"/>
    <w:rsid w:val="00211574"/>
    <w:rsid w:val="00212532"/>
    <w:rsid w:val="00212551"/>
    <w:rsid w:val="00212A35"/>
    <w:rsid w:val="00212B8A"/>
    <w:rsid w:val="00212CF3"/>
    <w:rsid w:val="00213258"/>
    <w:rsid w:val="00213A11"/>
    <w:rsid w:val="00213B8B"/>
    <w:rsid w:val="00213D80"/>
    <w:rsid w:val="00214509"/>
    <w:rsid w:val="00215190"/>
    <w:rsid w:val="002155F7"/>
    <w:rsid w:val="0021586E"/>
    <w:rsid w:val="00215E37"/>
    <w:rsid w:val="00216284"/>
    <w:rsid w:val="00216405"/>
    <w:rsid w:val="002164B0"/>
    <w:rsid w:val="00216519"/>
    <w:rsid w:val="0021676F"/>
    <w:rsid w:val="002178AC"/>
    <w:rsid w:val="00217915"/>
    <w:rsid w:val="00217984"/>
    <w:rsid w:val="00217A8D"/>
    <w:rsid w:val="00217D48"/>
    <w:rsid w:val="00217E09"/>
    <w:rsid w:val="00220011"/>
    <w:rsid w:val="002208B0"/>
    <w:rsid w:val="00220B98"/>
    <w:rsid w:val="00220C1D"/>
    <w:rsid w:val="00220CA0"/>
    <w:rsid w:val="0022158B"/>
    <w:rsid w:val="00221BE9"/>
    <w:rsid w:val="0022260A"/>
    <w:rsid w:val="00224015"/>
    <w:rsid w:val="0022462F"/>
    <w:rsid w:val="002254B8"/>
    <w:rsid w:val="00225509"/>
    <w:rsid w:val="00225957"/>
    <w:rsid w:val="00225B54"/>
    <w:rsid w:val="0022656E"/>
    <w:rsid w:val="002265A1"/>
    <w:rsid w:val="002266E1"/>
    <w:rsid w:val="0022764D"/>
    <w:rsid w:val="0022775E"/>
    <w:rsid w:val="00227B21"/>
    <w:rsid w:val="0023025A"/>
    <w:rsid w:val="00230307"/>
    <w:rsid w:val="00230C94"/>
    <w:rsid w:val="00231BB8"/>
    <w:rsid w:val="002329BE"/>
    <w:rsid w:val="00232B87"/>
    <w:rsid w:val="00232C82"/>
    <w:rsid w:val="00232D4C"/>
    <w:rsid w:val="00232DD8"/>
    <w:rsid w:val="002330D6"/>
    <w:rsid w:val="002339F9"/>
    <w:rsid w:val="00233CDD"/>
    <w:rsid w:val="0023412A"/>
    <w:rsid w:val="002345BD"/>
    <w:rsid w:val="00234706"/>
    <w:rsid w:val="00234DE9"/>
    <w:rsid w:val="002350BB"/>
    <w:rsid w:val="002350FA"/>
    <w:rsid w:val="002354F5"/>
    <w:rsid w:val="002354F8"/>
    <w:rsid w:val="00235E76"/>
    <w:rsid w:val="00235F10"/>
    <w:rsid w:val="00236693"/>
    <w:rsid w:val="00236916"/>
    <w:rsid w:val="00236D7F"/>
    <w:rsid w:val="00236F89"/>
    <w:rsid w:val="00240053"/>
    <w:rsid w:val="002412AB"/>
    <w:rsid w:val="00241505"/>
    <w:rsid w:val="002424FA"/>
    <w:rsid w:val="00242FD8"/>
    <w:rsid w:val="00243A4F"/>
    <w:rsid w:val="0024451C"/>
    <w:rsid w:val="002445A1"/>
    <w:rsid w:val="00244AA7"/>
    <w:rsid w:val="00244AAD"/>
    <w:rsid w:val="00244C42"/>
    <w:rsid w:val="00244C6D"/>
    <w:rsid w:val="0024551A"/>
    <w:rsid w:val="0024571E"/>
    <w:rsid w:val="00245845"/>
    <w:rsid w:val="0024662B"/>
    <w:rsid w:val="00246D7E"/>
    <w:rsid w:val="00247806"/>
    <w:rsid w:val="00250999"/>
    <w:rsid w:val="002518E8"/>
    <w:rsid w:val="00252432"/>
    <w:rsid w:val="00252488"/>
    <w:rsid w:val="002528B3"/>
    <w:rsid w:val="002543E9"/>
    <w:rsid w:val="002546FF"/>
    <w:rsid w:val="002551D2"/>
    <w:rsid w:val="0025626A"/>
    <w:rsid w:val="0025651E"/>
    <w:rsid w:val="00256B20"/>
    <w:rsid w:val="0025739F"/>
    <w:rsid w:val="00257580"/>
    <w:rsid w:val="00257C0C"/>
    <w:rsid w:val="00260192"/>
    <w:rsid w:val="0026040C"/>
    <w:rsid w:val="0026084E"/>
    <w:rsid w:val="00261E4A"/>
    <w:rsid w:val="002628C3"/>
    <w:rsid w:val="00262994"/>
    <w:rsid w:val="0026323D"/>
    <w:rsid w:val="00263488"/>
    <w:rsid w:val="00263CCD"/>
    <w:rsid w:val="00264331"/>
    <w:rsid w:val="00264FFA"/>
    <w:rsid w:val="00265204"/>
    <w:rsid w:val="0026636F"/>
    <w:rsid w:val="00267FA8"/>
    <w:rsid w:val="002701AA"/>
    <w:rsid w:val="002721E3"/>
    <w:rsid w:val="00272328"/>
    <w:rsid w:val="002730EA"/>
    <w:rsid w:val="002743E3"/>
    <w:rsid w:val="00274A0C"/>
    <w:rsid w:val="00274C12"/>
    <w:rsid w:val="0027517E"/>
    <w:rsid w:val="002757CC"/>
    <w:rsid w:val="002757EE"/>
    <w:rsid w:val="002762FC"/>
    <w:rsid w:val="002770D7"/>
    <w:rsid w:val="002770F8"/>
    <w:rsid w:val="00277429"/>
    <w:rsid w:val="00280005"/>
    <w:rsid w:val="00280235"/>
    <w:rsid w:val="00280384"/>
    <w:rsid w:val="00280430"/>
    <w:rsid w:val="00280717"/>
    <w:rsid w:val="00280804"/>
    <w:rsid w:val="00280B47"/>
    <w:rsid w:val="00281500"/>
    <w:rsid w:val="00283592"/>
    <w:rsid w:val="00283755"/>
    <w:rsid w:val="002841BD"/>
    <w:rsid w:val="0028470E"/>
    <w:rsid w:val="00285C64"/>
    <w:rsid w:val="002861AA"/>
    <w:rsid w:val="002866F1"/>
    <w:rsid w:val="00286895"/>
    <w:rsid w:val="00286C77"/>
    <w:rsid w:val="00286D7E"/>
    <w:rsid w:val="00290619"/>
    <w:rsid w:val="002906C8"/>
    <w:rsid w:val="00290BC4"/>
    <w:rsid w:val="00290C11"/>
    <w:rsid w:val="0029288D"/>
    <w:rsid w:val="00293111"/>
    <w:rsid w:val="002932E2"/>
    <w:rsid w:val="00293586"/>
    <w:rsid w:val="002935FC"/>
    <w:rsid w:val="00294188"/>
    <w:rsid w:val="0029426D"/>
    <w:rsid w:val="0029457F"/>
    <w:rsid w:val="00294C29"/>
    <w:rsid w:val="00295444"/>
    <w:rsid w:val="00295469"/>
    <w:rsid w:val="002955ED"/>
    <w:rsid w:val="002956C3"/>
    <w:rsid w:val="00295880"/>
    <w:rsid w:val="00295D7B"/>
    <w:rsid w:val="002972BD"/>
    <w:rsid w:val="0029774C"/>
    <w:rsid w:val="002A048E"/>
    <w:rsid w:val="002A08E1"/>
    <w:rsid w:val="002A0CDE"/>
    <w:rsid w:val="002A0ED9"/>
    <w:rsid w:val="002A18D5"/>
    <w:rsid w:val="002A1F6D"/>
    <w:rsid w:val="002A251E"/>
    <w:rsid w:val="002A2756"/>
    <w:rsid w:val="002A29B6"/>
    <w:rsid w:val="002A2A02"/>
    <w:rsid w:val="002A3001"/>
    <w:rsid w:val="002A30F0"/>
    <w:rsid w:val="002A38D3"/>
    <w:rsid w:val="002A3AB3"/>
    <w:rsid w:val="002A4A0F"/>
    <w:rsid w:val="002A4F4B"/>
    <w:rsid w:val="002A5C84"/>
    <w:rsid w:val="002A5CD7"/>
    <w:rsid w:val="002A6528"/>
    <w:rsid w:val="002A7B85"/>
    <w:rsid w:val="002B0DF9"/>
    <w:rsid w:val="002B0E76"/>
    <w:rsid w:val="002B119F"/>
    <w:rsid w:val="002B1311"/>
    <w:rsid w:val="002B16AE"/>
    <w:rsid w:val="002B201A"/>
    <w:rsid w:val="002B24B6"/>
    <w:rsid w:val="002B2C50"/>
    <w:rsid w:val="002B3289"/>
    <w:rsid w:val="002B3865"/>
    <w:rsid w:val="002B39A6"/>
    <w:rsid w:val="002B3D9E"/>
    <w:rsid w:val="002B40B3"/>
    <w:rsid w:val="002B411C"/>
    <w:rsid w:val="002B4489"/>
    <w:rsid w:val="002B4C4F"/>
    <w:rsid w:val="002B5034"/>
    <w:rsid w:val="002B5ED7"/>
    <w:rsid w:val="002B65F6"/>
    <w:rsid w:val="002C0B3C"/>
    <w:rsid w:val="002C182E"/>
    <w:rsid w:val="002C1988"/>
    <w:rsid w:val="002C19A5"/>
    <w:rsid w:val="002C22CA"/>
    <w:rsid w:val="002C2AC4"/>
    <w:rsid w:val="002C2BB1"/>
    <w:rsid w:val="002C3A74"/>
    <w:rsid w:val="002C3CE0"/>
    <w:rsid w:val="002C3F5E"/>
    <w:rsid w:val="002C45DD"/>
    <w:rsid w:val="002C476C"/>
    <w:rsid w:val="002C4B56"/>
    <w:rsid w:val="002C4E1E"/>
    <w:rsid w:val="002C4E39"/>
    <w:rsid w:val="002C5BC6"/>
    <w:rsid w:val="002C5D05"/>
    <w:rsid w:val="002C5F1A"/>
    <w:rsid w:val="002C6D0D"/>
    <w:rsid w:val="002C7193"/>
    <w:rsid w:val="002C722E"/>
    <w:rsid w:val="002D0013"/>
    <w:rsid w:val="002D0787"/>
    <w:rsid w:val="002D0B3A"/>
    <w:rsid w:val="002D11B0"/>
    <w:rsid w:val="002D172E"/>
    <w:rsid w:val="002D194E"/>
    <w:rsid w:val="002D1B29"/>
    <w:rsid w:val="002D1E49"/>
    <w:rsid w:val="002D260F"/>
    <w:rsid w:val="002D2E53"/>
    <w:rsid w:val="002D2FBD"/>
    <w:rsid w:val="002D341A"/>
    <w:rsid w:val="002D3510"/>
    <w:rsid w:val="002D383A"/>
    <w:rsid w:val="002D42E3"/>
    <w:rsid w:val="002D494D"/>
    <w:rsid w:val="002D4951"/>
    <w:rsid w:val="002D590C"/>
    <w:rsid w:val="002D59CB"/>
    <w:rsid w:val="002D6E0E"/>
    <w:rsid w:val="002D70A5"/>
    <w:rsid w:val="002D71E3"/>
    <w:rsid w:val="002D79CD"/>
    <w:rsid w:val="002D7B41"/>
    <w:rsid w:val="002E012A"/>
    <w:rsid w:val="002E05E0"/>
    <w:rsid w:val="002E0CB7"/>
    <w:rsid w:val="002E2976"/>
    <w:rsid w:val="002E29AB"/>
    <w:rsid w:val="002E301A"/>
    <w:rsid w:val="002E3420"/>
    <w:rsid w:val="002E3580"/>
    <w:rsid w:val="002E3595"/>
    <w:rsid w:val="002E3D54"/>
    <w:rsid w:val="002E3F36"/>
    <w:rsid w:val="002E512B"/>
    <w:rsid w:val="002E51FB"/>
    <w:rsid w:val="002E5228"/>
    <w:rsid w:val="002E563E"/>
    <w:rsid w:val="002E607A"/>
    <w:rsid w:val="002E70A6"/>
    <w:rsid w:val="002E73FC"/>
    <w:rsid w:val="002E75C1"/>
    <w:rsid w:val="002E7838"/>
    <w:rsid w:val="002F0A21"/>
    <w:rsid w:val="002F161E"/>
    <w:rsid w:val="002F1932"/>
    <w:rsid w:val="002F1F9C"/>
    <w:rsid w:val="002F23D3"/>
    <w:rsid w:val="002F2451"/>
    <w:rsid w:val="002F269A"/>
    <w:rsid w:val="002F3611"/>
    <w:rsid w:val="002F3BFB"/>
    <w:rsid w:val="002F3F58"/>
    <w:rsid w:val="002F4253"/>
    <w:rsid w:val="002F4910"/>
    <w:rsid w:val="002F544A"/>
    <w:rsid w:val="002F560A"/>
    <w:rsid w:val="002F5C71"/>
    <w:rsid w:val="002F6DC8"/>
    <w:rsid w:val="002F6DD1"/>
    <w:rsid w:val="002F72C3"/>
    <w:rsid w:val="002F74C5"/>
    <w:rsid w:val="002F7B1F"/>
    <w:rsid w:val="002F7DF3"/>
    <w:rsid w:val="00300479"/>
    <w:rsid w:val="003010D2"/>
    <w:rsid w:val="0030122C"/>
    <w:rsid w:val="003014EB"/>
    <w:rsid w:val="0030193C"/>
    <w:rsid w:val="00301B78"/>
    <w:rsid w:val="00302271"/>
    <w:rsid w:val="0030260B"/>
    <w:rsid w:val="003034DC"/>
    <w:rsid w:val="003036EA"/>
    <w:rsid w:val="00304899"/>
    <w:rsid w:val="003051E6"/>
    <w:rsid w:val="003069EE"/>
    <w:rsid w:val="00306FAA"/>
    <w:rsid w:val="0030760F"/>
    <w:rsid w:val="003077F5"/>
    <w:rsid w:val="00307E71"/>
    <w:rsid w:val="0031020C"/>
    <w:rsid w:val="003111C7"/>
    <w:rsid w:val="003114B6"/>
    <w:rsid w:val="003117C5"/>
    <w:rsid w:val="0031187D"/>
    <w:rsid w:val="0031267E"/>
    <w:rsid w:val="00312B32"/>
    <w:rsid w:val="00312F22"/>
    <w:rsid w:val="003131A0"/>
    <w:rsid w:val="00313C40"/>
    <w:rsid w:val="00313D1A"/>
    <w:rsid w:val="00314040"/>
    <w:rsid w:val="00314144"/>
    <w:rsid w:val="003142D5"/>
    <w:rsid w:val="0031491D"/>
    <w:rsid w:val="00314B83"/>
    <w:rsid w:val="00314BDA"/>
    <w:rsid w:val="00314FE5"/>
    <w:rsid w:val="00315597"/>
    <w:rsid w:val="00315CF1"/>
    <w:rsid w:val="0031630B"/>
    <w:rsid w:val="003166EC"/>
    <w:rsid w:val="00316AC4"/>
    <w:rsid w:val="00316D8C"/>
    <w:rsid w:val="00316FCB"/>
    <w:rsid w:val="00317A8C"/>
    <w:rsid w:val="00317E9E"/>
    <w:rsid w:val="00320CFC"/>
    <w:rsid w:val="00320F8F"/>
    <w:rsid w:val="00322610"/>
    <w:rsid w:val="0032265F"/>
    <w:rsid w:val="0032352B"/>
    <w:rsid w:val="003235DC"/>
    <w:rsid w:val="00323C50"/>
    <w:rsid w:val="00325EC8"/>
    <w:rsid w:val="0032601F"/>
    <w:rsid w:val="00326943"/>
    <w:rsid w:val="003271B2"/>
    <w:rsid w:val="00330230"/>
    <w:rsid w:val="0033072E"/>
    <w:rsid w:val="003311F2"/>
    <w:rsid w:val="0033167C"/>
    <w:rsid w:val="00331682"/>
    <w:rsid w:val="00331BF7"/>
    <w:rsid w:val="0033222C"/>
    <w:rsid w:val="003326E3"/>
    <w:rsid w:val="00332E63"/>
    <w:rsid w:val="0033368D"/>
    <w:rsid w:val="003341ED"/>
    <w:rsid w:val="003344A1"/>
    <w:rsid w:val="003347CC"/>
    <w:rsid w:val="00335298"/>
    <w:rsid w:val="00335716"/>
    <w:rsid w:val="00335FCB"/>
    <w:rsid w:val="003369B0"/>
    <w:rsid w:val="0033779A"/>
    <w:rsid w:val="00337FD8"/>
    <w:rsid w:val="003410A3"/>
    <w:rsid w:val="00341493"/>
    <w:rsid w:val="003417F4"/>
    <w:rsid w:val="00341AF7"/>
    <w:rsid w:val="00342417"/>
    <w:rsid w:val="003424E2"/>
    <w:rsid w:val="00342687"/>
    <w:rsid w:val="00342911"/>
    <w:rsid w:val="003436C4"/>
    <w:rsid w:val="00343B2C"/>
    <w:rsid w:val="00343BD0"/>
    <w:rsid w:val="00343F11"/>
    <w:rsid w:val="00343F97"/>
    <w:rsid w:val="00344193"/>
    <w:rsid w:val="003442EA"/>
    <w:rsid w:val="003451AE"/>
    <w:rsid w:val="0034537C"/>
    <w:rsid w:val="003466D2"/>
    <w:rsid w:val="003468B9"/>
    <w:rsid w:val="003468EC"/>
    <w:rsid w:val="00346C21"/>
    <w:rsid w:val="00347C3F"/>
    <w:rsid w:val="00347D41"/>
    <w:rsid w:val="00350222"/>
    <w:rsid w:val="00350258"/>
    <w:rsid w:val="00351729"/>
    <w:rsid w:val="003520B4"/>
    <w:rsid w:val="003522AA"/>
    <w:rsid w:val="0035279C"/>
    <w:rsid w:val="00352BE4"/>
    <w:rsid w:val="003539C3"/>
    <w:rsid w:val="0035403F"/>
    <w:rsid w:val="00354418"/>
    <w:rsid w:val="0035534F"/>
    <w:rsid w:val="00355959"/>
    <w:rsid w:val="00355E36"/>
    <w:rsid w:val="00356D20"/>
    <w:rsid w:val="00356DF0"/>
    <w:rsid w:val="00357028"/>
    <w:rsid w:val="003571C6"/>
    <w:rsid w:val="003571EA"/>
    <w:rsid w:val="00357613"/>
    <w:rsid w:val="003602D3"/>
    <w:rsid w:val="003608CD"/>
    <w:rsid w:val="00360CCF"/>
    <w:rsid w:val="00361128"/>
    <w:rsid w:val="003618A2"/>
    <w:rsid w:val="003619EF"/>
    <w:rsid w:val="00361A05"/>
    <w:rsid w:val="00363894"/>
    <w:rsid w:val="00363B46"/>
    <w:rsid w:val="003641E7"/>
    <w:rsid w:val="00364E7A"/>
    <w:rsid w:val="00364F5F"/>
    <w:rsid w:val="0036523D"/>
    <w:rsid w:val="00365475"/>
    <w:rsid w:val="00365B74"/>
    <w:rsid w:val="00366367"/>
    <w:rsid w:val="003669E2"/>
    <w:rsid w:val="00366E22"/>
    <w:rsid w:val="00367455"/>
    <w:rsid w:val="0036774A"/>
    <w:rsid w:val="003706A4"/>
    <w:rsid w:val="00370A5F"/>
    <w:rsid w:val="00370AE5"/>
    <w:rsid w:val="0037127F"/>
    <w:rsid w:val="00371BD9"/>
    <w:rsid w:val="00371F9C"/>
    <w:rsid w:val="00371FB2"/>
    <w:rsid w:val="00372C4F"/>
    <w:rsid w:val="0037312C"/>
    <w:rsid w:val="0037313E"/>
    <w:rsid w:val="00373511"/>
    <w:rsid w:val="003736F7"/>
    <w:rsid w:val="00374476"/>
    <w:rsid w:val="003745DF"/>
    <w:rsid w:val="003750DC"/>
    <w:rsid w:val="00375980"/>
    <w:rsid w:val="0037651D"/>
    <w:rsid w:val="00376C9B"/>
    <w:rsid w:val="00376CFB"/>
    <w:rsid w:val="0037774A"/>
    <w:rsid w:val="003779C7"/>
    <w:rsid w:val="00377C58"/>
    <w:rsid w:val="00380229"/>
    <w:rsid w:val="003818B6"/>
    <w:rsid w:val="00381994"/>
    <w:rsid w:val="003828AF"/>
    <w:rsid w:val="00382C42"/>
    <w:rsid w:val="00383036"/>
    <w:rsid w:val="003833C7"/>
    <w:rsid w:val="00383C48"/>
    <w:rsid w:val="003842C9"/>
    <w:rsid w:val="00385471"/>
    <w:rsid w:val="003854E5"/>
    <w:rsid w:val="00385738"/>
    <w:rsid w:val="00386355"/>
    <w:rsid w:val="0038682C"/>
    <w:rsid w:val="00386B95"/>
    <w:rsid w:val="00386D44"/>
    <w:rsid w:val="00386E2D"/>
    <w:rsid w:val="003874C0"/>
    <w:rsid w:val="00387531"/>
    <w:rsid w:val="003901FB"/>
    <w:rsid w:val="00391322"/>
    <w:rsid w:val="00391B7E"/>
    <w:rsid w:val="00391C44"/>
    <w:rsid w:val="00391CCF"/>
    <w:rsid w:val="00391F3B"/>
    <w:rsid w:val="00392049"/>
    <w:rsid w:val="003928B1"/>
    <w:rsid w:val="00392972"/>
    <w:rsid w:val="003936F8"/>
    <w:rsid w:val="00393949"/>
    <w:rsid w:val="003941F3"/>
    <w:rsid w:val="00394436"/>
    <w:rsid w:val="003947A8"/>
    <w:rsid w:val="00394E7B"/>
    <w:rsid w:val="003950D0"/>
    <w:rsid w:val="00395477"/>
    <w:rsid w:val="00395607"/>
    <w:rsid w:val="00395626"/>
    <w:rsid w:val="00395F55"/>
    <w:rsid w:val="0039608B"/>
    <w:rsid w:val="003A10FC"/>
    <w:rsid w:val="003A1A26"/>
    <w:rsid w:val="003A1F67"/>
    <w:rsid w:val="003A2456"/>
    <w:rsid w:val="003A249D"/>
    <w:rsid w:val="003A3B3B"/>
    <w:rsid w:val="003A4414"/>
    <w:rsid w:val="003A47EB"/>
    <w:rsid w:val="003A4A7D"/>
    <w:rsid w:val="003A4B3B"/>
    <w:rsid w:val="003A5201"/>
    <w:rsid w:val="003A6FB7"/>
    <w:rsid w:val="003A7449"/>
    <w:rsid w:val="003A783A"/>
    <w:rsid w:val="003B0040"/>
    <w:rsid w:val="003B01BC"/>
    <w:rsid w:val="003B06C5"/>
    <w:rsid w:val="003B070A"/>
    <w:rsid w:val="003B09E1"/>
    <w:rsid w:val="003B10DC"/>
    <w:rsid w:val="003B1270"/>
    <w:rsid w:val="003B1C40"/>
    <w:rsid w:val="003B2158"/>
    <w:rsid w:val="003B2316"/>
    <w:rsid w:val="003B2D28"/>
    <w:rsid w:val="003B3706"/>
    <w:rsid w:val="003B3930"/>
    <w:rsid w:val="003B39DA"/>
    <w:rsid w:val="003B3ADC"/>
    <w:rsid w:val="003B4919"/>
    <w:rsid w:val="003B4923"/>
    <w:rsid w:val="003B52D3"/>
    <w:rsid w:val="003B5B22"/>
    <w:rsid w:val="003B608E"/>
    <w:rsid w:val="003B60EA"/>
    <w:rsid w:val="003B67EC"/>
    <w:rsid w:val="003B6F4E"/>
    <w:rsid w:val="003B7485"/>
    <w:rsid w:val="003B75F5"/>
    <w:rsid w:val="003B78F0"/>
    <w:rsid w:val="003C02E4"/>
    <w:rsid w:val="003C0B3B"/>
    <w:rsid w:val="003C0C26"/>
    <w:rsid w:val="003C164E"/>
    <w:rsid w:val="003C21BC"/>
    <w:rsid w:val="003C29D9"/>
    <w:rsid w:val="003C2DA8"/>
    <w:rsid w:val="003C2F6B"/>
    <w:rsid w:val="003C3813"/>
    <w:rsid w:val="003C3A3A"/>
    <w:rsid w:val="003C3A64"/>
    <w:rsid w:val="003C534A"/>
    <w:rsid w:val="003C5A0A"/>
    <w:rsid w:val="003C6239"/>
    <w:rsid w:val="003C6782"/>
    <w:rsid w:val="003C6832"/>
    <w:rsid w:val="003C7148"/>
    <w:rsid w:val="003C7478"/>
    <w:rsid w:val="003D05B4"/>
    <w:rsid w:val="003D156A"/>
    <w:rsid w:val="003D18E0"/>
    <w:rsid w:val="003D2173"/>
    <w:rsid w:val="003D2637"/>
    <w:rsid w:val="003D26CB"/>
    <w:rsid w:val="003D27F0"/>
    <w:rsid w:val="003D2B5C"/>
    <w:rsid w:val="003D3549"/>
    <w:rsid w:val="003D3A4A"/>
    <w:rsid w:val="003D44AE"/>
    <w:rsid w:val="003D51E4"/>
    <w:rsid w:val="003D5AFA"/>
    <w:rsid w:val="003D6101"/>
    <w:rsid w:val="003D61D2"/>
    <w:rsid w:val="003D655B"/>
    <w:rsid w:val="003D73F9"/>
    <w:rsid w:val="003D774E"/>
    <w:rsid w:val="003D7914"/>
    <w:rsid w:val="003D7B50"/>
    <w:rsid w:val="003E0367"/>
    <w:rsid w:val="003E043C"/>
    <w:rsid w:val="003E0CFC"/>
    <w:rsid w:val="003E0DEF"/>
    <w:rsid w:val="003E1076"/>
    <w:rsid w:val="003E13CC"/>
    <w:rsid w:val="003E1502"/>
    <w:rsid w:val="003E31B6"/>
    <w:rsid w:val="003E367F"/>
    <w:rsid w:val="003E36CD"/>
    <w:rsid w:val="003E3824"/>
    <w:rsid w:val="003E3858"/>
    <w:rsid w:val="003E4BA9"/>
    <w:rsid w:val="003E55FB"/>
    <w:rsid w:val="003E589B"/>
    <w:rsid w:val="003E5A78"/>
    <w:rsid w:val="003E5D79"/>
    <w:rsid w:val="003E5DF5"/>
    <w:rsid w:val="003E5F2A"/>
    <w:rsid w:val="003E7159"/>
    <w:rsid w:val="003E771A"/>
    <w:rsid w:val="003E7969"/>
    <w:rsid w:val="003F0651"/>
    <w:rsid w:val="003F0853"/>
    <w:rsid w:val="003F1058"/>
    <w:rsid w:val="003F13C2"/>
    <w:rsid w:val="003F1500"/>
    <w:rsid w:val="003F3920"/>
    <w:rsid w:val="003F3ACD"/>
    <w:rsid w:val="003F43EA"/>
    <w:rsid w:val="003F4CCE"/>
    <w:rsid w:val="003F5B35"/>
    <w:rsid w:val="003F6133"/>
    <w:rsid w:val="003F639F"/>
    <w:rsid w:val="003F7072"/>
    <w:rsid w:val="003F73FD"/>
    <w:rsid w:val="003F7827"/>
    <w:rsid w:val="00400285"/>
    <w:rsid w:val="0040035F"/>
    <w:rsid w:val="004003B1"/>
    <w:rsid w:val="00400B49"/>
    <w:rsid w:val="00401940"/>
    <w:rsid w:val="00402336"/>
    <w:rsid w:val="00402497"/>
    <w:rsid w:val="00402913"/>
    <w:rsid w:val="00403062"/>
    <w:rsid w:val="0040377C"/>
    <w:rsid w:val="00403BDC"/>
    <w:rsid w:val="00404966"/>
    <w:rsid w:val="00404EA1"/>
    <w:rsid w:val="0040501C"/>
    <w:rsid w:val="00405229"/>
    <w:rsid w:val="00406013"/>
    <w:rsid w:val="00406A6B"/>
    <w:rsid w:val="004078F3"/>
    <w:rsid w:val="00407914"/>
    <w:rsid w:val="0041017A"/>
    <w:rsid w:val="0041018F"/>
    <w:rsid w:val="00410827"/>
    <w:rsid w:val="00410AB1"/>
    <w:rsid w:val="00410EF1"/>
    <w:rsid w:val="0041262E"/>
    <w:rsid w:val="00412FED"/>
    <w:rsid w:val="0041397D"/>
    <w:rsid w:val="004149EF"/>
    <w:rsid w:val="0041507D"/>
    <w:rsid w:val="00415449"/>
    <w:rsid w:val="004156B3"/>
    <w:rsid w:val="00415B3D"/>
    <w:rsid w:val="00415C33"/>
    <w:rsid w:val="00415CE9"/>
    <w:rsid w:val="00415F89"/>
    <w:rsid w:val="0041758C"/>
    <w:rsid w:val="00417C7E"/>
    <w:rsid w:val="004202F6"/>
    <w:rsid w:val="00420465"/>
    <w:rsid w:val="0042139B"/>
    <w:rsid w:val="00421E47"/>
    <w:rsid w:val="00421E57"/>
    <w:rsid w:val="00422325"/>
    <w:rsid w:val="004227BC"/>
    <w:rsid w:val="0042294B"/>
    <w:rsid w:val="004232D7"/>
    <w:rsid w:val="00423A03"/>
    <w:rsid w:val="004245BA"/>
    <w:rsid w:val="00424F5E"/>
    <w:rsid w:val="00425235"/>
    <w:rsid w:val="00425357"/>
    <w:rsid w:val="00425FF4"/>
    <w:rsid w:val="00426842"/>
    <w:rsid w:val="0042704A"/>
    <w:rsid w:val="00427BFD"/>
    <w:rsid w:val="0043031D"/>
    <w:rsid w:val="00431155"/>
    <w:rsid w:val="00431361"/>
    <w:rsid w:val="00431AB9"/>
    <w:rsid w:val="004320EC"/>
    <w:rsid w:val="00432109"/>
    <w:rsid w:val="004323B9"/>
    <w:rsid w:val="0043272E"/>
    <w:rsid w:val="00432A00"/>
    <w:rsid w:val="00432DEE"/>
    <w:rsid w:val="00432EE3"/>
    <w:rsid w:val="00432FFC"/>
    <w:rsid w:val="004333C3"/>
    <w:rsid w:val="00433D48"/>
    <w:rsid w:val="0043420C"/>
    <w:rsid w:val="00434665"/>
    <w:rsid w:val="00435FF9"/>
    <w:rsid w:val="0043615D"/>
    <w:rsid w:val="004362F1"/>
    <w:rsid w:val="004366BD"/>
    <w:rsid w:val="00436B45"/>
    <w:rsid w:val="00436ED7"/>
    <w:rsid w:val="004370C6"/>
    <w:rsid w:val="00437241"/>
    <w:rsid w:val="00437578"/>
    <w:rsid w:val="004376FC"/>
    <w:rsid w:val="004400A5"/>
    <w:rsid w:val="004408AA"/>
    <w:rsid w:val="004408E9"/>
    <w:rsid w:val="00441AE5"/>
    <w:rsid w:val="00441FA4"/>
    <w:rsid w:val="004422AF"/>
    <w:rsid w:val="00442C5B"/>
    <w:rsid w:val="00443BAE"/>
    <w:rsid w:val="00443C5C"/>
    <w:rsid w:val="00444999"/>
    <w:rsid w:val="00445172"/>
    <w:rsid w:val="004452D4"/>
    <w:rsid w:val="00445940"/>
    <w:rsid w:val="00445C3E"/>
    <w:rsid w:val="00446703"/>
    <w:rsid w:val="00446882"/>
    <w:rsid w:val="00447401"/>
    <w:rsid w:val="00447692"/>
    <w:rsid w:val="00447AAB"/>
    <w:rsid w:val="00450136"/>
    <w:rsid w:val="00450DF7"/>
    <w:rsid w:val="00451283"/>
    <w:rsid w:val="0045134B"/>
    <w:rsid w:val="00451499"/>
    <w:rsid w:val="00451906"/>
    <w:rsid w:val="00451CFB"/>
    <w:rsid w:val="0045336B"/>
    <w:rsid w:val="00453713"/>
    <w:rsid w:val="0045444A"/>
    <w:rsid w:val="00454698"/>
    <w:rsid w:val="0045472C"/>
    <w:rsid w:val="00455EA3"/>
    <w:rsid w:val="004565C6"/>
    <w:rsid w:val="00456E95"/>
    <w:rsid w:val="00457B9F"/>
    <w:rsid w:val="00457C58"/>
    <w:rsid w:val="00457C78"/>
    <w:rsid w:val="00457F8B"/>
    <w:rsid w:val="00457FC3"/>
    <w:rsid w:val="004601E9"/>
    <w:rsid w:val="00460DCC"/>
    <w:rsid w:val="004610E1"/>
    <w:rsid w:val="00461DD5"/>
    <w:rsid w:val="00461F79"/>
    <w:rsid w:val="00462AD4"/>
    <w:rsid w:val="00463344"/>
    <w:rsid w:val="004639BC"/>
    <w:rsid w:val="00463EE2"/>
    <w:rsid w:val="00464211"/>
    <w:rsid w:val="0046588D"/>
    <w:rsid w:val="00465D23"/>
    <w:rsid w:val="00465D7D"/>
    <w:rsid w:val="00465F0C"/>
    <w:rsid w:val="004662DD"/>
    <w:rsid w:val="004669F8"/>
    <w:rsid w:val="0046733F"/>
    <w:rsid w:val="0046793B"/>
    <w:rsid w:val="004706DE"/>
    <w:rsid w:val="00470869"/>
    <w:rsid w:val="00470AC7"/>
    <w:rsid w:val="00470E31"/>
    <w:rsid w:val="00471DB4"/>
    <w:rsid w:val="00471F4C"/>
    <w:rsid w:val="00472322"/>
    <w:rsid w:val="00473982"/>
    <w:rsid w:val="004747B6"/>
    <w:rsid w:val="00474A2C"/>
    <w:rsid w:val="00474EF9"/>
    <w:rsid w:val="0047540D"/>
    <w:rsid w:val="00475771"/>
    <w:rsid w:val="00475C5D"/>
    <w:rsid w:val="004764F1"/>
    <w:rsid w:val="00476797"/>
    <w:rsid w:val="0047780C"/>
    <w:rsid w:val="00477BBE"/>
    <w:rsid w:val="004803AA"/>
    <w:rsid w:val="00480E9C"/>
    <w:rsid w:val="004810CA"/>
    <w:rsid w:val="00481127"/>
    <w:rsid w:val="00481647"/>
    <w:rsid w:val="0048174D"/>
    <w:rsid w:val="00481C22"/>
    <w:rsid w:val="00481FA2"/>
    <w:rsid w:val="004827ED"/>
    <w:rsid w:val="004829E4"/>
    <w:rsid w:val="00483018"/>
    <w:rsid w:val="00483396"/>
    <w:rsid w:val="0048339E"/>
    <w:rsid w:val="00483552"/>
    <w:rsid w:val="00483722"/>
    <w:rsid w:val="004848C2"/>
    <w:rsid w:val="00485148"/>
    <w:rsid w:val="00486430"/>
    <w:rsid w:val="00486828"/>
    <w:rsid w:val="004868D0"/>
    <w:rsid w:val="00487046"/>
    <w:rsid w:val="004904F0"/>
    <w:rsid w:val="004910CB"/>
    <w:rsid w:val="0049302F"/>
    <w:rsid w:val="00493159"/>
    <w:rsid w:val="00493499"/>
    <w:rsid w:val="00493A52"/>
    <w:rsid w:val="00493FF1"/>
    <w:rsid w:val="00494365"/>
    <w:rsid w:val="00494442"/>
    <w:rsid w:val="00494877"/>
    <w:rsid w:val="004950AC"/>
    <w:rsid w:val="00495E58"/>
    <w:rsid w:val="00497F35"/>
    <w:rsid w:val="004A05A9"/>
    <w:rsid w:val="004A0782"/>
    <w:rsid w:val="004A0A90"/>
    <w:rsid w:val="004A0AD4"/>
    <w:rsid w:val="004A0E10"/>
    <w:rsid w:val="004A0E7C"/>
    <w:rsid w:val="004A109D"/>
    <w:rsid w:val="004A1DC9"/>
    <w:rsid w:val="004A2181"/>
    <w:rsid w:val="004A315B"/>
    <w:rsid w:val="004A332C"/>
    <w:rsid w:val="004A35F2"/>
    <w:rsid w:val="004A3E21"/>
    <w:rsid w:val="004A3F66"/>
    <w:rsid w:val="004A4A7C"/>
    <w:rsid w:val="004A4FF9"/>
    <w:rsid w:val="004A7534"/>
    <w:rsid w:val="004A771D"/>
    <w:rsid w:val="004A7EB6"/>
    <w:rsid w:val="004A7F47"/>
    <w:rsid w:val="004B027D"/>
    <w:rsid w:val="004B029F"/>
    <w:rsid w:val="004B0B3D"/>
    <w:rsid w:val="004B0E55"/>
    <w:rsid w:val="004B0EB9"/>
    <w:rsid w:val="004B119C"/>
    <w:rsid w:val="004B1705"/>
    <w:rsid w:val="004B1C81"/>
    <w:rsid w:val="004B21FB"/>
    <w:rsid w:val="004B226F"/>
    <w:rsid w:val="004B2B23"/>
    <w:rsid w:val="004B3641"/>
    <w:rsid w:val="004B4AE3"/>
    <w:rsid w:val="004B4D4F"/>
    <w:rsid w:val="004B4FCE"/>
    <w:rsid w:val="004B526B"/>
    <w:rsid w:val="004B6126"/>
    <w:rsid w:val="004B65EF"/>
    <w:rsid w:val="004B6B00"/>
    <w:rsid w:val="004B7320"/>
    <w:rsid w:val="004B7327"/>
    <w:rsid w:val="004B77FE"/>
    <w:rsid w:val="004B7C9D"/>
    <w:rsid w:val="004B7D01"/>
    <w:rsid w:val="004C005E"/>
    <w:rsid w:val="004C00CA"/>
    <w:rsid w:val="004C033D"/>
    <w:rsid w:val="004C0E34"/>
    <w:rsid w:val="004C11EA"/>
    <w:rsid w:val="004C1275"/>
    <w:rsid w:val="004C1A51"/>
    <w:rsid w:val="004C1CEA"/>
    <w:rsid w:val="004C233B"/>
    <w:rsid w:val="004C2536"/>
    <w:rsid w:val="004C25D2"/>
    <w:rsid w:val="004C2642"/>
    <w:rsid w:val="004C29EA"/>
    <w:rsid w:val="004C2B8B"/>
    <w:rsid w:val="004C3AA3"/>
    <w:rsid w:val="004C4624"/>
    <w:rsid w:val="004C4788"/>
    <w:rsid w:val="004C4D32"/>
    <w:rsid w:val="004C4FA7"/>
    <w:rsid w:val="004C5182"/>
    <w:rsid w:val="004C5745"/>
    <w:rsid w:val="004C5A98"/>
    <w:rsid w:val="004C5D3A"/>
    <w:rsid w:val="004C60A8"/>
    <w:rsid w:val="004C6145"/>
    <w:rsid w:val="004C61C8"/>
    <w:rsid w:val="004C6507"/>
    <w:rsid w:val="004C6978"/>
    <w:rsid w:val="004C7299"/>
    <w:rsid w:val="004C77EE"/>
    <w:rsid w:val="004C7D36"/>
    <w:rsid w:val="004C7FCE"/>
    <w:rsid w:val="004D00B1"/>
    <w:rsid w:val="004D0245"/>
    <w:rsid w:val="004D0D7E"/>
    <w:rsid w:val="004D1129"/>
    <w:rsid w:val="004D1190"/>
    <w:rsid w:val="004D13DE"/>
    <w:rsid w:val="004D211F"/>
    <w:rsid w:val="004D2153"/>
    <w:rsid w:val="004D2412"/>
    <w:rsid w:val="004D27AC"/>
    <w:rsid w:val="004D4470"/>
    <w:rsid w:val="004D45EC"/>
    <w:rsid w:val="004D4E63"/>
    <w:rsid w:val="004D523F"/>
    <w:rsid w:val="004D5AA8"/>
    <w:rsid w:val="004D5D15"/>
    <w:rsid w:val="004D5E4F"/>
    <w:rsid w:val="004D66B6"/>
    <w:rsid w:val="004D72BF"/>
    <w:rsid w:val="004D75B8"/>
    <w:rsid w:val="004D75D9"/>
    <w:rsid w:val="004D76DD"/>
    <w:rsid w:val="004D7744"/>
    <w:rsid w:val="004D7F40"/>
    <w:rsid w:val="004E062B"/>
    <w:rsid w:val="004E08B6"/>
    <w:rsid w:val="004E0D32"/>
    <w:rsid w:val="004E143F"/>
    <w:rsid w:val="004E1519"/>
    <w:rsid w:val="004E1EEC"/>
    <w:rsid w:val="004E225F"/>
    <w:rsid w:val="004E26FB"/>
    <w:rsid w:val="004E3838"/>
    <w:rsid w:val="004E3A20"/>
    <w:rsid w:val="004E4831"/>
    <w:rsid w:val="004E5C0D"/>
    <w:rsid w:val="004E646F"/>
    <w:rsid w:val="004E6BE8"/>
    <w:rsid w:val="004E70BA"/>
    <w:rsid w:val="004E74F1"/>
    <w:rsid w:val="004E799E"/>
    <w:rsid w:val="004F09F7"/>
    <w:rsid w:val="004F13AC"/>
    <w:rsid w:val="004F148F"/>
    <w:rsid w:val="004F1E5D"/>
    <w:rsid w:val="004F315C"/>
    <w:rsid w:val="004F3710"/>
    <w:rsid w:val="004F3C08"/>
    <w:rsid w:val="004F3E1B"/>
    <w:rsid w:val="004F5750"/>
    <w:rsid w:val="004F678F"/>
    <w:rsid w:val="004F6C0E"/>
    <w:rsid w:val="005009AE"/>
    <w:rsid w:val="0050221A"/>
    <w:rsid w:val="0050222A"/>
    <w:rsid w:val="0050249A"/>
    <w:rsid w:val="005027B8"/>
    <w:rsid w:val="00502BE9"/>
    <w:rsid w:val="0050325E"/>
    <w:rsid w:val="00503A4D"/>
    <w:rsid w:val="00503A7F"/>
    <w:rsid w:val="005041C5"/>
    <w:rsid w:val="00505B3A"/>
    <w:rsid w:val="00505B84"/>
    <w:rsid w:val="00506439"/>
    <w:rsid w:val="00507200"/>
    <w:rsid w:val="0050730E"/>
    <w:rsid w:val="00507910"/>
    <w:rsid w:val="00507A4C"/>
    <w:rsid w:val="0051015A"/>
    <w:rsid w:val="005104F4"/>
    <w:rsid w:val="0051058E"/>
    <w:rsid w:val="005109F3"/>
    <w:rsid w:val="00510A92"/>
    <w:rsid w:val="00511408"/>
    <w:rsid w:val="0051188A"/>
    <w:rsid w:val="00511AB3"/>
    <w:rsid w:val="00512063"/>
    <w:rsid w:val="0051232F"/>
    <w:rsid w:val="005123D8"/>
    <w:rsid w:val="00512B38"/>
    <w:rsid w:val="00512DAB"/>
    <w:rsid w:val="005134CB"/>
    <w:rsid w:val="00513AD6"/>
    <w:rsid w:val="005142B9"/>
    <w:rsid w:val="00514E3A"/>
    <w:rsid w:val="00514ED2"/>
    <w:rsid w:val="00515543"/>
    <w:rsid w:val="00515634"/>
    <w:rsid w:val="005168E4"/>
    <w:rsid w:val="0051691A"/>
    <w:rsid w:val="0051697E"/>
    <w:rsid w:val="00516F05"/>
    <w:rsid w:val="00517621"/>
    <w:rsid w:val="00517795"/>
    <w:rsid w:val="00517BC6"/>
    <w:rsid w:val="00520214"/>
    <w:rsid w:val="00520A44"/>
    <w:rsid w:val="00520C6C"/>
    <w:rsid w:val="00520EE7"/>
    <w:rsid w:val="00521176"/>
    <w:rsid w:val="00521550"/>
    <w:rsid w:val="00521907"/>
    <w:rsid w:val="00521B26"/>
    <w:rsid w:val="00521CEC"/>
    <w:rsid w:val="005224D9"/>
    <w:rsid w:val="00522FAD"/>
    <w:rsid w:val="00523A38"/>
    <w:rsid w:val="00524078"/>
    <w:rsid w:val="00524A7C"/>
    <w:rsid w:val="00524E29"/>
    <w:rsid w:val="0052503F"/>
    <w:rsid w:val="00525A7F"/>
    <w:rsid w:val="00525BB8"/>
    <w:rsid w:val="0052627E"/>
    <w:rsid w:val="005268CF"/>
    <w:rsid w:val="0052692D"/>
    <w:rsid w:val="00526D7E"/>
    <w:rsid w:val="00526EF9"/>
    <w:rsid w:val="0052708C"/>
    <w:rsid w:val="0052720D"/>
    <w:rsid w:val="005276A7"/>
    <w:rsid w:val="00527739"/>
    <w:rsid w:val="00530411"/>
    <w:rsid w:val="00531709"/>
    <w:rsid w:val="0053225D"/>
    <w:rsid w:val="005327F2"/>
    <w:rsid w:val="00532C6F"/>
    <w:rsid w:val="00532E3E"/>
    <w:rsid w:val="00532FE6"/>
    <w:rsid w:val="00533BDE"/>
    <w:rsid w:val="00533D6F"/>
    <w:rsid w:val="0053401E"/>
    <w:rsid w:val="00534227"/>
    <w:rsid w:val="00534D41"/>
    <w:rsid w:val="00535B2F"/>
    <w:rsid w:val="00535C66"/>
    <w:rsid w:val="00535E76"/>
    <w:rsid w:val="00535FDD"/>
    <w:rsid w:val="0053680C"/>
    <w:rsid w:val="00536BA5"/>
    <w:rsid w:val="00536C11"/>
    <w:rsid w:val="00537843"/>
    <w:rsid w:val="00537D89"/>
    <w:rsid w:val="00540220"/>
    <w:rsid w:val="00540532"/>
    <w:rsid w:val="00541060"/>
    <w:rsid w:val="005424F7"/>
    <w:rsid w:val="00542931"/>
    <w:rsid w:val="005434E1"/>
    <w:rsid w:val="005442E0"/>
    <w:rsid w:val="00544840"/>
    <w:rsid w:val="00544B77"/>
    <w:rsid w:val="00544F82"/>
    <w:rsid w:val="005457CE"/>
    <w:rsid w:val="00546426"/>
    <w:rsid w:val="00546715"/>
    <w:rsid w:val="00547161"/>
    <w:rsid w:val="00547427"/>
    <w:rsid w:val="0054788C"/>
    <w:rsid w:val="005479C7"/>
    <w:rsid w:val="005479DF"/>
    <w:rsid w:val="00547FFA"/>
    <w:rsid w:val="00550217"/>
    <w:rsid w:val="005508E0"/>
    <w:rsid w:val="00550A4E"/>
    <w:rsid w:val="00550CF5"/>
    <w:rsid w:val="005511E0"/>
    <w:rsid w:val="005517AA"/>
    <w:rsid w:val="00551866"/>
    <w:rsid w:val="00552377"/>
    <w:rsid w:val="0055285D"/>
    <w:rsid w:val="00554A05"/>
    <w:rsid w:val="00555F5A"/>
    <w:rsid w:val="0055690B"/>
    <w:rsid w:val="00556BBD"/>
    <w:rsid w:val="00556F8E"/>
    <w:rsid w:val="00557FB1"/>
    <w:rsid w:val="005602CA"/>
    <w:rsid w:val="005603EE"/>
    <w:rsid w:val="005609B4"/>
    <w:rsid w:val="00560DB9"/>
    <w:rsid w:val="00561C69"/>
    <w:rsid w:val="00562124"/>
    <w:rsid w:val="0056266E"/>
    <w:rsid w:val="00562B4F"/>
    <w:rsid w:val="00562BEA"/>
    <w:rsid w:val="00564299"/>
    <w:rsid w:val="00564628"/>
    <w:rsid w:val="00564DAE"/>
    <w:rsid w:val="0056525F"/>
    <w:rsid w:val="00565717"/>
    <w:rsid w:val="00565BFA"/>
    <w:rsid w:val="00565EA9"/>
    <w:rsid w:val="00565F4B"/>
    <w:rsid w:val="00566178"/>
    <w:rsid w:val="0056664A"/>
    <w:rsid w:val="005667BC"/>
    <w:rsid w:val="00567CD8"/>
    <w:rsid w:val="00567DF2"/>
    <w:rsid w:val="005709DF"/>
    <w:rsid w:val="005717EE"/>
    <w:rsid w:val="00571C8D"/>
    <w:rsid w:val="00571E2D"/>
    <w:rsid w:val="00571E87"/>
    <w:rsid w:val="005734B3"/>
    <w:rsid w:val="005739E1"/>
    <w:rsid w:val="00573CC5"/>
    <w:rsid w:val="005743A2"/>
    <w:rsid w:val="00574C59"/>
    <w:rsid w:val="00575255"/>
    <w:rsid w:val="005752A0"/>
    <w:rsid w:val="00575788"/>
    <w:rsid w:val="00576025"/>
    <w:rsid w:val="0057603A"/>
    <w:rsid w:val="005771B1"/>
    <w:rsid w:val="0057775C"/>
    <w:rsid w:val="00577DB9"/>
    <w:rsid w:val="0058094D"/>
    <w:rsid w:val="00580E40"/>
    <w:rsid w:val="00581559"/>
    <w:rsid w:val="00581CC2"/>
    <w:rsid w:val="00582095"/>
    <w:rsid w:val="00583F6A"/>
    <w:rsid w:val="005842E9"/>
    <w:rsid w:val="00584F49"/>
    <w:rsid w:val="005852E4"/>
    <w:rsid w:val="005855E4"/>
    <w:rsid w:val="00585684"/>
    <w:rsid w:val="00585E62"/>
    <w:rsid w:val="00586FC9"/>
    <w:rsid w:val="005870EC"/>
    <w:rsid w:val="00587A6C"/>
    <w:rsid w:val="00587CE2"/>
    <w:rsid w:val="005903C9"/>
    <w:rsid w:val="0059048A"/>
    <w:rsid w:val="00590EC7"/>
    <w:rsid w:val="00591B73"/>
    <w:rsid w:val="00592254"/>
    <w:rsid w:val="00592641"/>
    <w:rsid w:val="0059323E"/>
    <w:rsid w:val="00593691"/>
    <w:rsid w:val="00594625"/>
    <w:rsid w:val="00594EA8"/>
    <w:rsid w:val="005952F3"/>
    <w:rsid w:val="00595CD2"/>
    <w:rsid w:val="00595FC8"/>
    <w:rsid w:val="00596333"/>
    <w:rsid w:val="00596466"/>
    <w:rsid w:val="005978DA"/>
    <w:rsid w:val="005A025D"/>
    <w:rsid w:val="005A0E3D"/>
    <w:rsid w:val="005A0FB3"/>
    <w:rsid w:val="005A1BA5"/>
    <w:rsid w:val="005A1C64"/>
    <w:rsid w:val="005A1EE0"/>
    <w:rsid w:val="005A2769"/>
    <w:rsid w:val="005A2E4D"/>
    <w:rsid w:val="005A34CE"/>
    <w:rsid w:val="005A3E20"/>
    <w:rsid w:val="005A3E58"/>
    <w:rsid w:val="005A41E5"/>
    <w:rsid w:val="005A42C6"/>
    <w:rsid w:val="005A4333"/>
    <w:rsid w:val="005A4B8C"/>
    <w:rsid w:val="005A5B9F"/>
    <w:rsid w:val="005A651D"/>
    <w:rsid w:val="005A6E1B"/>
    <w:rsid w:val="005A735B"/>
    <w:rsid w:val="005A76BE"/>
    <w:rsid w:val="005A77DC"/>
    <w:rsid w:val="005B054E"/>
    <w:rsid w:val="005B09FD"/>
    <w:rsid w:val="005B119A"/>
    <w:rsid w:val="005B2564"/>
    <w:rsid w:val="005B2668"/>
    <w:rsid w:val="005B292D"/>
    <w:rsid w:val="005B38AD"/>
    <w:rsid w:val="005B3CB1"/>
    <w:rsid w:val="005B3DA0"/>
    <w:rsid w:val="005B5290"/>
    <w:rsid w:val="005B5366"/>
    <w:rsid w:val="005B5C22"/>
    <w:rsid w:val="005B61C8"/>
    <w:rsid w:val="005B6961"/>
    <w:rsid w:val="005B7201"/>
    <w:rsid w:val="005B769F"/>
    <w:rsid w:val="005C08C9"/>
    <w:rsid w:val="005C166D"/>
    <w:rsid w:val="005C2622"/>
    <w:rsid w:val="005C303E"/>
    <w:rsid w:val="005C3655"/>
    <w:rsid w:val="005C397D"/>
    <w:rsid w:val="005C3E7D"/>
    <w:rsid w:val="005C3EA9"/>
    <w:rsid w:val="005C4424"/>
    <w:rsid w:val="005C4D89"/>
    <w:rsid w:val="005C528D"/>
    <w:rsid w:val="005C6BDA"/>
    <w:rsid w:val="005C6C10"/>
    <w:rsid w:val="005C7C93"/>
    <w:rsid w:val="005D05CB"/>
    <w:rsid w:val="005D0906"/>
    <w:rsid w:val="005D0A2D"/>
    <w:rsid w:val="005D0D49"/>
    <w:rsid w:val="005D0E05"/>
    <w:rsid w:val="005D0EB5"/>
    <w:rsid w:val="005D1AB8"/>
    <w:rsid w:val="005D1D27"/>
    <w:rsid w:val="005D2AF4"/>
    <w:rsid w:val="005D3229"/>
    <w:rsid w:val="005D3829"/>
    <w:rsid w:val="005D3AFF"/>
    <w:rsid w:val="005D3B5F"/>
    <w:rsid w:val="005D48E1"/>
    <w:rsid w:val="005D4BEA"/>
    <w:rsid w:val="005D50BB"/>
    <w:rsid w:val="005D5AF6"/>
    <w:rsid w:val="005D5D4E"/>
    <w:rsid w:val="005D6404"/>
    <w:rsid w:val="005D6623"/>
    <w:rsid w:val="005D6871"/>
    <w:rsid w:val="005D71A4"/>
    <w:rsid w:val="005D72E3"/>
    <w:rsid w:val="005D7779"/>
    <w:rsid w:val="005D7B94"/>
    <w:rsid w:val="005E05DA"/>
    <w:rsid w:val="005E0A85"/>
    <w:rsid w:val="005E0C3E"/>
    <w:rsid w:val="005E1180"/>
    <w:rsid w:val="005E1824"/>
    <w:rsid w:val="005E1826"/>
    <w:rsid w:val="005E1C32"/>
    <w:rsid w:val="005E2257"/>
    <w:rsid w:val="005E2530"/>
    <w:rsid w:val="005E2742"/>
    <w:rsid w:val="005E2E89"/>
    <w:rsid w:val="005E336A"/>
    <w:rsid w:val="005E3394"/>
    <w:rsid w:val="005E3B11"/>
    <w:rsid w:val="005E3E58"/>
    <w:rsid w:val="005E406D"/>
    <w:rsid w:val="005E430E"/>
    <w:rsid w:val="005E4DCD"/>
    <w:rsid w:val="005E5434"/>
    <w:rsid w:val="005E5CCE"/>
    <w:rsid w:val="005E5E5B"/>
    <w:rsid w:val="005E5FC4"/>
    <w:rsid w:val="005E64D5"/>
    <w:rsid w:val="005E6CE2"/>
    <w:rsid w:val="005E75AF"/>
    <w:rsid w:val="005E76E1"/>
    <w:rsid w:val="005E7CD6"/>
    <w:rsid w:val="005E7CF2"/>
    <w:rsid w:val="005F0D0D"/>
    <w:rsid w:val="005F1679"/>
    <w:rsid w:val="005F1C5C"/>
    <w:rsid w:val="005F23F2"/>
    <w:rsid w:val="005F2CA8"/>
    <w:rsid w:val="005F2DC9"/>
    <w:rsid w:val="005F3973"/>
    <w:rsid w:val="005F3F6B"/>
    <w:rsid w:val="005F42A9"/>
    <w:rsid w:val="005F444C"/>
    <w:rsid w:val="005F45D7"/>
    <w:rsid w:val="005F4856"/>
    <w:rsid w:val="005F48AC"/>
    <w:rsid w:val="005F59F4"/>
    <w:rsid w:val="005F6472"/>
    <w:rsid w:val="005F7785"/>
    <w:rsid w:val="005F7A05"/>
    <w:rsid w:val="005F7AD7"/>
    <w:rsid w:val="0060035F"/>
    <w:rsid w:val="006003BE"/>
    <w:rsid w:val="00600EBC"/>
    <w:rsid w:val="00601D02"/>
    <w:rsid w:val="006020D1"/>
    <w:rsid w:val="0060216D"/>
    <w:rsid w:val="006021F8"/>
    <w:rsid w:val="0060252B"/>
    <w:rsid w:val="006034E9"/>
    <w:rsid w:val="00604A3C"/>
    <w:rsid w:val="00604F4C"/>
    <w:rsid w:val="00605673"/>
    <w:rsid w:val="00605700"/>
    <w:rsid w:val="00605C98"/>
    <w:rsid w:val="00606212"/>
    <w:rsid w:val="006066DD"/>
    <w:rsid w:val="00606C02"/>
    <w:rsid w:val="006073C8"/>
    <w:rsid w:val="006075B4"/>
    <w:rsid w:val="00607B00"/>
    <w:rsid w:val="0061128E"/>
    <w:rsid w:val="00611673"/>
    <w:rsid w:val="00611796"/>
    <w:rsid w:val="00611A47"/>
    <w:rsid w:val="006129F6"/>
    <w:rsid w:val="00614C02"/>
    <w:rsid w:val="00614FB8"/>
    <w:rsid w:val="006152D2"/>
    <w:rsid w:val="006159AE"/>
    <w:rsid w:val="0061672E"/>
    <w:rsid w:val="00616C0A"/>
    <w:rsid w:val="00616CF8"/>
    <w:rsid w:val="0061748F"/>
    <w:rsid w:val="0061757F"/>
    <w:rsid w:val="00620232"/>
    <w:rsid w:val="0062084B"/>
    <w:rsid w:val="00620E5E"/>
    <w:rsid w:val="00620FBE"/>
    <w:rsid w:val="00621009"/>
    <w:rsid w:val="00621121"/>
    <w:rsid w:val="006212E6"/>
    <w:rsid w:val="00622389"/>
    <w:rsid w:val="006227AA"/>
    <w:rsid w:val="00622B56"/>
    <w:rsid w:val="006235EA"/>
    <w:rsid w:val="0062380C"/>
    <w:rsid w:val="0062457E"/>
    <w:rsid w:val="00624719"/>
    <w:rsid w:val="00624AE3"/>
    <w:rsid w:val="00625432"/>
    <w:rsid w:val="006255BF"/>
    <w:rsid w:val="006265B5"/>
    <w:rsid w:val="00626814"/>
    <w:rsid w:val="006268FE"/>
    <w:rsid w:val="00626E30"/>
    <w:rsid w:val="00627423"/>
    <w:rsid w:val="006277D2"/>
    <w:rsid w:val="00627A6A"/>
    <w:rsid w:val="00627E6B"/>
    <w:rsid w:val="0063036F"/>
    <w:rsid w:val="00630C60"/>
    <w:rsid w:val="00630F0A"/>
    <w:rsid w:val="00631B28"/>
    <w:rsid w:val="0063225D"/>
    <w:rsid w:val="006330EA"/>
    <w:rsid w:val="00633787"/>
    <w:rsid w:val="00633C29"/>
    <w:rsid w:val="00633C6C"/>
    <w:rsid w:val="00634526"/>
    <w:rsid w:val="00634726"/>
    <w:rsid w:val="006351F3"/>
    <w:rsid w:val="00635D10"/>
    <w:rsid w:val="00636331"/>
    <w:rsid w:val="00637142"/>
    <w:rsid w:val="00640F96"/>
    <w:rsid w:val="0064104D"/>
    <w:rsid w:val="00641897"/>
    <w:rsid w:val="00642443"/>
    <w:rsid w:val="00643076"/>
    <w:rsid w:val="00643ABB"/>
    <w:rsid w:val="006450A9"/>
    <w:rsid w:val="00645418"/>
    <w:rsid w:val="00645E69"/>
    <w:rsid w:val="00646995"/>
    <w:rsid w:val="0064769B"/>
    <w:rsid w:val="00647C3B"/>
    <w:rsid w:val="006502E7"/>
    <w:rsid w:val="00650E5A"/>
    <w:rsid w:val="006510E3"/>
    <w:rsid w:val="006511B6"/>
    <w:rsid w:val="00651299"/>
    <w:rsid w:val="006518FC"/>
    <w:rsid w:val="006519D5"/>
    <w:rsid w:val="00651C42"/>
    <w:rsid w:val="00651E1B"/>
    <w:rsid w:val="00651E3F"/>
    <w:rsid w:val="00653025"/>
    <w:rsid w:val="006537FA"/>
    <w:rsid w:val="00653D7D"/>
    <w:rsid w:val="006541E9"/>
    <w:rsid w:val="00654F98"/>
    <w:rsid w:val="00655A59"/>
    <w:rsid w:val="0065718F"/>
    <w:rsid w:val="0065725A"/>
    <w:rsid w:val="00657309"/>
    <w:rsid w:val="0065764D"/>
    <w:rsid w:val="00657F3C"/>
    <w:rsid w:val="006602AF"/>
    <w:rsid w:val="0066161F"/>
    <w:rsid w:val="00661E63"/>
    <w:rsid w:val="006622A1"/>
    <w:rsid w:val="00663279"/>
    <w:rsid w:val="0066368B"/>
    <w:rsid w:val="0066369A"/>
    <w:rsid w:val="00663C70"/>
    <w:rsid w:val="00663D3F"/>
    <w:rsid w:val="00663D81"/>
    <w:rsid w:val="00664326"/>
    <w:rsid w:val="00664D65"/>
    <w:rsid w:val="00666244"/>
    <w:rsid w:val="00666F66"/>
    <w:rsid w:val="006675BE"/>
    <w:rsid w:val="00667687"/>
    <w:rsid w:val="00667C4C"/>
    <w:rsid w:val="00667FD8"/>
    <w:rsid w:val="006710F9"/>
    <w:rsid w:val="006712DA"/>
    <w:rsid w:val="006716F1"/>
    <w:rsid w:val="00672523"/>
    <w:rsid w:val="006725D8"/>
    <w:rsid w:val="00673AD5"/>
    <w:rsid w:val="00673B2E"/>
    <w:rsid w:val="00673EA6"/>
    <w:rsid w:val="00674728"/>
    <w:rsid w:val="00674CAF"/>
    <w:rsid w:val="00675EC0"/>
    <w:rsid w:val="00675EEB"/>
    <w:rsid w:val="00676500"/>
    <w:rsid w:val="0067695E"/>
    <w:rsid w:val="00676C6D"/>
    <w:rsid w:val="006815FA"/>
    <w:rsid w:val="00681AD6"/>
    <w:rsid w:val="00681D65"/>
    <w:rsid w:val="0068202C"/>
    <w:rsid w:val="0068286D"/>
    <w:rsid w:val="006831B0"/>
    <w:rsid w:val="006839E5"/>
    <w:rsid w:val="00683AC2"/>
    <w:rsid w:val="00683D99"/>
    <w:rsid w:val="0068496F"/>
    <w:rsid w:val="00684ACD"/>
    <w:rsid w:val="0068572A"/>
    <w:rsid w:val="006864EF"/>
    <w:rsid w:val="00687059"/>
    <w:rsid w:val="0068709D"/>
    <w:rsid w:val="006870EC"/>
    <w:rsid w:val="00687A5D"/>
    <w:rsid w:val="00690CE3"/>
    <w:rsid w:val="0069169D"/>
    <w:rsid w:val="00691818"/>
    <w:rsid w:val="00692378"/>
    <w:rsid w:val="00692977"/>
    <w:rsid w:val="006929DF"/>
    <w:rsid w:val="00692E68"/>
    <w:rsid w:val="006944C8"/>
    <w:rsid w:val="00694F5A"/>
    <w:rsid w:val="00695493"/>
    <w:rsid w:val="0069563E"/>
    <w:rsid w:val="00695728"/>
    <w:rsid w:val="00695F04"/>
    <w:rsid w:val="0069608F"/>
    <w:rsid w:val="006963F8"/>
    <w:rsid w:val="0069699F"/>
    <w:rsid w:val="0069714B"/>
    <w:rsid w:val="00697415"/>
    <w:rsid w:val="00697CAE"/>
    <w:rsid w:val="00697E30"/>
    <w:rsid w:val="006A01C4"/>
    <w:rsid w:val="006A0265"/>
    <w:rsid w:val="006A1FFB"/>
    <w:rsid w:val="006A304C"/>
    <w:rsid w:val="006A3AAB"/>
    <w:rsid w:val="006A3B92"/>
    <w:rsid w:val="006A4298"/>
    <w:rsid w:val="006A437D"/>
    <w:rsid w:val="006A449A"/>
    <w:rsid w:val="006A4974"/>
    <w:rsid w:val="006A5852"/>
    <w:rsid w:val="006A6053"/>
    <w:rsid w:val="006A6279"/>
    <w:rsid w:val="006A63A3"/>
    <w:rsid w:val="006A67E8"/>
    <w:rsid w:val="006A6E42"/>
    <w:rsid w:val="006A7819"/>
    <w:rsid w:val="006A7CB3"/>
    <w:rsid w:val="006A7E19"/>
    <w:rsid w:val="006B0585"/>
    <w:rsid w:val="006B0DC3"/>
    <w:rsid w:val="006B120B"/>
    <w:rsid w:val="006B194A"/>
    <w:rsid w:val="006B195D"/>
    <w:rsid w:val="006B1C9C"/>
    <w:rsid w:val="006B257F"/>
    <w:rsid w:val="006B262A"/>
    <w:rsid w:val="006B264D"/>
    <w:rsid w:val="006B34CD"/>
    <w:rsid w:val="006B3A40"/>
    <w:rsid w:val="006B4389"/>
    <w:rsid w:val="006B4D3C"/>
    <w:rsid w:val="006B4EF7"/>
    <w:rsid w:val="006B5035"/>
    <w:rsid w:val="006B593D"/>
    <w:rsid w:val="006B5EFF"/>
    <w:rsid w:val="006B6C59"/>
    <w:rsid w:val="006B721E"/>
    <w:rsid w:val="006B79A4"/>
    <w:rsid w:val="006B7C28"/>
    <w:rsid w:val="006C038F"/>
    <w:rsid w:val="006C0C21"/>
    <w:rsid w:val="006C17ED"/>
    <w:rsid w:val="006C18CC"/>
    <w:rsid w:val="006C30B9"/>
    <w:rsid w:val="006C3DDB"/>
    <w:rsid w:val="006C5593"/>
    <w:rsid w:val="006C58A0"/>
    <w:rsid w:val="006C5AA1"/>
    <w:rsid w:val="006C5F7A"/>
    <w:rsid w:val="006C68FE"/>
    <w:rsid w:val="006C6B3A"/>
    <w:rsid w:val="006C700C"/>
    <w:rsid w:val="006D0F93"/>
    <w:rsid w:val="006D10D1"/>
    <w:rsid w:val="006D12AC"/>
    <w:rsid w:val="006D154E"/>
    <w:rsid w:val="006D18E7"/>
    <w:rsid w:val="006D1EA2"/>
    <w:rsid w:val="006D2405"/>
    <w:rsid w:val="006D2953"/>
    <w:rsid w:val="006D2FC2"/>
    <w:rsid w:val="006D3083"/>
    <w:rsid w:val="006D34C0"/>
    <w:rsid w:val="006D4166"/>
    <w:rsid w:val="006D4E34"/>
    <w:rsid w:val="006D523A"/>
    <w:rsid w:val="006D6019"/>
    <w:rsid w:val="006D741C"/>
    <w:rsid w:val="006D75E2"/>
    <w:rsid w:val="006D775A"/>
    <w:rsid w:val="006D7773"/>
    <w:rsid w:val="006D7946"/>
    <w:rsid w:val="006D7ED2"/>
    <w:rsid w:val="006E0F01"/>
    <w:rsid w:val="006E1B95"/>
    <w:rsid w:val="006E2D45"/>
    <w:rsid w:val="006E34CE"/>
    <w:rsid w:val="006E3F15"/>
    <w:rsid w:val="006E4A3E"/>
    <w:rsid w:val="006E53AA"/>
    <w:rsid w:val="006E5E1D"/>
    <w:rsid w:val="006E5EC9"/>
    <w:rsid w:val="006E654D"/>
    <w:rsid w:val="006E76F0"/>
    <w:rsid w:val="006E7822"/>
    <w:rsid w:val="006F03D3"/>
    <w:rsid w:val="006F0AE2"/>
    <w:rsid w:val="006F136A"/>
    <w:rsid w:val="006F1379"/>
    <w:rsid w:val="006F1474"/>
    <w:rsid w:val="006F1FA0"/>
    <w:rsid w:val="006F24D2"/>
    <w:rsid w:val="006F2D14"/>
    <w:rsid w:val="006F34AC"/>
    <w:rsid w:val="006F3E5F"/>
    <w:rsid w:val="006F401D"/>
    <w:rsid w:val="006F40B4"/>
    <w:rsid w:val="006F4920"/>
    <w:rsid w:val="006F495F"/>
    <w:rsid w:val="006F556F"/>
    <w:rsid w:val="006F5698"/>
    <w:rsid w:val="006F569A"/>
    <w:rsid w:val="006F56F1"/>
    <w:rsid w:val="006F5FD0"/>
    <w:rsid w:val="006F64D4"/>
    <w:rsid w:val="006F74BD"/>
    <w:rsid w:val="006F79BA"/>
    <w:rsid w:val="00700798"/>
    <w:rsid w:val="007015EB"/>
    <w:rsid w:val="00701B08"/>
    <w:rsid w:val="00702E5F"/>
    <w:rsid w:val="00702F3F"/>
    <w:rsid w:val="00703662"/>
    <w:rsid w:val="0070387B"/>
    <w:rsid w:val="00703B22"/>
    <w:rsid w:val="007042E5"/>
    <w:rsid w:val="00704B22"/>
    <w:rsid w:val="00705451"/>
    <w:rsid w:val="00705536"/>
    <w:rsid w:val="00705544"/>
    <w:rsid w:val="007055DD"/>
    <w:rsid w:val="007059AB"/>
    <w:rsid w:val="00705A59"/>
    <w:rsid w:val="00705A77"/>
    <w:rsid w:val="00707189"/>
    <w:rsid w:val="00707410"/>
    <w:rsid w:val="00707706"/>
    <w:rsid w:val="00710874"/>
    <w:rsid w:val="0071198F"/>
    <w:rsid w:val="00711CFF"/>
    <w:rsid w:val="00712718"/>
    <w:rsid w:val="007128BF"/>
    <w:rsid w:val="00712A09"/>
    <w:rsid w:val="00712ADA"/>
    <w:rsid w:val="00713CE2"/>
    <w:rsid w:val="0071465C"/>
    <w:rsid w:val="00714B64"/>
    <w:rsid w:val="00714C2E"/>
    <w:rsid w:val="00714E81"/>
    <w:rsid w:val="00715040"/>
    <w:rsid w:val="00715761"/>
    <w:rsid w:val="00715764"/>
    <w:rsid w:val="00715D54"/>
    <w:rsid w:val="00716EEB"/>
    <w:rsid w:val="0071722C"/>
    <w:rsid w:val="0071731F"/>
    <w:rsid w:val="0071768D"/>
    <w:rsid w:val="00717C92"/>
    <w:rsid w:val="00717F76"/>
    <w:rsid w:val="00720423"/>
    <w:rsid w:val="007204F8"/>
    <w:rsid w:val="0072091A"/>
    <w:rsid w:val="00721956"/>
    <w:rsid w:val="0072195A"/>
    <w:rsid w:val="00721A75"/>
    <w:rsid w:val="00721F41"/>
    <w:rsid w:val="00722416"/>
    <w:rsid w:val="007227DD"/>
    <w:rsid w:val="007233F1"/>
    <w:rsid w:val="00723AD1"/>
    <w:rsid w:val="007243D7"/>
    <w:rsid w:val="00724918"/>
    <w:rsid w:val="00724ABE"/>
    <w:rsid w:val="00724F18"/>
    <w:rsid w:val="00725381"/>
    <w:rsid w:val="00726300"/>
    <w:rsid w:val="00727E9B"/>
    <w:rsid w:val="007304AD"/>
    <w:rsid w:val="007306D1"/>
    <w:rsid w:val="00730FC5"/>
    <w:rsid w:val="0073139D"/>
    <w:rsid w:val="0073150F"/>
    <w:rsid w:val="00732550"/>
    <w:rsid w:val="00732E4D"/>
    <w:rsid w:val="007330ED"/>
    <w:rsid w:val="00733436"/>
    <w:rsid w:val="00734079"/>
    <w:rsid w:val="007342A5"/>
    <w:rsid w:val="007342EF"/>
    <w:rsid w:val="007348A1"/>
    <w:rsid w:val="00734B5F"/>
    <w:rsid w:val="00734EB0"/>
    <w:rsid w:val="007355F0"/>
    <w:rsid w:val="00735747"/>
    <w:rsid w:val="00736A3E"/>
    <w:rsid w:val="00736D9D"/>
    <w:rsid w:val="00736F53"/>
    <w:rsid w:val="007377FE"/>
    <w:rsid w:val="00740279"/>
    <w:rsid w:val="00740514"/>
    <w:rsid w:val="00742E03"/>
    <w:rsid w:val="007439F9"/>
    <w:rsid w:val="007441BE"/>
    <w:rsid w:val="00744BA1"/>
    <w:rsid w:val="00744CAE"/>
    <w:rsid w:val="00744DF5"/>
    <w:rsid w:val="00746360"/>
    <w:rsid w:val="0074699B"/>
    <w:rsid w:val="00747945"/>
    <w:rsid w:val="00747BB5"/>
    <w:rsid w:val="00750158"/>
    <w:rsid w:val="0075076C"/>
    <w:rsid w:val="007514DC"/>
    <w:rsid w:val="007519C5"/>
    <w:rsid w:val="00751BFE"/>
    <w:rsid w:val="007521DD"/>
    <w:rsid w:val="00752466"/>
    <w:rsid w:val="007525FD"/>
    <w:rsid w:val="00752CF5"/>
    <w:rsid w:val="00753190"/>
    <w:rsid w:val="007538A2"/>
    <w:rsid w:val="007539D1"/>
    <w:rsid w:val="00754885"/>
    <w:rsid w:val="00754DFD"/>
    <w:rsid w:val="00754E7B"/>
    <w:rsid w:val="007557C3"/>
    <w:rsid w:val="00755824"/>
    <w:rsid w:val="0075615A"/>
    <w:rsid w:val="007567A0"/>
    <w:rsid w:val="007569AB"/>
    <w:rsid w:val="00757A0C"/>
    <w:rsid w:val="00760752"/>
    <w:rsid w:val="00761111"/>
    <w:rsid w:val="0076147D"/>
    <w:rsid w:val="00761855"/>
    <w:rsid w:val="00762B50"/>
    <w:rsid w:val="00762BE7"/>
    <w:rsid w:val="00763183"/>
    <w:rsid w:val="007632EB"/>
    <w:rsid w:val="007654C3"/>
    <w:rsid w:val="0076584C"/>
    <w:rsid w:val="00765B9A"/>
    <w:rsid w:val="0076616F"/>
    <w:rsid w:val="00767079"/>
    <w:rsid w:val="007673D3"/>
    <w:rsid w:val="007675DB"/>
    <w:rsid w:val="00767B24"/>
    <w:rsid w:val="007703DA"/>
    <w:rsid w:val="00770BA1"/>
    <w:rsid w:val="00771FA3"/>
    <w:rsid w:val="00772CEC"/>
    <w:rsid w:val="00773039"/>
    <w:rsid w:val="00773707"/>
    <w:rsid w:val="00773AEA"/>
    <w:rsid w:val="0077500B"/>
    <w:rsid w:val="007752E7"/>
    <w:rsid w:val="00775812"/>
    <w:rsid w:val="00775B50"/>
    <w:rsid w:val="00775C25"/>
    <w:rsid w:val="00775EE4"/>
    <w:rsid w:val="007763CA"/>
    <w:rsid w:val="0077670C"/>
    <w:rsid w:val="00776F11"/>
    <w:rsid w:val="0077720A"/>
    <w:rsid w:val="00777D1B"/>
    <w:rsid w:val="00777F53"/>
    <w:rsid w:val="00780D73"/>
    <w:rsid w:val="00781F62"/>
    <w:rsid w:val="00783E57"/>
    <w:rsid w:val="00783ECB"/>
    <w:rsid w:val="00784706"/>
    <w:rsid w:val="00784EA4"/>
    <w:rsid w:val="007854A6"/>
    <w:rsid w:val="00785ADF"/>
    <w:rsid w:val="00785B42"/>
    <w:rsid w:val="00787711"/>
    <w:rsid w:val="00787B4B"/>
    <w:rsid w:val="00787BAB"/>
    <w:rsid w:val="007900D5"/>
    <w:rsid w:val="00790487"/>
    <w:rsid w:val="00790759"/>
    <w:rsid w:val="00791328"/>
    <w:rsid w:val="00791957"/>
    <w:rsid w:val="00791B94"/>
    <w:rsid w:val="00793208"/>
    <w:rsid w:val="007933BA"/>
    <w:rsid w:val="007934F3"/>
    <w:rsid w:val="007939E9"/>
    <w:rsid w:val="00793CAE"/>
    <w:rsid w:val="00793E2A"/>
    <w:rsid w:val="00794355"/>
    <w:rsid w:val="00794AF2"/>
    <w:rsid w:val="007955E1"/>
    <w:rsid w:val="007958D4"/>
    <w:rsid w:val="00796562"/>
    <w:rsid w:val="0079656D"/>
    <w:rsid w:val="007969FE"/>
    <w:rsid w:val="007973AA"/>
    <w:rsid w:val="0079777C"/>
    <w:rsid w:val="007977AE"/>
    <w:rsid w:val="007A039B"/>
    <w:rsid w:val="007A0628"/>
    <w:rsid w:val="007A06DF"/>
    <w:rsid w:val="007A0AC9"/>
    <w:rsid w:val="007A0BAB"/>
    <w:rsid w:val="007A10E8"/>
    <w:rsid w:val="007A17F5"/>
    <w:rsid w:val="007A2391"/>
    <w:rsid w:val="007A2A6F"/>
    <w:rsid w:val="007A351F"/>
    <w:rsid w:val="007A3E90"/>
    <w:rsid w:val="007A491E"/>
    <w:rsid w:val="007A4ADA"/>
    <w:rsid w:val="007A4DDC"/>
    <w:rsid w:val="007A5B70"/>
    <w:rsid w:val="007A6004"/>
    <w:rsid w:val="007A6D18"/>
    <w:rsid w:val="007A6F59"/>
    <w:rsid w:val="007A79A9"/>
    <w:rsid w:val="007A7B1A"/>
    <w:rsid w:val="007A7C3E"/>
    <w:rsid w:val="007A7DFC"/>
    <w:rsid w:val="007A7F9A"/>
    <w:rsid w:val="007B01DD"/>
    <w:rsid w:val="007B0A08"/>
    <w:rsid w:val="007B193D"/>
    <w:rsid w:val="007B1CA5"/>
    <w:rsid w:val="007B205A"/>
    <w:rsid w:val="007B2721"/>
    <w:rsid w:val="007B2DE5"/>
    <w:rsid w:val="007B3354"/>
    <w:rsid w:val="007B34BE"/>
    <w:rsid w:val="007B36DC"/>
    <w:rsid w:val="007B3D79"/>
    <w:rsid w:val="007B4671"/>
    <w:rsid w:val="007B4DEF"/>
    <w:rsid w:val="007B53C2"/>
    <w:rsid w:val="007B5E7E"/>
    <w:rsid w:val="007B695D"/>
    <w:rsid w:val="007B6FCE"/>
    <w:rsid w:val="007B755A"/>
    <w:rsid w:val="007B76EC"/>
    <w:rsid w:val="007B7E78"/>
    <w:rsid w:val="007C03B6"/>
    <w:rsid w:val="007C07C5"/>
    <w:rsid w:val="007C0D69"/>
    <w:rsid w:val="007C1AFA"/>
    <w:rsid w:val="007C21B0"/>
    <w:rsid w:val="007C2F53"/>
    <w:rsid w:val="007C3743"/>
    <w:rsid w:val="007C4A91"/>
    <w:rsid w:val="007C52BF"/>
    <w:rsid w:val="007C68CB"/>
    <w:rsid w:val="007C743D"/>
    <w:rsid w:val="007C75BB"/>
    <w:rsid w:val="007C77D4"/>
    <w:rsid w:val="007C7F54"/>
    <w:rsid w:val="007D004E"/>
    <w:rsid w:val="007D052F"/>
    <w:rsid w:val="007D079B"/>
    <w:rsid w:val="007D080A"/>
    <w:rsid w:val="007D0D61"/>
    <w:rsid w:val="007D1673"/>
    <w:rsid w:val="007D19FB"/>
    <w:rsid w:val="007D26C4"/>
    <w:rsid w:val="007D2FA4"/>
    <w:rsid w:val="007D4B91"/>
    <w:rsid w:val="007D4C3C"/>
    <w:rsid w:val="007D5453"/>
    <w:rsid w:val="007D5528"/>
    <w:rsid w:val="007D6211"/>
    <w:rsid w:val="007D6280"/>
    <w:rsid w:val="007D6A5D"/>
    <w:rsid w:val="007D6C43"/>
    <w:rsid w:val="007D6EC0"/>
    <w:rsid w:val="007D6F58"/>
    <w:rsid w:val="007D7497"/>
    <w:rsid w:val="007E0113"/>
    <w:rsid w:val="007E0496"/>
    <w:rsid w:val="007E04C6"/>
    <w:rsid w:val="007E0677"/>
    <w:rsid w:val="007E0D2C"/>
    <w:rsid w:val="007E1635"/>
    <w:rsid w:val="007E173D"/>
    <w:rsid w:val="007E18E6"/>
    <w:rsid w:val="007E1DA7"/>
    <w:rsid w:val="007E244F"/>
    <w:rsid w:val="007E2A08"/>
    <w:rsid w:val="007E2A5C"/>
    <w:rsid w:val="007E2EA9"/>
    <w:rsid w:val="007E3EA7"/>
    <w:rsid w:val="007E448C"/>
    <w:rsid w:val="007E452E"/>
    <w:rsid w:val="007E4BAA"/>
    <w:rsid w:val="007E4D02"/>
    <w:rsid w:val="007E4F94"/>
    <w:rsid w:val="007E5D53"/>
    <w:rsid w:val="007E657C"/>
    <w:rsid w:val="007E6AF8"/>
    <w:rsid w:val="007E6E36"/>
    <w:rsid w:val="007E7343"/>
    <w:rsid w:val="007E7EB0"/>
    <w:rsid w:val="007E7ED8"/>
    <w:rsid w:val="007F068A"/>
    <w:rsid w:val="007F0709"/>
    <w:rsid w:val="007F11CF"/>
    <w:rsid w:val="007F1A7F"/>
    <w:rsid w:val="007F2655"/>
    <w:rsid w:val="007F273F"/>
    <w:rsid w:val="007F2E32"/>
    <w:rsid w:val="007F45A9"/>
    <w:rsid w:val="007F4F6C"/>
    <w:rsid w:val="007F553D"/>
    <w:rsid w:val="007F5CC0"/>
    <w:rsid w:val="007F5FF0"/>
    <w:rsid w:val="007F6059"/>
    <w:rsid w:val="007F6471"/>
    <w:rsid w:val="007F6670"/>
    <w:rsid w:val="007F67B6"/>
    <w:rsid w:val="007F6F8E"/>
    <w:rsid w:val="007F706D"/>
    <w:rsid w:val="007F7835"/>
    <w:rsid w:val="007F7DC3"/>
    <w:rsid w:val="007F7E0F"/>
    <w:rsid w:val="007F7E3D"/>
    <w:rsid w:val="008005DC"/>
    <w:rsid w:val="00800A3E"/>
    <w:rsid w:val="00800F41"/>
    <w:rsid w:val="0080188C"/>
    <w:rsid w:val="00801ABC"/>
    <w:rsid w:val="00801D89"/>
    <w:rsid w:val="00802127"/>
    <w:rsid w:val="008028F0"/>
    <w:rsid w:val="00802D14"/>
    <w:rsid w:val="00802EF9"/>
    <w:rsid w:val="00802FAE"/>
    <w:rsid w:val="00803A24"/>
    <w:rsid w:val="0080400A"/>
    <w:rsid w:val="00804EB3"/>
    <w:rsid w:val="00804EC8"/>
    <w:rsid w:val="00805D86"/>
    <w:rsid w:val="00805EFE"/>
    <w:rsid w:val="00806495"/>
    <w:rsid w:val="00806B41"/>
    <w:rsid w:val="00806C6F"/>
    <w:rsid w:val="00806D11"/>
    <w:rsid w:val="00806DD5"/>
    <w:rsid w:val="00806E96"/>
    <w:rsid w:val="00807395"/>
    <w:rsid w:val="008079D8"/>
    <w:rsid w:val="0081083F"/>
    <w:rsid w:val="00810960"/>
    <w:rsid w:val="00810D4C"/>
    <w:rsid w:val="008110D9"/>
    <w:rsid w:val="00811E55"/>
    <w:rsid w:val="00811E8F"/>
    <w:rsid w:val="0081206E"/>
    <w:rsid w:val="0081229B"/>
    <w:rsid w:val="00812361"/>
    <w:rsid w:val="00812F8E"/>
    <w:rsid w:val="00812FAB"/>
    <w:rsid w:val="0081329E"/>
    <w:rsid w:val="008145DA"/>
    <w:rsid w:val="00814C9F"/>
    <w:rsid w:val="00814FB9"/>
    <w:rsid w:val="00814FBA"/>
    <w:rsid w:val="0081518B"/>
    <w:rsid w:val="00816E6D"/>
    <w:rsid w:val="00817EB6"/>
    <w:rsid w:val="00820382"/>
    <w:rsid w:val="00820633"/>
    <w:rsid w:val="00821174"/>
    <w:rsid w:val="00821236"/>
    <w:rsid w:val="00821476"/>
    <w:rsid w:val="00821773"/>
    <w:rsid w:val="00821B69"/>
    <w:rsid w:val="00821F4E"/>
    <w:rsid w:val="00822C87"/>
    <w:rsid w:val="00823E69"/>
    <w:rsid w:val="00824405"/>
    <w:rsid w:val="0082441E"/>
    <w:rsid w:val="0082583B"/>
    <w:rsid w:val="00825C0A"/>
    <w:rsid w:val="00825CD2"/>
    <w:rsid w:val="0082626A"/>
    <w:rsid w:val="00826B90"/>
    <w:rsid w:val="00826BC9"/>
    <w:rsid w:val="00831820"/>
    <w:rsid w:val="00832A4F"/>
    <w:rsid w:val="00832ACE"/>
    <w:rsid w:val="00832DA4"/>
    <w:rsid w:val="00832EAA"/>
    <w:rsid w:val="00833487"/>
    <w:rsid w:val="0083397A"/>
    <w:rsid w:val="00833FB9"/>
    <w:rsid w:val="00834C8E"/>
    <w:rsid w:val="0083636E"/>
    <w:rsid w:val="00836489"/>
    <w:rsid w:val="00836716"/>
    <w:rsid w:val="00836F51"/>
    <w:rsid w:val="0083700F"/>
    <w:rsid w:val="008377F5"/>
    <w:rsid w:val="0084120F"/>
    <w:rsid w:val="00841989"/>
    <w:rsid w:val="00841AD1"/>
    <w:rsid w:val="008420BE"/>
    <w:rsid w:val="008421F4"/>
    <w:rsid w:val="00843E9C"/>
    <w:rsid w:val="0084447B"/>
    <w:rsid w:val="00844F44"/>
    <w:rsid w:val="00845E70"/>
    <w:rsid w:val="008468C8"/>
    <w:rsid w:val="00846AAA"/>
    <w:rsid w:val="00847609"/>
    <w:rsid w:val="008479E8"/>
    <w:rsid w:val="0085003A"/>
    <w:rsid w:val="00850119"/>
    <w:rsid w:val="00850916"/>
    <w:rsid w:val="00850ED5"/>
    <w:rsid w:val="00851748"/>
    <w:rsid w:val="00851BAB"/>
    <w:rsid w:val="00851F13"/>
    <w:rsid w:val="008520B0"/>
    <w:rsid w:val="008520B1"/>
    <w:rsid w:val="00852494"/>
    <w:rsid w:val="00853B3C"/>
    <w:rsid w:val="00854018"/>
    <w:rsid w:val="00854099"/>
    <w:rsid w:val="00854178"/>
    <w:rsid w:val="00854366"/>
    <w:rsid w:val="0085475C"/>
    <w:rsid w:val="00855646"/>
    <w:rsid w:val="008567AE"/>
    <w:rsid w:val="008578C3"/>
    <w:rsid w:val="00857E2D"/>
    <w:rsid w:val="008602F0"/>
    <w:rsid w:val="00860987"/>
    <w:rsid w:val="00860988"/>
    <w:rsid w:val="00860A05"/>
    <w:rsid w:val="00860A90"/>
    <w:rsid w:val="00860F22"/>
    <w:rsid w:val="0086143F"/>
    <w:rsid w:val="0086187C"/>
    <w:rsid w:val="00862942"/>
    <w:rsid w:val="00862A6E"/>
    <w:rsid w:val="0086387E"/>
    <w:rsid w:val="008646D4"/>
    <w:rsid w:val="00864D47"/>
    <w:rsid w:val="00865166"/>
    <w:rsid w:val="0086535D"/>
    <w:rsid w:val="00867024"/>
    <w:rsid w:val="0086790C"/>
    <w:rsid w:val="0086794B"/>
    <w:rsid w:val="008679E1"/>
    <w:rsid w:val="00867B45"/>
    <w:rsid w:val="00867FE5"/>
    <w:rsid w:val="008704FB"/>
    <w:rsid w:val="00871ADE"/>
    <w:rsid w:val="00871B4A"/>
    <w:rsid w:val="00871E93"/>
    <w:rsid w:val="00872229"/>
    <w:rsid w:val="00872BE4"/>
    <w:rsid w:val="00872DC6"/>
    <w:rsid w:val="00873493"/>
    <w:rsid w:val="00873927"/>
    <w:rsid w:val="0087470F"/>
    <w:rsid w:val="00874B6E"/>
    <w:rsid w:val="0087537D"/>
    <w:rsid w:val="008755DC"/>
    <w:rsid w:val="00875CF5"/>
    <w:rsid w:val="00876753"/>
    <w:rsid w:val="00876B49"/>
    <w:rsid w:val="008771FB"/>
    <w:rsid w:val="0087751B"/>
    <w:rsid w:val="00877E22"/>
    <w:rsid w:val="00880102"/>
    <w:rsid w:val="00880D3F"/>
    <w:rsid w:val="00880D88"/>
    <w:rsid w:val="00880ECE"/>
    <w:rsid w:val="008811B5"/>
    <w:rsid w:val="008814FD"/>
    <w:rsid w:val="008815BE"/>
    <w:rsid w:val="00881702"/>
    <w:rsid w:val="00881D2A"/>
    <w:rsid w:val="00882C21"/>
    <w:rsid w:val="00882E4E"/>
    <w:rsid w:val="008831B9"/>
    <w:rsid w:val="008832A0"/>
    <w:rsid w:val="00884A54"/>
    <w:rsid w:val="00885279"/>
    <w:rsid w:val="008852E5"/>
    <w:rsid w:val="00885352"/>
    <w:rsid w:val="00885B64"/>
    <w:rsid w:val="00885DD8"/>
    <w:rsid w:val="00885DEE"/>
    <w:rsid w:val="00886821"/>
    <w:rsid w:val="00886B90"/>
    <w:rsid w:val="00887DBC"/>
    <w:rsid w:val="00887F13"/>
    <w:rsid w:val="008914BC"/>
    <w:rsid w:val="00891F14"/>
    <w:rsid w:val="008921A5"/>
    <w:rsid w:val="0089246E"/>
    <w:rsid w:val="00893649"/>
    <w:rsid w:val="00894287"/>
    <w:rsid w:val="008943C3"/>
    <w:rsid w:val="00894443"/>
    <w:rsid w:val="00894939"/>
    <w:rsid w:val="00897D19"/>
    <w:rsid w:val="00897E23"/>
    <w:rsid w:val="00897FB3"/>
    <w:rsid w:val="008A01E3"/>
    <w:rsid w:val="008A0D6F"/>
    <w:rsid w:val="008A2064"/>
    <w:rsid w:val="008A2492"/>
    <w:rsid w:val="008A3197"/>
    <w:rsid w:val="008A35B7"/>
    <w:rsid w:val="008A3F09"/>
    <w:rsid w:val="008A4B97"/>
    <w:rsid w:val="008A4D07"/>
    <w:rsid w:val="008A54CE"/>
    <w:rsid w:val="008A5571"/>
    <w:rsid w:val="008A5A1E"/>
    <w:rsid w:val="008A5DE1"/>
    <w:rsid w:val="008A5F83"/>
    <w:rsid w:val="008A60E2"/>
    <w:rsid w:val="008A6622"/>
    <w:rsid w:val="008A6A8B"/>
    <w:rsid w:val="008A6F8C"/>
    <w:rsid w:val="008A727F"/>
    <w:rsid w:val="008B0024"/>
    <w:rsid w:val="008B026D"/>
    <w:rsid w:val="008B0979"/>
    <w:rsid w:val="008B1029"/>
    <w:rsid w:val="008B15EA"/>
    <w:rsid w:val="008B16AD"/>
    <w:rsid w:val="008B276C"/>
    <w:rsid w:val="008B2B90"/>
    <w:rsid w:val="008B3379"/>
    <w:rsid w:val="008B34EA"/>
    <w:rsid w:val="008B3A71"/>
    <w:rsid w:val="008B40E3"/>
    <w:rsid w:val="008B426E"/>
    <w:rsid w:val="008B45B4"/>
    <w:rsid w:val="008B49DF"/>
    <w:rsid w:val="008B4AB8"/>
    <w:rsid w:val="008B4ADF"/>
    <w:rsid w:val="008B4F0E"/>
    <w:rsid w:val="008B540D"/>
    <w:rsid w:val="008B54B8"/>
    <w:rsid w:val="008B563F"/>
    <w:rsid w:val="008B5B1A"/>
    <w:rsid w:val="008B5D7B"/>
    <w:rsid w:val="008B6597"/>
    <w:rsid w:val="008B69CD"/>
    <w:rsid w:val="008B6D33"/>
    <w:rsid w:val="008B7194"/>
    <w:rsid w:val="008B753D"/>
    <w:rsid w:val="008B7670"/>
    <w:rsid w:val="008B793F"/>
    <w:rsid w:val="008B7B14"/>
    <w:rsid w:val="008C0FC8"/>
    <w:rsid w:val="008C1272"/>
    <w:rsid w:val="008C1646"/>
    <w:rsid w:val="008C2EA8"/>
    <w:rsid w:val="008C3CAB"/>
    <w:rsid w:val="008C4FE1"/>
    <w:rsid w:val="008C5287"/>
    <w:rsid w:val="008C63D5"/>
    <w:rsid w:val="008C6647"/>
    <w:rsid w:val="008C66CA"/>
    <w:rsid w:val="008C67E6"/>
    <w:rsid w:val="008C7031"/>
    <w:rsid w:val="008C72F6"/>
    <w:rsid w:val="008C7721"/>
    <w:rsid w:val="008C7CA0"/>
    <w:rsid w:val="008C7D04"/>
    <w:rsid w:val="008D0657"/>
    <w:rsid w:val="008D0C12"/>
    <w:rsid w:val="008D1904"/>
    <w:rsid w:val="008D1FF7"/>
    <w:rsid w:val="008D2671"/>
    <w:rsid w:val="008D27D1"/>
    <w:rsid w:val="008D3053"/>
    <w:rsid w:val="008D40CB"/>
    <w:rsid w:val="008D4660"/>
    <w:rsid w:val="008D4840"/>
    <w:rsid w:val="008D4C79"/>
    <w:rsid w:val="008D563E"/>
    <w:rsid w:val="008D574C"/>
    <w:rsid w:val="008D591A"/>
    <w:rsid w:val="008D5A9B"/>
    <w:rsid w:val="008D5D02"/>
    <w:rsid w:val="008D663C"/>
    <w:rsid w:val="008D6BC6"/>
    <w:rsid w:val="008D6C31"/>
    <w:rsid w:val="008D6E01"/>
    <w:rsid w:val="008E0002"/>
    <w:rsid w:val="008E0569"/>
    <w:rsid w:val="008E0A70"/>
    <w:rsid w:val="008E0E3E"/>
    <w:rsid w:val="008E1368"/>
    <w:rsid w:val="008E1502"/>
    <w:rsid w:val="008E16A7"/>
    <w:rsid w:val="008E2357"/>
    <w:rsid w:val="008E2AD9"/>
    <w:rsid w:val="008E313F"/>
    <w:rsid w:val="008E3677"/>
    <w:rsid w:val="008E3816"/>
    <w:rsid w:val="008E3AD3"/>
    <w:rsid w:val="008E4390"/>
    <w:rsid w:val="008E4C68"/>
    <w:rsid w:val="008E4CA4"/>
    <w:rsid w:val="008E56B1"/>
    <w:rsid w:val="008E575B"/>
    <w:rsid w:val="008E58DD"/>
    <w:rsid w:val="008E61E2"/>
    <w:rsid w:val="008E6DCA"/>
    <w:rsid w:val="008F06D8"/>
    <w:rsid w:val="008F0708"/>
    <w:rsid w:val="008F0E22"/>
    <w:rsid w:val="008F1780"/>
    <w:rsid w:val="008F1A64"/>
    <w:rsid w:val="008F2070"/>
    <w:rsid w:val="008F2CC6"/>
    <w:rsid w:val="008F3B0E"/>
    <w:rsid w:val="008F4229"/>
    <w:rsid w:val="008F4D84"/>
    <w:rsid w:val="008F57F4"/>
    <w:rsid w:val="008F5815"/>
    <w:rsid w:val="008F5CA6"/>
    <w:rsid w:val="008F5CE1"/>
    <w:rsid w:val="008F5F84"/>
    <w:rsid w:val="008F6011"/>
    <w:rsid w:val="008F65B5"/>
    <w:rsid w:val="008F6B2E"/>
    <w:rsid w:val="008F7A60"/>
    <w:rsid w:val="008F7C87"/>
    <w:rsid w:val="008F7F1A"/>
    <w:rsid w:val="009003AB"/>
    <w:rsid w:val="00901506"/>
    <w:rsid w:val="00901E61"/>
    <w:rsid w:val="00902476"/>
    <w:rsid w:val="00902D38"/>
    <w:rsid w:val="00904D4D"/>
    <w:rsid w:val="0090624C"/>
    <w:rsid w:val="0090628A"/>
    <w:rsid w:val="00906584"/>
    <w:rsid w:val="00906D75"/>
    <w:rsid w:val="00907098"/>
    <w:rsid w:val="0090761F"/>
    <w:rsid w:val="00907C46"/>
    <w:rsid w:val="00907C77"/>
    <w:rsid w:val="00907EE0"/>
    <w:rsid w:val="00907FDF"/>
    <w:rsid w:val="00910131"/>
    <w:rsid w:val="00911142"/>
    <w:rsid w:val="0091187D"/>
    <w:rsid w:val="00912BFA"/>
    <w:rsid w:val="009130B6"/>
    <w:rsid w:val="0091328A"/>
    <w:rsid w:val="00913A18"/>
    <w:rsid w:val="0091457A"/>
    <w:rsid w:val="0091477C"/>
    <w:rsid w:val="0091717D"/>
    <w:rsid w:val="0091739B"/>
    <w:rsid w:val="00917980"/>
    <w:rsid w:val="00917ACA"/>
    <w:rsid w:val="00917B1F"/>
    <w:rsid w:val="00917DBB"/>
    <w:rsid w:val="00917FD0"/>
    <w:rsid w:val="009205DA"/>
    <w:rsid w:val="009212DA"/>
    <w:rsid w:val="00921345"/>
    <w:rsid w:val="009215AF"/>
    <w:rsid w:val="00921871"/>
    <w:rsid w:val="00921C71"/>
    <w:rsid w:val="00921FE1"/>
    <w:rsid w:val="009221EC"/>
    <w:rsid w:val="00922C79"/>
    <w:rsid w:val="00923636"/>
    <w:rsid w:val="00923A32"/>
    <w:rsid w:val="00925345"/>
    <w:rsid w:val="009257F6"/>
    <w:rsid w:val="00925EC7"/>
    <w:rsid w:val="00926587"/>
    <w:rsid w:val="00926AB1"/>
    <w:rsid w:val="00927128"/>
    <w:rsid w:val="00930184"/>
    <w:rsid w:val="009305F6"/>
    <w:rsid w:val="009306EB"/>
    <w:rsid w:val="0093077D"/>
    <w:rsid w:val="009312CB"/>
    <w:rsid w:val="00931558"/>
    <w:rsid w:val="009315BA"/>
    <w:rsid w:val="00932A56"/>
    <w:rsid w:val="009334E3"/>
    <w:rsid w:val="009339EB"/>
    <w:rsid w:val="00933E76"/>
    <w:rsid w:val="00934700"/>
    <w:rsid w:val="00934DBF"/>
    <w:rsid w:val="00936C78"/>
    <w:rsid w:val="00937219"/>
    <w:rsid w:val="00940557"/>
    <w:rsid w:val="009405E7"/>
    <w:rsid w:val="0094119B"/>
    <w:rsid w:val="009414DD"/>
    <w:rsid w:val="00941B22"/>
    <w:rsid w:val="00941E37"/>
    <w:rsid w:val="00942811"/>
    <w:rsid w:val="00942AF8"/>
    <w:rsid w:val="00942E85"/>
    <w:rsid w:val="00942FA1"/>
    <w:rsid w:val="00943A94"/>
    <w:rsid w:val="00944246"/>
    <w:rsid w:val="00944554"/>
    <w:rsid w:val="00945C90"/>
    <w:rsid w:val="00945D6A"/>
    <w:rsid w:val="00945EA0"/>
    <w:rsid w:val="00946726"/>
    <w:rsid w:val="00946805"/>
    <w:rsid w:val="00946D41"/>
    <w:rsid w:val="00947F42"/>
    <w:rsid w:val="0095003B"/>
    <w:rsid w:val="00950A61"/>
    <w:rsid w:val="00950C7D"/>
    <w:rsid w:val="00950E36"/>
    <w:rsid w:val="009513D3"/>
    <w:rsid w:val="009521D6"/>
    <w:rsid w:val="009524BF"/>
    <w:rsid w:val="009529D6"/>
    <w:rsid w:val="00952DC5"/>
    <w:rsid w:val="00953474"/>
    <w:rsid w:val="00953A1B"/>
    <w:rsid w:val="00953AC3"/>
    <w:rsid w:val="00953EDA"/>
    <w:rsid w:val="00954277"/>
    <w:rsid w:val="0095447E"/>
    <w:rsid w:val="00954C64"/>
    <w:rsid w:val="0095571F"/>
    <w:rsid w:val="00955BEF"/>
    <w:rsid w:val="009560E9"/>
    <w:rsid w:val="00956397"/>
    <w:rsid w:val="009566C5"/>
    <w:rsid w:val="00956728"/>
    <w:rsid w:val="009567CF"/>
    <w:rsid w:val="00956CD6"/>
    <w:rsid w:val="00957F21"/>
    <w:rsid w:val="0096070B"/>
    <w:rsid w:val="009607BD"/>
    <w:rsid w:val="00961A65"/>
    <w:rsid w:val="00961CDB"/>
    <w:rsid w:val="0096269A"/>
    <w:rsid w:val="009626E1"/>
    <w:rsid w:val="00962BF7"/>
    <w:rsid w:val="00962E7C"/>
    <w:rsid w:val="00962F00"/>
    <w:rsid w:val="00963F4D"/>
    <w:rsid w:val="009646A3"/>
    <w:rsid w:val="0096478C"/>
    <w:rsid w:val="00965C6B"/>
    <w:rsid w:val="00967975"/>
    <w:rsid w:val="0097093C"/>
    <w:rsid w:val="00970DEB"/>
    <w:rsid w:val="00971283"/>
    <w:rsid w:val="00971CBF"/>
    <w:rsid w:val="009727FF"/>
    <w:rsid w:val="00972A0A"/>
    <w:rsid w:val="00973014"/>
    <w:rsid w:val="009735A5"/>
    <w:rsid w:val="009735E7"/>
    <w:rsid w:val="00973BA5"/>
    <w:rsid w:val="00973DFD"/>
    <w:rsid w:val="00974272"/>
    <w:rsid w:val="0097449C"/>
    <w:rsid w:val="009745AE"/>
    <w:rsid w:val="00974F2F"/>
    <w:rsid w:val="00977925"/>
    <w:rsid w:val="00980112"/>
    <w:rsid w:val="00980C14"/>
    <w:rsid w:val="0098132B"/>
    <w:rsid w:val="00981B1F"/>
    <w:rsid w:val="00982295"/>
    <w:rsid w:val="00982B60"/>
    <w:rsid w:val="00982FE5"/>
    <w:rsid w:val="0098385F"/>
    <w:rsid w:val="00983F63"/>
    <w:rsid w:val="009843B2"/>
    <w:rsid w:val="009854B1"/>
    <w:rsid w:val="009855E3"/>
    <w:rsid w:val="009860E8"/>
    <w:rsid w:val="009862CF"/>
    <w:rsid w:val="009864D8"/>
    <w:rsid w:val="009868B1"/>
    <w:rsid w:val="00986E51"/>
    <w:rsid w:val="00986FCF"/>
    <w:rsid w:val="009875D9"/>
    <w:rsid w:val="00987675"/>
    <w:rsid w:val="00987803"/>
    <w:rsid w:val="00990032"/>
    <w:rsid w:val="0099080D"/>
    <w:rsid w:val="00991B63"/>
    <w:rsid w:val="00993042"/>
    <w:rsid w:val="009932B5"/>
    <w:rsid w:val="00993C97"/>
    <w:rsid w:val="00994033"/>
    <w:rsid w:val="009941E4"/>
    <w:rsid w:val="00994A90"/>
    <w:rsid w:val="00995670"/>
    <w:rsid w:val="00995A21"/>
    <w:rsid w:val="009967C9"/>
    <w:rsid w:val="009970A8"/>
    <w:rsid w:val="00997A54"/>
    <w:rsid w:val="00997B70"/>
    <w:rsid w:val="009A1339"/>
    <w:rsid w:val="009A1A6B"/>
    <w:rsid w:val="009A207C"/>
    <w:rsid w:val="009A252D"/>
    <w:rsid w:val="009A4905"/>
    <w:rsid w:val="009A4954"/>
    <w:rsid w:val="009A4B15"/>
    <w:rsid w:val="009A5063"/>
    <w:rsid w:val="009A5123"/>
    <w:rsid w:val="009A605D"/>
    <w:rsid w:val="009A6FD5"/>
    <w:rsid w:val="009A7041"/>
    <w:rsid w:val="009A7817"/>
    <w:rsid w:val="009A7A3E"/>
    <w:rsid w:val="009B116A"/>
    <w:rsid w:val="009B1276"/>
    <w:rsid w:val="009B12E5"/>
    <w:rsid w:val="009B2099"/>
    <w:rsid w:val="009B2726"/>
    <w:rsid w:val="009B3A55"/>
    <w:rsid w:val="009B3D52"/>
    <w:rsid w:val="009B40F6"/>
    <w:rsid w:val="009B43F8"/>
    <w:rsid w:val="009B4C14"/>
    <w:rsid w:val="009B51B5"/>
    <w:rsid w:val="009B52C2"/>
    <w:rsid w:val="009B52F6"/>
    <w:rsid w:val="009B531C"/>
    <w:rsid w:val="009B5477"/>
    <w:rsid w:val="009B5738"/>
    <w:rsid w:val="009B5A28"/>
    <w:rsid w:val="009B5C0E"/>
    <w:rsid w:val="009B5E0E"/>
    <w:rsid w:val="009B6451"/>
    <w:rsid w:val="009B656C"/>
    <w:rsid w:val="009B68B4"/>
    <w:rsid w:val="009B6CB6"/>
    <w:rsid w:val="009B7881"/>
    <w:rsid w:val="009B7CB0"/>
    <w:rsid w:val="009C075E"/>
    <w:rsid w:val="009C084B"/>
    <w:rsid w:val="009C123B"/>
    <w:rsid w:val="009C1614"/>
    <w:rsid w:val="009C1BD3"/>
    <w:rsid w:val="009C1D03"/>
    <w:rsid w:val="009C218C"/>
    <w:rsid w:val="009C2A5E"/>
    <w:rsid w:val="009C2F09"/>
    <w:rsid w:val="009C40E7"/>
    <w:rsid w:val="009C4480"/>
    <w:rsid w:val="009C44A1"/>
    <w:rsid w:val="009C44CA"/>
    <w:rsid w:val="009C4CEA"/>
    <w:rsid w:val="009C4FCA"/>
    <w:rsid w:val="009C503E"/>
    <w:rsid w:val="009C5413"/>
    <w:rsid w:val="009D09C9"/>
    <w:rsid w:val="009D157C"/>
    <w:rsid w:val="009D1CAA"/>
    <w:rsid w:val="009D232D"/>
    <w:rsid w:val="009D3412"/>
    <w:rsid w:val="009D34C3"/>
    <w:rsid w:val="009D3981"/>
    <w:rsid w:val="009D41A5"/>
    <w:rsid w:val="009D470D"/>
    <w:rsid w:val="009D4F4D"/>
    <w:rsid w:val="009D56BF"/>
    <w:rsid w:val="009D5838"/>
    <w:rsid w:val="009D6305"/>
    <w:rsid w:val="009D66DB"/>
    <w:rsid w:val="009E0C0E"/>
    <w:rsid w:val="009E1764"/>
    <w:rsid w:val="009E1CF2"/>
    <w:rsid w:val="009E25BF"/>
    <w:rsid w:val="009E2C67"/>
    <w:rsid w:val="009E328A"/>
    <w:rsid w:val="009E3DA2"/>
    <w:rsid w:val="009E40B8"/>
    <w:rsid w:val="009E43C7"/>
    <w:rsid w:val="009E480A"/>
    <w:rsid w:val="009E5362"/>
    <w:rsid w:val="009E5960"/>
    <w:rsid w:val="009E5DE8"/>
    <w:rsid w:val="009E6531"/>
    <w:rsid w:val="009E7B98"/>
    <w:rsid w:val="009E7E43"/>
    <w:rsid w:val="009F0087"/>
    <w:rsid w:val="009F0329"/>
    <w:rsid w:val="009F03A7"/>
    <w:rsid w:val="009F0453"/>
    <w:rsid w:val="009F0621"/>
    <w:rsid w:val="009F1838"/>
    <w:rsid w:val="009F1ED0"/>
    <w:rsid w:val="009F2135"/>
    <w:rsid w:val="009F2C26"/>
    <w:rsid w:val="009F2D7F"/>
    <w:rsid w:val="009F3697"/>
    <w:rsid w:val="009F3991"/>
    <w:rsid w:val="009F3EE1"/>
    <w:rsid w:val="009F44B8"/>
    <w:rsid w:val="009F44CD"/>
    <w:rsid w:val="009F4FCE"/>
    <w:rsid w:val="009F5B19"/>
    <w:rsid w:val="009F5FEF"/>
    <w:rsid w:val="009F63E3"/>
    <w:rsid w:val="009F6765"/>
    <w:rsid w:val="009F6E70"/>
    <w:rsid w:val="009F76C1"/>
    <w:rsid w:val="009F7FC2"/>
    <w:rsid w:val="00A00DB4"/>
    <w:rsid w:val="00A01BFD"/>
    <w:rsid w:val="00A01C40"/>
    <w:rsid w:val="00A03849"/>
    <w:rsid w:val="00A05058"/>
    <w:rsid w:val="00A0527D"/>
    <w:rsid w:val="00A05320"/>
    <w:rsid w:val="00A056E8"/>
    <w:rsid w:val="00A06133"/>
    <w:rsid w:val="00A06853"/>
    <w:rsid w:val="00A069FD"/>
    <w:rsid w:val="00A06BA8"/>
    <w:rsid w:val="00A07A39"/>
    <w:rsid w:val="00A07CED"/>
    <w:rsid w:val="00A07E38"/>
    <w:rsid w:val="00A07E98"/>
    <w:rsid w:val="00A10121"/>
    <w:rsid w:val="00A1077C"/>
    <w:rsid w:val="00A113C6"/>
    <w:rsid w:val="00A11AE6"/>
    <w:rsid w:val="00A12FF6"/>
    <w:rsid w:val="00A138E4"/>
    <w:rsid w:val="00A14830"/>
    <w:rsid w:val="00A14D3A"/>
    <w:rsid w:val="00A14FC1"/>
    <w:rsid w:val="00A1508A"/>
    <w:rsid w:val="00A153C7"/>
    <w:rsid w:val="00A15790"/>
    <w:rsid w:val="00A15922"/>
    <w:rsid w:val="00A1645D"/>
    <w:rsid w:val="00A168F1"/>
    <w:rsid w:val="00A172FF"/>
    <w:rsid w:val="00A17820"/>
    <w:rsid w:val="00A17C22"/>
    <w:rsid w:val="00A20318"/>
    <w:rsid w:val="00A21E35"/>
    <w:rsid w:val="00A22287"/>
    <w:rsid w:val="00A235E2"/>
    <w:rsid w:val="00A24125"/>
    <w:rsid w:val="00A2419B"/>
    <w:rsid w:val="00A25206"/>
    <w:rsid w:val="00A25538"/>
    <w:rsid w:val="00A25A4A"/>
    <w:rsid w:val="00A25C23"/>
    <w:rsid w:val="00A26230"/>
    <w:rsid w:val="00A2680E"/>
    <w:rsid w:val="00A2687D"/>
    <w:rsid w:val="00A268C8"/>
    <w:rsid w:val="00A271C7"/>
    <w:rsid w:val="00A27432"/>
    <w:rsid w:val="00A276F4"/>
    <w:rsid w:val="00A30304"/>
    <w:rsid w:val="00A305CF"/>
    <w:rsid w:val="00A313D7"/>
    <w:rsid w:val="00A31D9A"/>
    <w:rsid w:val="00A31DA6"/>
    <w:rsid w:val="00A3258B"/>
    <w:rsid w:val="00A325C9"/>
    <w:rsid w:val="00A32902"/>
    <w:rsid w:val="00A330EA"/>
    <w:rsid w:val="00A33D5A"/>
    <w:rsid w:val="00A34618"/>
    <w:rsid w:val="00A350E1"/>
    <w:rsid w:val="00A35194"/>
    <w:rsid w:val="00A3582F"/>
    <w:rsid w:val="00A35AB1"/>
    <w:rsid w:val="00A35E50"/>
    <w:rsid w:val="00A369E9"/>
    <w:rsid w:val="00A374DD"/>
    <w:rsid w:val="00A37598"/>
    <w:rsid w:val="00A37793"/>
    <w:rsid w:val="00A41741"/>
    <w:rsid w:val="00A4189E"/>
    <w:rsid w:val="00A41E8B"/>
    <w:rsid w:val="00A456F2"/>
    <w:rsid w:val="00A45AD0"/>
    <w:rsid w:val="00A462B2"/>
    <w:rsid w:val="00A46FAE"/>
    <w:rsid w:val="00A47015"/>
    <w:rsid w:val="00A47986"/>
    <w:rsid w:val="00A50F26"/>
    <w:rsid w:val="00A51660"/>
    <w:rsid w:val="00A51C72"/>
    <w:rsid w:val="00A520BB"/>
    <w:rsid w:val="00A523F0"/>
    <w:rsid w:val="00A52409"/>
    <w:rsid w:val="00A52943"/>
    <w:rsid w:val="00A53758"/>
    <w:rsid w:val="00A53A7B"/>
    <w:rsid w:val="00A53F3D"/>
    <w:rsid w:val="00A53F7B"/>
    <w:rsid w:val="00A5436B"/>
    <w:rsid w:val="00A5449E"/>
    <w:rsid w:val="00A54935"/>
    <w:rsid w:val="00A54AB3"/>
    <w:rsid w:val="00A54C0E"/>
    <w:rsid w:val="00A560D1"/>
    <w:rsid w:val="00A565EA"/>
    <w:rsid w:val="00A56ADB"/>
    <w:rsid w:val="00A56E96"/>
    <w:rsid w:val="00A575D1"/>
    <w:rsid w:val="00A5779C"/>
    <w:rsid w:val="00A57C81"/>
    <w:rsid w:val="00A57C9C"/>
    <w:rsid w:val="00A60A12"/>
    <w:rsid w:val="00A619D5"/>
    <w:rsid w:val="00A61BBF"/>
    <w:rsid w:val="00A63294"/>
    <w:rsid w:val="00A63822"/>
    <w:rsid w:val="00A639DD"/>
    <w:rsid w:val="00A660AC"/>
    <w:rsid w:val="00A6629E"/>
    <w:rsid w:val="00A663EC"/>
    <w:rsid w:val="00A66EA2"/>
    <w:rsid w:val="00A67B70"/>
    <w:rsid w:val="00A67FD5"/>
    <w:rsid w:val="00A704DB"/>
    <w:rsid w:val="00A70873"/>
    <w:rsid w:val="00A719C5"/>
    <w:rsid w:val="00A72243"/>
    <w:rsid w:val="00A729E4"/>
    <w:rsid w:val="00A72B27"/>
    <w:rsid w:val="00A72FA2"/>
    <w:rsid w:val="00A7305E"/>
    <w:rsid w:val="00A73C42"/>
    <w:rsid w:val="00A73D88"/>
    <w:rsid w:val="00A73FC7"/>
    <w:rsid w:val="00A748AD"/>
    <w:rsid w:val="00A7518E"/>
    <w:rsid w:val="00A764CC"/>
    <w:rsid w:val="00A76C52"/>
    <w:rsid w:val="00A80095"/>
    <w:rsid w:val="00A813AE"/>
    <w:rsid w:val="00A81A0E"/>
    <w:rsid w:val="00A81A70"/>
    <w:rsid w:val="00A81AD2"/>
    <w:rsid w:val="00A822DF"/>
    <w:rsid w:val="00A82356"/>
    <w:rsid w:val="00A82681"/>
    <w:rsid w:val="00A82B13"/>
    <w:rsid w:val="00A83108"/>
    <w:rsid w:val="00A85030"/>
    <w:rsid w:val="00A853F8"/>
    <w:rsid w:val="00A85658"/>
    <w:rsid w:val="00A857CF"/>
    <w:rsid w:val="00A86B3F"/>
    <w:rsid w:val="00A872E8"/>
    <w:rsid w:val="00A87363"/>
    <w:rsid w:val="00A9280C"/>
    <w:rsid w:val="00A92C4C"/>
    <w:rsid w:val="00A93C66"/>
    <w:rsid w:val="00A93CAA"/>
    <w:rsid w:val="00A94075"/>
    <w:rsid w:val="00A94100"/>
    <w:rsid w:val="00A94525"/>
    <w:rsid w:val="00A947D2"/>
    <w:rsid w:val="00A94D8B"/>
    <w:rsid w:val="00A95318"/>
    <w:rsid w:val="00A9569D"/>
    <w:rsid w:val="00A957AB"/>
    <w:rsid w:val="00A95EF3"/>
    <w:rsid w:val="00A9622E"/>
    <w:rsid w:val="00A971BF"/>
    <w:rsid w:val="00A978C9"/>
    <w:rsid w:val="00AA0250"/>
    <w:rsid w:val="00AA035A"/>
    <w:rsid w:val="00AA07B7"/>
    <w:rsid w:val="00AA09F8"/>
    <w:rsid w:val="00AA0DEE"/>
    <w:rsid w:val="00AA0ED2"/>
    <w:rsid w:val="00AA1482"/>
    <w:rsid w:val="00AA1846"/>
    <w:rsid w:val="00AA18FE"/>
    <w:rsid w:val="00AA19E3"/>
    <w:rsid w:val="00AA1BB8"/>
    <w:rsid w:val="00AA2479"/>
    <w:rsid w:val="00AA3576"/>
    <w:rsid w:val="00AA3C3A"/>
    <w:rsid w:val="00AA3D56"/>
    <w:rsid w:val="00AA3FB8"/>
    <w:rsid w:val="00AA402E"/>
    <w:rsid w:val="00AA4119"/>
    <w:rsid w:val="00AA4634"/>
    <w:rsid w:val="00AA5EE5"/>
    <w:rsid w:val="00AA64CF"/>
    <w:rsid w:val="00AA67F2"/>
    <w:rsid w:val="00AA6BFD"/>
    <w:rsid w:val="00AB01C4"/>
    <w:rsid w:val="00AB109C"/>
    <w:rsid w:val="00AB115B"/>
    <w:rsid w:val="00AB1216"/>
    <w:rsid w:val="00AB1616"/>
    <w:rsid w:val="00AB1697"/>
    <w:rsid w:val="00AB19FC"/>
    <w:rsid w:val="00AB21E5"/>
    <w:rsid w:val="00AB229A"/>
    <w:rsid w:val="00AB23EA"/>
    <w:rsid w:val="00AB30CB"/>
    <w:rsid w:val="00AB325F"/>
    <w:rsid w:val="00AB34E7"/>
    <w:rsid w:val="00AB35F3"/>
    <w:rsid w:val="00AB36C1"/>
    <w:rsid w:val="00AB3905"/>
    <w:rsid w:val="00AB3C99"/>
    <w:rsid w:val="00AB3F62"/>
    <w:rsid w:val="00AB41D6"/>
    <w:rsid w:val="00AB5A0D"/>
    <w:rsid w:val="00AB66A7"/>
    <w:rsid w:val="00AB678A"/>
    <w:rsid w:val="00AB729D"/>
    <w:rsid w:val="00AB7763"/>
    <w:rsid w:val="00AB7B21"/>
    <w:rsid w:val="00AC0AE4"/>
    <w:rsid w:val="00AC1341"/>
    <w:rsid w:val="00AC1828"/>
    <w:rsid w:val="00AC2754"/>
    <w:rsid w:val="00AC2894"/>
    <w:rsid w:val="00AC2A0F"/>
    <w:rsid w:val="00AC337F"/>
    <w:rsid w:val="00AC367B"/>
    <w:rsid w:val="00AC37DB"/>
    <w:rsid w:val="00AC395A"/>
    <w:rsid w:val="00AC3A95"/>
    <w:rsid w:val="00AC3FF6"/>
    <w:rsid w:val="00AC4EC5"/>
    <w:rsid w:val="00AC5170"/>
    <w:rsid w:val="00AC5A27"/>
    <w:rsid w:val="00AC5D90"/>
    <w:rsid w:val="00AC5DC0"/>
    <w:rsid w:val="00AC6823"/>
    <w:rsid w:val="00AC6ED3"/>
    <w:rsid w:val="00AC7324"/>
    <w:rsid w:val="00AC76D2"/>
    <w:rsid w:val="00AC78BF"/>
    <w:rsid w:val="00AC79F7"/>
    <w:rsid w:val="00AD0954"/>
    <w:rsid w:val="00AD0A71"/>
    <w:rsid w:val="00AD0ABA"/>
    <w:rsid w:val="00AD1587"/>
    <w:rsid w:val="00AD1834"/>
    <w:rsid w:val="00AD2BC1"/>
    <w:rsid w:val="00AD324B"/>
    <w:rsid w:val="00AD3488"/>
    <w:rsid w:val="00AD35E7"/>
    <w:rsid w:val="00AD3881"/>
    <w:rsid w:val="00AD48BF"/>
    <w:rsid w:val="00AD4BC4"/>
    <w:rsid w:val="00AD4D1A"/>
    <w:rsid w:val="00AD512C"/>
    <w:rsid w:val="00AD585A"/>
    <w:rsid w:val="00AD58B2"/>
    <w:rsid w:val="00AD60A4"/>
    <w:rsid w:val="00AD610A"/>
    <w:rsid w:val="00AD63F0"/>
    <w:rsid w:val="00AD695B"/>
    <w:rsid w:val="00AD6D37"/>
    <w:rsid w:val="00AE0061"/>
    <w:rsid w:val="00AE0065"/>
    <w:rsid w:val="00AE02E0"/>
    <w:rsid w:val="00AE0493"/>
    <w:rsid w:val="00AE063A"/>
    <w:rsid w:val="00AE204B"/>
    <w:rsid w:val="00AE26E7"/>
    <w:rsid w:val="00AE374B"/>
    <w:rsid w:val="00AE44C4"/>
    <w:rsid w:val="00AE4629"/>
    <w:rsid w:val="00AE4CD1"/>
    <w:rsid w:val="00AE6350"/>
    <w:rsid w:val="00AE768D"/>
    <w:rsid w:val="00AF1127"/>
    <w:rsid w:val="00AF14FD"/>
    <w:rsid w:val="00AF16BE"/>
    <w:rsid w:val="00AF1853"/>
    <w:rsid w:val="00AF2177"/>
    <w:rsid w:val="00AF2257"/>
    <w:rsid w:val="00AF2A5F"/>
    <w:rsid w:val="00AF3457"/>
    <w:rsid w:val="00AF35D8"/>
    <w:rsid w:val="00AF3E62"/>
    <w:rsid w:val="00AF45FE"/>
    <w:rsid w:val="00AF4AAE"/>
    <w:rsid w:val="00AF5408"/>
    <w:rsid w:val="00AF55AC"/>
    <w:rsid w:val="00AF6526"/>
    <w:rsid w:val="00AF6707"/>
    <w:rsid w:val="00AF6D06"/>
    <w:rsid w:val="00AF77BA"/>
    <w:rsid w:val="00AF792B"/>
    <w:rsid w:val="00AF7AD5"/>
    <w:rsid w:val="00B003ED"/>
    <w:rsid w:val="00B006B3"/>
    <w:rsid w:val="00B0072B"/>
    <w:rsid w:val="00B0073C"/>
    <w:rsid w:val="00B0087C"/>
    <w:rsid w:val="00B011D7"/>
    <w:rsid w:val="00B012AB"/>
    <w:rsid w:val="00B01507"/>
    <w:rsid w:val="00B016E9"/>
    <w:rsid w:val="00B017E7"/>
    <w:rsid w:val="00B019D3"/>
    <w:rsid w:val="00B01EEE"/>
    <w:rsid w:val="00B01F31"/>
    <w:rsid w:val="00B02593"/>
    <w:rsid w:val="00B03516"/>
    <w:rsid w:val="00B03E91"/>
    <w:rsid w:val="00B0454B"/>
    <w:rsid w:val="00B04E92"/>
    <w:rsid w:val="00B06088"/>
    <w:rsid w:val="00B0624E"/>
    <w:rsid w:val="00B06605"/>
    <w:rsid w:val="00B07948"/>
    <w:rsid w:val="00B10CD8"/>
    <w:rsid w:val="00B10E11"/>
    <w:rsid w:val="00B112CF"/>
    <w:rsid w:val="00B11422"/>
    <w:rsid w:val="00B11688"/>
    <w:rsid w:val="00B11E37"/>
    <w:rsid w:val="00B133A8"/>
    <w:rsid w:val="00B138C8"/>
    <w:rsid w:val="00B13A2B"/>
    <w:rsid w:val="00B13CB2"/>
    <w:rsid w:val="00B13CBD"/>
    <w:rsid w:val="00B1406F"/>
    <w:rsid w:val="00B14C46"/>
    <w:rsid w:val="00B15768"/>
    <w:rsid w:val="00B15E6C"/>
    <w:rsid w:val="00B1664F"/>
    <w:rsid w:val="00B16B8E"/>
    <w:rsid w:val="00B16C07"/>
    <w:rsid w:val="00B17845"/>
    <w:rsid w:val="00B17B09"/>
    <w:rsid w:val="00B20117"/>
    <w:rsid w:val="00B209E2"/>
    <w:rsid w:val="00B21540"/>
    <w:rsid w:val="00B21844"/>
    <w:rsid w:val="00B21C35"/>
    <w:rsid w:val="00B220F1"/>
    <w:rsid w:val="00B22BA0"/>
    <w:rsid w:val="00B22CBB"/>
    <w:rsid w:val="00B23056"/>
    <w:rsid w:val="00B23330"/>
    <w:rsid w:val="00B236D2"/>
    <w:rsid w:val="00B24CBE"/>
    <w:rsid w:val="00B25831"/>
    <w:rsid w:val="00B259BC"/>
    <w:rsid w:val="00B25E4A"/>
    <w:rsid w:val="00B26995"/>
    <w:rsid w:val="00B270A7"/>
    <w:rsid w:val="00B27731"/>
    <w:rsid w:val="00B27767"/>
    <w:rsid w:val="00B279A7"/>
    <w:rsid w:val="00B30543"/>
    <w:rsid w:val="00B30AAE"/>
    <w:rsid w:val="00B30CBA"/>
    <w:rsid w:val="00B31BE5"/>
    <w:rsid w:val="00B32012"/>
    <w:rsid w:val="00B321AD"/>
    <w:rsid w:val="00B321E6"/>
    <w:rsid w:val="00B32244"/>
    <w:rsid w:val="00B3256E"/>
    <w:rsid w:val="00B329E9"/>
    <w:rsid w:val="00B334E0"/>
    <w:rsid w:val="00B33520"/>
    <w:rsid w:val="00B34242"/>
    <w:rsid w:val="00B342FC"/>
    <w:rsid w:val="00B343DB"/>
    <w:rsid w:val="00B351CB"/>
    <w:rsid w:val="00B35467"/>
    <w:rsid w:val="00B35803"/>
    <w:rsid w:val="00B36BB7"/>
    <w:rsid w:val="00B375EB"/>
    <w:rsid w:val="00B37FA6"/>
    <w:rsid w:val="00B40086"/>
    <w:rsid w:val="00B40110"/>
    <w:rsid w:val="00B402D8"/>
    <w:rsid w:val="00B40399"/>
    <w:rsid w:val="00B406E7"/>
    <w:rsid w:val="00B413EC"/>
    <w:rsid w:val="00B4158F"/>
    <w:rsid w:val="00B4177B"/>
    <w:rsid w:val="00B41D9B"/>
    <w:rsid w:val="00B41F7F"/>
    <w:rsid w:val="00B42129"/>
    <w:rsid w:val="00B42280"/>
    <w:rsid w:val="00B428E2"/>
    <w:rsid w:val="00B42AF6"/>
    <w:rsid w:val="00B42DC2"/>
    <w:rsid w:val="00B43610"/>
    <w:rsid w:val="00B44CE3"/>
    <w:rsid w:val="00B4667F"/>
    <w:rsid w:val="00B46751"/>
    <w:rsid w:val="00B46A81"/>
    <w:rsid w:val="00B46FB9"/>
    <w:rsid w:val="00B47891"/>
    <w:rsid w:val="00B47A20"/>
    <w:rsid w:val="00B501D6"/>
    <w:rsid w:val="00B504F2"/>
    <w:rsid w:val="00B506F7"/>
    <w:rsid w:val="00B50835"/>
    <w:rsid w:val="00B50E92"/>
    <w:rsid w:val="00B519BF"/>
    <w:rsid w:val="00B51A39"/>
    <w:rsid w:val="00B51FE8"/>
    <w:rsid w:val="00B5237B"/>
    <w:rsid w:val="00B5245F"/>
    <w:rsid w:val="00B52986"/>
    <w:rsid w:val="00B540F7"/>
    <w:rsid w:val="00B544CB"/>
    <w:rsid w:val="00B54D64"/>
    <w:rsid w:val="00B55A4F"/>
    <w:rsid w:val="00B55BEA"/>
    <w:rsid w:val="00B55CEF"/>
    <w:rsid w:val="00B55F5D"/>
    <w:rsid w:val="00B57515"/>
    <w:rsid w:val="00B5780C"/>
    <w:rsid w:val="00B578C3"/>
    <w:rsid w:val="00B6050E"/>
    <w:rsid w:val="00B61757"/>
    <w:rsid w:val="00B61D5C"/>
    <w:rsid w:val="00B629AE"/>
    <w:rsid w:val="00B63545"/>
    <w:rsid w:val="00B63658"/>
    <w:rsid w:val="00B63E9F"/>
    <w:rsid w:val="00B642F0"/>
    <w:rsid w:val="00B6494B"/>
    <w:rsid w:val="00B6590F"/>
    <w:rsid w:val="00B65AD2"/>
    <w:rsid w:val="00B663C5"/>
    <w:rsid w:val="00B665B1"/>
    <w:rsid w:val="00B66A0A"/>
    <w:rsid w:val="00B670B9"/>
    <w:rsid w:val="00B679A6"/>
    <w:rsid w:val="00B701C4"/>
    <w:rsid w:val="00B70308"/>
    <w:rsid w:val="00B71714"/>
    <w:rsid w:val="00B71FA6"/>
    <w:rsid w:val="00B72527"/>
    <w:rsid w:val="00B731FC"/>
    <w:rsid w:val="00B73D28"/>
    <w:rsid w:val="00B74923"/>
    <w:rsid w:val="00B7558E"/>
    <w:rsid w:val="00B7563C"/>
    <w:rsid w:val="00B762A4"/>
    <w:rsid w:val="00B76510"/>
    <w:rsid w:val="00B769FA"/>
    <w:rsid w:val="00B7751F"/>
    <w:rsid w:val="00B804BB"/>
    <w:rsid w:val="00B80609"/>
    <w:rsid w:val="00B80685"/>
    <w:rsid w:val="00B80B09"/>
    <w:rsid w:val="00B80F54"/>
    <w:rsid w:val="00B81458"/>
    <w:rsid w:val="00B81860"/>
    <w:rsid w:val="00B82466"/>
    <w:rsid w:val="00B83AF6"/>
    <w:rsid w:val="00B84061"/>
    <w:rsid w:val="00B8561B"/>
    <w:rsid w:val="00B861DE"/>
    <w:rsid w:val="00B864CA"/>
    <w:rsid w:val="00B86825"/>
    <w:rsid w:val="00B86BB6"/>
    <w:rsid w:val="00B86D7F"/>
    <w:rsid w:val="00B86DD7"/>
    <w:rsid w:val="00B87263"/>
    <w:rsid w:val="00B87744"/>
    <w:rsid w:val="00B87A7C"/>
    <w:rsid w:val="00B87AB3"/>
    <w:rsid w:val="00B900AB"/>
    <w:rsid w:val="00B91501"/>
    <w:rsid w:val="00B918D9"/>
    <w:rsid w:val="00B92516"/>
    <w:rsid w:val="00B935A6"/>
    <w:rsid w:val="00B9387E"/>
    <w:rsid w:val="00B95692"/>
    <w:rsid w:val="00B963AD"/>
    <w:rsid w:val="00B96D66"/>
    <w:rsid w:val="00B97132"/>
    <w:rsid w:val="00B97223"/>
    <w:rsid w:val="00B97B95"/>
    <w:rsid w:val="00BA0682"/>
    <w:rsid w:val="00BA0EBA"/>
    <w:rsid w:val="00BA1682"/>
    <w:rsid w:val="00BA1C9F"/>
    <w:rsid w:val="00BA2337"/>
    <w:rsid w:val="00BA240E"/>
    <w:rsid w:val="00BA249C"/>
    <w:rsid w:val="00BA2E1E"/>
    <w:rsid w:val="00BA3580"/>
    <w:rsid w:val="00BA368D"/>
    <w:rsid w:val="00BA395E"/>
    <w:rsid w:val="00BA5078"/>
    <w:rsid w:val="00BA523B"/>
    <w:rsid w:val="00BA529F"/>
    <w:rsid w:val="00BA5341"/>
    <w:rsid w:val="00BA555B"/>
    <w:rsid w:val="00BA5C7D"/>
    <w:rsid w:val="00BA5F2E"/>
    <w:rsid w:val="00BA65CB"/>
    <w:rsid w:val="00BA6F93"/>
    <w:rsid w:val="00BA74D0"/>
    <w:rsid w:val="00BA7641"/>
    <w:rsid w:val="00BA7649"/>
    <w:rsid w:val="00BA78A2"/>
    <w:rsid w:val="00BA7D20"/>
    <w:rsid w:val="00BB06FA"/>
    <w:rsid w:val="00BB08C9"/>
    <w:rsid w:val="00BB0C97"/>
    <w:rsid w:val="00BB1114"/>
    <w:rsid w:val="00BB12AE"/>
    <w:rsid w:val="00BB1C88"/>
    <w:rsid w:val="00BB1DBB"/>
    <w:rsid w:val="00BB21A0"/>
    <w:rsid w:val="00BB3369"/>
    <w:rsid w:val="00BB3A1B"/>
    <w:rsid w:val="00BB3BB6"/>
    <w:rsid w:val="00BB4371"/>
    <w:rsid w:val="00BB4ED9"/>
    <w:rsid w:val="00BB529C"/>
    <w:rsid w:val="00BB5DD5"/>
    <w:rsid w:val="00BB67C4"/>
    <w:rsid w:val="00BB6C13"/>
    <w:rsid w:val="00BB6C1C"/>
    <w:rsid w:val="00BC07D6"/>
    <w:rsid w:val="00BC0B66"/>
    <w:rsid w:val="00BC1C34"/>
    <w:rsid w:val="00BC20E0"/>
    <w:rsid w:val="00BC2B54"/>
    <w:rsid w:val="00BC3011"/>
    <w:rsid w:val="00BC3C28"/>
    <w:rsid w:val="00BC3C9D"/>
    <w:rsid w:val="00BC40AC"/>
    <w:rsid w:val="00BC4173"/>
    <w:rsid w:val="00BC423D"/>
    <w:rsid w:val="00BC455A"/>
    <w:rsid w:val="00BC4911"/>
    <w:rsid w:val="00BC4BF6"/>
    <w:rsid w:val="00BC55AC"/>
    <w:rsid w:val="00BC55C4"/>
    <w:rsid w:val="00BC5C07"/>
    <w:rsid w:val="00BC60C9"/>
    <w:rsid w:val="00BC6510"/>
    <w:rsid w:val="00BC66D2"/>
    <w:rsid w:val="00BC7D19"/>
    <w:rsid w:val="00BD07C3"/>
    <w:rsid w:val="00BD0D5E"/>
    <w:rsid w:val="00BD12C9"/>
    <w:rsid w:val="00BD1FA5"/>
    <w:rsid w:val="00BD20A2"/>
    <w:rsid w:val="00BD43DC"/>
    <w:rsid w:val="00BD5402"/>
    <w:rsid w:val="00BD5D82"/>
    <w:rsid w:val="00BD66A8"/>
    <w:rsid w:val="00BD75C4"/>
    <w:rsid w:val="00BD7C70"/>
    <w:rsid w:val="00BE069E"/>
    <w:rsid w:val="00BE0733"/>
    <w:rsid w:val="00BE0839"/>
    <w:rsid w:val="00BE0A1F"/>
    <w:rsid w:val="00BE15A1"/>
    <w:rsid w:val="00BE2914"/>
    <w:rsid w:val="00BE3095"/>
    <w:rsid w:val="00BE3272"/>
    <w:rsid w:val="00BE40CE"/>
    <w:rsid w:val="00BE42DB"/>
    <w:rsid w:val="00BE4583"/>
    <w:rsid w:val="00BE4938"/>
    <w:rsid w:val="00BE4A84"/>
    <w:rsid w:val="00BE4F03"/>
    <w:rsid w:val="00BE529F"/>
    <w:rsid w:val="00BE55C9"/>
    <w:rsid w:val="00BE57C7"/>
    <w:rsid w:val="00BE5E44"/>
    <w:rsid w:val="00BE600D"/>
    <w:rsid w:val="00BE7164"/>
    <w:rsid w:val="00BE783E"/>
    <w:rsid w:val="00BF0024"/>
    <w:rsid w:val="00BF02F2"/>
    <w:rsid w:val="00BF08A5"/>
    <w:rsid w:val="00BF0F16"/>
    <w:rsid w:val="00BF1794"/>
    <w:rsid w:val="00BF1CEA"/>
    <w:rsid w:val="00BF31F4"/>
    <w:rsid w:val="00BF31F5"/>
    <w:rsid w:val="00BF353A"/>
    <w:rsid w:val="00BF440C"/>
    <w:rsid w:val="00BF45F7"/>
    <w:rsid w:val="00BF4706"/>
    <w:rsid w:val="00BF474E"/>
    <w:rsid w:val="00BF5093"/>
    <w:rsid w:val="00BF5101"/>
    <w:rsid w:val="00BF5269"/>
    <w:rsid w:val="00BF52FF"/>
    <w:rsid w:val="00BF5FAB"/>
    <w:rsid w:val="00BF6A60"/>
    <w:rsid w:val="00BF6B71"/>
    <w:rsid w:val="00BF74B2"/>
    <w:rsid w:val="00C006CD"/>
    <w:rsid w:val="00C0097E"/>
    <w:rsid w:val="00C00A66"/>
    <w:rsid w:val="00C00CAE"/>
    <w:rsid w:val="00C00EAF"/>
    <w:rsid w:val="00C01142"/>
    <w:rsid w:val="00C0154A"/>
    <w:rsid w:val="00C016F5"/>
    <w:rsid w:val="00C01B3C"/>
    <w:rsid w:val="00C01F86"/>
    <w:rsid w:val="00C0252D"/>
    <w:rsid w:val="00C02902"/>
    <w:rsid w:val="00C02CA8"/>
    <w:rsid w:val="00C033FC"/>
    <w:rsid w:val="00C038DF"/>
    <w:rsid w:val="00C04F8B"/>
    <w:rsid w:val="00C053AE"/>
    <w:rsid w:val="00C0542D"/>
    <w:rsid w:val="00C05667"/>
    <w:rsid w:val="00C068F2"/>
    <w:rsid w:val="00C06F66"/>
    <w:rsid w:val="00C071DB"/>
    <w:rsid w:val="00C077D6"/>
    <w:rsid w:val="00C105EC"/>
    <w:rsid w:val="00C108B1"/>
    <w:rsid w:val="00C11D75"/>
    <w:rsid w:val="00C1269F"/>
    <w:rsid w:val="00C13587"/>
    <w:rsid w:val="00C135FA"/>
    <w:rsid w:val="00C13D37"/>
    <w:rsid w:val="00C13EDD"/>
    <w:rsid w:val="00C1526A"/>
    <w:rsid w:val="00C155BF"/>
    <w:rsid w:val="00C15F13"/>
    <w:rsid w:val="00C16060"/>
    <w:rsid w:val="00C16F09"/>
    <w:rsid w:val="00C20FFA"/>
    <w:rsid w:val="00C21C55"/>
    <w:rsid w:val="00C21F42"/>
    <w:rsid w:val="00C22F1A"/>
    <w:rsid w:val="00C23676"/>
    <w:rsid w:val="00C23EE6"/>
    <w:rsid w:val="00C2442E"/>
    <w:rsid w:val="00C24859"/>
    <w:rsid w:val="00C24E18"/>
    <w:rsid w:val="00C24F22"/>
    <w:rsid w:val="00C25189"/>
    <w:rsid w:val="00C25A9F"/>
    <w:rsid w:val="00C25E5F"/>
    <w:rsid w:val="00C2639D"/>
    <w:rsid w:val="00C265C2"/>
    <w:rsid w:val="00C26802"/>
    <w:rsid w:val="00C26CD5"/>
    <w:rsid w:val="00C27039"/>
    <w:rsid w:val="00C278B6"/>
    <w:rsid w:val="00C278B8"/>
    <w:rsid w:val="00C27EE8"/>
    <w:rsid w:val="00C3035E"/>
    <w:rsid w:val="00C30917"/>
    <w:rsid w:val="00C310C6"/>
    <w:rsid w:val="00C31452"/>
    <w:rsid w:val="00C31A5E"/>
    <w:rsid w:val="00C32201"/>
    <w:rsid w:val="00C324FB"/>
    <w:rsid w:val="00C32546"/>
    <w:rsid w:val="00C3284F"/>
    <w:rsid w:val="00C333FE"/>
    <w:rsid w:val="00C3352B"/>
    <w:rsid w:val="00C33D89"/>
    <w:rsid w:val="00C34903"/>
    <w:rsid w:val="00C34C25"/>
    <w:rsid w:val="00C34CE8"/>
    <w:rsid w:val="00C35348"/>
    <w:rsid w:val="00C36350"/>
    <w:rsid w:val="00C367D0"/>
    <w:rsid w:val="00C3717D"/>
    <w:rsid w:val="00C37C54"/>
    <w:rsid w:val="00C37D04"/>
    <w:rsid w:val="00C37D6D"/>
    <w:rsid w:val="00C40012"/>
    <w:rsid w:val="00C401EE"/>
    <w:rsid w:val="00C40BC3"/>
    <w:rsid w:val="00C415D7"/>
    <w:rsid w:val="00C418B9"/>
    <w:rsid w:val="00C41A0F"/>
    <w:rsid w:val="00C41FD4"/>
    <w:rsid w:val="00C423CA"/>
    <w:rsid w:val="00C4336D"/>
    <w:rsid w:val="00C433F5"/>
    <w:rsid w:val="00C43943"/>
    <w:rsid w:val="00C439B1"/>
    <w:rsid w:val="00C44147"/>
    <w:rsid w:val="00C44451"/>
    <w:rsid w:val="00C4453A"/>
    <w:rsid w:val="00C4465B"/>
    <w:rsid w:val="00C447D3"/>
    <w:rsid w:val="00C4573E"/>
    <w:rsid w:val="00C46687"/>
    <w:rsid w:val="00C468DA"/>
    <w:rsid w:val="00C46ED0"/>
    <w:rsid w:val="00C50599"/>
    <w:rsid w:val="00C50760"/>
    <w:rsid w:val="00C508F9"/>
    <w:rsid w:val="00C50F00"/>
    <w:rsid w:val="00C51990"/>
    <w:rsid w:val="00C5199A"/>
    <w:rsid w:val="00C5207E"/>
    <w:rsid w:val="00C52B25"/>
    <w:rsid w:val="00C53D5E"/>
    <w:rsid w:val="00C55334"/>
    <w:rsid w:val="00C55A86"/>
    <w:rsid w:val="00C55B47"/>
    <w:rsid w:val="00C575F8"/>
    <w:rsid w:val="00C5791D"/>
    <w:rsid w:val="00C608A3"/>
    <w:rsid w:val="00C609DF"/>
    <w:rsid w:val="00C60AA6"/>
    <w:rsid w:val="00C60D72"/>
    <w:rsid w:val="00C6163D"/>
    <w:rsid w:val="00C62240"/>
    <w:rsid w:val="00C625EB"/>
    <w:rsid w:val="00C63306"/>
    <w:rsid w:val="00C63A01"/>
    <w:rsid w:val="00C64108"/>
    <w:rsid w:val="00C64321"/>
    <w:rsid w:val="00C65B4C"/>
    <w:rsid w:val="00C66122"/>
    <w:rsid w:val="00C66516"/>
    <w:rsid w:val="00C66614"/>
    <w:rsid w:val="00C666B9"/>
    <w:rsid w:val="00C66A05"/>
    <w:rsid w:val="00C67014"/>
    <w:rsid w:val="00C679D3"/>
    <w:rsid w:val="00C67A3B"/>
    <w:rsid w:val="00C67B6C"/>
    <w:rsid w:val="00C67F96"/>
    <w:rsid w:val="00C705A1"/>
    <w:rsid w:val="00C71ED8"/>
    <w:rsid w:val="00C72109"/>
    <w:rsid w:val="00C7272A"/>
    <w:rsid w:val="00C72D5E"/>
    <w:rsid w:val="00C739EF"/>
    <w:rsid w:val="00C73CFF"/>
    <w:rsid w:val="00C74B03"/>
    <w:rsid w:val="00C74B6A"/>
    <w:rsid w:val="00C74B89"/>
    <w:rsid w:val="00C74D80"/>
    <w:rsid w:val="00C74FF0"/>
    <w:rsid w:val="00C7586D"/>
    <w:rsid w:val="00C75AF6"/>
    <w:rsid w:val="00C763C6"/>
    <w:rsid w:val="00C767C3"/>
    <w:rsid w:val="00C768D7"/>
    <w:rsid w:val="00C76AB5"/>
    <w:rsid w:val="00C778ED"/>
    <w:rsid w:val="00C80A03"/>
    <w:rsid w:val="00C8182F"/>
    <w:rsid w:val="00C834CD"/>
    <w:rsid w:val="00C83A64"/>
    <w:rsid w:val="00C83B95"/>
    <w:rsid w:val="00C842B9"/>
    <w:rsid w:val="00C842CD"/>
    <w:rsid w:val="00C845DC"/>
    <w:rsid w:val="00C84BA4"/>
    <w:rsid w:val="00C85442"/>
    <w:rsid w:val="00C8593F"/>
    <w:rsid w:val="00C859AC"/>
    <w:rsid w:val="00C864FF"/>
    <w:rsid w:val="00C867A0"/>
    <w:rsid w:val="00C868C0"/>
    <w:rsid w:val="00C869CF"/>
    <w:rsid w:val="00C86C0F"/>
    <w:rsid w:val="00C87243"/>
    <w:rsid w:val="00C90118"/>
    <w:rsid w:val="00C91B29"/>
    <w:rsid w:val="00C91C93"/>
    <w:rsid w:val="00C91EF5"/>
    <w:rsid w:val="00C91EF9"/>
    <w:rsid w:val="00C9227C"/>
    <w:rsid w:val="00C92498"/>
    <w:rsid w:val="00C924D3"/>
    <w:rsid w:val="00C92C7E"/>
    <w:rsid w:val="00C93651"/>
    <w:rsid w:val="00C93F96"/>
    <w:rsid w:val="00C94500"/>
    <w:rsid w:val="00C94D4A"/>
    <w:rsid w:val="00C96178"/>
    <w:rsid w:val="00C966DB"/>
    <w:rsid w:val="00C96827"/>
    <w:rsid w:val="00C97427"/>
    <w:rsid w:val="00C97787"/>
    <w:rsid w:val="00C97838"/>
    <w:rsid w:val="00C97CAE"/>
    <w:rsid w:val="00CA0BD1"/>
    <w:rsid w:val="00CA0F53"/>
    <w:rsid w:val="00CA1895"/>
    <w:rsid w:val="00CA27A0"/>
    <w:rsid w:val="00CA2C35"/>
    <w:rsid w:val="00CA39C1"/>
    <w:rsid w:val="00CA3C4A"/>
    <w:rsid w:val="00CA4C19"/>
    <w:rsid w:val="00CA5732"/>
    <w:rsid w:val="00CA6A3B"/>
    <w:rsid w:val="00CA75DA"/>
    <w:rsid w:val="00CA7660"/>
    <w:rsid w:val="00CA76F1"/>
    <w:rsid w:val="00CA7A90"/>
    <w:rsid w:val="00CA7C3B"/>
    <w:rsid w:val="00CA7E16"/>
    <w:rsid w:val="00CB000B"/>
    <w:rsid w:val="00CB0831"/>
    <w:rsid w:val="00CB0887"/>
    <w:rsid w:val="00CB08F7"/>
    <w:rsid w:val="00CB2498"/>
    <w:rsid w:val="00CB24FC"/>
    <w:rsid w:val="00CB34C5"/>
    <w:rsid w:val="00CB37E8"/>
    <w:rsid w:val="00CB3BC7"/>
    <w:rsid w:val="00CB3EDA"/>
    <w:rsid w:val="00CB493A"/>
    <w:rsid w:val="00CB4DD9"/>
    <w:rsid w:val="00CB58C0"/>
    <w:rsid w:val="00CB5FB5"/>
    <w:rsid w:val="00CB78CD"/>
    <w:rsid w:val="00CB79A1"/>
    <w:rsid w:val="00CC02B9"/>
    <w:rsid w:val="00CC066D"/>
    <w:rsid w:val="00CC0B59"/>
    <w:rsid w:val="00CC0E51"/>
    <w:rsid w:val="00CC15CF"/>
    <w:rsid w:val="00CC1732"/>
    <w:rsid w:val="00CC1ADA"/>
    <w:rsid w:val="00CC2301"/>
    <w:rsid w:val="00CC26A1"/>
    <w:rsid w:val="00CC291D"/>
    <w:rsid w:val="00CC3278"/>
    <w:rsid w:val="00CC3A84"/>
    <w:rsid w:val="00CC440D"/>
    <w:rsid w:val="00CC4767"/>
    <w:rsid w:val="00CC4EDC"/>
    <w:rsid w:val="00CC5359"/>
    <w:rsid w:val="00CC5FA2"/>
    <w:rsid w:val="00CC5FF0"/>
    <w:rsid w:val="00CC6847"/>
    <w:rsid w:val="00CC7A57"/>
    <w:rsid w:val="00CD02FE"/>
    <w:rsid w:val="00CD0E35"/>
    <w:rsid w:val="00CD1466"/>
    <w:rsid w:val="00CD186B"/>
    <w:rsid w:val="00CD1C68"/>
    <w:rsid w:val="00CD1C9E"/>
    <w:rsid w:val="00CD2137"/>
    <w:rsid w:val="00CD21E1"/>
    <w:rsid w:val="00CD272A"/>
    <w:rsid w:val="00CD2826"/>
    <w:rsid w:val="00CD3CC9"/>
    <w:rsid w:val="00CD5B65"/>
    <w:rsid w:val="00CD6985"/>
    <w:rsid w:val="00CD71C2"/>
    <w:rsid w:val="00CD7263"/>
    <w:rsid w:val="00CD72B4"/>
    <w:rsid w:val="00CE0405"/>
    <w:rsid w:val="00CE11E1"/>
    <w:rsid w:val="00CE13B6"/>
    <w:rsid w:val="00CE1BFA"/>
    <w:rsid w:val="00CE1DF2"/>
    <w:rsid w:val="00CE2591"/>
    <w:rsid w:val="00CE2804"/>
    <w:rsid w:val="00CE2EA9"/>
    <w:rsid w:val="00CE32AC"/>
    <w:rsid w:val="00CE33AD"/>
    <w:rsid w:val="00CE3A22"/>
    <w:rsid w:val="00CE3AB5"/>
    <w:rsid w:val="00CE4506"/>
    <w:rsid w:val="00CE4E80"/>
    <w:rsid w:val="00CE51B5"/>
    <w:rsid w:val="00CE5A21"/>
    <w:rsid w:val="00CE5BD6"/>
    <w:rsid w:val="00CE5CA2"/>
    <w:rsid w:val="00CE691E"/>
    <w:rsid w:val="00CE6AC6"/>
    <w:rsid w:val="00CE77FE"/>
    <w:rsid w:val="00CE7A1D"/>
    <w:rsid w:val="00CF020E"/>
    <w:rsid w:val="00CF02D7"/>
    <w:rsid w:val="00CF0927"/>
    <w:rsid w:val="00CF0EEE"/>
    <w:rsid w:val="00CF0F26"/>
    <w:rsid w:val="00CF114C"/>
    <w:rsid w:val="00CF15FD"/>
    <w:rsid w:val="00CF1C7D"/>
    <w:rsid w:val="00CF1DB2"/>
    <w:rsid w:val="00CF2B9C"/>
    <w:rsid w:val="00CF3C04"/>
    <w:rsid w:val="00CF3FAF"/>
    <w:rsid w:val="00CF4064"/>
    <w:rsid w:val="00CF482E"/>
    <w:rsid w:val="00CF4883"/>
    <w:rsid w:val="00CF4B0D"/>
    <w:rsid w:val="00CF4CF8"/>
    <w:rsid w:val="00CF4EE1"/>
    <w:rsid w:val="00CF5826"/>
    <w:rsid w:val="00CF5A6B"/>
    <w:rsid w:val="00CF5D8E"/>
    <w:rsid w:val="00CF793F"/>
    <w:rsid w:val="00CF7DE8"/>
    <w:rsid w:val="00CF7FDA"/>
    <w:rsid w:val="00D00807"/>
    <w:rsid w:val="00D01962"/>
    <w:rsid w:val="00D01FA5"/>
    <w:rsid w:val="00D021E3"/>
    <w:rsid w:val="00D02370"/>
    <w:rsid w:val="00D023A4"/>
    <w:rsid w:val="00D02989"/>
    <w:rsid w:val="00D03FC8"/>
    <w:rsid w:val="00D04237"/>
    <w:rsid w:val="00D04512"/>
    <w:rsid w:val="00D04564"/>
    <w:rsid w:val="00D04C91"/>
    <w:rsid w:val="00D05B69"/>
    <w:rsid w:val="00D05C3A"/>
    <w:rsid w:val="00D068C0"/>
    <w:rsid w:val="00D06FAC"/>
    <w:rsid w:val="00D0711E"/>
    <w:rsid w:val="00D07676"/>
    <w:rsid w:val="00D07712"/>
    <w:rsid w:val="00D07D06"/>
    <w:rsid w:val="00D07D36"/>
    <w:rsid w:val="00D10500"/>
    <w:rsid w:val="00D10C5C"/>
    <w:rsid w:val="00D10F45"/>
    <w:rsid w:val="00D11248"/>
    <w:rsid w:val="00D11888"/>
    <w:rsid w:val="00D11C3A"/>
    <w:rsid w:val="00D12111"/>
    <w:rsid w:val="00D1213E"/>
    <w:rsid w:val="00D12311"/>
    <w:rsid w:val="00D128A4"/>
    <w:rsid w:val="00D12C0D"/>
    <w:rsid w:val="00D13208"/>
    <w:rsid w:val="00D1364C"/>
    <w:rsid w:val="00D146DA"/>
    <w:rsid w:val="00D151EA"/>
    <w:rsid w:val="00D15EDC"/>
    <w:rsid w:val="00D171C6"/>
    <w:rsid w:val="00D17ABA"/>
    <w:rsid w:val="00D2069D"/>
    <w:rsid w:val="00D208CA"/>
    <w:rsid w:val="00D215A9"/>
    <w:rsid w:val="00D2186A"/>
    <w:rsid w:val="00D21F67"/>
    <w:rsid w:val="00D223E9"/>
    <w:rsid w:val="00D22CBB"/>
    <w:rsid w:val="00D23EA4"/>
    <w:rsid w:val="00D23FAA"/>
    <w:rsid w:val="00D24024"/>
    <w:rsid w:val="00D2471D"/>
    <w:rsid w:val="00D248FF"/>
    <w:rsid w:val="00D24DA5"/>
    <w:rsid w:val="00D25029"/>
    <w:rsid w:val="00D252B4"/>
    <w:rsid w:val="00D25965"/>
    <w:rsid w:val="00D25D01"/>
    <w:rsid w:val="00D26379"/>
    <w:rsid w:val="00D26805"/>
    <w:rsid w:val="00D26E57"/>
    <w:rsid w:val="00D27B4E"/>
    <w:rsid w:val="00D30B03"/>
    <w:rsid w:val="00D30F07"/>
    <w:rsid w:val="00D3143C"/>
    <w:rsid w:val="00D31A31"/>
    <w:rsid w:val="00D32088"/>
    <w:rsid w:val="00D3240F"/>
    <w:rsid w:val="00D32720"/>
    <w:rsid w:val="00D33253"/>
    <w:rsid w:val="00D33294"/>
    <w:rsid w:val="00D336FB"/>
    <w:rsid w:val="00D348BC"/>
    <w:rsid w:val="00D34C83"/>
    <w:rsid w:val="00D35CB9"/>
    <w:rsid w:val="00D35D91"/>
    <w:rsid w:val="00D35EE4"/>
    <w:rsid w:val="00D36A30"/>
    <w:rsid w:val="00D37326"/>
    <w:rsid w:val="00D378B8"/>
    <w:rsid w:val="00D37A75"/>
    <w:rsid w:val="00D40219"/>
    <w:rsid w:val="00D40500"/>
    <w:rsid w:val="00D4122B"/>
    <w:rsid w:val="00D4158B"/>
    <w:rsid w:val="00D4195D"/>
    <w:rsid w:val="00D41C86"/>
    <w:rsid w:val="00D41DB2"/>
    <w:rsid w:val="00D42662"/>
    <w:rsid w:val="00D42BE0"/>
    <w:rsid w:val="00D42D1D"/>
    <w:rsid w:val="00D439F3"/>
    <w:rsid w:val="00D444C4"/>
    <w:rsid w:val="00D44613"/>
    <w:rsid w:val="00D44719"/>
    <w:rsid w:val="00D454BF"/>
    <w:rsid w:val="00D456C7"/>
    <w:rsid w:val="00D457F2"/>
    <w:rsid w:val="00D45967"/>
    <w:rsid w:val="00D45AFC"/>
    <w:rsid w:val="00D4641C"/>
    <w:rsid w:val="00D46A58"/>
    <w:rsid w:val="00D46CC8"/>
    <w:rsid w:val="00D46F87"/>
    <w:rsid w:val="00D475F2"/>
    <w:rsid w:val="00D477EB"/>
    <w:rsid w:val="00D47C6E"/>
    <w:rsid w:val="00D504EF"/>
    <w:rsid w:val="00D509FF"/>
    <w:rsid w:val="00D50D2B"/>
    <w:rsid w:val="00D50EA8"/>
    <w:rsid w:val="00D50EB7"/>
    <w:rsid w:val="00D51AB2"/>
    <w:rsid w:val="00D52118"/>
    <w:rsid w:val="00D5248C"/>
    <w:rsid w:val="00D5260B"/>
    <w:rsid w:val="00D526BC"/>
    <w:rsid w:val="00D52D29"/>
    <w:rsid w:val="00D533D4"/>
    <w:rsid w:val="00D53C9F"/>
    <w:rsid w:val="00D54E22"/>
    <w:rsid w:val="00D54E93"/>
    <w:rsid w:val="00D558D1"/>
    <w:rsid w:val="00D55A95"/>
    <w:rsid w:val="00D55DC9"/>
    <w:rsid w:val="00D55E6F"/>
    <w:rsid w:val="00D56EB5"/>
    <w:rsid w:val="00D57249"/>
    <w:rsid w:val="00D5724C"/>
    <w:rsid w:val="00D57C2B"/>
    <w:rsid w:val="00D57CB5"/>
    <w:rsid w:val="00D60338"/>
    <w:rsid w:val="00D605F0"/>
    <w:rsid w:val="00D60D0D"/>
    <w:rsid w:val="00D61381"/>
    <w:rsid w:val="00D620E0"/>
    <w:rsid w:val="00D6231C"/>
    <w:rsid w:val="00D631EE"/>
    <w:rsid w:val="00D63C45"/>
    <w:rsid w:val="00D64671"/>
    <w:rsid w:val="00D65C03"/>
    <w:rsid w:val="00D65C69"/>
    <w:rsid w:val="00D66581"/>
    <w:rsid w:val="00D665E1"/>
    <w:rsid w:val="00D67AC9"/>
    <w:rsid w:val="00D7000D"/>
    <w:rsid w:val="00D702AF"/>
    <w:rsid w:val="00D70391"/>
    <w:rsid w:val="00D70698"/>
    <w:rsid w:val="00D70FD8"/>
    <w:rsid w:val="00D7129C"/>
    <w:rsid w:val="00D713F2"/>
    <w:rsid w:val="00D71A45"/>
    <w:rsid w:val="00D721BB"/>
    <w:rsid w:val="00D729C0"/>
    <w:rsid w:val="00D72B05"/>
    <w:rsid w:val="00D73212"/>
    <w:rsid w:val="00D73CCE"/>
    <w:rsid w:val="00D73DBC"/>
    <w:rsid w:val="00D7438D"/>
    <w:rsid w:val="00D74AE6"/>
    <w:rsid w:val="00D757EB"/>
    <w:rsid w:val="00D75C82"/>
    <w:rsid w:val="00D75F81"/>
    <w:rsid w:val="00D765C2"/>
    <w:rsid w:val="00D77243"/>
    <w:rsid w:val="00D777E7"/>
    <w:rsid w:val="00D77BB2"/>
    <w:rsid w:val="00D80F58"/>
    <w:rsid w:val="00D8146A"/>
    <w:rsid w:val="00D81B91"/>
    <w:rsid w:val="00D81BFE"/>
    <w:rsid w:val="00D81C97"/>
    <w:rsid w:val="00D82184"/>
    <w:rsid w:val="00D8304A"/>
    <w:rsid w:val="00D83A5B"/>
    <w:rsid w:val="00D83F9F"/>
    <w:rsid w:val="00D84A80"/>
    <w:rsid w:val="00D861CA"/>
    <w:rsid w:val="00D866AB"/>
    <w:rsid w:val="00D866B5"/>
    <w:rsid w:val="00D86D23"/>
    <w:rsid w:val="00D87763"/>
    <w:rsid w:val="00D87CF4"/>
    <w:rsid w:val="00D90090"/>
    <w:rsid w:val="00D907BC"/>
    <w:rsid w:val="00D90879"/>
    <w:rsid w:val="00D90CA5"/>
    <w:rsid w:val="00D916D1"/>
    <w:rsid w:val="00D91D65"/>
    <w:rsid w:val="00D91DC3"/>
    <w:rsid w:val="00D92036"/>
    <w:rsid w:val="00D92916"/>
    <w:rsid w:val="00D92D8E"/>
    <w:rsid w:val="00D93B7A"/>
    <w:rsid w:val="00D94532"/>
    <w:rsid w:val="00D947D0"/>
    <w:rsid w:val="00D9598E"/>
    <w:rsid w:val="00D978D6"/>
    <w:rsid w:val="00DA04BF"/>
    <w:rsid w:val="00DA0CA2"/>
    <w:rsid w:val="00DA161C"/>
    <w:rsid w:val="00DA1A0A"/>
    <w:rsid w:val="00DA230B"/>
    <w:rsid w:val="00DA2701"/>
    <w:rsid w:val="00DA3768"/>
    <w:rsid w:val="00DA3ABC"/>
    <w:rsid w:val="00DA3CF4"/>
    <w:rsid w:val="00DA4064"/>
    <w:rsid w:val="00DA4506"/>
    <w:rsid w:val="00DA477F"/>
    <w:rsid w:val="00DA48C3"/>
    <w:rsid w:val="00DA4D36"/>
    <w:rsid w:val="00DA5091"/>
    <w:rsid w:val="00DA6A54"/>
    <w:rsid w:val="00DA6DCF"/>
    <w:rsid w:val="00DA7385"/>
    <w:rsid w:val="00DA7761"/>
    <w:rsid w:val="00DA7F1B"/>
    <w:rsid w:val="00DB063D"/>
    <w:rsid w:val="00DB09F7"/>
    <w:rsid w:val="00DB0D71"/>
    <w:rsid w:val="00DB1B96"/>
    <w:rsid w:val="00DB1E45"/>
    <w:rsid w:val="00DB48F0"/>
    <w:rsid w:val="00DB4B86"/>
    <w:rsid w:val="00DB54F5"/>
    <w:rsid w:val="00DB5ACA"/>
    <w:rsid w:val="00DB679F"/>
    <w:rsid w:val="00DB6A22"/>
    <w:rsid w:val="00DB7073"/>
    <w:rsid w:val="00DC1081"/>
    <w:rsid w:val="00DC11DB"/>
    <w:rsid w:val="00DC1CBF"/>
    <w:rsid w:val="00DC1D04"/>
    <w:rsid w:val="00DC229D"/>
    <w:rsid w:val="00DC23C1"/>
    <w:rsid w:val="00DC2A41"/>
    <w:rsid w:val="00DC31CF"/>
    <w:rsid w:val="00DC3EA2"/>
    <w:rsid w:val="00DC4F07"/>
    <w:rsid w:val="00DC55AE"/>
    <w:rsid w:val="00DC5B9F"/>
    <w:rsid w:val="00DC61EF"/>
    <w:rsid w:val="00DC624B"/>
    <w:rsid w:val="00DC63FF"/>
    <w:rsid w:val="00DC6C4E"/>
    <w:rsid w:val="00DC6DFA"/>
    <w:rsid w:val="00DC6F03"/>
    <w:rsid w:val="00DC783F"/>
    <w:rsid w:val="00DC7A75"/>
    <w:rsid w:val="00DC7FBF"/>
    <w:rsid w:val="00DD0B5E"/>
    <w:rsid w:val="00DD1518"/>
    <w:rsid w:val="00DD2D40"/>
    <w:rsid w:val="00DD2D93"/>
    <w:rsid w:val="00DD329A"/>
    <w:rsid w:val="00DD3574"/>
    <w:rsid w:val="00DD38F4"/>
    <w:rsid w:val="00DD3CB9"/>
    <w:rsid w:val="00DD422C"/>
    <w:rsid w:val="00DD4EE4"/>
    <w:rsid w:val="00DD5739"/>
    <w:rsid w:val="00DD6A14"/>
    <w:rsid w:val="00DD6DA4"/>
    <w:rsid w:val="00DD7E12"/>
    <w:rsid w:val="00DE00FD"/>
    <w:rsid w:val="00DE078C"/>
    <w:rsid w:val="00DE0E5D"/>
    <w:rsid w:val="00DE0F78"/>
    <w:rsid w:val="00DE22AF"/>
    <w:rsid w:val="00DE3850"/>
    <w:rsid w:val="00DE3EC1"/>
    <w:rsid w:val="00DE4F01"/>
    <w:rsid w:val="00DE50D7"/>
    <w:rsid w:val="00DE619F"/>
    <w:rsid w:val="00DE6412"/>
    <w:rsid w:val="00DE65B0"/>
    <w:rsid w:val="00DE66EB"/>
    <w:rsid w:val="00DE682A"/>
    <w:rsid w:val="00DF0D06"/>
    <w:rsid w:val="00DF10C1"/>
    <w:rsid w:val="00DF158F"/>
    <w:rsid w:val="00DF1C6F"/>
    <w:rsid w:val="00DF234B"/>
    <w:rsid w:val="00DF3C9A"/>
    <w:rsid w:val="00DF5C12"/>
    <w:rsid w:val="00DF5C2F"/>
    <w:rsid w:val="00DF6B2B"/>
    <w:rsid w:val="00DF6F1B"/>
    <w:rsid w:val="00DF77F7"/>
    <w:rsid w:val="00E0054A"/>
    <w:rsid w:val="00E00A04"/>
    <w:rsid w:val="00E00D90"/>
    <w:rsid w:val="00E016FD"/>
    <w:rsid w:val="00E01AB5"/>
    <w:rsid w:val="00E022B7"/>
    <w:rsid w:val="00E02318"/>
    <w:rsid w:val="00E0260C"/>
    <w:rsid w:val="00E02933"/>
    <w:rsid w:val="00E02A4E"/>
    <w:rsid w:val="00E031A6"/>
    <w:rsid w:val="00E0348E"/>
    <w:rsid w:val="00E036AE"/>
    <w:rsid w:val="00E0414F"/>
    <w:rsid w:val="00E049B0"/>
    <w:rsid w:val="00E05E1B"/>
    <w:rsid w:val="00E0606D"/>
    <w:rsid w:val="00E06D84"/>
    <w:rsid w:val="00E07B80"/>
    <w:rsid w:val="00E100CA"/>
    <w:rsid w:val="00E10A21"/>
    <w:rsid w:val="00E10BB1"/>
    <w:rsid w:val="00E10D0C"/>
    <w:rsid w:val="00E10DC5"/>
    <w:rsid w:val="00E112FF"/>
    <w:rsid w:val="00E1221A"/>
    <w:rsid w:val="00E124F3"/>
    <w:rsid w:val="00E1418C"/>
    <w:rsid w:val="00E14662"/>
    <w:rsid w:val="00E14846"/>
    <w:rsid w:val="00E14EB0"/>
    <w:rsid w:val="00E15002"/>
    <w:rsid w:val="00E1500A"/>
    <w:rsid w:val="00E1573D"/>
    <w:rsid w:val="00E16E5E"/>
    <w:rsid w:val="00E16EF3"/>
    <w:rsid w:val="00E177FF"/>
    <w:rsid w:val="00E17918"/>
    <w:rsid w:val="00E17A1C"/>
    <w:rsid w:val="00E17FC0"/>
    <w:rsid w:val="00E200FE"/>
    <w:rsid w:val="00E201CF"/>
    <w:rsid w:val="00E205CB"/>
    <w:rsid w:val="00E2090D"/>
    <w:rsid w:val="00E20B49"/>
    <w:rsid w:val="00E20BCC"/>
    <w:rsid w:val="00E21D50"/>
    <w:rsid w:val="00E229AB"/>
    <w:rsid w:val="00E22B5F"/>
    <w:rsid w:val="00E22C6E"/>
    <w:rsid w:val="00E22D23"/>
    <w:rsid w:val="00E23020"/>
    <w:rsid w:val="00E23EC6"/>
    <w:rsid w:val="00E25035"/>
    <w:rsid w:val="00E2569A"/>
    <w:rsid w:val="00E276CE"/>
    <w:rsid w:val="00E27FA7"/>
    <w:rsid w:val="00E30076"/>
    <w:rsid w:val="00E302A3"/>
    <w:rsid w:val="00E30A09"/>
    <w:rsid w:val="00E3160F"/>
    <w:rsid w:val="00E323C4"/>
    <w:rsid w:val="00E32E98"/>
    <w:rsid w:val="00E332E0"/>
    <w:rsid w:val="00E33486"/>
    <w:rsid w:val="00E334CA"/>
    <w:rsid w:val="00E3358E"/>
    <w:rsid w:val="00E338A9"/>
    <w:rsid w:val="00E338E4"/>
    <w:rsid w:val="00E33E15"/>
    <w:rsid w:val="00E34214"/>
    <w:rsid w:val="00E34554"/>
    <w:rsid w:val="00E3494A"/>
    <w:rsid w:val="00E34B42"/>
    <w:rsid w:val="00E353E3"/>
    <w:rsid w:val="00E360DC"/>
    <w:rsid w:val="00E36D23"/>
    <w:rsid w:val="00E373AF"/>
    <w:rsid w:val="00E373B4"/>
    <w:rsid w:val="00E374C0"/>
    <w:rsid w:val="00E4025A"/>
    <w:rsid w:val="00E40F5A"/>
    <w:rsid w:val="00E40FDF"/>
    <w:rsid w:val="00E41664"/>
    <w:rsid w:val="00E41843"/>
    <w:rsid w:val="00E4192F"/>
    <w:rsid w:val="00E41F81"/>
    <w:rsid w:val="00E42706"/>
    <w:rsid w:val="00E44138"/>
    <w:rsid w:val="00E44644"/>
    <w:rsid w:val="00E465B0"/>
    <w:rsid w:val="00E46BFB"/>
    <w:rsid w:val="00E46CF0"/>
    <w:rsid w:val="00E471E4"/>
    <w:rsid w:val="00E4733C"/>
    <w:rsid w:val="00E474A5"/>
    <w:rsid w:val="00E47544"/>
    <w:rsid w:val="00E47763"/>
    <w:rsid w:val="00E50753"/>
    <w:rsid w:val="00E50AA9"/>
    <w:rsid w:val="00E5129B"/>
    <w:rsid w:val="00E516FE"/>
    <w:rsid w:val="00E52225"/>
    <w:rsid w:val="00E527CF"/>
    <w:rsid w:val="00E528FC"/>
    <w:rsid w:val="00E52CA6"/>
    <w:rsid w:val="00E53030"/>
    <w:rsid w:val="00E54BF0"/>
    <w:rsid w:val="00E5505B"/>
    <w:rsid w:val="00E5654D"/>
    <w:rsid w:val="00E5698B"/>
    <w:rsid w:val="00E569A1"/>
    <w:rsid w:val="00E57827"/>
    <w:rsid w:val="00E6021F"/>
    <w:rsid w:val="00E603AE"/>
    <w:rsid w:val="00E608A7"/>
    <w:rsid w:val="00E60B72"/>
    <w:rsid w:val="00E612F7"/>
    <w:rsid w:val="00E61AF1"/>
    <w:rsid w:val="00E61C5E"/>
    <w:rsid w:val="00E61EC2"/>
    <w:rsid w:val="00E6214F"/>
    <w:rsid w:val="00E626CF"/>
    <w:rsid w:val="00E635A4"/>
    <w:rsid w:val="00E63D18"/>
    <w:rsid w:val="00E63D6F"/>
    <w:rsid w:val="00E643D2"/>
    <w:rsid w:val="00E648A2"/>
    <w:rsid w:val="00E6504E"/>
    <w:rsid w:val="00E6683D"/>
    <w:rsid w:val="00E706E2"/>
    <w:rsid w:val="00E707B2"/>
    <w:rsid w:val="00E7099D"/>
    <w:rsid w:val="00E70A39"/>
    <w:rsid w:val="00E70D50"/>
    <w:rsid w:val="00E717E2"/>
    <w:rsid w:val="00E72F8B"/>
    <w:rsid w:val="00E73619"/>
    <w:rsid w:val="00E7415F"/>
    <w:rsid w:val="00E741B1"/>
    <w:rsid w:val="00E74999"/>
    <w:rsid w:val="00E74D57"/>
    <w:rsid w:val="00E75097"/>
    <w:rsid w:val="00E75538"/>
    <w:rsid w:val="00E768B2"/>
    <w:rsid w:val="00E76ACE"/>
    <w:rsid w:val="00E76B8C"/>
    <w:rsid w:val="00E77C8B"/>
    <w:rsid w:val="00E80145"/>
    <w:rsid w:val="00E80E96"/>
    <w:rsid w:val="00E8151F"/>
    <w:rsid w:val="00E828D2"/>
    <w:rsid w:val="00E82992"/>
    <w:rsid w:val="00E83282"/>
    <w:rsid w:val="00E8355E"/>
    <w:rsid w:val="00E83598"/>
    <w:rsid w:val="00E839A8"/>
    <w:rsid w:val="00E83AE8"/>
    <w:rsid w:val="00E83D8C"/>
    <w:rsid w:val="00E8519D"/>
    <w:rsid w:val="00E85506"/>
    <w:rsid w:val="00E8568B"/>
    <w:rsid w:val="00E862C4"/>
    <w:rsid w:val="00E8647B"/>
    <w:rsid w:val="00E8677C"/>
    <w:rsid w:val="00E86C5B"/>
    <w:rsid w:val="00E8719A"/>
    <w:rsid w:val="00E878BD"/>
    <w:rsid w:val="00E87EC4"/>
    <w:rsid w:val="00E90563"/>
    <w:rsid w:val="00E90E1D"/>
    <w:rsid w:val="00E91145"/>
    <w:rsid w:val="00E9181B"/>
    <w:rsid w:val="00E91A09"/>
    <w:rsid w:val="00E91D20"/>
    <w:rsid w:val="00E92D2C"/>
    <w:rsid w:val="00E93147"/>
    <w:rsid w:val="00E931CC"/>
    <w:rsid w:val="00E93290"/>
    <w:rsid w:val="00E938BB"/>
    <w:rsid w:val="00E93CA4"/>
    <w:rsid w:val="00E94487"/>
    <w:rsid w:val="00E95371"/>
    <w:rsid w:val="00E96713"/>
    <w:rsid w:val="00E969A6"/>
    <w:rsid w:val="00E971D5"/>
    <w:rsid w:val="00E971E9"/>
    <w:rsid w:val="00E97B67"/>
    <w:rsid w:val="00E97E84"/>
    <w:rsid w:val="00EA0E42"/>
    <w:rsid w:val="00EA0FD4"/>
    <w:rsid w:val="00EA155D"/>
    <w:rsid w:val="00EA2687"/>
    <w:rsid w:val="00EA2C2D"/>
    <w:rsid w:val="00EA2CAA"/>
    <w:rsid w:val="00EA2D5A"/>
    <w:rsid w:val="00EA40AA"/>
    <w:rsid w:val="00EA4800"/>
    <w:rsid w:val="00EA5176"/>
    <w:rsid w:val="00EA6560"/>
    <w:rsid w:val="00EA66B4"/>
    <w:rsid w:val="00EA6A10"/>
    <w:rsid w:val="00EA77C0"/>
    <w:rsid w:val="00EA77D4"/>
    <w:rsid w:val="00EA7F9F"/>
    <w:rsid w:val="00EB0224"/>
    <w:rsid w:val="00EB03E2"/>
    <w:rsid w:val="00EB0710"/>
    <w:rsid w:val="00EB0A24"/>
    <w:rsid w:val="00EB0BBB"/>
    <w:rsid w:val="00EB1960"/>
    <w:rsid w:val="00EB2085"/>
    <w:rsid w:val="00EB35A7"/>
    <w:rsid w:val="00EB3671"/>
    <w:rsid w:val="00EB384A"/>
    <w:rsid w:val="00EB4670"/>
    <w:rsid w:val="00EB4B09"/>
    <w:rsid w:val="00EB55BF"/>
    <w:rsid w:val="00EB5636"/>
    <w:rsid w:val="00EB5685"/>
    <w:rsid w:val="00EB589E"/>
    <w:rsid w:val="00EB5DB1"/>
    <w:rsid w:val="00EB6603"/>
    <w:rsid w:val="00EB6688"/>
    <w:rsid w:val="00EB74AE"/>
    <w:rsid w:val="00EB7710"/>
    <w:rsid w:val="00EB79DD"/>
    <w:rsid w:val="00EB7F3B"/>
    <w:rsid w:val="00EC0A72"/>
    <w:rsid w:val="00EC1353"/>
    <w:rsid w:val="00EC1D87"/>
    <w:rsid w:val="00EC1EFD"/>
    <w:rsid w:val="00EC272E"/>
    <w:rsid w:val="00EC2892"/>
    <w:rsid w:val="00EC2915"/>
    <w:rsid w:val="00EC29C1"/>
    <w:rsid w:val="00EC2B13"/>
    <w:rsid w:val="00EC2B88"/>
    <w:rsid w:val="00EC32A1"/>
    <w:rsid w:val="00EC347B"/>
    <w:rsid w:val="00EC3F37"/>
    <w:rsid w:val="00EC48A4"/>
    <w:rsid w:val="00EC4B4C"/>
    <w:rsid w:val="00EC5404"/>
    <w:rsid w:val="00EC5599"/>
    <w:rsid w:val="00EC6A9E"/>
    <w:rsid w:val="00EC6C4A"/>
    <w:rsid w:val="00EC7D92"/>
    <w:rsid w:val="00EC7FA9"/>
    <w:rsid w:val="00ED0146"/>
    <w:rsid w:val="00ED03E2"/>
    <w:rsid w:val="00ED04DF"/>
    <w:rsid w:val="00ED13AF"/>
    <w:rsid w:val="00ED13D8"/>
    <w:rsid w:val="00ED1826"/>
    <w:rsid w:val="00ED2144"/>
    <w:rsid w:val="00ED262A"/>
    <w:rsid w:val="00ED275B"/>
    <w:rsid w:val="00ED2B21"/>
    <w:rsid w:val="00ED2D05"/>
    <w:rsid w:val="00ED2EF5"/>
    <w:rsid w:val="00ED3B8D"/>
    <w:rsid w:val="00ED3FC4"/>
    <w:rsid w:val="00ED4947"/>
    <w:rsid w:val="00ED4ECE"/>
    <w:rsid w:val="00ED5C32"/>
    <w:rsid w:val="00ED5DD4"/>
    <w:rsid w:val="00ED6A72"/>
    <w:rsid w:val="00ED6B06"/>
    <w:rsid w:val="00ED7BC5"/>
    <w:rsid w:val="00EE0367"/>
    <w:rsid w:val="00EE05D3"/>
    <w:rsid w:val="00EE09D6"/>
    <w:rsid w:val="00EE2684"/>
    <w:rsid w:val="00EE2B67"/>
    <w:rsid w:val="00EE3A3C"/>
    <w:rsid w:val="00EE459D"/>
    <w:rsid w:val="00EE4DC3"/>
    <w:rsid w:val="00EE51E5"/>
    <w:rsid w:val="00EE52C6"/>
    <w:rsid w:val="00EE5372"/>
    <w:rsid w:val="00EE5479"/>
    <w:rsid w:val="00EE588A"/>
    <w:rsid w:val="00EE5BB8"/>
    <w:rsid w:val="00EE6C2F"/>
    <w:rsid w:val="00EE6C9B"/>
    <w:rsid w:val="00EE6ECA"/>
    <w:rsid w:val="00EE7789"/>
    <w:rsid w:val="00EF11EB"/>
    <w:rsid w:val="00EF1293"/>
    <w:rsid w:val="00EF1AC8"/>
    <w:rsid w:val="00EF1D20"/>
    <w:rsid w:val="00EF244D"/>
    <w:rsid w:val="00EF2688"/>
    <w:rsid w:val="00EF2778"/>
    <w:rsid w:val="00EF442A"/>
    <w:rsid w:val="00EF4F09"/>
    <w:rsid w:val="00EF51A9"/>
    <w:rsid w:val="00EF5B3B"/>
    <w:rsid w:val="00EF5C17"/>
    <w:rsid w:val="00EF5D0C"/>
    <w:rsid w:val="00EF6385"/>
    <w:rsid w:val="00EF64AB"/>
    <w:rsid w:val="00EF67B5"/>
    <w:rsid w:val="00EF71CB"/>
    <w:rsid w:val="00EF7B43"/>
    <w:rsid w:val="00EF7BCE"/>
    <w:rsid w:val="00F01269"/>
    <w:rsid w:val="00F01542"/>
    <w:rsid w:val="00F015FD"/>
    <w:rsid w:val="00F0185C"/>
    <w:rsid w:val="00F02304"/>
    <w:rsid w:val="00F024AD"/>
    <w:rsid w:val="00F02572"/>
    <w:rsid w:val="00F028C4"/>
    <w:rsid w:val="00F02B36"/>
    <w:rsid w:val="00F02FE3"/>
    <w:rsid w:val="00F0441A"/>
    <w:rsid w:val="00F04424"/>
    <w:rsid w:val="00F04FE8"/>
    <w:rsid w:val="00F0547D"/>
    <w:rsid w:val="00F05593"/>
    <w:rsid w:val="00F066B3"/>
    <w:rsid w:val="00F07684"/>
    <w:rsid w:val="00F0793F"/>
    <w:rsid w:val="00F1073A"/>
    <w:rsid w:val="00F109ED"/>
    <w:rsid w:val="00F10E86"/>
    <w:rsid w:val="00F1155D"/>
    <w:rsid w:val="00F11D4E"/>
    <w:rsid w:val="00F11D7C"/>
    <w:rsid w:val="00F1224E"/>
    <w:rsid w:val="00F12465"/>
    <w:rsid w:val="00F138CB"/>
    <w:rsid w:val="00F14082"/>
    <w:rsid w:val="00F146C3"/>
    <w:rsid w:val="00F1480B"/>
    <w:rsid w:val="00F14AA1"/>
    <w:rsid w:val="00F14C6E"/>
    <w:rsid w:val="00F14DB5"/>
    <w:rsid w:val="00F14E01"/>
    <w:rsid w:val="00F15E3B"/>
    <w:rsid w:val="00F16026"/>
    <w:rsid w:val="00F16216"/>
    <w:rsid w:val="00F16B0A"/>
    <w:rsid w:val="00F16B84"/>
    <w:rsid w:val="00F16F5E"/>
    <w:rsid w:val="00F17443"/>
    <w:rsid w:val="00F17AED"/>
    <w:rsid w:val="00F17F36"/>
    <w:rsid w:val="00F2071B"/>
    <w:rsid w:val="00F20F29"/>
    <w:rsid w:val="00F22322"/>
    <w:rsid w:val="00F223C7"/>
    <w:rsid w:val="00F22C56"/>
    <w:rsid w:val="00F23225"/>
    <w:rsid w:val="00F23226"/>
    <w:rsid w:val="00F235E1"/>
    <w:rsid w:val="00F236B2"/>
    <w:rsid w:val="00F23BC5"/>
    <w:rsid w:val="00F2452D"/>
    <w:rsid w:val="00F2513A"/>
    <w:rsid w:val="00F25582"/>
    <w:rsid w:val="00F25AEF"/>
    <w:rsid w:val="00F25D63"/>
    <w:rsid w:val="00F26F89"/>
    <w:rsid w:val="00F275A2"/>
    <w:rsid w:val="00F278ED"/>
    <w:rsid w:val="00F30828"/>
    <w:rsid w:val="00F31DB4"/>
    <w:rsid w:val="00F31EDE"/>
    <w:rsid w:val="00F32AF0"/>
    <w:rsid w:val="00F32AF4"/>
    <w:rsid w:val="00F3305B"/>
    <w:rsid w:val="00F3331E"/>
    <w:rsid w:val="00F33CCA"/>
    <w:rsid w:val="00F341EF"/>
    <w:rsid w:val="00F343E4"/>
    <w:rsid w:val="00F34B24"/>
    <w:rsid w:val="00F34E86"/>
    <w:rsid w:val="00F351EE"/>
    <w:rsid w:val="00F36664"/>
    <w:rsid w:val="00F36CF1"/>
    <w:rsid w:val="00F36F68"/>
    <w:rsid w:val="00F370B4"/>
    <w:rsid w:val="00F370CC"/>
    <w:rsid w:val="00F373DE"/>
    <w:rsid w:val="00F37419"/>
    <w:rsid w:val="00F37D02"/>
    <w:rsid w:val="00F37D6A"/>
    <w:rsid w:val="00F37DD8"/>
    <w:rsid w:val="00F40454"/>
    <w:rsid w:val="00F404AE"/>
    <w:rsid w:val="00F409D1"/>
    <w:rsid w:val="00F40A4E"/>
    <w:rsid w:val="00F40AF1"/>
    <w:rsid w:val="00F41761"/>
    <w:rsid w:val="00F41A76"/>
    <w:rsid w:val="00F41F95"/>
    <w:rsid w:val="00F41FAA"/>
    <w:rsid w:val="00F426FE"/>
    <w:rsid w:val="00F42CCA"/>
    <w:rsid w:val="00F43D05"/>
    <w:rsid w:val="00F449FB"/>
    <w:rsid w:val="00F44AE7"/>
    <w:rsid w:val="00F45421"/>
    <w:rsid w:val="00F45A4C"/>
    <w:rsid w:val="00F468C4"/>
    <w:rsid w:val="00F468E3"/>
    <w:rsid w:val="00F46DDB"/>
    <w:rsid w:val="00F47000"/>
    <w:rsid w:val="00F47B2E"/>
    <w:rsid w:val="00F5027B"/>
    <w:rsid w:val="00F5086F"/>
    <w:rsid w:val="00F511F5"/>
    <w:rsid w:val="00F51AC2"/>
    <w:rsid w:val="00F51B45"/>
    <w:rsid w:val="00F51F5D"/>
    <w:rsid w:val="00F5287D"/>
    <w:rsid w:val="00F53324"/>
    <w:rsid w:val="00F53C5E"/>
    <w:rsid w:val="00F55320"/>
    <w:rsid w:val="00F554C4"/>
    <w:rsid w:val="00F5556A"/>
    <w:rsid w:val="00F55629"/>
    <w:rsid w:val="00F55E04"/>
    <w:rsid w:val="00F5613A"/>
    <w:rsid w:val="00F56A54"/>
    <w:rsid w:val="00F56B99"/>
    <w:rsid w:val="00F56C45"/>
    <w:rsid w:val="00F56E52"/>
    <w:rsid w:val="00F57114"/>
    <w:rsid w:val="00F57F9C"/>
    <w:rsid w:val="00F60B56"/>
    <w:rsid w:val="00F60BF6"/>
    <w:rsid w:val="00F610F4"/>
    <w:rsid w:val="00F61B3F"/>
    <w:rsid w:val="00F622BE"/>
    <w:rsid w:val="00F62745"/>
    <w:rsid w:val="00F62B75"/>
    <w:rsid w:val="00F63D25"/>
    <w:rsid w:val="00F640EF"/>
    <w:rsid w:val="00F64582"/>
    <w:rsid w:val="00F65A2E"/>
    <w:rsid w:val="00F6610F"/>
    <w:rsid w:val="00F66EF9"/>
    <w:rsid w:val="00F66EFE"/>
    <w:rsid w:val="00F67021"/>
    <w:rsid w:val="00F67BC7"/>
    <w:rsid w:val="00F67C83"/>
    <w:rsid w:val="00F70B05"/>
    <w:rsid w:val="00F727E4"/>
    <w:rsid w:val="00F729BB"/>
    <w:rsid w:val="00F731C2"/>
    <w:rsid w:val="00F74F0B"/>
    <w:rsid w:val="00F74FC4"/>
    <w:rsid w:val="00F75527"/>
    <w:rsid w:val="00F76255"/>
    <w:rsid w:val="00F76839"/>
    <w:rsid w:val="00F76B52"/>
    <w:rsid w:val="00F77115"/>
    <w:rsid w:val="00F778E2"/>
    <w:rsid w:val="00F8004F"/>
    <w:rsid w:val="00F8160A"/>
    <w:rsid w:val="00F8211D"/>
    <w:rsid w:val="00F833ED"/>
    <w:rsid w:val="00F8410E"/>
    <w:rsid w:val="00F8638C"/>
    <w:rsid w:val="00F863CD"/>
    <w:rsid w:val="00F86B66"/>
    <w:rsid w:val="00F86CD7"/>
    <w:rsid w:val="00F871E7"/>
    <w:rsid w:val="00F873A2"/>
    <w:rsid w:val="00F900D7"/>
    <w:rsid w:val="00F90119"/>
    <w:rsid w:val="00F90C6A"/>
    <w:rsid w:val="00F911C7"/>
    <w:rsid w:val="00F917DE"/>
    <w:rsid w:val="00F91AD9"/>
    <w:rsid w:val="00F91C71"/>
    <w:rsid w:val="00F92347"/>
    <w:rsid w:val="00F9269F"/>
    <w:rsid w:val="00F92931"/>
    <w:rsid w:val="00F92C6B"/>
    <w:rsid w:val="00F94217"/>
    <w:rsid w:val="00F94A40"/>
    <w:rsid w:val="00F94F0E"/>
    <w:rsid w:val="00F95073"/>
    <w:rsid w:val="00F95646"/>
    <w:rsid w:val="00F95B4B"/>
    <w:rsid w:val="00F962D9"/>
    <w:rsid w:val="00F96BC0"/>
    <w:rsid w:val="00F97A19"/>
    <w:rsid w:val="00F97AF3"/>
    <w:rsid w:val="00F97B6C"/>
    <w:rsid w:val="00F97C01"/>
    <w:rsid w:val="00FA021F"/>
    <w:rsid w:val="00FA0563"/>
    <w:rsid w:val="00FA11C2"/>
    <w:rsid w:val="00FA1477"/>
    <w:rsid w:val="00FA1EC0"/>
    <w:rsid w:val="00FA1FBC"/>
    <w:rsid w:val="00FA274E"/>
    <w:rsid w:val="00FA2BBD"/>
    <w:rsid w:val="00FA328A"/>
    <w:rsid w:val="00FA35A5"/>
    <w:rsid w:val="00FA3899"/>
    <w:rsid w:val="00FA3D43"/>
    <w:rsid w:val="00FA4206"/>
    <w:rsid w:val="00FA4266"/>
    <w:rsid w:val="00FA44DA"/>
    <w:rsid w:val="00FA4836"/>
    <w:rsid w:val="00FA4E76"/>
    <w:rsid w:val="00FA50A3"/>
    <w:rsid w:val="00FA575A"/>
    <w:rsid w:val="00FA7027"/>
    <w:rsid w:val="00FA7289"/>
    <w:rsid w:val="00FA7C31"/>
    <w:rsid w:val="00FA7C56"/>
    <w:rsid w:val="00FB01CB"/>
    <w:rsid w:val="00FB06AB"/>
    <w:rsid w:val="00FB0B4D"/>
    <w:rsid w:val="00FB1408"/>
    <w:rsid w:val="00FB1532"/>
    <w:rsid w:val="00FB2CAB"/>
    <w:rsid w:val="00FB4430"/>
    <w:rsid w:val="00FB51B0"/>
    <w:rsid w:val="00FB5D40"/>
    <w:rsid w:val="00FB6910"/>
    <w:rsid w:val="00FB6AD7"/>
    <w:rsid w:val="00FB6D3C"/>
    <w:rsid w:val="00FB7226"/>
    <w:rsid w:val="00FB7740"/>
    <w:rsid w:val="00FB7B33"/>
    <w:rsid w:val="00FB7F5D"/>
    <w:rsid w:val="00FC07DB"/>
    <w:rsid w:val="00FC0D7D"/>
    <w:rsid w:val="00FC134D"/>
    <w:rsid w:val="00FC159D"/>
    <w:rsid w:val="00FC1C6D"/>
    <w:rsid w:val="00FC239F"/>
    <w:rsid w:val="00FC3280"/>
    <w:rsid w:val="00FC35E8"/>
    <w:rsid w:val="00FC3C88"/>
    <w:rsid w:val="00FC3C92"/>
    <w:rsid w:val="00FC3D7E"/>
    <w:rsid w:val="00FC4574"/>
    <w:rsid w:val="00FC4692"/>
    <w:rsid w:val="00FC4D60"/>
    <w:rsid w:val="00FC58DA"/>
    <w:rsid w:val="00FC5A7E"/>
    <w:rsid w:val="00FC6250"/>
    <w:rsid w:val="00FC633A"/>
    <w:rsid w:val="00FC6CB6"/>
    <w:rsid w:val="00FC6F0D"/>
    <w:rsid w:val="00FC7CC0"/>
    <w:rsid w:val="00FD0738"/>
    <w:rsid w:val="00FD0BED"/>
    <w:rsid w:val="00FD170B"/>
    <w:rsid w:val="00FD221A"/>
    <w:rsid w:val="00FD2727"/>
    <w:rsid w:val="00FD2EA8"/>
    <w:rsid w:val="00FD3756"/>
    <w:rsid w:val="00FD3EC1"/>
    <w:rsid w:val="00FD4E20"/>
    <w:rsid w:val="00FD642F"/>
    <w:rsid w:val="00FD658F"/>
    <w:rsid w:val="00FD6959"/>
    <w:rsid w:val="00FD698D"/>
    <w:rsid w:val="00FD6EFA"/>
    <w:rsid w:val="00FD6F23"/>
    <w:rsid w:val="00FD75CF"/>
    <w:rsid w:val="00FD77EF"/>
    <w:rsid w:val="00FD7F55"/>
    <w:rsid w:val="00FD7FD6"/>
    <w:rsid w:val="00FE00AE"/>
    <w:rsid w:val="00FE0222"/>
    <w:rsid w:val="00FE029B"/>
    <w:rsid w:val="00FE0E3A"/>
    <w:rsid w:val="00FE17E7"/>
    <w:rsid w:val="00FE2D96"/>
    <w:rsid w:val="00FE2F02"/>
    <w:rsid w:val="00FE38F0"/>
    <w:rsid w:val="00FE4237"/>
    <w:rsid w:val="00FE42DB"/>
    <w:rsid w:val="00FE4F22"/>
    <w:rsid w:val="00FE4F43"/>
    <w:rsid w:val="00FE5AB0"/>
    <w:rsid w:val="00FE6451"/>
    <w:rsid w:val="00FE6943"/>
    <w:rsid w:val="00FE696D"/>
    <w:rsid w:val="00FE6AA8"/>
    <w:rsid w:val="00FE7175"/>
    <w:rsid w:val="00FE7625"/>
    <w:rsid w:val="00FE7C08"/>
    <w:rsid w:val="00FE7D6A"/>
    <w:rsid w:val="00FF0101"/>
    <w:rsid w:val="00FF0919"/>
    <w:rsid w:val="00FF097F"/>
    <w:rsid w:val="00FF1181"/>
    <w:rsid w:val="00FF1626"/>
    <w:rsid w:val="00FF1E8A"/>
    <w:rsid w:val="00FF3A8B"/>
    <w:rsid w:val="00FF3AB1"/>
    <w:rsid w:val="00FF3D9F"/>
    <w:rsid w:val="00FF43D4"/>
    <w:rsid w:val="00FF45BD"/>
    <w:rsid w:val="00FF47AF"/>
    <w:rsid w:val="00FF47F5"/>
    <w:rsid w:val="00FF4870"/>
    <w:rsid w:val="00FF53CD"/>
    <w:rsid w:val="00FF5670"/>
    <w:rsid w:val="00FF56B7"/>
    <w:rsid w:val="00FF6128"/>
    <w:rsid w:val="00FF62BC"/>
    <w:rsid w:val="00FF62F4"/>
    <w:rsid w:val="00FF66C3"/>
    <w:rsid w:val="00FF67B0"/>
    <w:rsid w:val="00FF680E"/>
    <w:rsid w:val="00FF6B55"/>
    <w:rsid w:val="00FF6D57"/>
    <w:rsid w:val="00FF6F60"/>
    <w:rsid w:val="00FF7207"/>
    <w:rsid w:val="00FF73C2"/>
    <w:rsid w:val="00FF7D17"/>
    <w:rsid w:val="00FF7EC0"/>
    <w:rsid w:val="010C555A"/>
    <w:rsid w:val="011224FE"/>
    <w:rsid w:val="01343E1F"/>
    <w:rsid w:val="0139378E"/>
    <w:rsid w:val="015064FA"/>
    <w:rsid w:val="0155301D"/>
    <w:rsid w:val="0167130E"/>
    <w:rsid w:val="01783BDB"/>
    <w:rsid w:val="017D4D3A"/>
    <w:rsid w:val="017E16E3"/>
    <w:rsid w:val="019D55FE"/>
    <w:rsid w:val="01A03AD6"/>
    <w:rsid w:val="01C66596"/>
    <w:rsid w:val="01EA5B99"/>
    <w:rsid w:val="01F13570"/>
    <w:rsid w:val="01F77B1F"/>
    <w:rsid w:val="01FF0067"/>
    <w:rsid w:val="02090B42"/>
    <w:rsid w:val="020C4532"/>
    <w:rsid w:val="021624D9"/>
    <w:rsid w:val="022707A9"/>
    <w:rsid w:val="022D4805"/>
    <w:rsid w:val="024164DA"/>
    <w:rsid w:val="02521E84"/>
    <w:rsid w:val="0254319C"/>
    <w:rsid w:val="0263637C"/>
    <w:rsid w:val="0267398C"/>
    <w:rsid w:val="02861BF3"/>
    <w:rsid w:val="029F3581"/>
    <w:rsid w:val="02A06670"/>
    <w:rsid w:val="02A8425B"/>
    <w:rsid w:val="02C32E43"/>
    <w:rsid w:val="02E358DE"/>
    <w:rsid w:val="03045209"/>
    <w:rsid w:val="031E62CB"/>
    <w:rsid w:val="035C65E1"/>
    <w:rsid w:val="03685798"/>
    <w:rsid w:val="036B7D08"/>
    <w:rsid w:val="037732C7"/>
    <w:rsid w:val="038C592B"/>
    <w:rsid w:val="038C6FFE"/>
    <w:rsid w:val="03920134"/>
    <w:rsid w:val="039F7D41"/>
    <w:rsid w:val="03AD764F"/>
    <w:rsid w:val="03B55A4D"/>
    <w:rsid w:val="03EB275C"/>
    <w:rsid w:val="03F23D0A"/>
    <w:rsid w:val="04124462"/>
    <w:rsid w:val="04165086"/>
    <w:rsid w:val="041740DE"/>
    <w:rsid w:val="041B1368"/>
    <w:rsid w:val="041C05BB"/>
    <w:rsid w:val="04221DEB"/>
    <w:rsid w:val="043755A5"/>
    <w:rsid w:val="04447FB3"/>
    <w:rsid w:val="045B63A0"/>
    <w:rsid w:val="0462668B"/>
    <w:rsid w:val="046E3819"/>
    <w:rsid w:val="048028BE"/>
    <w:rsid w:val="04965FB5"/>
    <w:rsid w:val="049D394E"/>
    <w:rsid w:val="04B736E8"/>
    <w:rsid w:val="04BB1570"/>
    <w:rsid w:val="04C51ABA"/>
    <w:rsid w:val="04CC477F"/>
    <w:rsid w:val="04D54C4A"/>
    <w:rsid w:val="04E87DBA"/>
    <w:rsid w:val="04EE6171"/>
    <w:rsid w:val="050769A3"/>
    <w:rsid w:val="051054BA"/>
    <w:rsid w:val="05177A3F"/>
    <w:rsid w:val="051B2158"/>
    <w:rsid w:val="05203C3C"/>
    <w:rsid w:val="05345979"/>
    <w:rsid w:val="05400619"/>
    <w:rsid w:val="0569194D"/>
    <w:rsid w:val="056C67D1"/>
    <w:rsid w:val="05701DE5"/>
    <w:rsid w:val="057A5434"/>
    <w:rsid w:val="057B088D"/>
    <w:rsid w:val="05A5395E"/>
    <w:rsid w:val="05A5556F"/>
    <w:rsid w:val="05C226D2"/>
    <w:rsid w:val="05C32E8F"/>
    <w:rsid w:val="05C93DFF"/>
    <w:rsid w:val="05D069D9"/>
    <w:rsid w:val="05F32CE5"/>
    <w:rsid w:val="05FF2170"/>
    <w:rsid w:val="0634080E"/>
    <w:rsid w:val="067D4056"/>
    <w:rsid w:val="06875229"/>
    <w:rsid w:val="069D2A73"/>
    <w:rsid w:val="06A00547"/>
    <w:rsid w:val="06B244F7"/>
    <w:rsid w:val="06E66B95"/>
    <w:rsid w:val="06ED4932"/>
    <w:rsid w:val="074F3A97"/>
    <w:rsid w:val="075C1AB8"/>
    <w:rsid w:val="076931F2"/>
    <w:rsid w:val="07716AF9"/>
    <w:rsid w:val="07854D3E"/>
    <w:rsid w:val="07AC1DF4"/>
    <w:rsid w:val="07B90CB8"/>
    <w:rsid w:val="07BD3C84"/>
    <w:rsid w:val="07CD206E"/>
    <w:rsid w:val="07DB3012"/>
    <w:rsid w:val="07EA2C20"/>
    <w:rsid w:val="07EA70C4"/>
    <w:rsid w:val="07ED0962"/>
    <w:rsid w:val="08147C9D"/>
    <w:rsid w:val="08161CD1"/>
    <w:rsid w:val="08206641"/>
    <w:rsid w:val="082A6F7C"/>
    <w:rsid w:val="084F33CB"/>
    <w:rsid w:val="085032DE"/>
    <w:rsid w:val="085C58D0"/>
    <w:rsid w:val="08844E22"/>
    <w:rsid w:val="089B35A4"/>
    <w:rsid w:val="089F35DF"/>
    <w:rsid w:val="08A13C26"/>
    <w:rsid w:val="08C835F4"/>
    <w:rsid w:val="08D579D6"/>
    <w:rsid w:val="08EF05D7"/>
    <w:rsid w:val="09277E8E"/>
    <w:rsid w:val="09322AD0"/>
    <w:rsid w:val="09485BF3"/>
    <w:rsid w:val="095206FD"/>
    <w:rsid w:val="09562917"/>
    <w:rsid w:val="09623FE0"/>
    <w:rsid w:val="0966277A"/>
    <w:rsid w:val="09955467"/>
    <w:rsid w:val="09B216AF"/>
    <w:rsid w:val="0A136187"/>
    <w:rsid w:val="0A296CB3"/>
    <w:rsid w:val="0A2C39C3"/>
    <w:rsid w:val="0A2D4FE0"/>
    <w:rsid w:val="0A373D8A"/>
    <w:rsid w:val="0A3E54A5"/>
    <w:rsid w:val="0A3F11F2"/>
    <w:rsid w:val="0A4114B2"/>
    <w:rsid w:val="0A514815"/>
    <w:rsid w:val="0A660074"/>
    <w:rsid w:val="0AB243BE"/>
    <w:rsid w:val="0AB25EC7"/>
    <w:rsid w:val="0AC309C6"/>
    <w:rsid w:val="0AFF4AFA"/>
    <w:rsid w:val="0B021C2D"/>
    <w:rsid w:val="0B064109"/>
    <w:rsid w:val="0B0706CB"/>
    <w:rsid w:val="0B0A4B64"/>
    <w:rsid w:val="0B2B4B1C"/>
    <w:rsid w:val="0B4623C0"/>
    <w:rsid w:val="0B5229BE"/>
    <w:rsid w:val="0B5A00BC"/>
    <w:rsid w:val="0B773A5D"/>
    <w:rsid w:val="0B7A57FA"/>
    <w:rsid w:val="0B7D0457"/>
    <w:rsid w:val="0B9037C7"/>
    <w:rsid w:val="0BA32A66"/>
    <w:rsid w:val="0BA44A52"/>
    <w:rsid w:val="0BC11A15"/>
    <w:rsid w:val="0BCE4606"/>
    <w:rsid w:val="0BF70001"/>
    <w:rsid w:val="0C003508"/>
    <w:rsid w:val="0C2F32F7"/>
    <w:rsid w:val="0C4A3737"/>
    <w:rsid w:val="0C694173"/>
    <w:rsid w:val="0C9608CB"/>
    <w:rsid w:val="0C9B6BDE"/>
    <w:rsid w:val="0CCA5CBA"/>
    <w:rsid w:val="0CE82A48"/>
    <w:rsid w:val="0CF40FDA"/>
    <w:rsid w:val="0D043B1E"/>
    <w:rsid w:val="0D0871AD"/>
    <w:rsid w:val="0D2A6A2B"/>
    <w:rsid w:val="0D40588F"/>
    <w:rsid w:val="0D42549E"/>
    <w:rsid w:val="0D4330C4"/>
    <w:rsid w:val="0D607838"/>
    <w:rsid w:val="0D827B6E"/>
    <w:rsid w:val="0D984ECC"/>
    <w:rsid w:val="0DA92A95"/>
    <w:rsid w:val="0DAB0E22"/>
    <w:rsid w:val="0DAE649D"/>
    <w:rsid w:val="0DB63F61"/>
    <w:rsid w:val="0DC9777B"/>
    <w:rsid w:val="0DDB6F3F"/>
    <w:rsid w:val="0DF34C7D"/>
    <w:rsid w:val="0DF539E8"/>
    <w:rsid w:val="0DF950D0"/>
    <w:rsid w:val="0DFB60DA"/>
    <w:rsid w:val="0E0B38F0"/>
    <w:rsid w:val="0E1A2709"/>
    <w:rsid w:val="0E34011B"/>
    <w:rsid w:val="0E345BC0"/>
    <w:rsid w:val="0E40223A"/>
    <w:rsid w:val="0E536488"/>
    <w:rsid w:val="0E7414C9"/>
    <w:rsid w:val="0E75778E"/>
    <w:rsid w:val="0E95610E"/>
    <w:rsid w:val="0E9D32AB"/>
    <w:rsid w:val="0EA05236"/>
    <w:rsid w:val="0EAB1918"/>
    <w:rsid w:val="0EB51DC1"/>
    <w:rsid w:val="0EC07C41"/>
    <w:rsid w:val="0EC42C1B"/>
    <w:rsid w:val="0ED927E2"/>
    <w:rsid w:val="0EE53289"/>
    <w:rsid w:val="0EF13EB7"/>
    <w:rsid w:val="0F0D1285"/>
    <w:rsid w:val="0F135152"/>
    <w:rsid w:val="0F141E3E"/>
    <w:rsid w:val="0F3020DD"/>
    <w:rsid w:val="0F346249"/>
    <w:rsid w:val="0F4309D7"/>
    <w:rsid w:val="0F4E6CC3"/>
    <w:rsid w:val="0F574A7F"/>
    <w:rsid w:val="0F615EBD"/>
    <w:rsid w:val="0F70041D"/>
    <w:rsid w:val="0F983143"/>
    <w:rsid w:val="0FA82F44"/>
    <w:rsid w:val="0FAC6704"/>
    <w:rsid w:val="0FC34737"/>
    <w:rsid w:val="0FCF460E"/>
    <w:rsid w:val="0FD42B11"/>
    <w:rsid w:val="0FD967CF"/>
    <w:rsid w:val="0FDD306A"/>
    <w:rsid w:val="0FFA1FD3"/>
    <w:rsid w:val="1007150B"/>
    <w:rsid w:val="10163890"/>
    <w:rsid w:val="1017657C"/>
    <w:rsid w:val="10195848"/>
    <w:rsid w:val="102806CD"/>
    <w:rsid w:val="103477E1"/>
    <w:rsid w:val="103D03A3"/>
    <w:rsid w:val="104B17E4"/>
    <w:rsid w:val="10507339"/>
    <w:rsid w:val="10594A08"/>
    <w:rsid w:val="10854085"/>
    <w:rsid w:val="108A31F2"/>
    <w:rsid w:val="108C51BC"/>
    <w:rsid w:val="109F5B75"/>
    <w:rsid w:val="10A0731E"/>
    <w:rsid w:val="10A80A87"/>
    <w:rsid w:val="10B85FB1"/>
    <w:rsid w:val="10BF1855"/>
    <w:rsid w:val="10C301A8"/>
    <w:rsid w:val="10D40911"/>
    <w:rsid w:val="10EE1C5A"/>
    <w:rsid w:val="1118788E"/>
    <w:rsid w:val="111A2D88"/>
    <w:rsid w:val="111D2249"/>
    <w:rsid w:val="11412771"/>
    <w:rsid w:val="114145F4"/>
    <w:rsid w:val="114723DB"/>
    <w:rsid w:val="115D229C"/>
    <w:rsid w:val="11877D9F"/>
    <w:rsid w:val="118E3A13"/>
    <w:rsid w:val="119B31DD"/>
    <w:rsid w:val="11A94804"/>
    <w:rsid w:val="11AF29A7"/>
    <w:rsid w:val="11C0052E"/>
    <w:rsid w:val="11D07A25"/>
    <w:rsid w:val="11DC4CA7"/>
    <w:rsid w:val="11DC6231"/>
    <w:rsid w:val="12377173"/>
    <w:rsid w:val="123827CE"/>
    <w:rsid w:val="12394A8E"/>
    <w:rsid w:val="123D5DA2"/>
    <w:rsid w:val="123E3773"/>
    <w:rsid w:val="124B30FD"/>
    <w:rsid w:val="124B5A0F"/>
    <w:rsid w:val="12586C39"/>
    <w:rsid w:val="126A499B"/>
    <w:rsid w:val="12773960"/>
    <w:rsid w:val="12865C3B"/>
    <w:rsid w:val="128E0FD0"/>
    <w:rsid w:val="129F381C"/>
    <w:rsid w:val="12A129EB"/>
    <w:rsid w:val="12AB6427"/>
    <w:rsid w:val="12AB7493"/>
    <w:rsid w:val="12AF1FCF"/>
    <w:rsid w:val="12C97D91"/>
    <w:rsid w:val="12D73EB3"/>
    <w:rsid w:val="12E32EDE"/>
    <w:rsid w:val="12E75CBF"/>
    <w:rsid w:val="13023513"/>
    <w:rsid w:val="13292DE0"/>
    <w:rsid w:val="134F427F"/>
    <w:rsid w:val="135F295C"/>
    <w:rsid w:val="13761EAE"/>
    <w:rsid w:val="137B10C2"/>
    <w:rsid w:val="13873A19"/>
    <w:rsid w:val="13880B6C"/>
    <w:rsid w:val="13926548"/>
    <w:rsid w:val="13954387"/>
    <w:rsid w:val="139A1147"/>
    <w:rsid w:val="139C08D2"/>
    <w:rsid w:val="13B5412C"/>
    <w:rsid w:val="13B9011A"/>
    <w:rsid w:val="13BE1478"/>
    <w:rsid w:val="13C10201"/>
    <w:rsid w:val="13C457DA"/>
    <w:rsid w:val="13E66BA9"/>
    <w:rsid w:val="13F5216A"/>
    <w:rsid w:val="140C50F1"/>
    <w:rsid w:val="141A068F"/>
    <w:rsid w:val="141E09F3"/>
    <w:rsid w:val="141F1EA3"/>
    <w:rsid w:val="142F2DDA"/>
    <w:rsid w:val="144E6F54"/>
    <w:rsid w:val="145C46DF"/>
    <w:rsid w:val="14627FE2"/>
    <w:rsid w:val="14772A73"/>
    <w:rsid w:val="147C5547"/>
    <w:rsid w:val="149845D8"/>
    <w:rsid w:val="14A10F94"/>
    <w:rsid w:val="14BB0C18"/>
    <w:rsid w:val="14C73883"/>
    <w:rsid w:val="14D82CFE"/>
    <w:rsid w:val="14FB1D3F"/>
    <w:rsid w:val="14FE7D0A"/>
    <w:rsid w:val="15000793"/>
    <w:rsid w:val="150F0169"/>
    <w:rsid w:val="15125204"/>
    <w:rsid w:val="15235B6D"/>
    <w:rsid w:val="154C6C54"/>
    <w:rsid w:val="15557480"/>
    <w:rsid w:val="158A5A42"/>
    <w:rsid w:val="158B147D"/>
    <w:rsid w:val="158F3C06"/>
    <w:rsid w:val="159A3655"/>
    <w:rsid w:val="15A37B93"/>
    <w:rsid w:val="15C20F62"/>
    <w:rsid w:val="15D4540B"/>
    <w:rsid w:val="15DF5D8E"/>
    <w:rsid w:val="15E61529"/>
    <w:rsid w:val="161E0D86"/>
    <w:rsid w:val="163B09C1"/>
    <w:rsid w:val="165B7F9E"/>
    <w:rsid w:val="167270ED"/>
    <w:rsid w:val="167A721E"/>
    <w:rsid w:val="169F20F0"/>
    <w:rsid w:val="16A80D46"/>
    <w:rsid w:val="16A8357F"/>
    <w:rsid w:val="16AF095C"/>
    <w:rsid w:val="16C954B9"/>
    <w:rsid w:val="16D3646B"/>
    <w:rsid w:val="16DC407B"/>
    <w:rsid w:val="16E178E4"/>
    <w:rsid w:val="16F70437"/>
    <w:rsid w:val="16FA2ADC"/>
    <w:rsid w:val="17076407"/>
    <w:rsid w:val="17141EB2"/>
    <w:rsid w:val="172305BE"/>
    <w:rsid w:val="173C58DF"/>
    <w:rsid w:val="174E2EB7"/>
    <w:rsid w:val="17650515"/>
    <w:rsid w:val="1778161B"/>
    <w:rsid w:val="178B14E0"/>
    <w:rsid w:val="178C32DB"/>
    <w:rsid w:val="17B46C9D"/>
    <w:rsid w:val="17B678A0"/>
    <w:rsid w:val="17BB6EEA"/>
    <w:rsid w:val="17C81C85"/>
    <w:rsid w:val="17D808C5"/>
    <w:rsid w:val="17E547A3"/>
    <w:rsid w:val="17F3464E"/>
    <w:rsid w:val="17FF1FAC"/>
    <w:rsid w:val="18026A1B"/>
    <w:rsid w:val="180E4A7A"/>
    <w:rsid w:val="18185005"/>
    <w:rsid w:val="185C4733"/>
    <w:rsid w:val="187B091F"/>
    <w:rsid w:val="188A7C3C"/>
    <w:rsid w:val="189310B2"/>
    <w:rsid w:val="189A5F9C"/>
    <w:rsid w:val="18B42C61"/>
    <w:rsid w:val="18C96881"/>
    <w:rsid w:val="18CD49B0"/>
    <w:rsid w:val="18E216F1"/>
    <w:rsid w:val="18F90F15"/>
    <w:rsid w:val="190B4A31"/>
    <w:rsid w:val="19241D0A"/>
    <w:rsid w:val="192E7CCB"/>
    <w:rsid w:val="19324427"/>
    <w:rsid w:val="19386FF0"/>
    <w:rsid w:val="194674E2"/>
    <w:rsid w:val="194A6741"/>
    <w:rsid w:val="19687860"/>
    <w:rsid w:val="19776673"/>
    <w:rsid w:val="198364BE"/>
    <w:rsid w:val="198527A8"/>
    <w:rsid w:val="19A90B8D"/>
    <w:rsid w:val="19C239FC"/>
    <w:rsid w:val="19D465D8"/>
    <w:rsid w:val="19EE687E"/>
    <w:rsid w:val="19FA779B"/>
    <w:rsid w:val="1A0A60E9"/>
    <w:rsid w:val="1A180BC5"/>
    <w:rsid w:val="1A3105DC"/>
    <w:rsid w:val="1A545FC6"/>
    <w:rsid w:val="1A5756B2"/>
    <w:rsid w:val="1A5F3D37"/>
    <w:rsid w:val="1A630051"/>
    <w:rsid w:val="1A703458"/>
    <w:rsid w:val="1A8F30A6"/>
    <w:rsid w:val="1AF8344E"/>
    <w:rsid w:val="1AFF671E"/>
    <w:rsid w:val="1B313C9B"/>
    <w:rsid w:val="1B365E16"/>
    <w:rsid w:val="1B3A4574"/>
    <w:rsid w:val="1B3D4F7E"/>
    <w:rsid w:val="1B661988"/>
    <w:rsid w:val="1B8151F1"/>
    <w:rsid w:val="1B95115E"/>
    <w:rsid w:val="1BD55FBC"/>
    <w:rsid w:val="1BDA7737"/>
    <w:rsid w:val="1BDD4B1E"/>
    <w:rsid w:val="1C0F4EF3"/>
    <w:rsid w:val="1C264726"/>
    <w:rsid w:val="1C42661B"/>
    <w:rsid w:val="1C440A81"/>
    <w:rsid w:val="1C460A4A"/>
    <w:rsid w:val="1C4E419D"/>
    <w:rsid w:val="1C5803F8"/>
    <w:rsid w:val="1CAF0084"/>
    <w:rsid w:val="1D144C6E"/>
    <w:rsid w:val="1D266FB6"/>
    <w:rsid w:val="1D2F532A"/>
    <w:rsid w:val="1D333581"/>
    <w:rsid w:val="1D373C47"/>
    <w:rsid w:val="1D503CCE"/>
    <w:rsid w:val="1D5E2129"/>
    <w:rsid w:val="1D717AA2"/>
    <w:rsid w:val="1D7325C2"/>
    <w:rsid w:val="1D8F62F3"/>
    <w:rsid w:val="1DC83B88"/>
    <w:rsid w:val="1DD03F61"/>
    <w:rsid w:val="1DDC049F"/>
    <w:rsid w:val="1DED0BC4"/>
    <w:rsid w:val="1DFD41CE"/>
    <w:rsid w:val="1E0821D6"/>
    <w:rsid w:val="1E0C0164"/>
    <w:rsid w:val="1E0F195F"/>
    <w:rsid w:val="1E161016"/>
    <w:rsid w:val="1E193E07"/>
    <w:rsid w:val="1E1C1FB6"/>
    <w:rsid w:val="1E1D5A5B"/>
    <w:rsid w:val="1E347D99"/>
    <w:rsid w:val="1E513FF3"/>
    <w:rsid w:val="1E5C1B65"/>
    <w:rsid w:val="1E873E8D"/>
    <w:rsid w:val="1E8F0475"/>
    <w:rsid w:val="1E92219E"/>
    <w:rsid w:val="1E9A18CE"/>
    <w:rsid w:val="1E9E4A13"/>
    <w:rsid w:val="1EA27958"/>
    <w:rsid w:val="1EA641A8"/>
    <w:rsid w:val="1EB24B4E"/>
    <w:rsid w:val="1EB65EE0"/>
    <w:rsid w:val="1EC009FF"/>
    <w:rsid w:val="1EC21DA9"/>
    <w:rsid w:val="1EF82A21"/>
    <w:rsid w:val="1F374545"/>
    <w:rsid w:val="1F5305DE"/>
    <w:rsid w:val="1F535444"/>
    <w:rsid w:val="1F542020"/>
    <w:rsid w:val="1F59095F"/>
    <w:rsid w:val="1F5A46D7"/>
    <w:rsid w:val="1F7532BF"/>
    <w:rsid w:val="1F9101D8"/>
    <w:rsid w:val="1FA47AE6"/>
    <w:rsid w:val="1FCF03BF"/>
    <w:rsid w:val="1FCF1052"/>
    <w:rsid w:val="1FE676F1"/>
    <w:rsid w:val="1FF16338"/>
    <w:rsid w:val="20341BF8"/>
    <w:rsid w:val="204C04C4"/>
    <w:rsid w:val="20686931"/>
    <w:rsid w:val="207B66B3"/>
    <w:rsid w:val="208D3101"/>
    <w:rsid w:val="20915ED7"/>
    <w:rsid w:val="20A6645D"/>
    <w:rsid w:val="20C444FE"/>
    <w:rsid w:val="20EF3933"/>
    <w:rsid w:val="21120170"/>
    <w:rsid w:val="211B0BF1"/>
    <w:rsid w:val="215D5AE0"/>
    <w:rsid w:val="2178141F"/>
    <w:rsid w:val="2190618E"/>
    <w:rsid w:val="21C276C6"/>
    <w:rsid w:val="21F77FBB"/>
    <w:rsid w:val="21FA4AE9"/>
    <w:rsid w:val="22253382"/>
    <w:rsid w:val="22396190"/>
    <w:rsid w:val="223E208E"/>
    <w:rsid w:val="2245098C"/>
    <w:rsid w:val="224C7540"/>
    <w:rsid w:val="225418B2"/>
    <w:rsid w:val="22813E3B"/>
    <w:rsid w:val="228326E5"/>
    <w:rsid w:val="2288080F"/>
    <w:rsid w:val="22A82894"/>
    <w:rsid w:val="22CE3412"/>
    <w:rsid w:val="22CE5939"/>
    <w:rsid w:val="22D569A0"/>
    <w:rsid w:val="22D77C62"/>
    <w:rsid w:val="22E07BE3"/>
    <w:rsid w:val="22ED7C37"/>
    <w:rsid w:val="22F26211"/>
    <w:rsid w:val="233F6D50"/>
    <w:rsid w:val="2342170A"/>
    <w:rsid w:val="2366364A"/>
    <w:rsid w:val="23694EE9"/>
    <w:rsid w:val="23723779"/>
    <w:rsid w:val="237621A3"/>
    <w:rsid w:val="239C1B14"/>
    <w:rsid w:val="23C77CB4"/>
    <w:rsid w:val="23C94C24"/>
    <w:rsid w:val="23CB23F8"/>
    <w:rsid w:val="23D33350"/>
    <w:rsid w:val="23E74961"/>
    <w:rsid w:val="23FF13A9"/>
    <w:rsid w:val="240739F0"/>
    <w:rsid w:val="2410601E"/>
    <w:rsid w:val="24127BF4"/>
    <w:rsid w:val="242279F0"/>
    <w:rsid w:val="24315E72"/>
    <w:rsid w:val="24316771"/>
    <w:rsid w:val="24446996"/>
    <w:rsid w:val="245E2574"/>
    <w:rsid w:val="248C5097"/>
    <w:rsid w:val="24BA4E36"/>
    <w:rsid w:val="250F1AC0"/>
    <w:rsid w:val="2513598F"/>
    <w:rsid w:val="25277377"/>
    <w:rsid w:val="254C2D14"/>
    <w:rsid w:val="254F2B8B"/>
    <w:rsid w:val="25826E67"/>
    <w:rsid w:val="25864F36"/>
    <w:rsid w:val="25AB2D7A"/>
    <w:rsid w:val="25B610A5"/>
    <w:rsid w:val="25D77F7D"/>
    <w:rsid w:val="25D9601A"/>
    <w:rsid w:val="25DF1492"/>
    <w:rsid w:val="25F56AF2"/>
    <w:rsid w:val="25F6410F"/>
    <w:rsid w:val="25FB1F49"/>
    <w:rsid w:val="25FF7D86"/>
    <w:rsid w:val="260B3AF2"/>
    <w:rsid w:val="26175410"/>
    <w:rsid w:val="262B2929"/>
    <w:rsid w:val="263C2DB6"/>
    <w:rsid w:val="2644546E"/>
    <w:rsid w:val="264C6631"/>
    <w:rsid w:val="265754CC"/>
    <w:rsid w:val="265A320F"/>
    <w:rsid w:val="265F24C5"/>
    <w:rsid w:val="266877EA"/>
    <w:rsid w:val="26694CB8"/>
    <w:rsid w:val="26BF6625"/>
    <w:rsid w:val="26C3386D"/>
    <w:rsid w:val="270347BA"/>
    <w:rsid w:val="27085BFB"/>
    <w:rsid w:val="271C3ED0"/>
    <w:rsid w:val="271F0DEE"/>
    <w:rsid w:val="27202E82"/>
    <w:rsid w:val="272A6282"/>
    <w:rsid w:val="273743F1"/>
    <w:rsid w:val="27436F47"/>
    <w:rsid w:val="27987D44"/>
    <w:rsid w:val="27A8501C"/>
    <w:rsid w:val="27B0758A"/>
    <w:rsid w:val="27D76E3B"/>
    <w:rsid w:val="27E4467A"/>
    <w:rsid w:val="2804281E"/>
    <w:rsid w:val="281A7C8A"/>
    <w:rsid w:val="2825407B"/>
    <w:rsid w:val="282C7816"/>
    <w:rsid w:val="28305FD5"/>
    <w:rsid w:val="284F029B"/>
    <w:rsid w:val="28527A75"/>
    <w:rsid w:val="28620159"/>
    <w:rsid w:val="28625728"/>
    <w:rsid w:val="286957F3"/>
    <w:rsid w:val="287614C8"/>
    <w:rsid w:val="288240FF"/>
    <w:rsid w:val="28894A34"/>
    <w:rsid w:val="289152B0"/>
    <w:rsid w:val="28AD5571"/>
    <w:rsid w:val="28BB61E6"/>
    <w:rsid w:val="28C4406E"/>
    <w:rsid w:val="28D60F31"/>
    <w:rsid w:val="28ED3DDB"/>
    <w:rsid w:val="2903193C"/>
    <w:rsid w:val="291641EB"/>
    <w:rsid w:val="29184E96"/>
    <w:rsid w:val="29197B2F"/>
    <w:rsid w:val="2920604A"/>
    <w:rsid w:val="292728BE"/>
    <w:rsid w:val="2946477A"/>
    <w:rsid w:val="29584B90"/>
    <w:rsid w:val="29666D5B"/>
    <w:rsid w:val="297474BC"/>
    <w:rsid w:val="297D7484"/>
    <w:rsid w:val="298725EB"/>
    <w:rsid w:val="29A7165B"/>
    <w:rsid w:val="29AC3E33"/>
    <w:rsid w:val="29AD443F"/>
    <w:rsid w:val="29B7714B"/>
    <w:rsid w:val="29CE74E7"/>
    <w:rsid w:val="29D9384A"/>
    <w:rsid w:val="2A0F40B8"/>
    <w:rsid w:val="2A267271"/>
    <w:rsid w:val="2A4346E5"/>
    <w:rsid w:val="2A484217"/>
    <w:rsid w:val="2A783C63"/>
    <w:rsid w:val="2A7F09BF"/>
    <w:rsid w:val="2A862824"/>
    <w:rsid w:val="2A8D1AFD"/>
    <w:rsid w:val="2A8D770F"/>
    <w:rsid w:val="2A935A2A"/>
    <w:rsid w:val="2AAE68CB"/>
    <w:rsid w:val="2AC1560A"/>
    <w:rsid w:val="2ACC0E32"/>
    <w:rsid w:val="2B0112D9"/>
    <w:rsid w:val="2B1F6C7A"/>
    <w:rsid w:val="2B2007AA"/>
    <w:rsid w:val="2B2D2106"/>
    <w:rsid w:val="2B354638"/>
    <w:rsid w:val="2B412655"/>
    <w:rsid w:val="2B41357D"/>
    <w:rsid w:val="2B8F544A"/>
    <w:rsid w:val="2BDE46D5"/>
    <w:rsid w:val="2BEB08E4"/>
    <w:rsid w:val="2BEB6DE3"/>
    <w:rsid w:val="2C1125C1"/>
    <w:rsid w:val="2C1C7741"/>
    <w:rsid w:val="2C2D5CF7"/>
    <w:rsid w:val="2C33078A"/>
    <w:rsid w:val="2C7845A9"/>
    <w:rsid w:val="2C7A0461"/>
    <w:rsid w:val="2C864D5D"/>
    <w:rsid w:val="2C8F5C76"/>
    <w:rsid w:val="2C941296"/>
    <w:rsid w:val="2CBE5EC5"/>
    <w:rsid w:val="2CCE400E"/>
    <w:rsid w:val="2CE50B3E"/>
    <w:rsid w:val="2CEF5652"/>
    <w:rsid w:val="2D211F8B"/>
    <w:rsid w:val="2D2808DC"/>
    <w:rsid w:val="2D2B36D8"/>
    <w:rsid w:val="2D344D56"/>
    <w:rsid w:val="2D463D53"/>
    <w:rsid w:val="2D4A5D8B"/>
    <w:rsid w:val="2D6F659F"/>
    <w:rsid w:val="2D701C7C"/>
    <w:rsid w:val="2D91742F"/>
    <w:rsid w:val="2D977CB0"/>
    <w:rsid w:val="2D9C5E16"/>
    <w:rsid w:val="2DA21E19"/>
    <w:rsid w:val="2DBC39E1"/>
    <w:rsid w:val="2DC0604D"/>
    <w:rsid w:val="2DC642ED"/>
    <w:rsid w:val="2DEE172B"/>
    <w:rsid w:val="2DF027EB"/>
    <w:rsid w:val="2DF113C2"/>
    <w:rsid w:val="2DF13D0E"/>
    <w:rsid w:val="2DF66D0E"/>
    <w:rsid w:val="2E074D66"/>
    <w:rsid w:val="2E083CC9"/>
    <w:rsid w:val="2E0B6614"/>
    <w:rsid w:val="2E1076CE"/>
    <w:rsid w:val="2E387FCA"/>
    <w:rsid w:val="2E3F4299"/>
    <w:rsid w:val="2E5442E3"/>
    <w:rsid w:val="2E7C5476"/>
    <w:rsid w:val="2E884FDF"/>
    <w:rsid w:val="2E886FF6"/>
    <w:rsid w:val="2E8B0409"/>
    <w:rsid w:val="2E8B49D1"/>
    <w:rsid w:val="2EA77975"/>
    <w:rsid w:val="2EBF00B3"/>
    <w:rsid w:val="2ECE479A"/>
    <w:rsid w:val="2EF04710"/>
    <w:rsid w:val="2F125CDF"/>
    <w:rsid w:val="2F266D26"/>
    <w:rsid w:val="2F3075BA"/>
    <w:rsid w:val="2F372D57"/>
    <w:rsid w:val="2F376043"/>
    <w:rsid w:val="2F494525"/>
    <w:rsid w:val="2F4A14FC"/>
    <w:rsid w:val="2F4E083A"/>
    <w:rsid w:val="2F523172"/>
    <w:rsid w:val="2F7933EA"/>
    <w:rsid w:val="2F8D29E4"/>
    <w:rsid w:val="2F95018C"/>
    <w:rsid w:val="2FA8548D"/>
    <w:rsid w:val="2FAF6379"/>
    <w:rsid w:val="2FC260AC"/>
    <w:rsid w:val="2FCB1ED7"/>
    <w:rsid w:val="2FCE40E0"/>
    <w:rsid w:val="2FF876C5"/>
    <w:rsid w:val="300466C5"/>
    <w:rsid w:val="300A495A"/>
    <w:rsid w:val="301461DC"/>
    <w:rsid w:val="302C05D9"/>
    <w:rsid w:val="303139E4"/>
    <w:rsid w:val="304A34E0"/>
    <w:rsid w:val="305A1716"/>
    <w:rsid w:val="305B474A"/>
    <w:rsid w:val="305D274B"/>
    <w:rsid w:val="307F5119"/>
    <w:rsid w:val="309F3DF3"/>
    <w:rsid w:val="30A26718"/>
    <w:rsid w:val="30AF4D78"/>
    <w:rsid w:val="30BA0288"/>
    <w:rsid w:val="30C65728"/>
    <w:rsid w:val="30D32CE3"/>
    <w:rsid w:val="30E3443D"/>
    <w:rsid w:val="30EB518F"/>
    <w:rsid w:val="30F32296"/>
    <w:rsid w:val="311A02DC"/>
    <w:rsid w:val="312B788D"/>
    <w:rsid w:val="3145293B"/>
    <w:rsid w:val="31533147"/>
    <w:rsid w:val="315736D8"/>
    <w:rsid w:val="317A1BAC"/>
    <w:rsid w:val="317B5F68"/>
    <w:rsid w:val="31896E18"/>
    <w:rsid w:val="31A32E5F"/>
    <w:rsid w:val="31B71515"/>
    <w:rsid w:val="31C2234D"/>
    <w:rsid w:val="31C71704"/>
    <w:rsid w:val="31CE074C"/>
    <w:rsid w:val="31FF2950"/>
    <w:rsid w:val="3201033B"/>
    <w:rsid w:val="32141F30"/>
    <w:rsid w:val="321D4746"/>
    <w:rsid w:val="321F5090"/>
    <w:rsid w:val="3220530C"/>
    <w:rsid w:val="32250B75"/>
    <w:rsid w:val="322D595C"/>
    <w:rsid w:val="322F44D8"/>
    <w:rsid w:val="32532990"/>
    <w:rsid w:val="3254318D"/>
    <w:rsid w:val="325A2A82"/>
    <w:rsid w:val="327775A4"/>
    <w:rsid w:val="327C5A7B"/>
    <w:rsid w:val="328707EE"/>
    <w:rsid w:val="328A09D8"/>
    <w:rsid w:val="328B66B3"/>
    <w:rsid w:val="32905159"/>
    <w:rsid w:val="32C219E5"/>
    <w:rsid w:val="32C4213C"/>
    <w:rsid w:val="32C807D3"/>
    <w:rsid w:val="32C97623"/>
    <w:rsid w:val="32CD46FA"/>
    <w:rsid w:val="32F76CAC"/>
    <w:rsid w:val="32FB1250"/>
    <w:rsid w:val="330A262A"/>
    <w:rsid w:val="33410365"/>
    <w:rsid w:val="33604C72"/>
    <w:rsid w:val="33704071"/>
    <w:rsid w:val="337C33E4"/>
    <w:rsid w:val="338C30F1"/>
    <w:rsid w:val="33B7197E"/>
    <w:rsid w:val="33CF1164"/>
    <w:rsid w:val="33D377F4"/>
    <w:rsid w:val="33F20028"/>
    <w:rsid w:val="341B222F"/>
    <w:rsid w:val="34581C7A"/>
    <w:rsid w:val="3468176E"/>
    <w:rsid w:val="34973916"/>
    <w:rsid w:val="34B05C48"/>
    <w:rsid w:val="34C07321"/>
    <w:rsid w:val="34C26EA0"/>
    <w:rsid w:val="34CC4150"/>
    <w:rsid w:val="34D46338"/>
    <w:rsid w:val="34D649FA"/>
    <w:rsid w:val="34E05800"/>
    <w:rsid w:val="350601DC"/>
    <w:rsid w:val="352F3309"/>
    <w:rsid w:val="35325A82"/>
    <w:rsid w:val="35336E0D"/>
    <w:rsid w:val="35401C2F"/>
    <w:rsid w:val="35492DCC"/>
    <w:rsid w:val="3565547E"/>
    <w:rsid w:val="356E37B3"/>
    <w:rsid w:val="359A7184"/>
    <w:rsid w:val="35B7522E"/>
    <w:rsid w:val="35C27A69"/>
    <w:rsid w:val="35C5637F"/>
    <w:rsid w:val="35C81F43"/>
    <w:rsid w:val="35DA0547"/>
    <w:rsid w:val="35E42FF9"/>
    <w:rsid w:val="35F7563C"/>
    <w:rsid w:val="360A03EE"/>
    <w:rsid w:val="362938F2"/>
    <w:rsid w:val="36355DFA"/>
    <w:rsid w:val="36392E68"/>
    <w:rsid w:val="36521864"/>
    <w:rsid w:val="3660217B"/>
    <w:rsid w:val="36620B4E"/>
    <w:rsid w:val="36674E48"/>
    <w:rsid w:val="36797671"/>
    <w:rsid w:val="368049F0"/>
    <w:rsid w:val="3686379D"/>
    <w:rsid w:val="36983883"/>
    <w:rsid w:val="36D31FEB"/>
    <w:rsid w:val="36DD7562"/>
    <w:rsid w:val="36DE12F2"/>
    <w:rsid w:val="36DE4870"/>
    <w:rsid w:val="36EA4B70"/>
    <w:rsid w:val="370A20E7"/>
    <w:rsid w:val="37411CBC"/>
    <w:rsid w:val="37476E97"/>
    <w:rsid w:val="375D1E78"/>
    <w:rsid w:val="37A91900"/>
    <w:rsid w:val="37D0796E"/>
    <w:rsid w:val="37D94D0E"/>
    <w:rsid w:val="37EE32C1"/>
    <w:rsid w:val="381476C1"/>
    <w:rsid w:val="381B27FE"/>
    <w:rsid w:val="3820263F"/>
    <w:rsid w:val="382342BD"/>
    <w:rsid w:val="382C3B01"/>
    <w:rsid w:val="38351B40"/>
    <w:rsid w:val="383638C8"/>
    <w:rsid w:val="383E6C98"/>
    <w:rsid w:val="38447DF9"/>
    <w:rsid w:val="38494CA3"/>
    <w:rsid w:val="384B18C4"/>
    <w:rsid w:val="386E2BB8"/>
    <w:rsid w:val="38997BC6"/>
    <w:rsid w:val="38A01134"/>
    <w:rsid w:val="38B74B11"/>
    <w:rsid w:val="38E239E1"/>
    <w:rsid w:val="3915377D"/>
    <w:rsid w:val="391D1B99"/>
    <w:rsid w:val="3922196A"/>
    <w:rsid w:val="39333B77"/>
    <w:rsid w:val="393A469C"/>
    <w:rsid w:val="393E47A5"/>
    <w:rsid w:val="393F6ACF"/>
    <w:rsid w:val="394D4580"/>
    <w:rsid w:val="396F26D5"/>
    <w:rsid w:val="39912D3E"/>
    <w:rsid w:val="39946B51"/>
    <w:rsid w:val="39C8704A"/>
    <w:rsid w:val="39CC6AFF"/>
    <w:rsid w:val="39CF0DA2"/>
    <w:rsid w:val="39E36247"/>
    <w:rsid w:val="3A0B4456"/>
    <w:rsid w:val="3A0D6176"/>
    <w:rsid w:val="3A1741D7"/>
    <w:rsid w:val="3A1F310B"/>
    <w:rsid w:val="3A2760E4"/>
    <w:rsid w:val="3A2A3123"/>
    <w:rsid w:val="3A2F750C"/>
    <w:rsid w:val="3A362498"/>
    <w:rsid w:val="3A683BE2"/>
    <w:rsid w:val="3A6B26F1"/>
    <w:rsid w:val="3A8027DD"/>
    <w:rsid w:val="3A805B11"/>
    <w:rsid w:val="3A810BBB"/>
    <w:rsid w:val="3A8257E7"/>
    <w:rsid w:val="3AA60D05"/>
    <w:rsid w:val="3AA86AE2"/>
    <w:rsid w:val="3AB25A09"/>
    <w:rsid w:val="3AC70A1B"/>
    <w:rsid w:val="3AC73557"/>
    <w:rsid w:val="3AD54E40"/>
    <w:rsid w:val="3AD76784"/>
    <w:rsid w:val="3ADB2271"/>
    <w:rsid w:val="3AED34FB"/>
    <w:rsid w:val="3AF1337E"/>
    <w:rsid w:val="3B086C2F"/>
    <w:rsid w:val="3B0B71E7"/>
    <w:rsid w:val="3B1A1237"/>
    <w:rsid w:val="3B1D3B63"/>
    <w:rsid w:val="3B344858"/>
    <w:rsid w:val="3B356CFA"/>
    <w:rsid w:val="3B590826"/>
    <w:rsid w:val="3B5B1F1E"/>
    <w:rsid w:val="3B614DA3"/>
    <w:rsid w:val="3B631E57"/>
    <w:rsid w:val="3B7F53CB"/>
    <w:rsid w:val="3B8310F3"/>
    <w:rsid w:val="3B9B39CD"/>
    <w:rsid w:val="3BA614BF"/>
    <w:rsid w:val="3BB93335"/>
    <w:rsid w:val="3BD42E4E"/>
    <w:rsid w:val="3BDB324F"/>
    <w:rsid w:val="3BE6258E"/>
    <w:rsid w:val="3BEB54A3"/>
    <w:rsid w:val="3BFC07A0"/>
    <w:rsid w:val="3C07622C"/>
    <w:rsid w:val="3C0B3A4A"/>
    <w:rsid w:val="3C1B10AA"/>
    <w:rsid w:val="3C4F6F1A"/>
    <w:rsid w:val="3C501F41"/>
    <w:rsid w:val="3C5F25AF"/>
    <w:rsid w:val="3C6C4B27"/>
    <w:rsid w:val="3C964B49"/>
    <w:rsid w:val="3C9B16E1"/>
    <w:rsid w:val="3C9F07CB"/>
    <w:rsid w:val="3CA3164A"/>
    <w:rsid w:val="3CBF6A63"/>
    <w:rsid w:val="3CC65551"/>
    <w:rsid w:val="3CD728B6"/>
    <w:rsid w:val="3CDF1CD3"/>
    <w:rsid w:val="3CE16539"/>
    <w:rsid w:val="3CEB74C1"/>
    <w:rsid w:val="3CFE26EE"/>
    <w:rsid w:val="3D3A3646"/>
    <w:rsid w:val="3D666786"/>
    <w:rsid w:val="3D682C08"/>
    <w:rsid w:val="3D6A1B31"/>
    <w:rsid w:val="3D9E451C"/>
    <w:rsid w:val="3DB01C3A"/>
    <w:rsid w:val="3DB23188"/>
    <w:rsid w:val="3E131E5F"/>
    <w:rsid w:val="3E1F46CA"/>
    <w:rsid w:val="3E295A9C"/>
    <w:rsid w:val="3E2D6762"/>
    <w:rsid w:val="3E2E0028"/>
    <w:rsid w:val="3E2F19F2"/>
    <w:rsid w:val="3E39371C"/>
    <w:rsid w:val="3E4F6AEB"/>
    <w:rsid w:val="3E530273"/>
    <w:rsid w:val="3E5F0494"/>
    <w:rsid w:val="3E6350CC"/>
    <w:rsid w:val="3E71476B"/>
    <w:rsid w:val="3E787E6D"/>
    <w:rsid w:val="3E8D5526"/>
    <w:rsid w:val="3E9E1F10"/>
    <w:rsid w:val="3EA358E2"/>
    <w:rsid w:val="3EA572C5"/>
    <w:rsid w:val="3EAB2402"/>
    <w:rsid w:val="3EAD5A6F"/>
    <w:rsid w:val="3EB839AE"/>
    <w:rsid w:val="3EE002FD"/>
    <w:rsid w:val="3EE22A20"/>
    <w:rsid w:val="3EF038F1"/>
    <w:rsid w:val="3EF2265D"/>
    <w:rsid w:val="3EF23B8C"/>
    <w:rsid w:val="3F134951"/>
    <w:rsid w:val="3F1E2131"/>
    <w:rsid w:val="3F2004D3"/>
    <w:rsid w:val="3F277CDA"/>
    <w:rsid w:val="3F2A77CA"/>
    <w:rsid w:val="3F352DDD"/>
    <w:rsid w:val="3F3917BB"/>
    <w:rsid w:val="3F402745"/>
    <w:rsid w:val="3F4C500F"/>
    <w:rsid w:val="3F503942"/>
    <w:rsid w:val="3F6F0A1B"/>
    <w:rsid w:val="3F6F1681"/>
    <w:rsid w:val="3F8244E8"/>
    <w:rsid w:val="3F871CA4"/>
    <w:rsid w:val="3FAD7E35"/>
    <w:rsid w:val="3FB377C0"/>
    <w:rsid w:val="3FCB4638"/>
    <w:rsid w:val="3FD04679"/>
    <w:rsid w:val="3FDD26ED"/>
    <w:rsid w:val="3FFB49A4"/>
    <w:rsid w:val="3FFF5BBF"/>
    <w:rsid w:val="40003751"/>
    <w:rsid w:val="401F6C03"/>
    <w:rsid w:val="402A6942"/>
    <w:rsid w:val="40435F5E"/>
    <w:rsid w:val="40514CFE"/>
    <w:rsid w:val="4082449F"/>
    <w:rsid w:val="40AD39BF"/>
    <w:rsid w:val="40B01F51"/>
    <w:rsid w:val="40B9747A"/>
    <w:rsid w:val="40D874BE"/>
    <w:rsid w:val="40EE3E7E"/>
    <w:rsid w:val="41022C69"/>
    <w:rsid w:val="4146538F"/>
    <w:rsid w:val="414F70AD"/>
    <w:rsid w:val="418F016A"/>
    <w:rsid w:val="41914247"/>
    <w:rsid w:val="41A13D3C"/>
    <w:rsid w:val="41BD66D4"/>
    <w:rsid w:val="41D818CE"/>
    <w:rsid w:val="41DD4D60"/>
    <w:rsid w:val="41E47B7B"/>
    <w:rsid w:val="41E81CB8"/>
    <w:rsid w:val="41F55F03"/>
    <w:rsid w:val="41F61BE6"/>
    <w:rsid w:val="41F85538"/>
    <w:rsid w:val="41FA7928"/>
    <w:rsid w:val="42085CF3"/>
    <w:rsid w:val="420A1D42"/>
    <w:rsid w:val="42184A0C"/>
    <w:rsid w:val="42215201"/>
    <w:rsid w:val="42500727"/>
    <w:rsid w:val="42504B90"/>
    <w:rsid w:val="426E3E20"/>
    <w:rsid w:val="426F40A9"/>
    <w:rsid w:val="428A24E6"/>
    <w:rsid w:val="429856D1"/>
    <w:rsid w:val="42B74155"/>
    <w:rsid w:val="42BC3D58"/>
    <w:rsid w:val="42DA1D0D"/>
    <w:rsid w:val="430E3D19"/>
    <w:rsid w:val="433A4C14"/>
    <w:rsid w:val="434E0079"/>
    <w:rsid w:val="435E3EE6"/>
    <w:rsid w:val="437F46CD"/>
    <w:rsid w:val="43882D11"/>
    <w:rsid w:val="439A47AD"/>
    <w:rsid w:val="439C056B"/>
    <w:rsid w:val="43A0005B"/>
    <w:rsid w:val="43AF7627"/>
    <w:rsid w:val="43C81360"/>
    <w:rsid w:val="43CD2999"/>
    <w:rsid w:val="43CE11F8"/>
    <w:rsid w:val="43E837B0"/>
    <w:rsid w:val="43F5521D"/>
    <w:rsid w:val="44182C3B"/>
    <w:rsid w:val="442579C1"/>
    <w:rsid w:val="44344C72"/>
    <w:rsid w:val="443D4E61"/>
    <w:rsid w:val="4447006A"/>
    <w:rsid w:val="447C2876"/>
    <w:rsid w:val="44BF09B5"/>
    <w:rsid w:val="44CD7749"/>
    <w:rsid w:val="44DE551A"/>
    <w:rsid w:val="44E26451"/>
    <w:rsid w:val="45132BAB"/>
    <w:rsid w:val="453B2421"/>
    <w:rsid w:val="455F1926"/>
    <w:rsid w:val="456257A8"/>
    <w:rsid w:val="45725A27"/>
    <w:rsid w:val="459C4852"/>
    <w:rsid w:val="45E15906"/>
    <w:rsid w:val="45F44786"/>
    <w:rsid w:val="46162D06"/>
    <w:rsid w:val="46326F64"/>
    <w:rsid w:val="463C09B7"/>
    <w:rsid w:val="46420A17"/>
    <w:rsid w:val="46507129"/>
    <w:rsid w:val="46654707"/>
    <w:rsid w:val="466778DC"/>
    <w:rsid w:val="467A1037"/>
    <w:rsid w:val="467F4AF1"/>
    <w:rsid w:val="46841F07"/>
    <w:rsid w:val="4688436F"/>
    <w:rsid w:val="468851D7"/>
    <w:rsid w:val="46965077"/>
    <w:rsid w:val="46C47640"/>
    <w:rsid w:val="471B5DAE"/>
    <w:rsid w:val="472158A5"/>
    <w:rsid w:val="473465D0"/>
    <w:rsid w:val="474C59F4"/>
    <w:rsid w:val="4770238D"/>
    <w:rsid w:val="47C6205A"/>
    <w:rsid w:val="480768FB"/>
    <w:rsid w:val="48077826"/>
    <w:rsid w:val="481848B0"/>
    <w:rsid w:val="481D44F1"/>
    <w:rsid w:val="483D1893"/>
    <w:rsid w:val="484511D1"/>
    <w:rsid w:val="485A123B"/>
    <w:rsid w:val="487223A4"/>
    <w:rsid w:val="48754B55"/>
    <w:rsid w:val="487B1097"/>
    <w:rsid w:val="48A57518"/>
    <w:rsid w:val="48A91728"/>
    <w:rsid w:val="48AD6B31"/>
    <w:rsid w:val="48BD31A2"/>
    <w:rsid w:val="48D65DE1"/>
    <w:rsid w:val="48DC265F"/>
    <w:rsid w:val="49064E04"/>
    <w:rsid w:val="49065575"/>
    <w:rsid w:val="490779EF"/>
    <w:rsid w:val="49163F98"/>
    <w:rsid w:val="491A4DDB"/>
    <w:rsid w:val="492F3277"/>
    <w:rsid w:val="49372552"/>
    <w:rsid w:val="495A08D2"/>
    <w:rsid w:val="496D6C31"/>
    <w:rsid w:val="49996716"/>
    <w:rsid w:val="49AF4BA5"/>
    <w:rsid w:val="49AF7CEB"/>
    <w:rsid w:val="49D72799"/>
    <w:rsid w:val="4A1D1CE5"/>
    <w:rsid w:val="4A1F71D6"/>
    <w:rsid w:val="4A207C29"/>
    <w:rsid w:val="4A3634C7"/>
    <w:rsid w:val="4A480FB3"/>
    <w:rsid w:val="4A4E1203"/>
    <w:rsid w:val="4A6022F2"/>
    <w:rsid w:val="4A725C54"/>
    <w:rsid w:val="4A7C6F23"/>
    <w:rsid w:val="4A8D7A59"/>
    <w:rsid w:val="4AA8171D"/>
    <w:rsid w:val="4AAA6A80"/>
    <w:rsid w:val="4AB22DB9"/>
    <w:rsid w:val="4AC453FB"/>
    <w:rsid w:val="4AD94818"/>
    <w:rsid w:val="4ADE364D"/>
    <w:rsid w:val="4AFF7F2E"/>
    <w:rsid w:val="4B1056CB"/>
    <w:rsid w:val="4B1732F9"/>
    <w:rsid w:val="4B2F192E"/>
    <w:rsid w:val="4B364751"/>
    <w:rsid w:val="4B3B78E8"/>
    <w:rsid w:val="4B4907E0"/>
    <w:rsid w:val="4B4B6AFE"/>
    <w:rsid w:val="4B510DE4"/>
    <w:rsid w:val="4B5F09D9"/>
    <w:rsid w:val="4B654AC8"/>
    <w:rsid w:val="4B7047B7"/>
    <w:rsid w:val="4B723F05"/>
    <w:rsid w:val="4B8911C3"/>
    <w:rsid w:val="4B8B7316"/>
    <w:rsid w:val="4B963A09"/>
    <w:rsid w:val="4B991F60"/>
    <w:rsid w:val="4BAB3A41"/>
    <w:rsid w:val="4BC92119"/>
    <w:rsid w:val="4BDB6E5A"/>
    <w:rsid w:val="4BF1575B"/>
    <w:rsid w:val="4BF90C50"/>
    <w:rsid w:val="4BF94693"/>
    <w:rsid w:val="4C130973"/>
    <w:rsid w:val="4C15710C"/>
    <w:rsid w:val="4C1E06B7"/>
    <w:rsid w:val="4C226976"/>
    <w:rsid w:val="4C31567B"/>
    <w:rsid w:val="4C360AA9"/>
    <w:rsid w:val="4C3C0B3D"/>
    <w:rsid w:val="4C4243A5"/>
    <w:rsid w:val="4C481290"/>
    <w:rsid w:val="4C5A3A1A"/>
    <w:rsid w:val="4C60222C"/>
    <w:rsid w:val="4C674C92"/>
    <w:rsid w:val="4C6B4F7E"/>
    <w:rsid w:val="4C9C022C"/>
    <w:rsid w:val="4CDA034E"/>
    <w:rsid w:val="4CE9608D"/>
    <w:rsid w:val="4CF17FCE"/>
    <w:rsid w:val="4CF8221E"/>
    <w:rsid w:val="4D122BF3"/>
    <w:rsid w:val="4D2C26A6"/>
    <w:rsid w:val="4D387556"/>
    <w:rsid w:val="4D4E0B28"/>
    <w:rsid w:val="4D69341E"/>
    <w:rsid w:val="4D764DF5"/>
    <w:rsid w:val="4D8066ED"/>
    <w:rsid w:val="4D826A23"/>
    <w:rsid w:val="4D8608E4"/>
    <w:rsid w:val="4D8F5481"/>
    <w:rsid w:val="4D9F75D5"/>
    <w:rsid w:val="4DEA6F9D"/>
    <w:rsid w:val="4DEC3914"/>
    <w:rsid w:val="4DF73844"/>
    <w:rsid w:val="4DFC7B4E"/>
    <w:rsid w:val="4DFD7989"/>
    <w:rsid w:val="4E14178A"/>
    <w:rsid w:val="4E233E1E"/>
    <w:rsid w:val="4E2D342F"/>
    <w:rsid w:val="4E4B26D3"/>
    <w:rsid w:val="4E686988"/>
    <w:rsid w:val="4E8A7EF1"/>
    <w:rsid w:val="4E985A3F"/>
    <w:rsid w:val="4E9E3248"/>
    <w:rsid w:val="4EA20D07"/>
    <w:rsid w:val="4EA85D29"/>
    <w:rsid w:val="4ED60DD5"/>
    <w:rsid w:val="4F1049A3"/>
    <w:rsid w:val="4F1F6913"/>
    <w:rsid w:val="4F27654B"/>
    <w:rsid w:val="4F3068D0"/>
    <w:rsid w:val="4F423649"/>
    <w:rsid w:val="4F555807"/>
    <w:rsid w:val="4F560168"/>
    <w:rsid w:val="4F5A491C"/>
    <w:rsid w:val="4F700C50"/>
    <w:rsid w:val="4F721B3E"/>
    <w:rsid w:val="4F7E5458"/>
    <w:rsid w:val="4F7E691C"/>
    <w:rsid w:val="4F9D5D96"/>
    <w:rsid w:val="4FB14184"/>
    <w:rsid w:val="4FD31FE4"/>
    <w:rsid w:val="4FFA4F97"/>
    <w:rsid w:val="50011412"/>
    <w:rsid w:val="501C4F0D"/>
    <w:rsid w:val="503E4824"/>
    <w:rsid w:val="50431FAF"/>
    <w:rsid w:val="5043249A"/>
    <w:rsid w:val="50454F41"/>
    <w:rsid w:val="505267D9"/>
    <w:rsid w:val="50624906"/>
    <w:rsid w:val="50672F54"/>
    <w:rsid w:val="508266E2"/>
    <w:rsid w:val="508915C5"/>
    <w:rsid w:val="50940F47"/>
    <w:rsid w:val="50987945"/>
    <w:rsid w:val="50A74526"/>
    <w:rsid w:val="50AA2519"/>
    <w:rsid w:val="50BA039F"/>
    <w:rsid w:val="50BB6011"/>
    <w:rsid w:val="50D92DFE"/>
    <w:rsid w:val="50DB42B0"/>
    <w:rsid w:val="51293641"/>
    <w:rsid w:val="513A1AEF"/>
    <w:rsid w:val="515F5A90"/>
    <w:rsid w:val="51760011"/>
    <w:rsid w:val="51992BBE"/>
    <w:rsid w:val="5199536B"/>
    <w:rsid w:val="51A00814"/>
    <w:rsid w:val="51A26D31"/>
    <w:rsid w:val="51B3212C"/>
    <w:rsid w:val="51C972C4"/>
    <w:rsid w:val="51CE0489"/>
    <w:rsid w:val="51E312FA"/>
    <w:rsid w:val="52574BB9"/>
    <w:rsid w:val="5259004F"/>
    <w:rsid w:val="525A13BB"/>
    <w:rsid w:val="525B1B56"/>
    <w:rsid w:val="526C2699"/>
    <w:rsid w:val="52873B67"/>
    <w:rsid w:val="528E46E8"/>
    <w:rsid w:val="52947046"/>
    <w:rsid w:val="5297279D"/>
    <w:rsid w:val="529F71FB"/>
    <w:rsid w:val="52B64F3A"/>
    <w:rsid w:val="52C339E3"/>
    <w:rsid w:val="52C75604"/>
    <w:rsid w:val="5307019F"/>
    <w:rsid w:val="53254906"/>
    <w:rsid w:val="533A1C91"/>
    <w:rsid w:val="533A4B08"/>
    <w:rsid w:val="535A6478"/>
    <w:rsid w:val="535B41FC"/>
    <w:rsid w:val="536F7E4A"/>
    <w:rsid w:val="53887DEA"/>
    <w:rsid w:val="53976CDE"/>
    <w:rsid w:val="53A63401"/>
    <w:rsid w:val="53B447E3"/>
    <w:rsid w:val="53B611D5"/>
    <w:rsid w:val="53D366A7"/>
    <w:rsid w:val="53D9297D"/>
    <w:rsid w:val="53F039D9"/>
    <w:rsid w:val="53FA4B30"/>
    <w:rsid w:val="53FB35FD"/>
    <w:rsid w:val="53FF4E30"/>
    <w:rsid w:val="54060DDF"/>
    <w:rsid w:val="5408251D"/>
    <w:rsid w:val="541F7E14"/>
    <w:rsid w:val="542424AB"/>
    <w:rsid w:val="54414288"/>
    <w:rsid w:val="547E1046"/>
    <w:rsid w:val="547F468A"/>
    <w:rsid w:val="54AA453A"/>
    <w:rsid w:val="54AC068E"/>
    <w:rsid w:val="54B00065"/>
    <w:rsid w:val="54D577A2"/>
    <w:rsid w:val="54DE65EB"/>
    <w:rsid w:val="54E01871"/>
    <w:rsid w:val="550D0483"/>
    <w:rsid w:val="550E18FE"/>
    <w:rsid w:val="551138EC"/>
    <w:rsid w:val="553C5E9D"/>
    <w:rsid w:val="558B3C9A"/>
    <w:rsid w:val="559E1D52"/>
    <w:rsid w:val="55A61297"/>
    <w:rsid w:val="55C01874"/>
    <w:rsid w:val="55D668A1"/>
    <w:rsid w:val="55DC4FC1"/>
    <w:rsid w:val="55E16B3B"/>
    <w:rsid w:val="55E62245"/>
    <w:rsid w:val="55EB50CC"/>
    <w:rsid w:val="55EC6EE7"/>
    <w:rsid w:val="56197654"/>
    <w:rsid w:val="56257F65"/>
    <w:rsid w:val="562A14DA"/>
    <w:rsid w:val="563F5EAA"/>
    <w:rsid w:val="56410EA1"/>
    <w:rsid w:val="565D2237"/>
    <w:rsid w:val="5682113A"/>
    <w:rsid w:val="5684637F"/>
    <w:rsid w:val="56B13FD8"/>
    <w:rsid w:val="56B17EE9"/>
    <w:rsid w:val="56D41A26"/>
    <w:rsid w:val="56D64295"/>
    <w:rsid w:val="570235A6"/>
    <w:rsid w:val="570E0081"/>
    <w:rsid w:val="574A05B2"/>
    <w:rsid w:val="575B52E7"/>
    <w:rsid w:val="575F7626"/>
    <w:rsid w:val="576A0C54"/>
    <w:rsid w:val="577B3D89"/>
    <w:rsid w:val="577F7419"/>
    <w:rsid w:val="579E565A"/>
    <w:rsid w:val="57AB043F"/>
    <w:rsid w:val="57AB7EC1"/>
    <w:rsid w:val="57DE4DEC"/>
    <w:rsid w:val="57E030D0"/>
    <w:rsid w:val="57E50AB9"/>
    <w:rsid w:val="57E722A5"/>
    <w:rsid w:val="57F561BE"/>
    <w:rsid w:val="57F86A8A"/>
    <w:rsid w:val="580D7A60"/>
    <w:rsid w:val="580E2F14"/>
    <w:rsid w:val="5812683D"/>
    <w:rsid w:val="58260A99"/>
    <w:rsid w:val="5836173F"/>
    <w:rsid w:val="583F5C3D"/>
    <w:rsid w:val="584E2326"/>
    <w:rsid w:val="58544F00"/>
    <w:rsid w:val="58605BFD"/>
    <w:rsid w:val="586A41AF"/>
    <w:rsid w:val="586C6A02"/>
    <w:rsid w:val="586F2F25"/>
    <w:rsid w:val="58874B26"/>
    <w:rsid w:val="58B52848"/>
    <w:rsid w:val="58D07A89"/>
    <w:rsid w:val="58DA6322"/>
    <w:rsid w:val="58E446C9"/>
    <w:rsid w:val="58E4675B"/>
    <w:rsid w:val="58E9111C"/>
    <w:rsid w:val="58FE045E"/>
    <w:rsid w:val="590420DE"/>
    <w:rsid w:val="590649AC"/>
    <w:rsid w:val="59097FF9"/>
    <w:rsid w:val="591A64F6"/>
    <w:rsid w:val="59444183"/>
    <w:rsid w:val="596A00DC"/>
    <w:rsid w:val="59710803"/>
    <w:rsid w:val="59842C4A"/>
    <w:rsid w:val="59A1611D"/>
    <w:rsid w:val="59A214D7"/>
    <w:rsid w:val="59B419C2"/>
    <w:rsid w:val="59B77A55"/>
    <w:rsid w:val="59C259CE"/>
    <w:rsid w:val="59CE54CA"/>
    <w:rsid w:val="59D708D6"/>
    <w:rsid w:val="59E44536"/>
    <w:rsid w:val="59E84C8E"/>
    <w:rsid w:val="5A112694"/>
    <w:rsid w:val="5A1F61F2"/>
    <w:rsid w:val="5A3C2B30"/>
    <w:rsid w:val="5A4A08C9"/>
    <w:rsid w:val="5A7616BE"/>
    <w:rsid w:val="5AA24261"/>
    <w:rsid w:val="5ABF16F4"/>
    <w:rsid w:val="5ADC30C6"/>
    <w:rsid w:val="5B1016C6"/>
    <w:rsid w:val="5B2D6AF3"/>
    <w:rsid w:val="5B4547B8"/>
    <w:rsid w:val="5B4812AC"/>
    <w:rsid w:val="5B524DA3"/>
    <w:rsid w:val="5B557525"/>
    <w:rsid w:val="5B631C42"/>
    <w:rsid w:val="5B6F4E81"/>
    <w:rsid w:val="5B7B5EBA"/>
    <w:rsid w:val="5BA11EA0"/>
    <w:rsid w:val="5BC47447"/>
    <w:rsid w:val="5BDD7D75"/>
    <w:rsid w:val="5BE00642"/>
    <w:rsid w:val="5BE70178"/>
    <w:rsid w:val="5C124875"/>
    <w:rsid w:val="5C134609"/>
    <w:rsid w:val="5C1473E0"/>
    <w:rsid w:val="5C1A2979"/>
    <w:rsid w:val="5C270EC2"/>
    <w:rsid w:val="5C2F421A"/>
    <w:rsid w:val="5C443177"/>
    <w:rsid w:val="5C571D4E"/>
    <w:rsid w:val="5C6514C0"/>
    <w:rsid w:val="5C660C34"/>
    <w:rsid w:val="5C7B2FBB"/>
    <w:rsid w:val="5C7D20F2"/>
    <w:rsid w:val="5C8267E6"/>
    <w:rsid w:val="5C892D0B"/>
    <w:rsid w:val="5CB43A14"/>
    <w:rsid w:val="5CBA38E2"/>
    <w:rsid w:val="5CBE2156"/>
    <w:rsid w:val="5CC4221C"/>
    <w:rsid w:val="5CC83530"/>
    <w:rsid w:val="5CCA2F37"/>
    <w:rsid w:val="5CEF678B"/>
    <w:rsid w:val="5D056AF2"/>
    <w:rsid w:val="5D1140FF"/>
    <w:rsid w:val="5D4E3D26"/>
    <w:rsid w:val="5D8167CC"/>
    <w:rsid w:val="5D9028F2"/>
    <w:rsid w:val="5D925B0D"/>
    <w:rsid w:val="5DAF73C1"/>
    <w:rsid w:val="5DBA17D4"/>
    <w:rsid w:val="5DE60909"/>
    <w:rsid w:val="5DFE5C52"/>
    <w:rsid w:val="5E14515D"/>
    <w:rsid w:val="5E2D4D0E"/>
    <w:rsid w:val="5E357F45"/>
    <w:rsid w:val="5E59518E"/>
    <w:rsid w:val="5E5A0938"/>
    <w:rsid w:val="5E735A90"/>
    <w:rsid w:val="5E8336C9"/>
    <w:rsid w:val="5E8670BD"/>
    <w:rsid w:val="5E91682F"/>
    <w:rsid w:val="5E9F6493"/>
    <w:rsid w:val="5EA93E10"/>
    <w:rsid w:val="5EBC2342"/>
    <w:rsid w:val="5EC16208"/>
    <w:rsid w:val="5EC5519F"/>
    <w:rsid w:val="5ED67504"/>
    <w:rsid w:val="5EDA7D59"/>
    <w:rsid w:val="5F000AC8"/>
    <w:rsid w:val="5F1F545B"/>
    <w:rsid w:val="5F293A1B"/>
    <w:rsid w:val="5F3913F3"/>
    <w:rsid w:val="5F6E6884"/>
    <w:rsid w:val="5F8B62BE"/>
    <w:rsid w:val="5FA42829"/>
    <w:rsid w:val="5FB255DF"/>
    <w:rsid w:val="5FCE4022"/>
    <w:rsid w:val="5FD14119"/>
    <w:rsid w:val="5FE94ADE"/>
    <w:rsid w:val="5FF26ACB"/>
    <w:rsid w:val="5FF7215C"/>
    <w:rsid w:val="5FF76DFD"/>
    <w:rsid w:val="601C7E38"/>
    <w:rsid w:val="60392E2E"/>
    <w:rsid w:val="606466DA"/>
    <w:rsid w:val="6065307F"/>
    <w:rsid w:val="60685D35"/>
    <w:rsid w:val="60980263"/>
    <w:rsid w:val="609B35A7"/>
    <w:rsid w:val="60A07495"/>
    <w:rsid w:val="60C94B26"/>
    <w:rsid w:val="60D27C60"/>
    <w:rsid w:val="61076BE5"/>
    <w:rsid w:val="610B5D8F"/>
    <w:rsid w:val="610D0C72"/>
    <w:rsid w:val="61132FB0"/>
    <w:rsid w:val="612479FF"/>
    <w:rsid w:val="6152014D"/>
    <w:rsid w:val="616462AF"/>
    <w:rsid w:val="61656B6E"/>
    <w:rsid w:val="618A11EB"/>
    <w:rsid w:val="619D5782"/>
    <w:rsid w:val="61A00F51"/>
    <w:rsid w:val="61DD49DB"/>
    <w:rsid w:val="61F41846"/>
    <w:rsid w:val="61F62C86"/>
    <w:rsid w:val="61F65C1C"/>
    <w:rsid w:val="620A0372"/>
    <w:rsid w:val="621576B3"/>
    <w:rsid w:val="621F70BE"/>
    <w:rsid w:val="622F0BA6"/>
    <w:rsid w:val="624327CD"/>
    <w:rsid w:val="62540537"/>
    <w:rsid w:val="625C5CEF"/>
    <w:rsid w:val="6269361E"/>
    <w:rsid w:val="62844A6E"/>
    <w:rsid w:val="62927313"/>
    <w:rsid w:val="629C5FF1"/>
    <w:rsid w:val="62AA45FB"/>
    <w:rsid w:val="62C40C4A"/>
    <w:rsid w:val="62FD48F9"/>
    <w:rsid w:val="6318461A"/>
    <w:rsid w:val="63466411"/>
    <w:rsid w:val="637D721E"/>
    <w:rsid w:val="63864720"/>
    <w:rsid w:val="639114B0"/>
    <w:rsid w:val="63C43F9D"/>
    <w:rsid w:val="63C84487"/>
    <w:rsid w:val="63D06AB5"/>
    <w:rsid w:val="63F50717"/>
    <w:rsid w:val="641F2262"/>
    <w:rsid w:val="642B52C7"/>
    <w:rsid w:val="64370BC6"/>
    <w:rsid w:val="643A05FA"/>
    <w:rsid w:val="64405216"/>
    <w:rsid w:val="644A561F"/>
    <w:rsid w:val="645C3FA4"/>
    <w:rsid w:val="64731F81"/>
    <w:rsid w:val="647B13BB"/>
    <w:rsid w:val="64812DEB"/>
    <w:rsid w:val="64835BC0"/>
    <w:rsid w:val="64A532CB"/>
    <w:rsid w:val="64C07645"/>
    <w:rsid w:val="64CA68EA"/>
    <w:rsid w:val="64D157D9"/>
    <w:rsid w:val="64D4595F"/>
    <w:rsid w:val="64E81CE8"/>
    <w:rsid w:val="64F33C21"/>
    <w:rsid w:val="65261AD9"/>
    <w:rsid w:val="65353A93"/>
    <w:rsid w:val="653B0AC8"/>
    <w:rsid w:val="655C618A"/>
    <w:rsid w:val="655E4D66"/>
    <w:rsid w:val="656211BC"/>
    <w:rsid w:val="657F3B1C"/>
    <w:rsid w:val="658461A8"/>
    <w:rsid w:val="658516B3"/>
    <w:rsid w:val="65855B7B"/>
    <w:rsid w:val="65943783"/>
    <w:rsid w:val="659C34FD"/>
    <w:rsid w:val="65B95486"/>
    <w:rsid w:val="65B9767B"/>
    <w:rsid w:val="65CB5859"/>
    <w:rsid w:val="65DB2FC5"/>
    <w:rsid w:val="65EF593A"/>
    <w:rsid w:val="65F63CF3"/>
    <w:rsid w:val="65FA4DD5"/>
    <w:rsid w:val="66195D1F"/>
    <w:rsid w:val="66273120"/>
    <w:rsid w:val="662746FD"/>
    <w:rsid w:val="66476133"/>
    <w:rsid w:val="664F7DCA"/>
    <w:rsid w:val="667A7C90"/>
    <w:rsid w:val="66AA66AF"/>
    <w:rsid w:val="66C227CA"/>
    <w:rsid w:val="66DC45F8"/>
    <w:rsid w:val="670238C5"/>
    <w:rsid w:val="672F0BE3"/>
    <w:rsid w:val="6769310D"/>
    <w:rsid w:val="67764F1C"/>
    <w:rsid w:val="678D4508"/>
    <w:rsid w:val="679D64DC"/>
    <w:rsid w:val="67C57AA3"/>
    <w:rsid w:val="67DA0714"/>
    <w:rsid w:val="67F10F94"/>
    <w:rsid w:val="681668C6"/>
    <w:rsid w:val="68175259"/>
    <w:rsid w:val="68210EBB"/>
    <w:rsid w:val="682E00B6"/>
    <w:rsid w:val="682F47C8"/>
    <w:rsid w:val="683E4BDB"/>
    <w:rsid w:val="685E13B0"/>
    <w:rsid w:val="688431F8"/>
    <w:rsid w:val="68BB3F7B"/>
    <w:rsid w:val="68C80D9B"/>
    <w:rsid w:val="68D02BEC"/>
    <w:rsid w:val="68E35372"/>
    <w:rsid w:val="68EB3277"/>
    <w:rsid w:val="68F640F6"/>
    <w:rsid w:val="690E575F"/>
    <w:rsid w:val="692D59A5"/>
    <w:rsid w:val="69416EAD"/>
    <w:rsid w:val="69422F6B"/>
    <w:rsid w:val="69574104"/>
    <w:rsid w:val="69691679"/>
    <w:rsid w:val="696B1E57"/>
    <w:rsid w:val="697B65DC"/>
    <w:rsid w:val="69817394"/>
    <w:rsid w:val="69A70735"/>
    <w:rsid w:val="69B26EAC"/>
    <w:rsid w:val="69BC0531"/>
    <w:rsid w:val="69DE75F0"/>
    <w:rsid w:val="69EF1C44"/>
    <w:rsid w:val="6A0E7AF1"/>
    <w:rsid w:val="6A127BEA"/>
    <w:rsid w:val="6A25350F"/>
    <w:rsid w:val="6A2C6A3C"/>
    <w:rsid w:val="6A397A95"/>
    <w:rsid w:val="6A3B368F"/>
    <w:rsid w:val="6A5E57EF"/>
    <w:rsid w:val="6A652756"/>
    <w:rsid w:val="6A707ED8"/>
    <w:rsid w:val="6A7B0302"/>
    <w:rsid w:val="6A883038"/>
    <w:rsid w:val="6AA54025"/>
    <w:rsid w:val="6AA77936"/>
    <w:rsid w:val="6AC679AE"/>
    <w:rsid w:val="6AF17457"/>
    <w:rsid w:val="6B126770"/>
    <w:rsid w:val="6B15087C"/>
    <w:rsid w:val="6B3158B9"/>
    <w:rsid w:val="6B3A5B07"/>
    <w:rsid w:val="6B5862AA"/>
    <w:rsid w:val="6B685053"/>
    <w:rsid w:val="6B712159"/>
    <w:rsid w:val="6B9809FC"/>
    <w:rsid w:val="6B9B2172"/>
    <w:rsid w:val="6B9E0A74"/>
    <w:rsid w:val="6BB27FAE"/>
    <w:rsid w:val="6BC24763"/>
    <w:rsid w:val="6BFF5E81"/>
    <w:rsid w:val="6C094140"/>
    <w:rsid w:val="6C142268"/>
    <w:rsid w:val="6C66039E"/>
    <w:rsid w:val="6C6C1EB2"/>
    <w:rsid w:val="6C837AE7"/>
    <w:rsid w:val="6C8E2897"/>
    <w:rsid w:val="6C977AFE"/>
    <w:rsid w:val="6CDB39FC"/>
    <w:rsid w:val="6CE66B6E"/>
    <w:rsid w:val="6CEA2D2E"/>
    <w:rsid w:val="6D580CDC"/>
    <w:rsid w:val="6D77157D"/>
    <w:rsid w:val="6D841E4C"/>
    <w:rsid w:val="6D853C9A"/>
    <w:rsid w:val="6DA274AF"/>
    <w:rsid w:val="6DBC5A46"/>
    <w:rsid w:val="6DE9247B"/>
    <w:rsid w:val="6DF71E80"/>
    <w:rsid w:val="6E071C62"/>
    <w:rsid w:val="6E1D2977"/>
    <w:rsid w:val="6E283010"/>
    <w:rsid w:val="6E5E27AB"/>
    <w:rsid w:val="6E612994"/>
    <w:rsid w:val="6E6645E0"/>
    <w:rsid w:val="6E6803C8"/>
    <w:rsid w:val="6EA13DB5"/>
    <w:rsid w:val="6EBC5602"/>
    <w:rsid w:val="6EBC6FBF"/>
    <w:rsid w:val="6ECC76A7"/>
    <w:rsid w:val="6ED20A73"/>
    <w:rsid w:val="6EE029C6"/>
    <w:rsid w:val="6F0D6517"/>
    <w:rsid w:val="6F174B38"/>
    <w:rsid w:val="6F235519"/>
    <w:rsid w:val="6F2F7149"/>
    <w:rsid w:val="6F397330"/>
    <w:rsid w:val="6F524050"/>
    <w:rsid w:val="6F5C1230"/>
    <w:rsid w:val="6F65190B"/>
    <w:rsid w:val="6F885CC3"/>
    <w:rsid w:val="6F9D39F9"/>
    <w:rsid w:val="6FA8684E"/>
    <w:rsid w:val="6FBC1CFE"/>
    <w:rsid w:val="6FBF5CA9"/>
    <w:rsid w:val="6FC7174D"/>
    <w:rsid w:val="6FD236EA"/>
    <w:rsid w:val="6FE74798"/>
    <w:rsid w:val="6FF5141A"/>
    <w:rsid w:val="6FFE46CD"/>
    <w:rsid w:val="70141305"/>
    <w:rsid w:val="70202F08"/>
    <w:rsid w:val="70252B9D"/>
    <w:rsid w:val="702D56CE"/>
    <w:rsid w:val="704E6E9A"/>
    <w:rsid w:val="704F55F3"/>
    <w:rsid w:val="7067574F"/>
    <w:rsid w:val="706F0B3B"/>
    <w:rsid w:val="707029DF"/>
    <w:rsid w:val="7070716A"/>
    <w:rsid w:val="7075449A"/>
    <w:rsid w:val="70763D6E"/>
    <w:rsid w:val="709760D6"/>
    <w:rsid w:val="70A03792"/>
    <w:rsid w:val="70B42257"/>
    <w:rsid w:val="70C139D4"/>
    <w:rsid w:val="70D07DE0"/>
    <w:rsid w:val="70DF074B"/>
    <w:rsid w:val="70E17439"/>
    <w:rsid w:val="710728D6"/>
    <w:rsid w:val="71097952"/>
    <w:rsid w:val="712E63F7"/>
    <w:rsid w:val="71306BAA"/>
    <w:rsid w:val="713A62F4"/>
    <w:rsid w:val="71504B10"/>
    <w:rsid w:val="71600CA6"/>
    <w:rsid w:val="71770F3C"/>
    <w:rsid w:val="7188117E"/>
    <w:rsid w:val="718C5009"/>
    <w:rsid w:val="719417C0"/>
    <w:rsid w:val="71AF6A35"/>
    <w:rsid w:val="71B92164"/>
    <w:rsid w:val="71C1345D"/>
    <w:rsid w:val="71C867F5"/>
    <w:rsid w:val="71DF0B2D"/>
    <w:rsid w:val="71DF74B5"/>
    <w:rsid w:val="71E960E9"/>
    <w:rsid w:val="72085BC5"/>
    <w:rsid w:val="721F127A"/>
    <w:rsid w:val="723F7CBD"/>
    <w:rsid w:val="72423D3C"/>
    <w:rsid w:val="72480BA0"/>
    <w:rsid w:val="725138C5"/>
    <w:rsid w:val="72515945"/>
    <w:rsid w:val="72541131"/>
    <w:rsid w:val="72620926"/>
    <w:rsid w:val="72655822"/>
    <w:rsid w:val="727804BC"/>
    <w:rsid w:val="7298621E"/>
    <w:rsid w:val="729F2F3A"/>
    <w:rsid w:val="72C473A3"/>
    <w:rsid w:val="72C54B39"/>
    <w:rsid w:val="72C708B1"/>
    <w:rsid w:val="72D33542"/>
    <w:rsid w:val="72D73EF6"/>
    <w:rsid w:val="72EB2491"/>
    <w:rsid w:val="73084049"/>
    <w:rsid w:val="731B45A4"/>
    <w:rsid w:val="73223D39"/>
    <w:rsid w:val="73301622"/>
    <w:rsid w:val="733B4F43"/>
    <w:rsid w:val="733C129F"/>
    <w:rsid w:val="733D31FE"/>
    <w:rsid w:val="73506BDD"/>
    <w:rsid w:val="73510C58"/>
    <w:rsid w:val="7354438F"/>
    <w:rsid w:val="736A172E"/>
    <w:rsid w:val="737F2F3A"/>
    <w:rsid w:val="73A966D8"/>
    <w:rsid w:val="73AF6C96"/>
    <w:rsid w:val="73C03D7F"/>
    <w:rsid w:val="73C161F4"/>
    <w:rsid w:val="73C32C77"/>
    <w:rsid w:val="73C33969"/>
    <w:rsid w:val="73C878FB"/>
    <w:rsid w:val="73F531FC"/>
    <w:rsid w:val="740305F1"/>
    <w:rsid w:val="741661E7"/>
    <w:rsid w:val="741950ED"/>
    <w:rsid w:val="74252D9B"/>
    <w:rsid w:val="742553A1"/>
    <w:rsid w:val="743957DE"/>
    <w:rsid w:val="74470E83"/>
    <w:rsid w:val="7483523C"/>
    <w:rsid w:val="748B3D8C"/>
    <w:rsid w:val="74926B16"/>
    <w:rsid w:val="74B36BD4"/>
    <w:rsid w:val="74BB5821"/>
    <w:rsid w:val="74C66D2B"/>
    <w:rsid w:val="74D23A3D"/>
    <w:rsid w:val="74E90984"/>
    <w:rsid w:val="74F87447"/>
    <w:rsid w:val="74FD6C40"/>
    <w:rsid w:val="7502373A"/>
    <w:rsid w:val="750A647B"/>
    <w:rsid w:val="753B7E9C"/>
    <w:rsid w:val="75513A71"/>
    <w:rsid w:val="756479DC"/>
    <w:rsid w:val="7572331F"/>
    <w:rsid w:val="757C256B"/>
    <w:rsid w:val="757E5938"/>
    <w:rsid w:val="759311F7"/>
    <w:rsid w:val="759A1F6E"/>
    <w:rsid w:val="759B68E5"/>
    <w:rsid w:val="75A4312B"/>
    <w:rsid w:val="75B61AC7"/>
    <w:rsid w:val="75C4732A"/>
    <w:rsid w:val="75CB49CB"/>
    <w:rsid w:val="75D93360"/>
    <w:rsid w:val="76097D04"/>
    <w:rsid w:val="761060DE"/>
    <w:rsid w:val="761F2641"/>
    <w:rsid w:val="76211766"/>
    <w:rsid w:val="76335855"/>
    <w:rsid w:val="765777EF"/>
    <w:rsid w:val="765B7F10"/>
    <w:rsid w:val="76613CDD"/>
    <w:rsid w:val="766C4DAD"/>
    <w:rsid w:val="767939DD"/>
    <w:rsid w:val="7695551F"/>
    <w:rsid w:val="76A4354A"/>
    <w:rsid w:val="76B16AD4"/>
    <w:rsid w:val="76C40651"/>
    <w:rsid w:val="76CE7BFD"/>
    <w:rsid w:val="76DC5A16"/>
    <w:rsid w:val="76EB7264"/>
    <w:rsid w:val="77072E6C"/>
    <w:rsid w:val="772321C6"/>
    <w:rsid w:val="775725EB"/>
    <w:rsid w:val="776D2980"/>
    <w:rsid w:val="779C230C"/>
    <w:rsid w:val="77C84A1B"/>
    <w:rsid w:val="77D52550"/>
    <w:rsid w:val="7820118F"/>
    <w:rsid w:val="783469E8"/>
    <w:rsid w:val="783E1615"/>
    <w:rsid w:val="78422AC1"/>
    <w:rsid w:val="78803AD2"/>
    <w:rsid w:val="788D2940"/>
    <w:rsid w:val="78A95890"/>
    <w:rsid w:val="78B93018"/>
    <w:rsid w:val="78C22246"/>
    <w:rsid w:val="78CF4397"/>
    <w:rsid w:val="78DA26BD"/>
    <w:rsid w:val="78E20EF9"/>
    <w:rsid w:val="78E93ADE"/>
    <w:rsid w:val="78EE303B"/>
    <w:rsid w:val="78EF1A00"/>
    <w:rsid w:val="79065AB5"/>
    <w:rsid w:val="79132AA2"/>
    <w:rsid w:val="792C5912"/>
    <w:rsid w:val="79416086"/>
    <w:rsid w:val="794B223C"/>
    <w:rsid w:val="796F63ED"/>
    <w:rsid w:val="79733540"/>
    <w:rsid w:val="799534B7"/>
    <w:rsid w:val="79A15D2D"/>
    <w:rsid w:val="79AE0B68"/>
    <w:rsid w:val="79B71F8B"/>
    <w:rsid w:val="79B80F53"/>
    <w:rsid w:val="79C35C3C"/>
    <w:rsid w:val="79CB5891"/>
    <w:rsid w:val="79CB60C5"/>
    <w:rsid w:val="79D42231"/>
    <w:rsid w:val="79DB2677"/>
    <w:rsid w:val="7A36248D"/>
    <w:rsid w:val="7A4B766C"/>
    <w:rsid w:val="7A54151E"/>
    <w:rsid w:val="7A773C99"/>
    <w:rsid w:val="7A7F6A1E"/>
    <w:rsid w:val="7A9967AE"/>
    <w:rsid w:val="7AA1145D"/>
    <w:rsid w:val="7AAB0E6A"/>
    <w:rsid w:val="7AAE6DEF"/>
    <w:rsid w:val="7AB731D7"/>
    <w:rsid w:val="7ABF7E05"/>
    <w:rsid w:val="7AC20D73"/>
    <w:rsid w:val="7AE25E5C"/>
    <w:rsid w:val="7AE76E04"/>
    <w:rsid w:val="7B367106"/>
    <w:rsid w:val="7B731D4D"/>
    <w:rsid w:val="7BA93EBE"/>
    <w:rsid w:val="7BB8151E"/>
    <w:rsid w:val="7BB840B1"/>
    <w:rsid w:val="7BB938A7"/>
    <w:rsid w:val="7BD007D6"/>
    <w:rsid w:val="7BD2043B"/>
    <w:rsid w:val="7BEE611A"/>
    <w:rsid w:val="7C1A41E0"/>
    <w:rsid w:val="7C3511B2"/>
    <w:rsid w:val="7C4B2553"/>
    <w:rsid w:val="7C4D30F8"/>
    <w:rsid w:val="7C7346FC"/>
    <w:rsid w:val="7C82580A"/>
    <w:rsid w:val="7CA7686B"/>
    <w:rsid w:val="7CDE0446"/>
    <w:rsid w:val="7CE840C9"/>
    <w:rsid w:val="7CFA3A06"/>
    <w:rsid w:val="7CFE0911"/>
    <w:rsid w:val="7D065993"/>
    <w:rsid w:val="7D165246"/>
    <w:rsid w:val="7D401E3D"/>
    <w:rsid w:val="7D450D50"/>
    <w:rsid w:val="7D6B282B"/>
    <w:rsid w:val="7D7D3C6D"/>
    <w:rsid w:val="7D9D5371"/>
    <w:rsid w:val="7DAF3C2E"/>
    <w:rsid w:val="7DBC3708"/>
    <w:rsid w:val="7DEA3972"/>
    <w:rsid w:val="7E061DB0"/>
    <w:rsid w:val="7E153A97"/>
    <w:rsid w:val="7E257192"/>
    <w:rsid w:val="7E2C0E58"/>
    <w:rsid w:val="7E4210B2"/>
    <w:rsid w:val="7E430A4C"/>
    <w:rsid w:val="7E46208E"/>
    <w:rsid w:val="7E6F78B7"/>
    <w:rsid w:val="7E864025"/>
    <w:rsid w:val="7EA43E8A"/>
    <w:rsid w:val="7EDB7B57"/>
    <w:rsid w:val="7EEB654A"/>
    <w:rsid w:val="7F1809A1"/>
    <w:rsid w:val="7F421F36"/>
    <w:rsid w:val="7F613E48"/>
    <w:rsid w:val="7F6141AF"/>
    <w:rsid w:val="7F6652DD"/>
    <w:rsid w:val="7F6E6D71"/>
    <w:rsid w:val="7F744857"/>
    <w:rsid w:val="7F747428"/>
    <w:rsid w:val="7F806F96"/>
    <w:rsid w:val="7F83434C"/>
    <w:rsid w:val="7F9B1DF3"/>
    <w:rsid w:val="7FBE4DEA"/>
    <w:rsid w:val="7FC25D4D"/>
    <w:rsid w:val="7FCB7EEE"/>
    <w:rsid w:val="7FD10B7C"/>
    <w:rsid w:val="7FD350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iPriority="0" w:semiHidden="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黑体"/>
      <w:kern w:val="2"/>
      <w:sz w:val="21"/>
      <w:szCs w:val="22"/>
      <w:lang w:val="en-US" w:eastAsia="zh-CN" w:bidi="ar-SA"/>
    </w:rPr>
  </w:style>
  <w:style w:type="paragraph" w:styleId="5">
    <w:name w:val="heading 1"/>
    <w:basedOn w:val="1"/>
    <w:next w:val="1"/>
    <w:qFormat/>
    <w:uiPriority w:val="0"/>
    <w:pPr>
      <w:keepNext/>
      <w:keepLines/>
      <w:spacing w:line="360" w:lineRule="auto"/>
      <w:outlineLvl w:val="0"/>
    </w:pPr>
    <w:rPr>
      <w:b/>
      <w:kern w:val="44"/>
      <w:sz w:val="28"/>
    </w:rPr>
  </w:style>
  <w:style w:type="paragraph" w:styleId="6">
    <w:name w:val="heading 2"/>
    <w:basedOn w:val="1"/>
    <w:next w:val="1"/>
    <w:link w:val="35"/>
    <w:unhideWhenUsed/>
    <w:qFormat/>
    <w:uiPriority w:val="0"/>
    <w:pPr>
      <w:keepNext/>
      <w:keepLines/>
      <w:spacing w:line="360" w:lineRule="auto"/>
      <w:jc w:val="left"/>
      <w:outlineLvl w:val="1"/>
    </w:pPr>
    <w:rPr>
      <w:rFonts w:ascii="Times New Roman" w:hAnsi="Times New Roman" w:eastAsia="宋体"/>
      <w:b/>
      <w:bCs/>
      <w:sz w:val="24"/>
      <w:szCs w:val="32"/>
    </w:rPr>
  </w:style>
  <w:style w:type="paragraph" w:styleId="7">
    <w:name w:val="heading 3"/>
    <w:basedOn w:val="1"/>
    <w:next w:val="1"/>
    <w:unhideWhenUsed/>
    <w:qFormat/>
    <w:uiPriority w:val="9"/>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8">
    <w:name w:val="heading 4"/>
    <w:basedOn w:val="1"/>
    <w:next w:val="1"/>
    <w:qFormat/>
    <w:uiPriority w:val="9"/>
    <w:pPr>
      <w:keepNext/>
      <w:keepLines/>
      <w:spacing w:before="280" w:after="290" w:line="376" w:lineRule="auto"/>
      <w:outlineLvl w:val="3"/>
    </w:pPr>
    <w:rPr>
      <w:rFonts w:ascii="Cambria" w:hAnsi="Cambria" w:cs="宋体"/>
      <w:b/>
      <w:bCs/>
      <w:sz w:val="28"/>
      <w:szCs w:val="28"/>
    </w:rPr>
  </w:style>
  <w:style w:type="character" w:default="1" w:styleId="29">
    <w:name w:val="Default Paragraph Font"/>
    <w:unhideWhenUsed/>
    <w:qFormat/>
    <w:uiPriority w:val="1"/>
  </w:style>
  <w:style w:type="table" w:default="1" w:styleId="26">
    <w:name w:val="Normal Table"/>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widowControl/>
      <w:spacing w:after="120" w:line="240" w:lineRule="auto"/>
      <w:ind w:left="420" w:leftChars="200" w:firstLine="420" w:firstLineChars="200"/>
      <w:jc w:val="left"/>
    </w:pPr>
  </w:style>
  <w:style w:type="paragraph" w:styleId="3">
    <w:name w:val="Body Text Indent"/>
    <w:basedOn w:val="1"/>
    <w:next w:val="4"/>
    <w:link w:val="34"/>
    <w:unhideWhenUsed/>
    <w:qFormat/>
    <w:uiPriority w:val="99"/>
    <w:pPr>
      <w:spacing w:after="120"/>
      <w:ind w:left="420" w:leftChars="200"/>
    </w:pPr>
  </w:style>
  <w:style w:type="paragraph" w:customStyle="1" w:styleId="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9">
    <w:name w:val="Normal Indent"/>
    <w:basedOn w:val="1"/>
    <w:next w:val="1"/>
    <w:qFormat/>
    <w:uiPriority w:val="0"/>
    <w:pPr>
      <w:ind w:firstLine="420" w:firstLineChars="200"/>
    </w:pPr>
  </w:style>
  <w:style w:type="paragraph" w:styleId="10">
    <w:name w:val="caption"/>
    <w:basedOn w:val="1"/>
    <w:next w:val="1"/>
    <w:qFormat/>
    <w:uiPriority w:val="0"/>
    <w:rPr>
      <w:rFonts w:ascii="Arial" w:hAnsi="Arial" w:eastAsia="黑体" w:cs="Arial"/>
      <w:sz w:val="20"/>
      <w:szCs w:val="20"/>
    </w:rPr>
  </w:style>
  <w:style w:type="paragraph" w:styleId="11">
    <w:name w:val="Document Map"/>
    <w:basedOn w:val="1"/>
    <w:link w:val="36"/>
    <w:unhideWhenUsed/>
    <w:qFormat/>
    <w:uiPriority w:val="99"/>
    <w:rPr>
      <w:rFonts w:ascii="宋体"/>
      <w:sz w:val="18"/>
      <w:szCs w:val="18"/>
    </w:rPr>
  </w:style>
  <w:style w:type="paragraph" w:styleId="12">
    <w:name w:val="toa heading"/>
    <w:basedOn w:val="1"/>
    <w:next w:val="1"/>
    <w:qFormat/>
    <w:uiPriority w:val="0"/>
    <w:pPr>
      <w:spacing w:before="120"/>
    </w:pPr>
    <w:rPr>
      <w:rFonts w:ascii="Arial" w:hAnsi="Arial" w:cs="Arial"/>
    </w:rPr>
  </w:style>
  <w:style w:type="paragraph" w:styleId="13">
    <w:name w:val="annotation text"/>
    <w:basedOn w:val="1"/>
    <w:link w:val="37"/>
    <w:unhideWhenUsed/>
    <w:qFormat/>
    <w:uiPriority w:val="99"/>
    <w:pPr>
      <w:jc w:val="left"/>
    </w:pPr>
  </w:style>
  <w:style w:type="paragraph" w:styleId="14">
    <w:name w:val="Body Text"/>
    <w:basedOn w:val="1"/>
    <w:next w:val="1"/>
    <w:link w:val="38"/>
    <w:qFormat/>
    <w:uiPriority w:val="0"/>
    <w:pPr>
      <w:spacing w:after="120"/>
    </w:pPr>
    <w:rPr>
      <w:rFonts w:cs="Times New Roman"/>
      <w:kern w:val="0"/>
      <w:sz w:val="20"/>
      <w:szCs w:val="24"/>
    </w:rPr>
  </w:style>
  <w:style w:type="paragraph" w:styleId="15">
    <w:name w:val="Plain Text"/>
    <w:basedOn w:val="1"/>
    <w:link w:val="39"/>
    <w:unhideWhenUsed/>
    <w:qFormat/>
    <w:uiPriority w:val="99"/>
    <w:rPr>
      <w:rFonts w:ascii="宋体" w:hAnsi="Courier New" w:cs="Courier New"/>
      <w:szCs w:val="21"/>
    </w:rPr>
  </w:style>
  <w:style w:type="paragraph" w:styleId="16">
    <w:name w:val="Body Text Indent 2"/>
    <w:basedOn w:val="1"/>
    <w:next w:val="17"/>
    <w:qFormat/>
    <w:uiPriority w:val="0"/>
    <w:pPr>
      <w:spacing w:after="120" w:afterLines="0" w:line="480" w:lineRule="auto"/>
      <w:ind w:left="420" w:leftChars="200"/>
    </w:pPr>
  </w:style>
  <w:style w:type="paragraph" w:customStyle="1" w:styleId="17">
    <w:name w:val="简单回函地址"/>
    <w:basedOn w:val="1"/>
    <w:next w:val="18"/>
    <w:qFormat/>
    <w:uiPriority w:val="0"/>
    <w:pPr>
      <w:widowControl/>
    </w:pPr>
    <w:rPr>
      <w:rFonts w:ascii="宋体" w:hAnsi="宋体" w:cs="宋体"/>
      <w:kern w:val="0"/>
      <w:szCs w:val="20"/>
    </w:rPr>
  </w:style>
  <w:style w:type="paragraph" w:customStyle="1" w:styleId="18">
    <w:name w:val="正文2"/>
    <w:basedOn w:val="3"/>
    <w:next w:val="1"/>
    <w:qFormat/>
    <w:uiPriority w:val="0"/>
    <w:pPr>
      <w:spacing w:line="360" w:lineRule="auto"/>
    </w:pPr>
    <w:rPr>
      <w:rFonts w:eastAsia="仿宋_GB2312"/>
      <w:color w:val="auto"/>
      <w:szCs w:val="28"/>
      <w:lang w:val="zh-CN"/>
    </w:rPr>
  </w:style>
  <w:style w:type="paragraph" w:styleId="19">
    <w:name w:val="Balloon Text"/>
    <w:basedOn w:val="1"/>
    <w:link w:val="40"/>
    <w:unhideWhenUsed/>
    <w:qFormat/>
    <w:uiPriority w:val="99"/>
    <w:rPr>
      <w:sz w:val="18"/>
      <w:szCs w:val="18"/>
    </w:rPr>
  </w:style>
  <w:style w:type="paragraph" w:styleId="20">
    <w:name w:val="footer"/>
    <w:basedOn w:val="1"/>
    <w:link w:val="41"/>
    <w:unhideWhenUsed/>
    <w:qFormat/>
    <w:uiPriority w:val="99"/>
    <w:pPr>
      <w:tabs>
        <w:tab w:val="center" w:pos="4153"/>
        <w:tab w:val="right" w:pos="8306"/>
      </w:tabs>
      <w:snapToGrid w:val="0"/>
      <w:jc w:val="left"/>
    </w:pPr>
    <w:rPr>
      <w:sz w:val="18"/>
      <w:szCs w:val="18"/>
    </w:rPr>
  </w:style>
  <w:style w:type="paragraph" w:styleId="21">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Body Text Indent 3"/>
    <w:basedOn w:val="1"/>
    <w:link w:val="43"/>
    <w:unhideWhenUsed/>
    <w:qFormat/>
    <w:uiPriority w:val="0"/>
    <w:pPr>
      <w:spacing w:after="120"/>
      <w:ind w:left="420" w:leftChars="200"/>
    </w:pPr>
    <w:rPr>
      <w:rFonts w:cs="Times New Roman"/>
      <w:sz w:val="16"/>
      <w:szCs w:val="16"/>
      <w:lang w:val="zh-CN" w:eastAsia="zh-CN"/>
    </w:rPr>
  </w:style>
  <w:style w:type="paragraph" w:styleId="23">
    <w:name w:val="table of figures"/>
    <w:basedOn w:val="1"/>
    <w:next w:val="1"/>
    <w:qFormat/>
    <w:uiPriority w:val="0"/>
    <w:pPr>
      <w:ind w:leftChars="200" w:hanging="200" w:hangingChars="200"/>
    </w:pPr>
    <w:rPr>
      <w:szCs w:val="24"/>
    </w:rPr>
  </w:style>
  <w:style w:type="paragraph" w:styleId="24">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13"/>
    <w:next w:val="13"/>
    <w:link w:val="45"/>
    <w:unhideWhenUsed/>
    <w:qFormat/>
    <w:uiPriority w:val="99"/>
    <w:rPr>
      <w:b/>
      <w:bCs/>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8">
    <w:name w:val="Table Professional"/>
    <w:basedOn w:val="2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30">
    <w:name w:val="FollowedHyperlink"/>
    <w:basedOn w:val="29"/>
    <w:unhideWhenUsed/>
    <w:qFormat/>
    <w:uiPriority w:val="0"/>
    <w:rPr>
      <w:color w:val="800080"/>
      <w:u w:val="none"/>
    </w:rPr>
  </w:style>
  <w:style w:type="character" w:styleId="31">
    <w:name w:val="Emphasis"/>
    <w:basedOn w:val="29"/>
    <w:qFormat/>
    <w:uiPriority w:val="20"/>
  </w:style>
  <w:style w:type="character" w:styleId="32">
    <w:name w:val="Hyperlink"/>
    <w:basedOn w:val="29"/>
    <w:unhideWhenUsed/>
    <w:qFormat/>
    <w:uiPriority w:val="0"/>
    <w:rPr>
      <w:color w:val="0000FF"/>
      <w:u w:val="none"/>
    </w:rPr>
  </w:style>
  <w:style w:type="character" w:styleId="33">
    <w:name w:val="annotation reference"/>
    <w:basedOn w:val="29"/>
    <w:unhideWhenUsed/>
    <w:qFormat/>
    <w:uiPriority w:val="99"/>
    <w:rPr>
      <w:sz w:val="21"/>
      <w:szCs w:val="21"/>
    </w:rPr>
  </w:style>
  <w:style w:type="character" w:customStyle="1" w:styleId="34">
    <w:name w:val="正文文本缩进 Char"/>
    <w:basedOn w:val="29"/>
    <w:link w:val="3"/>
    <w:semiHidden/>
    <w:qFormat/>
    <w:uiPriority w:val="99"/>
  </w:style>
  <w:style w:type="character" w:customStyle="1" w:styleId="35">
    <w:name w:val="标题 2 字符"/>
    <w:link w:val="6"/>
    <w:semiHidden/>
    <w:uiPriority w:val="0"/>
    <w:rPr>
      <w:rFonts w:eastAsia="宋体" w:cs="黑体"/>
      <w:b/>
      <w:bCs/>
      <w:kern w:val="2"/>
      <w:sz w:val="24"/>
      <w:szCs w:val="32"/>
      <w:lang w:val="en-US" w:eastAsia="zh-CN" w:bidi="ar-SA"/>
    </w:rPr>
  </w:style>
  <w:style w:type="character" w:customStyle="1" w:styleId="36">
    <w:name w:val="文档结构图 Char"/>
    <w:link w:val="11"/>
    <w:semiHidden/>
    <w:qFormat/>
    <w:uiPriority w:val="99"/>
    <w:rPr>
      <w:rFonts w:ascii="宋体" w:eastAsia="宋体"/>
      <w:sz w:val="18"/>
      <w:szCs w:val="18"/>
    </w:rPr>
  </w:style>
  <w:style w:type="character" w:customStyle="1" w:styleId="37">
    <w:name w:val="批注文字 Char"/>
    <w:basedOn w:val="29"/>
    <w:link w:val="13"/>
    <w:semiHidden/>
    <w:qFormat/>
    <w:uiPriority w:val="99"/>
  </w:style>
  <w:style w:type="character" w:customStyle="1" w:styleId="38">
    <w:name w:val="正文文本 Char"/>
    <w:link w:val="14"/>
    <w:qFormat/>
    <w:uiPriority w:val="0"/>
    <w:rPr>
      <w:szCs w:val="24"/>
    </w:rPr>
  </w:style>
  <w:style w:type="character" w:customStyle="1" w:styleId="39">
    <w:name w:val="纯文本 Char"/>
    <w:link w:val="15"/>
    <w:semiHidden/>
    <w:qFormat/>
    <w:uiPriority w:val="99"/>
    <w:rPr>
      <w:rFonts w:ascii="宋体" w:hAnsi="Courier New" w:cs="Courier New"/>
      <w:kern w:val="2"/>
      <w:sz w:val="21"/>
      <w:szCs w:val="21"/>
    </w:rPr>
  </w:style>
  <w:style w:type="character" w:customStyle="1" w:styleId="40">
    <w:name w:val="批注框文本 Char"/>
    <w:link w:val="19"/>
    <w:semiHidden/>
    <w:qFormat/>
    <w:uiPriority w:val="99"/>
    <w:rPr>
      <w:sz w:val="18"/>
      <w:szCs w:val="18"/>
    </w:rPr>
  </w:style>
  <w:style w:type="character" w:customStyle="1" w:styleId="41">
    <w:name w:val="页脚 Char"/>
    <w:link w:val="20"/>
    <w:qFormat/>
    <w:uiPriority w:val="99"/>
    <w:rPr>
      <w:sz w:val="18"/>
      <w:szCs w:val="18"/>
    </w:rPr>
  </w:style>
  <w:style w:type="character" w:customStyle="1" w:styleId="42">
    <w:name w:val="页眉 Char"/>
    <w:link w:val="21"/>
    <w:qFormat/>
    <w:uiPriority w:val="99"/>
    <w:rPr>
      <w:sz w:val="18"/>
      <w:szCs w:val="18"/>
    </w:rPr>
  </w:style>
  <w:style w:type="character" w:customStyle="1" w:styleId="43">
    <w:name w:val="正文文本缩进 3 Char"/>
    <w:link w:val="22"/>
    <w:qFormat/>
    <w:uiPriority w:val="0"/>
    <w:rPr>
      <w:kern w:val="2"/>
      <w:sz w:val="16"/>
      <w:szCs w:val="16"/>
      <w:lang w:val="zh-CN" w:eastAsia="zh-CN"/>
    </w:rPr>
  </w:style>
  <w:style w:type="character" w:customStyle="1" w:styleId="44">
    <w:name w:val="普通(网站) 字符"/>
    <w:link w:val="24"/>
    <w:qFormat/>
    <w:locked/>
    <w:uiPriority w:val="0"/>
    <w:rPr>
      <w:rFonts w:ascii="宋体" w:hAnsi="宋体" w:eastAsia="宋体" w:cs="黑体"/>
      <w:sz w:val="24"/>
      <w:lang w:val="en-US" w:eastAsia="zh-CN" w:bidi="ar-SA"/>
    </w:rPr>
  </w:style>
  <w:style w:type="character" w:customStyle="1" w:styleId="45">
    <w:name w:val="批注主题 Char"/>
    <w:link w:val="25"/>
    <w:semiHidden/>
    <w:qFormat/>
    <w:uiPriority w:val="99"/>
    <w:rPr>
      <w:b/>
      <w:bCs/>
    </w:rPr>
  </w:style>
  <w:style w:type="paragraph" w:customStyle="1" w:styleId="46">
    <w:name w:val="Default"/>
    <w:basedOn w:val="47"/>
    <w:qFormat/>
    <w:uiPriority w:val="0"/>
    <w:pPr>
      <w:widowControl w:val="0"/>
      <w:tabs>
        <w:tab w:val="left" w:pos="377"/>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47">
    <w:name w:val="表（或图）标题 样式 宋体 五号 居中 SL CON"/>
    <w:basedOn w:val="1"/>
    <w:qFormat/>
    <w:uiPriority w:val="0"/>
    <w:pPr>
      <w:widowControl/>
      <w:tabs>
        <w:tab w:val="left" w:pos="377"/>
      </w:tabs>
      <w:spacing w:before="100" w:beforeLines="0" w:beforeAutospacing="1" w:line="360" w:lineRule="auto"/>
      <w:jc w:val="center"/>
    </w:pPr>
    <w:rPr>
      <w:rFonts w:ascii="宋体" w:hAnsi="宋体" w:cs="宋体"/>
      <w:b/>
      <w:kern w:val="0"/>
      <w:szCs w:val="20"/>
    </w:rPr>
  </w:style>
  <w:style w:type="paragraph" w:customStyle="1" w:styleId="48">
    <w:name w:val="表格文字"/>
    <w:basedOn w:val="1"/>
    <w:next w:val="1"/>
    <w:qFormat/>
    <w:uiPriority w:val="99"/>
    <w:pPr>
      <w:jc w:val="center"/>
    </w:pPr>
    <w:rPr>
      <w:rFonts w:ascii="仿宋_GB2312" w:hAnsi="Arial Black" w:eastAsia="仿宋_GB2312"/>
      <w:kern w:val="44"/>
    </w:rPr>
  </w:style>
  <w:style w:type="paragraph" w:customStyle="1" w:styleId="49">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paragraph" w:customStyle="1" w:styleId="50">
    <w:name w:val="表格文字2"/>
    <w:basedOn w:val="1"/>
    <w:qFormat/>
    <w:uiPriority w:val="0"/>
    <w:pPr>
      <w:adjustRightInd w:val="0"/>
      <w:spacing w:before="60"/>
      <w:jc w:val="center"/>
      <w:textAlignment w:val="baseline"/>
    </w:pPr>
    <w:rPr>
      <w:rFonts w:ascii="宋体" w:cs="Times New Roman"/>
      <w:kern w:val="0"/>
      <w:sz w:val="24"/>
      <w:szCs w:val="20"/>
    </w:rPr>
  </w:style>
  <w:style w:type="paragraph" w:customStyle="1" w:styleId="51">
    <w:name w:val="表"/>
    <w:basedOn w:val="1"/>
    <w:qFormat/>
    <w:uiPriority w:val="0"/>
    <w:pPr>
      <w:spacing w:line="240" w:lineRule="exact"/>
    </w:pPr>
    <w:rPr>
      <w:rFonts w:ascii="仿宋_GB2312" w:hAnsi="宋体" w:eastAsia="仿宋_GB2312" w:cs="Times New Roman"/>
      <w:sz w:val="18"/>
      <w:szCs w:val="20"/>
    </w:rPr>
  </w:style>
  <w:style w:type="paragraph" w:customStyle="1" w:styleId="52">
    <w:name w:val="表格内容"/>
    <w:basedOn w:val="9"/>
    <w:next w:val="1"/>
    <w:link w:val="53"/>
    <w:qFormat/>
    <w:uiPriority w:val="0"/>
    <w:pPr>
      <w:jc w:val="center"/>
    </w:pPr>
    <w:rPr>
      <w:rFonts w:eastAsia="Times New Roman" w:cs="Times New Roman"/>
      <w:kern w:val="0"/>
      <w:sz w:val="20"/>
      <w:szCs w:val="21"/>
    </w:rPr>
  </w:style>
  <w:style w:type="character" w:customStyle="1" w:styleId="53">
    <w:name w:val="表格内容 Char"/>
    <w:link w:val="52"/>
    <w:qFormat/>
    <w:uiPriority w:val="0"/>
    <w:rPr>
      <w:rFonts w:ascii="Times New Roman" w:hAnsi="Times New Roman" w:eastAsia="Times New Roman" w:cs="Times New Roman"/>
      <w:szCs w:val="21"/>
    </w:rPr>
  </w:style>
  <w:style w:type="paragraph" w:customStyle="1" w:styleId="54">
    <w:name w:val="表格首行"/>
    <w:basedOn w:val="1"/>
    <w:next w:val="1"/>
    <w:qFormat/>
    <w:uiPriority w:val="0"/>
    <w:pPr>
      <w:jc w:val="center"/>
    </w:pPr>
    <w:rPr>
      <w:rFonts w:cs="宋体"/>
      <w:b/>
      <w:szCs w:val="20"/>
    </w:rPr>
  </w:style>
  <w:style w:type="paragraph" w:customStyle="1" w:styleId="55">
    <w:name w:val="正文-欣欣"/>
    <w:basedOn w:val="15"/>
    <w:next w:val="1"/>
    <w:qFormat/>
    <w:uiPriority w:val="0"/>
    <w:pPr>
      <w:adjustRightInd w:val="0"/>
      <w:spacing w:line="360" w:lineRule="auto"/>
      <w:ind w:firstLine="200" w:firstLineChars="200"/>
    </w:pPr>
    <w:rPr>
      <w:rFonts w:cs="Times New Roman"/>
      <w:sz w:val="24"/>
      <w:szCs w:val="30"/>
    </w:rPr>
  </w:style>
  <w:style w:type="character" w:customStyle="1" w:styleId="56">
    <w:name w:val="正文文本 Char1"/>
    <w:basedOn w:val="29"/>
    <w:semiHidden/>
    <w:qFormat/>
    <w:uiPriority w:val="99"/>
  </w:style>
  <w:style w:type="character" w:customStyle="1" w:styleId="57">
    <w:name w:val="占位符文本1"/>
    <w:semiHidden/>
    <w:qFormat/>
    <w:uiPriority w:val="99"/>
    <w:rPr>
      <w:color w:val="808080"/>
    </w:rPr>
  </w:style>
  <w:style w:type="table" w:customStyle="1" w:styleId="58">
    <w:name w:val="网格型1"/>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2"/>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0">
    <w:name w:val="章节目录"/>
    <w:basedOn w:val="1"/>
    <w:link w:val="61"/>
    <w:qFormat/>
    <w:uiPriority w:val="0"/>
    <w:pPr>
      <w:spacing w:line="360" w:lineRule="auto"/>
      <w:outlineLvl w:val="0"/>
    </w:pPr>
    <w:rPr>
      <w:b/>
      <w:sz w:val="28"/>
      <w:szCs w:val="28"/>
    </w:rPr>
  </w:style>
  <w:style w:type="character" w:customStyle="1" w:styleId="61">
    <w:name w:val="章节目录 Char"/>
    <w:link w:val="60"/>
    <w:qFormat/>
    <w:uiPriority w:val="0"/>
    <w:rPr>
      <w:rFonts w:cs="黑体"/>
      <w:b/>
      <w:kern w:val="2"/>
      <w:sz w:val="28"/>
      <w:szCs w:val="28"/>
    </w:rPr>
  </w:style>
  <w:style w:type="paragraph" w:customStyle="1" w:styleId="62">
    <w:name w:val="Char4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63">
    <w:name w:val="表头"/>
    <w:basedOn w:val="1"/>
    <w:link w:val="64"/>
    <w:qFormat/>
    <w:uiPriority w:val="0"/>
    <w:pPr>
      <w:spacing w:line="360" w:lineRule="auto"/>
      <w:jc w:val="center"/>
    </w:pPr>
    <w:rPr>
      <w:rFonts w:eastAsia="黑体" w:cs="Times New Roman"/>
      <w:color w:val="FF0000"/>
      <w:szCs w:val="21"/>
    </w:rPr>
  </w:style>
  <w:style w:type="character" w:customStyle="1" w:styleId="64">
    <w:name w:val="表头 Char"/>
    <w:link w:val="63"/>
    <w:qFormat/>
    <w:uiPriority w:val="0"/>
    <w:rPr>
      <w:rFonts w:eastAsia="黑体"/>
      <w:color w:val="FF0000"/>
      <w:kern w:val="2"/>
      <w:sz w:val="21"/>
      <w:szCs w:val="21"/>
    </w:rPr>
  </w:style>
  <w:style w:type="paragraph" w:customStyle="1" w:styleId="65">
    <w:name w:val="四级标题"/>
    <w:basedOn w:val="1"/>
    <w:link w:val="66"/>
    <w:qFormat/>
    <w:uiPriority w:val="0"/>
    <w:pPr>
      <w:spacing w:line="360" w:lineRule="auto"/>
      <w:ind w:firstLine="200" w:firstLineChars="200"/>
      <w:outlineLvl w:val="3"/>
    </w:pPr>
    <w:rPr>
      <w:rFonts w:cs="Times New Roman"/>
      <w:b/>
      <w:sz w:val="24"/>
      <w:szCs w:val="24"/>
    </w:rPr>
  </w:style>
  <w:style w:type="character" w:customStyle="1" w:styleId="66">
    <w:name w:val="四级标题 Char"/>
    <w:link w:val="65"/>
    <w:qFormat/>
    <w:uiPriority w:val="0"/>
    <w:rPr>
      <w:b/>
      <w:kern w:val="2"/>
      <w:sz w:val="24"/>
      <w:szCs w:val="24"/>
    </w:rPr>
  </w:style>
  <w:style w:type="paragraph" w:customStyle="1" w:styleId="67">
    <w:name w:val="报告表格"/>
    <w:basedOn w:val="1"/>
    <w:next w:val="68"/>
    <w:link w:val="69"/>
    <w:qFormat/>
    <w:uiPriority w:val="0"/>
    <w:pPr>
      <w:autoSpaceDE w:val="0"/>
      <w:autoSpaceDN w:val="0"/>
      <w:adjustRightInd w:val="0"/>
      <w:spacing w:before="40" w:after="40"/>
      <w:jc w:val="center"/>
      <w:textAlignment w:val="bottom"/>
    </w:pPr>
    <w:rPr>
      <w:rFonts w:cs="Times New Roman"/>
      <w:kern w:val="0"/>
      <w:szCs w:val="20"/>
    </w:rPr>
  </w:style>
  <w:style w:type="paragraph" w:customStyle="1" w:styleId="68">
    <w:name w:val="报告书"/>
    <w:basedOn w:val="1"/>
    <w:qFormat/>
    <w:uiPriority w:val="0"/>
    <w:pPr>
      <w:autoSpaceDE w:val="0"/>
      <w:autoSpaceDN w:val="0"/>
      <w:adjustRightInd w:val="0"/>
      <w:spacing w:line="360" w:lineRule="auto"/>
      <w:ind w:firstLine="505"/>
      <w:jc w:val="left"/>
      <w:textAlignment w:val="bottom"/>
    </w:pPr>
    <w:rPr>
      <w:kern w:val="0"/>
      <w:sz w:val="24"/>
      <w:szCs w:val="20"/>
    </w:rPr>
  </w:style>
  <w:style w:type="character" w:customStyle="1" w:styleId="69">
    <w:name w:val="报告表格 Char"/>
    <w:link w:val="67"/>
    <w:qFormat/>
    <w:uiPriority w:val="0"/>
    <w:rPr>
      <w:sz w:val="21"/>
    </w:rPr>
  </w:style>
  <w:style w:type="paragraph" w:customStyle="1" w:styleId="70">
    <w:name w:val="List Paragraph"/>
    <w:basedOn w:val="1"/>
    <w:qFormat/>
    <w:uiPriority w:val="99"/>
    <w:pPr>
      <w:ind w:firstLine="420" w:firstLineChars="200"/>
    </w:pPr>
  </w:style>
  <w:style w:type="paragraph" w:customStyle="1" w:styleId="71">
    <w:name w:val="宋-正文"/>
    <w:basedOn w:val="1"/>
    <w:qFormat/>
    <w:uiPriority w:val="0"/>
    <w:pPr>
      <w:autoSpaceDE w:val="0"/>
      <w:autoSpaceDN w:val="0"/>
      <w:adjustRightInd w:val="0"/>
      <w:spacing w:line="360" w:lineRule="auto"/>
      <w:ind w:firstLine="200" w:firstLineChars="200"/>
    </w:pPr>
    <w:rPr>
      <w:kern w:val="0"/>
      <w:sz w:val="24"/>
    </w:rPr>
  </w:style>
  <w:style w:type="paragraph" w:customStyle="1" w:styleId="72">
    <w:name w:val="报告"/>
    <w:basedOn w:val="1"/>
    <w:qFormat/>
    <w:uiPriority w:val="0"/>
    <w:pPr>
      <w:spacing w:beforeLines="30" w:afterLines="30" w:line="400" w:lineRule="atLeast"/>
      <w:ind w:firstLine="200" w:firstLineChars="200"/>
    </w:pPr>
    <w:rPr>
      <w:rFonts w:ascii="Calibri" w:hAnsi="Calibri" w:cs="Times New Roman"/>
      <w:sz w:val="24"/>
    </w:rPr>
  </w:style>
  <w:style w:type="paragraph" w:customStyle="1" w:styleId="73">
    <w:name w:val="A表内文字"/>
    <w:basedOn w:val="1"/>
    <w:next w:val="1"/>
    <w:qFormat/>
    <w:uiPriority w:val="0"/>
    <w:pPr>
      <w:autoSpaceDE w:val="0"/>
      <w:autoSpaceDN w:val="0"/>
      <w:adjustRightInd w:val="0"/>
      <w:jc w:val="center"/>
    </w:pPr>
    <w:rPr>
      <w:rFonts w:ascii="Times New Roman" w:hAnsi="Times New Roman" w:eastAsia="宋体" w:cs="Times New Roman"/>
      <w:szCs w:val="24"/>
    </w:rPr>
  </w:style>
  <w:style w:type="paragraph" w:customStyle="1" w:styleId="74">
    <w:name w:val="表1"/>
    <w:basedOn w:val="1"/>
    <w:qFormat/>
    <w:uiPriority w:val="0"/>
    <w:pPr>
      <w:spacing w:line="260" w:lineRule="exact"/>
      <w:jc w:val="center"/>
    </w:pPr>
    <w:rPr>
      <w:color w:val="auto"/>
      <w:kern w:val="2"/>
      <w:sz w:val="18"/>
      <w:szCs w:val="20"/>
    </w:rPr>
  </w:style>
  <w:style w:type="paragraph" w:customStyle="1" w:styleId="75">
    <w:name w:val="正文-蓝色"/>
    <w:basedOn w:val="55"/>
    <w:next w:val="1"/>
    <w:qFormat/>
    <w:uiPriority w:val="0"/>
    <w:rPr>
      <w:color w:val="FF0000"/>
      <w:szCs w:val="28"/>
    </w:rPr>
  </w:style>
  <w:style w:type="paragraph" w:customStyle="1" w:styleId="76">
    <w:name w:val="1、L表内字"/>
    <w:basedOn w:val="1"/>
    <w:qFormat/>
    <w:uiPriority w:val="0"/>
    <w:pPr>
      <w:adjustRightInd w:val="0"/>
      <w:snapToGrid w:val="0"/>
      <w:spacing w:line="240" w:lineRule="auto"/>
      <w:ind w:firstLine="0" w:firstLineChars="0"/>
      <w:jc w:val="center"/>
    </w:pPr>
    <w:rPr>
      <w:color w:val="000000"/>
      <w:sz w:val="21"/>
      <w:szCs w:val="21"/>
    </w:rPr>
  </w:style>
  <w:style w:type="paragraph" w:customStyle="1" w:styleId="77">
    <w:name w:val="表内字"/>
    <w:basedOn w:val="1"/>
    <w:qFormat/>
    <w:uiPriority w:val="0"/>
    <w:pPr>
      <w:jc w:val="center"/>
    </w:pPr>
    <w:rPr>
      <w:szCs w:val="18"/>
    </w:rPr>
  </w:style>
  <w:style w:type="paragraph" w:customStyle="1" w:styleId="78">
    <w:name w:val="rpt_表项"/>
    <w:basedOn w:val="1"/>
    <w:qFormat/>
    <w:uiPriority w:val="0"/>
    <w:pPr>
      <w:spacing w:before="60" w:after="60"/>
      <w:jc w:val="center"/>
    </w:pPr>
    <w:rPr>
      <w:rFonts w:cs="宋体"/>
      <w:sz w:val="22"/>
      <w:szCs w:val="20"/>
    </w:rPr>
  </w:style>
  <w:style w:type="paragraph" w:customStyle="1" w:styleId="79">
    <w:name w:val="样式 表格 32 + 首行缩进:  2 字符"/>
    <w:basedOn w:val="1"/>
    <w:qFormat/>
    <w:uiPriority w:val="0"/>
    <w:pPr>
      <w:autoSpaceDE w:val="0"/>
      <w:autoSpaceDN w:val="0"/>
      <w:adjustRightInd w:val="0"/>
      <w:spacing w:line="0" w:lineRule="atLeast"/>
      <w:jc w:val="center"/>
      <w:textAlignment w:val="baseline"/>
    </w:pPr>
    <w:rPr>
      <w:rFonts w:ascii="Times New Roman" w:hAnsi="Times New Roman"/>
      <w:szCs w:val="21"/>
    </w:rPr>
  </w:style>
  <w:style w:type="character" w:customStyle="1" w:styleId="80">
    <w:name w:val="NormalCharacter"/>
    <w:semiHidden/>
    <w:qFormat/>
    <w:uiPriority w:val="0"/>
  </w:style>
  <w:style w:type="paragraph" w:customStyle="1" w:styleId="81">
    <w:name w:val="龚艺正文"/>
    <w:basedOn w:val="1"/>
    <w:qFormat/>
    <w:uiPriority w:val="0"/>
    <w:pPr>
      <w:overflowPunct w:val="0"/>
      <w:spacing w:line="360" w:lineRule="auto"/>
      <w:ind w:firstLine="200" w:firstLineChars="200"/>
      <w:textAlignment w:val="baseline"/>
    </w:pPr>
    <w:rPr>
      <w:color w:val="000000"/>
      <w:sz w:val="24"/>
    </w:rPr>
  </w:style>
  <w:style w:type="paragraph" w:customStyle="1" w:styleId="82">
    <w:name w:val="宋-表名"/>
    <w:basedOn w:val="83"/>
    <w:next w:val="83"/>
    <w:qFormat/>
    <w:uiPriority w:val="1"/>
    <w:pPr>
      <w:spacing w:line="240" w:lineRule="auto"/>
      <w:ind w:firstLine="0"/>
      <w:jc w:val="center"/>
    </w:pPr>
    <w:rPr>
      <w:b/>
      <w:sz w:val="21"/>
    </w:rPr>
  </w:style>
  <w:style w:type="paragraph" w:customStyle="1" w:styleId="83">
    <w:name w:val="A6正文"/>
    <w:basedOn w:val="1"/>
    <w:qFormat/>
    <w:uiPriority w:val="2"/>
    <w:pPr>
      <w:spacing w:line="360" w:lineRule="auto"/>
      <w:ind w:firstLine="482"/>
    </w:pPr>
    <w:rPr>
      <w:rFonts w:ascii="Times New Roman" w:hAnsi="Times New Roman" w:eastAsia="宋体"/>
      <w:sz w:val="24"/>
    </w:rPr>
  </w:style>
  <w:style w:type="paragraph" w:customStyle="1" w:styleId="84">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85">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86">
    <w:name w:val="Table Grid_0"/>
    <w:basedOn w:val="26"/>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7">
    <w:name w:val="No Spacing"/>
    <w:qFormat/>
    <w:uiPriority w:val="1"/>
    <w:pPr>
      <w:widowControl w:val="0"/>
      <w:spacing w:beforeLines="50" w:afterLines="50" w:line="360" w:lineRule="auto"/>
      <w:jc w:val="both"/>
    </w:pPr>
    <w:rPr>
      <w:rFonts w:ascii="Calibri" w:hAnsi="Calibri" w:eastAsia="宋体" w:cs="Times New Roman"/>
      <w:kern w:val="2"/>
      <w:sz w:val="24"/>
      <w:szCs w:val="22"/>
      <w:lang w:val="en-US" w:eastAsia="zh-CN" w:bidi="ar-SA"/>
    </w:rPr>
  </w:style>
  <w:style w:type="character" w:customStyle="1" w:styleId="88">
    <w:name w:val="disabled"/>
    <w:basedOn w:val="29"/>
    <w:qFormat/>
    <w:uiPriority w:val="0"/>
    <w:rPr>
      <w:vanish/>
    </w:rPr>
  </w:style>
  <w:style w:type="character" w:customStyle="1" w:styleId="89">
    <w:name w:val="znspantitle"/>
    <w:basedOn w:val="29"/>
    <w:qFormat/>
    <w:uiPriority w:val="0"/>
    <w:rPr>
      <w:b/>
      <w:bCs/>
      <w:color w:val="333333"/>
    </w:rPr>
  </w:style>
  <w:style w:type="character" w:customStyle="1" w:styleId="90">
    <w:name w:val="fontstyle01"/>
    <w:qFormat/>
    <w:uiPriority w:val="0"/>
    <w:rPr>
      <w:rFonts w:ascii="宋体" w:hAnsi="宋体" w:eastAsia="宋体" w:cs="宋体"/>
      <w:color w:val="000000"/>
      <w:kern w:val="0"/>
      <w:sz w:val="24"/>
      <w:szCs w:val="24"/>
    </w:rPr>
  </w:style>
  <w:style w:type="paragraph" w:customStyle="1" w:styleId="91">
    <w:name w:val="纯文本3"/>
    <w:basedOn w:val="1"/>
    <w:qFormat/>
    <w:uiPriority w:val="0"/>
    <w:pPr>
      <w:adjustRightInd w:val="0"/>
      <w:spacing w:line="312" w:lineRule="atLeast"/>
      <w:textAlignment w:val="baseline"/>
    </w:pPr>
    <w:rPr>
      <w:caps/>
      <w:kern w:val="0"/>
      <w:sz w:val="21"/>
      <w:szCs w:val="20"/>
    </w:rPr>
  </w:style>
  <w:style w:type="paragraph" w:customStyle="1" w:styleId="92">
    <w:name w:val="+++正文、"/>
    <w:basedOn w:val="1"/>
    <w:qFormat/>
    <w:uiPriority w:val="0"/>
    <w:pPr>
      <w:autoSpaceDE w:val="0"/>
      <w:autoSpaceDN w:val="0"/>
      <w:adjustRightInd w:val="0"/>
      <w:spacing w:line="360" w:lineRule="auto"/>
      <w:ind w:firstLine="200" w:firstLineChars="200"/>
    </w:pPr>
    <w:rPr>
      <w:rFonts w:ascii="Calibri" w:hAnsi="Calibri" w:eastAsia="宋体" w:cs="Times New Roman"/>
      <w:sz w:val="24"/>
      <w:szCs w:val="24"/>
    </w:rPr>
  </w:style>
  <w:style w:type="paragraph" w:customStyle="1" w:styleId="93">
    <w:name w:val="标准正文"/>
    <w:qFormat/>
    <w:uiPriority w:val="0"/>
    <w:pPr>
      <w:keepNext/>
      <w:keepLines/>
      <w:snapToGrid w:val="0"/>
      <w:spacing w:before="50" w:beforeLines="50" w:after="50" w:afterLines="50" w:line="360" w:lineRule="auto"/>
      <w:ind w:firstLine="200" w:firstLineChars="200"/>
      <w:jc w:val="both"/>
    </w:pPr>
    <w:rPr>
      <w:rFonts w:ascii="Times New Roman" w:hAnsi="Times New Roman" w:eastAsia="宋体" w:cs="Times New Roman"/>
      <w:sz w:val="24"/>
      <w:szCs w:val="24"/>
      <w:lang w:val="en-US" w:eastAsia="zh-CN" w:bidi="ar-SA"/>
    </w:rPr>
  </w:style>
  <w:style w:type="character" w:customStyle="1" w:styleId="94">
    <w:name w:val="font61"/>
    <w:basedOn w:val="29"/>
    <w:qFormat/>
    <w:uiPriority w:val="0"/>
    <w:rPr>
      <w:rFonts w:hint="eastAsia" w:ascii="宋体" w:hAnsi="宋体" w:eastAsia="宋体" w:cs="宋体"/>
      <w:color w:val="000000"/>
      <w:sz w:val="28"/>
      <w:szCs w:val="28"/>
      <w:u w:val="none"/>
      <w:vertAlign w:val="superscript"/>
    </w:rPr>
  </w:style>
  <w:style w:type="character" w:customStyle="1" w:styleId="95">
    <w:name w:val="font51"/>
    <w:basedOn w:val="29"/>
    <w:qFormat/>
    <w:uiPriority w:val="0"/>
    <w:rPr>
      <w:rFonts w:ascii="Calibri" w:hAnsi="Calibri" w:cs="Calibri"/>
      <w:color w:val="000000"/>
      <w:sz w:val="28"/>
      <w:szCs w:val="28"/>
      <w:u w:val="none"/>
    </w:rPr>
  </w:style>
  <w:style w:type="character" w:customStyle="1" w:styleId="96">
    <w:name w:val="font71"/>
    <w:basedOn w:val="29"/>
    <w:qFormat/>
    <w:uiPriority w:val="0"/>
    <w:rPr>
      <w:rFonts w:hint="eastAsia" w:ascii="宋体" w:hAnsi="宋体" w:eastAsia="宋体" w:cs="宋体"/>
      <w:color w:val="000000"/>
      <w:sz w:val="28"/>
      <w:szCs w:val="28"/>
      <w:u w:val="none"/>
    </w:rPr>
  </w:style>
  <w:style w:type="character" w:customStyle="1" w:styleId="97">
    <w:name w:val="font21"/>
    <w:basedOn w:val="29"/>
    <w:qFormat/>
    <w:uiPriority w:val="0"/>
    <w:rPr>
      <w:rFonts w:hint="eastAsia" w:ascii="宋体" w:hAnsi="宋体" w:eastAsia="宋体" w:cs="宋体"/>
      <w:color w:val="000000"/>
      <w:sz w:val="18"/>
      <w:szCs w:val="18"/>
      <w:u w:val="none"/>
    </w:rPr>
  </w:style>
  <w:style w:type="paragraph" w:customStyle="1" w:styleId="98">
    <w:name w:val="小四缩进2"/>
    <w:basedOn w:val="1"/>
    <w:qFormat/>
    <w:uiPriority w:val="0"/>
    <w:pPr>
      <w:adjustRightInd w:val="0"/>
      <w:snapToGrid w:val="0"/>
      <w:spacing w:line="360" w:lineRule="auto"/>
      <w:ind w:firstLine="480" w:firstLineChars="200"/>
    </w:pPr>
    <w:rPr>
      <w:rFonts w:ascii="Calibri" w:hAnsi="Calibri" w:cs="Calibri"/>
      <w:sz w:val="24"/>
      <w:szCs w:val="24"/>
    </w:rPr>
  </w:style>
  <w:style w:type="paragraph" w:customStyle="1" w:styleId="99">
    <w:name w:val="Normal_44"/>
    <w:qFormat/>
    <w:uiPriority w:val="0"/>
    <w:pPr>
      <w:spacing w:before="120" w:after="240"/>
      <w:jc w:val="both"/>
    </w:pPr>
    <w:rPr>
      <w:rFonts w:ascii="Calibri" w:hAnsi="Calibri" w:eastAsia="Calibri" w:cs="Times New Roman"/>
      <w:sz w:val="22"/>
      <w:szCs w:val="22"/>
      <w:lang w:val="ru-RU" w:eastAsia="en-US" w:bidi="ar-SA"/>
    </w:rPr>
  </w:style>
  <w:style w:type="paragraph" w:customStyle="1" w:styleId="100">
    <w:name w:val="表格"/>
    <w:basedOn w:val="1"/>
    <w:qFormat/>
    <w:uiPriority w:val="0"/>
    <w:pPr>
      <w:jc w:val="center"/>
    </w:pPr>
    <w:rPr>
      <w:szCs w:val="21"/>
    </w:rPr>
  </w:style>
  <w:style w:type="paragraph" w:customStyle="1" w:styleId="101">
    <w:name w:val="无间隔1"/>
    <w:next w:val="1"/>
    <w:qFormat/>
    <w:uiPriority w:val="0"/>
    <w:pPr>
      <w:widowControl w:val="0"/>
      <w:jc w:val="center"/>
    </w:pPr>
    <w:rPr>
      <w:rFonts w:ascii="Times New Roman" w:hAnsi="Times New Roman" w:eastAsia="宋体" w:cs="Times New Roman"/>
      <w:kern w:val="2"/>
      <w:sz w:val="21"/>
      <w:szCs w:val="22"/>
      <w:lang w:val="en-US" w:eastAsia="zh-CN" w:bidi="ar-SA"/>
    </w:rPr>
  </w:style>
  <w:style w:type="character" w:customStyle="1" w:styleId="102">
    <w:name w:val="font11"/>
    <w:basedOn w:val="29"/>
    <w:qFormat/>
    <w:uiPriority w:val="0"/>
    <w:rPr>
      <w:rFonts w:hint="default" w:ascii="Times New Roman" w:hAnsi="Times New Roman" w:cs="Times New Roman"/>
      <w:color w:val="000000"/>
      <w:sz w:val="21"/>
      <w:szCs w:val="21"/>
      <w:u w:val="none"/>
    </w:rPr>
  </w:style>
  <w:style w:type="character" w:customStyle="1" w:styleId="103">
    <w:name w:val="font31"/>
    <w:basedOn w:val="29"/>
    <w:qFormat/>
    <w:uiPriority w:val="0"/>
    <w:rPr>
      <w:rFonts w:hint="eastAsia" w:ascii="宋体" w:hAnsi="宋体" w:eastAsia="宋体" w:cs="宋体"/>
      <w:color w:val="000000"/>
      <w:sz w:val="21"/>
      <w:szCs w:val="21"/>
      <w:u w:val="none"/>
    </w:rPr>
  </w:style>
  <w:style w:type="paragraph" w:customStyle="1" w:styleId="104">
    <w:name w:val="正文-204"/>
    <w:basedOn w:val="1"/>
    <w:qFormat/>
    <w:uiPriority w:val="0"/>
    <w:pPr>
      <w:ind w:firstLine="480"/>
      <w:contextualSpacing/>
    </w:pPr>
    <w:rPr>
      <w:rFonts w:ascii="Times New Roman" w:hAnsi="Times New Roman" w:eastAsia="宋体" w:cs="Times New Roman"/>
      <w:kern w:val="2"/>
      <w:szCs w:val="24"/>
    </w:rPr>
  </w:style>
  <w:style w:type="paragraph" w:customStyle="1" w:styleId="105">
    <w:name w:val="_Style 377"/>
    <w:basedOn w:val="1"/>
    <w:qFormat/>
    <w:uiPriority w:val="0"/>
    <w:pPr>
      <w:widowControl/>
    </w:pPr>
  </w:style>
  <w:style w:type="paragraph" w:customStyle="1" w:styleId="106">
    <w:name w:val="s4正文"/>
    <w:basedOn w:val="1"/>
    <w:qFormat/>
    <w:uiPriority w:val="0"/>
    <w:pPr>
      <w:spacing w:line="360" w:lineRule="auto"/>
      <w:ind w:firstLine="480" w:firstLineChars="200"/>
    </w:pPr>
    <w:rPr>
      <w:rFonts w:cs="宋体"/>
      <w:sz w:val="24"/>
      <w:szCs w:val="20"/>
    </w:rPr>
  </w:style>
  <w:style w:type="paragraph" w:customStyle="1" w:styleId="107">
    <w:name w:val="Table Paragraph"/>
    <w:basedOn w:val="1"/>
    <w:qFormat/>
    <w:uiPriority w:val="0"/>
    <w:rPr>
      <w:rFonts w:cs="Times New Roman"/>
    </w:rPr>
  </w:style>
  <w:style w:type="paragraph" w:customStyle="1" w:styleId="108">
    <w:name w:val="0正文"/>
    <w:basedOn w:val="1"/>
    <w:qFormat/>
    <w:uiPriority w:val="0"/>
    <w:pPr>
      <w:widowControl/>
      <w:spacing w:line="360" w:lineRule="auto"/>
      <w:ind w:firstLine="200" w:firstLineChars="200"/>
    </w:pPr>
    <w:rPr>
      <w:sz w:val="24"/>
      <w:szCs w:val="24"/>
    </w:rPr>
  </w:style>
  <w:style w:type="character" w:customStyle="1" w:styleId="109">
    <w:name w:val="16"/>
    <w:qFormat/>
    <w:uiPriority w:val="0"/>
    <w:rPr>
      <w:rFonts w:hint="default" w:ascii="Times New Roman" w:hAnsi="Times New Roman" w:cs="Times New Roman"/>
      <w:sz w:val="21"/>
      <w:szCs w:val="21"/>
    </w:rPr>
  </w:style>
  <w:style w:type="character" w:customStyle="1" w:styleId="110">
    <w:name w:val="15"/>
    <w:qFormat/>
    <w:uiPriority w:val="0"/>
    <w:rPr>
      <w:rFonts w:hint="default" w:ascii="Times New Roman" w:hAnsi="Times New Roman" w:cs="Times New Roman"/>
      <w:sz w:val="21"/>
      <w:szCs w:val="21"/>
    </w:rPr>
  </w:style>
  <w:style w:type="paragraph" w:customStyle="1" w:styleId="111">
    <w:name w:val="列表段落"/>
    <w:basedOn w:val="1"/>
    <w:qFormat/>
    <w:uiPriority w:val="0"/>
    <w:pPr>
      <w:spacing w:line="360" w:lineRule="exact"/>
      <w:jc w:val="center"/>
    </w:pPr>
    <w:rPr>
      <w:rFonts w:cs="Times New Roman"/>
      <w:color w:val="000000"/>
      <w:kern w:val="1"/>
      <w:sz w:val="18"/>
      <w:szCs w:val="28"/>
    </w:rPr>
  </w:style>
  <w:style w:type="paragraph" w:customStyle="1" w:styleId="112">
    <w:name w:val="无间隔"/>
    <w:link w:val="113"/>
    <w:qFormat/>
    <w:uiPriority w:val="0"/>
    <w:pPr>
      <w:widowControl w:val="0"/>
      <w:spacing w:line="500" w:lineRule="exact"/>
      <w:jc w:val="center"/>
    </w:pPr>
    <w:rPr>
      <w:rFonts w:ascii="Times New Roman" w:hAnsi="Times New Roman" w:eastAsia="宋体" w:cs="Times New Roman"/>
      <w:color w:val="000000"/>
      <w:kern w:val="1"/>
      <w:sz w:val="21"/>
      <w:szCs w:val="28"/>
      <w:lang w:val="en-US" w:eastAsia="zh-CN" w:bidi="ar-SA"/>
    </w:rPr>
  </w:style>
  <w:style w:type="character" w:customStyle="1" w:styleId="113">
    <w:name w:val="无间隔 字符"/>
    <w:link w:val="112"/>
    <w:qFormat/>
    <w:locked/>
    <w:uiPriority w:val="0"/>
    <w:rPr>
      <w:rFonts w:eastAsia="宋体"/>
      <w:color w:val="000000"/>
      <w:kern w:val="1"/>
      <w:sz w:val="21"/>
      <w:szCs w:val="28"/>
      <w:lang w:val="en-US" w:eastAsia="zh-CN" w:bidi="ar-SA"/>
    </w:rPr>
  </w:style>
  <w:style w:type="table" w:customStyle="1" w:styleId="114">
    <w:name w:val="Table Normal"/>
    <w:basedOn w:val="26"/>
    <w:qFormat/>
    <w:uiPriority w:val="0"/>
    <w:tblPr>
      <w:tblCellMar>
        <w:left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wmf"/><Relationship Id="rId15" Type="http://schemas.openxmlformats.org/officeDocument/2006/relationships/oleObject" Target="embeddings/oleObject1.bin"/><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45562</Words>
  <Characters>50860</Characters>
  <Lines>392</Lines>
  <Paragraphs>110</Paragraphs>
  <TotalTime>15</TotalTime>
  <ScaleCrop>false</ScaleCrop>
  <LinksUpToDate>false</LinksUpToDate>
  <CharactersWithSpaces>51189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2015-06-30T08:58:00Z</dcterms:created>
  <dc:creator>Yc.</dc:creator>
  <cp:lastModifiedBy>idiot</cp:lastModifiedBy>
  <cp:lastPrinted>2017-11-23T01:48:00Z</cp:lastPrinted>
  <dcterms:modified xsi:type="dcterms:W3CDTF">2023-06-27T05:44:01Z</dcterms:modified>
  <dc:title>建设项目环境影响报告表</dc:title>
  <cp:revision>2946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3186A45325BD42EAADD14E847971C4C5_13</vt:lpwstr>
  </property>
</Properties>
</file>